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31E270">
      <w:pPr>
        <w:widowControl/>
        <w:wordWrap w:val="0"/>
        <w:spacing w:line="360" w:lineRule="auto"/>
        <w:rPr>
          <w:rFonts w:ascii="黑体" w:hAnsi="黑体" w:eastAsia="黑体"/>
          <w:color w:val="auto"/>
          <w:sz w:val="28"/>
          <w:szCs w:val="28"/>
          <w:highlight w:val="none"/>
          <w:u w:val="single"/>
        </w:rPr>
      </w:pPr>
      <w:bookmarkStart w:id="0" w:name="_Toc43689937"/>
    </w:p>
    <w:p w14:paraId="2D723F4E">
      <w:pPr>
        <w:wordWrap w:val="0"/>
        <w:spacing w:line="360" w:lineRule="auto"/>
        <w:jc w:val="center"/>
        <w:rPr>
          <w:b/>
          <w:bCs/>
          <w:color w:val="auto"/>
          <w:sz w:val="44"/>
          <w:szCs w:val="44"/>
          <w:highlight w:val="none"/>
        </w:rPr>
      </w:pPr>
    </w:p>
    <w:p w14:paraId="6C44B6C8">
      <w:pPr>
        <w:wordWrap w:val="0"/>
        <w:spacing w:line="360" w:lineRule="auto"/>
        <w:jc w:val="center"/>
        <w:rPr>
          <w:b/>
          <w:bCs/>
          <w:color w:val="auto"/>
          <w:sz w:val="44"/>
          <w:szCs w:val="44"/>
          <w:highlight w:val="none"/>
        </w:rPr>
      </w:pPr>
    </w:p>
    <w:p w14:paraId="5A8F0C1C">
      <w:pPr>
        <w:wordWrap w:val="0"/>
        <w:spacing w:line="360" w:lineRule="auto"/>
        <w:jc w:val="center"/>
        <w:rPr>
          <w:rFonts w:hint="eastAsia" w:ascii="Times New Roman" w:hAnsi="Times New Roman" w:eastAsia="宋体" w:cs="Times New Roman"/>
          <w:b/>
          <w:bCs/>
          <w:color w:val="auto"/>
          <w:spacing w:val="-11"/>
          <w:sz w:val="44"/>
          <w:szCs w:val="44"/>
          <w:highlight w:val="none"/>
          <w:lang w:val="en-US" w:eastAsia="zh-CN"/>
        </w:rPr>
      </w:pPr>
      <w:r>
        <w:rPr>
          <w:rFonts w:hint="eastAsia" w:ascii="Times New Roman" w:hAnsi="Times New Roman" w:eastAsia="宋体" w:cs="Times New Roman"/>
          <w:b/>
          <w:bCs/>
          <w:color w:val="auto"/>
          <w:spacing w:val="-11"/>
          <w:sz w:val="44"/>
          <w:szCs w:val="44"/>
          <w:highlight w:val="none"/>
          <w:lang w:val="en-US" w:eastAsia="zh-CN"/>
        </w:rPr>
        <w:t>2026-2028年员工食堂劳务外包、物资供应项目</w:t>
      </w:r>
    </w:p>
    <w:p w14:paraId="10D4CFE2">
      <w:pPr>
        <w:wordWrap w:val="0"/>
        <w:spacing w:line="360" w:lineRule="auto"/>
        <w:jc w:val="center"/>
        <w:rPr>
          <w:b/>
          <w:bCs/>
          <w:color w:val="auto"/>
          <w:sz w:val="44"/>
          <w:szCs w:val="44"/>
          <w:highlight w:val="none"/>
        </w:rPr>
      </w:pPr>
    </w:p>
    <w:p w14:paraId="3CF1CC6B">
      <w:pPr>
        <w:wordWrap w:val="0"/>
        <w:spacing w:line="360" w:lineRule="auto"/>
        <w:rPr>
          <w:color w:val="auto"/>
          <w:highlight w:val="none"/>
        </w:rPr>
      </w:pPr>
    </w:p>
    <w:p w14:paraId="6177F958">
      <w:pPr>
        <w:wordWrap w:val="0"/>
        <w:autoSpaceDE w:val="0"/>
        <w:autoSpaceDN w:val="0"/>
        <w:spacing w:before="120" w:beforeLines="50" w:line="360" w:lineRule="auto"/>
        <w:jc w:val="center"/>
        <w:textAlignment w:val="bottom"/>
        <w:rPr>
          <w:rFonts w:ascii="宋体" w:hAnsi="宋体"/>
          <w:b/>
          <w:color w:val="auto"/>
          <w:sz w:val="100"/>
          <w:szCs w:val="100"/>
          <w:highlight w:val="none"/>
        </w:rPr>
      </w:pPr>
      <w:r>
        <w:rPr>
          <w:rFonts w:hint="eastAsia" w:ascii="宋体" w:hAnsi="宋体"/>
          <w:b/>
          <w:color w:val="auto"/>
          <w:sz w:val="100"/>
          <w:szCs w:val="100"/>
          <w:highlight w:val="none"/>
        </w:rPr>
        <w:t>招 标 文 件</w:t>
      </w:r>
    </w:p>
    <w:p w14:paraId="0B421D5E">
      <w:pPr>
        <w:widowControl/>
        <w:wordWrap w:val="0"/>
        <w:spacing w:line="360" w:lineRule="auto"/>
        <w:ind w:left="-2"/>
        <w:jc w:val="center"/>
        <w:rPr>
          <w:rFonts w:ascii="宋体" w:hAnsi="宋体" w:cs="宋体"/>
          <w:color w:val="auto"/>
          <w:sz w:val="36"/>
          <w:szCs w:val="36"/>
          <w:highlight w:val="none"/>
          <w:u w:val="single"/>
        </w:rPr>
      </w:pPr>
    </w:p>
    <w:p w14:paraId="69E34864">
      <w:pPr>
        <w:wordWrap w:val="0"/>
        <w:spacing w:line="360" w:lineRule="auto"/>
        <w:rPr>
          <w:rFonts w:ascii="宋体" w:hAnsi="宋体" w:cs="宋体"/>
          <w:color w:val="auto"/>
          <w:sz w:val="28"/>
          <w:szCs w:val="28"/>
          <w:highlight w:val="none"/>
        </w:rPr>
      </w:pPr>
    </w:p>
    <w:p w14:paraId="2FBFEF47">
      <w:pPr>
        <w:wordWrap w:val="0"/>
        <w:spacing w:line="360" w:lineRule="auto"/>
        <w:ind w:firstLine="1260" w:firstLineChars="450"/>
        <w:rPr>
          <w:rFonts w:ascii="宋体" w:hAnsi="宋体" w:cs="宋体"/>
          <w:color w:val="auto"/>
          <w:sz w:val="28"/>
          <w:szCs w:val="28"/>
          <w:highlight w:val="none"/>
        </w:rPr>
      </w:pPr>
    </w:p>
    <w:p w14:paraId="79384406">
      <w:pPr>
        <w:wordWrap w:val="0"/>
        <w:spacing w:line="360" w:lineRule="auto"/>
        <w:ind w:firstLine="1260" w:firstLineChars="450"/>
        <w:rPr>
          <w:rFonts w:ascii="宋体" w:hAnsi="宋体" w:cs="宋体"/>
          <w:color w:val="auto"/>
          <w:sz w:val="28"/>
          <w:szCs w:val="28"/>
          <w:highlight w:val="none"/>
        </w:rPr>
      </w:pPr>
    </w:p>
    <w:p w14:paraId="4B42A847">
      <w:pPr>
        <w:wordWrap w:val="0"/>
        <w:spacing w:line="360" w:lineRule="auto"/>
        <w:ind w:firstLine="1265" w:firstLineChars="450"/>
        <w:rPr>
          <w:rFonts w:ascii="宋体" w:hAnsi="宋体" w:cs="宋体"/>
          <w:b/>
          <w:color w:val="auto"/>
          <w:sz w:val="28"/>
          <w:szCs w:val="28"/>
          <w:highlight w:val="none"/>
        </w:rPr>
      </w:pPr>
    </w:p>
    <w:p w14:paraId="5A2299D9">
      <w:pPr>
        <w:wordWrap w:val="0"/>
        <w:spacing w:line="360" w:lineRule="auto"/>
        <w:ind w:firstLine="1417" w:firstLineChars="392"/>
        <w:rPr>
          <w:rFonts w:hint="default" w:ascii="宋体" w:hAnsi="宋体" w:eastAsia="宋体" w:cs="宋体"/>
          <w:color w:val="auto"/>
          <w:sz w:val="32"/>
          <w:szCs w:val="32"/>
          <w:highlight w:val="none"/>
          <w:u w:val="single"/>
          <w:lang w:val="en-US" w:eastAsia="zh-CN"/>
        </w:rPr>
      </w:pPr>
      <w:r>
        <w:rPr>
          <w:rFonts w:hint="eastAsia" w:ascii="宋体" w:hAnsi="宋体" w:cs="宋体"/>
          <w:b/>
          <w:color w:val="auto"/>
          <w:sz w:val="36"/>
          <w:szCs w:val="36"/>
          <w:highlight w:val="none"/>
        </w:rPr>
        <w:t>招标编号：</w:t>
      </w:r>
      <w:r>
        <w:rPr>
          <w:rFonts w:hint="eastAsia" w:ascii="宋体" w:hAnsi="宋体" w:cs="宋体"/>
          <w:b/>
          <w:color w:val="auto"/>
          <w:sz w:val="36"/>
          <w:szCs w:val="36"/>
          <w:highlight w:val="none"/>
          <w:lang w:val="en-US" w:eastAsia="zh-CN"/>
        </w:rPr>
        <w:t>CSSC-2025-10</w:t>
      </w:r>
    </w:p>
    <w:p w14:paraId="5B0641DC">
      <w:pPr>
        <w:wordWrap w:val="0"/>
        <w:spacing w:line="360" w:lineRule="auto"/>
        <w:ind w:firstLine="1417" w:firstLineChars="392"/>
        <w:rPr>
          <w:rFonts w:ascii="宋体" w:hAnsi="宋体" w:cs="宋体"/>
          <w:b/>
          <w:color w:val="auto"/>
          <w:sz w:val="36"/>
          <w:szCs w:val="36"/>
          <w:highlight w:val="none"/>
        </w:rPr>
      </w:pPr>
      <w:r>
        <w:rPr>
          <w:rFonts w:hint="eastAsia" w:ascii="宋体" w:hAnsi="宋体" w:cs="宋体"/>
          <w:b/>
          <w:color w:val="auto"/>
          <w:sz w:val="36"/>
          <w:szCs w:val="36"/>
          <w:highlight w:val="none"/>
        </w:rPr>
        <w:t>招 标 人：</w:t>
      </w:r>
      <w:r>
        <w:rPr>
          <w:rFonts w:hint="eastAsia" w:ascii="宋体" w:hAnsi="宋体" w:cs="宋体"/>
          <w:b/>
          <w:bCs/>
          <w:color w:val="auto"/>
          <w:sz w:val="36"/>
          <w:szCs w:val="36"/>
          <w:highlight w:val="none"/>
        </w:rPr>
        <w:t>长沙穗城轨道交通有限公司</w:t>
      </w:r>
    </w:p>
    <w:p w14:paraId="3CBFB835">
      <w:pPr>
        <w:wordWrap w:val="0"/>
        <w:spacing w:line="360" w:lineRule="auto"/>
        <w:ind w:firstLine="1417" w:firstLineChars="392"/>
        <w:rPr>
          <w:rFonts w:hint="default" w:ascii="宋体" w:hAnsi="宋体" w:eastAsia="宋体" w:cs="宋体"/>
          <w:b/>
          <w:color w:val="auto"/>
          <w:sz w:val="36"/>
          <w:szCs w:val="36"/>
          <w:highlight w:val="none"/>
          <w:lang w:val="en-US" w:eastAsia="zh-CN"/>
        </w:rPr>
      </w:pPr>
      <w:r>
        <w:rPr>
          <w:rFonts w:hint="eastAsia" w:ascii="宋体" w:hAnsi="宋体" w:cs="宋体"/>
          <w:b/>
          <w:color w:val="auto"/>
          <w:sz w:val="36"/>
          <w:szCs w:val="36"/>
          <w:highlight w:val="none"/>
        </w:rPr>
        <w:t>日    期：</w:t>
      </w:r>
      <w:r>
        <w:rPr>
          <w:rFonts w:hint="eastAsia" w:ascii="宋体" w:hAnsi="宋体" w:cs="宋体"/>
          <w:b/>
          <w:color w:val="auto"/>
          <w:sz w:val="36"/>
          <w:szCs w:val="36"/>
          <w:highlight w:val="none"/>
          <w:lang w:val="en-US" w:eastAsia="zh-CN"/>
        </w:rPr>
        <w:t xml:space="preserve">2025年10月  </w:t>
      </w:r>
    </w:p>
    <w:p w14:paraId="16950584">
      <w:pPr>
        <w:wordWrap w:val="0"/>
        <w:rPr>
          <w:rFonts w:ascii="宋体" w:hAnsi="宋体"/>
          <w:b/>
          <w:color w:val="auto"/>
          <w:sz w:val="44"/>
          <w:szCs w:val="44"/>
          <w:highlight w:val="none"/>
        </w:rPr>
      </w:pPr>
      <w:r>
        <w:rPr>
          <w:rFonts w:ascii="宋体" w:hAnsi="宋体"/>
          <w:b/>
          <w:color w:val="auto"/>
          <w:sz w:val="44"/>
          <w:szCs w:val="44"/>
          <w:highlight w:val="none"/>
        </w:rPr>
        <w:br w:type="page"/>
      </w:r>
    </w:p>
    <w:p w14:paraId="1091D719">
      <w:pPr>
        <w:widowControl/>
        <w:wordWrap w:val="0"/>
        <w:adjustRightInd w:val="0"/>
        <w:snapToGrid w:val="0"/>
        <w:spacing w:after="287" w:afterLines="100" w:line="360" w:lineRule="auto"/>
        <w:jc w:val="center"/>
        <w:rPr>
          <w:rFonts w:ascii="宋体" w:hAnsi="宋体"/>
          <w:b/>
          <w:color w:val="auto"/>
          <w:sz w:val="44"/>
          <w:szCs w:val="44"/>
          <w:highlight w:val="none"/>
        </w:rPr>
      </w:pPr>
      <w:r>
        <w:rPr>
          <w:rFonts w:ascii="宋体" w:hAnsi="宋体"/>
          <w:b/>
          <w:color w:val="auto"/>
          <w:sz w:val="44"/>
          <w:szCs w:val="44"/>
          <w:highlight w:val="none"/>
        </w:rPr>
        <w:t>目  录</w:t>
      </w:r>
    </w:p>
    <w:p w14:paraId="27DF980D">
      <w:pPr>
        <w:pStyle w:val="42"/>
        <w:tabs>
          <w:tab w:val="right" w:leader="dot" w:pos="9746"/>
        </w:tabs>
        <w:rPr>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_Toc19558 </w:instrText>
      </w:r>
      <w:r>
        <w:rPr>
          <w:rFonts w:hint="eastAsia" w:ascii="宋体" w:hAnsi="宋体" w:eastAsia="宋体" w:cs="宋体"/>
          <w:highlight w:val="none"/>
        </w:rPr>
        <w:fldChar w:fldCharType="separate"/>
      </w:r>
      <w:r>
        <w:rPr>
          <w:rFonts w:hAnsi="黑体"/>
          <w:szCs w:val="44"/>
          <w:highlight w:val="none"/>
        </w:rPr>
        <w:t>第一章</w:t>
      </w:r>
      <w:r>
        <w:rPr>
          <w:rFonts w:hint="eastAsia" w:hAnsi="黑体"/>
          <w:szCs w:val="44"/>
          <w:highlight w:val="none"/>
        </w:rPr>
        <w:t xml:space="preserve"> </w:t>
      </w:r>
      <w:r>
        <w:rPr>
          <w:rFonts w:hAnsi="黑体"/>
          <w:szCs w:val="44"/>
          <w:highlight w:val="none"/>
        </w:rPr>
        <w:t>招标公告</w:t>
      </w:r>
      <w:r>
        <w:rPr>
          <w:highlight w:val="none"/>
        </w:rPr>
        <w:tab/>
      </w:r>
      <w:r>
        <w:rPr>
          <w:highlight w:val="none"/>
        </w:rPr>
        <w:fldChar w:fldCharType="begin"/>
      </w:r>
      <w:r>
        <w:rPr>
          <w:highlight w:val="none"/>
        </w:rPr>
        <w:instrText xml:space="preserve"> PAGEREF _Toc19558 \h </w:instrText>
      </w:r>
      <w:r>
        <w:rPr>
          <w:highlight w:val="none"/>
        </w:rPr>
        <w:fldChar w:fldCharType="separate"/>
      </w:r>
      <w:r>
        <w:rPr>
          <w:highlight w:val="none"/>
        </w:rPr>
        <w:t>1</w:t>
      </w:r>
      <w:r>
        <w:rPr>
          <w:highlight w:val="none"/>
        </w:rPr>
        <w:fldChar w:fldCharType="end"/>
      </w:r>
      <w:r>
        <w:rPr>
          <w:rFonts w:hint="eastAsia" w:ascii="宋体" w:hAnsi="宋体" w:eastAsia="宋体" w:cs="宋体"/>
          <w:color w:val="auto"/>
          <w:highlight w:val="none"/>
        </w:rPr>
        <w:fldChar w:fldCharType="end"/>
      </w:r>
    </w:p>
    <w:p w14:paraId="0E043BEC">
      <w:pPr>
        <w:pStyle w:val="42"/>
        <w:tabs>
          <w:tab w:val="right" w:leader="dot" w:pos="9746"/>
        </w:tabs>
        <w:rPr>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_Toc4967 </w:instrText>
      </w:r>
      <w:r>
        <w:rPr>
          <w:rFonts w:hint="eastAsia" w:ascii="宋体" w:hAnsi="宋体" w:eastAsia="宋体" w:cs="宋体"/>
          <w:highlight w:val="none"/>
        </w:rPr>
        <w:fldChar w:fldCharType="separate"/>
      </w:r>
      <w:r>
        <w:rPr>
          <w:rFonts w:hAnsi="黑体"/>
          <w:szCs w:val="44"/>
          <w:highlight w:val="none"/>
        </w:rPr>
        <w:t>第二章</w:t>
      </w:r>
      <w:r>
        <w:rPr>
          <w:rFonts w:hint="eastAsia" w:hAnsi="黑体"/>
          <w:szCs w:val="44"/>
          <w:highlight w:val="none"/>
        </w:rPr>
        <w:t xml:space="preserve"> </w:t>
      </w:r>
      <w:r>
        <w:rPr>
          <w:rFonts w:hAnsi="黑体"/>
          <w:szCs w:val="44"/>
          <w:highlight w:val="none"/>
        </w:rPr>
        <w:t>投标人须知</w:t>
      </w:r>
      <w:r>
        <w:rPr>
          <w:highlight w:val="none"/>
        </w:rPr>
        <w:tab/>
      </w:r>
      <w:r>
        <w:rPr>
          <w:highlight w:val="none"/>
        </w:rPr>
        <w:fldChar w:fldCharType="begin"/>
      </w:r>
      <w:r>
        <w:rPr>
          <w:highlight w:val="none"/>
        </w:rPr>
        <w:instrText xml:space="preserve"> PAGEREF _Toc4967 \h </w:instrText>
      </w:r>
      <w:r>
        <w:rPr>
          <w:highlight w:val="none"/>
        </w:rPr>
        <w:fldChar w:fldCharType="separate"/>
      </w:r>
      <w:r>
        <w:rPr>
          <w:highlight w:val="none"/>
        </w:rPr>
        <w:t>5</w:t>
      </w:r>
      <w:r>
        <w:rPr>
          <w:highlight w:val="none"/>
        </w:rPr>
        <w:fldChar w:fldCharType="end"/>
      </w:r>
      <w:r>
        <w:rPr>
          <w:rFonts w:hint="eastAsia" w:ascii="宋体" w:hAnsi="宋体" w:eastAsia="宋体" w:cs="宋体"/>
          <w:color w:val="auto"/>
          <w:highlight w:val="none"/>
        </w:rPr>
        <w:fldChar w:fldCharType="end"/>
      </w:r>
    </w:p>
    <w:p w14:paraId="3BD0483E">
      <w:pPr>
        <w:pStyle w:val="42"/>
        <w:tabs>
          <w:tab w:val="right" w:leader="dot" w:pos="9746"/>
        </w:tabs>
        <w:rPr>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_Toc19866 </w:instrText>
      </w:r>
      <w:r>
        <w:rPr>
          <w:rFonts w:hint="eastAsia" w:ascii="宋体" w:hAnsi="宋体" w:eastAsia="宋体" w:cs="宋体"/>
          <w:highlight w:val="none"/>
        </w:rPr>
        <w:fldChar w:fldCharType="separate"/>
      </w:r>
      <w:r>
        <w:rPr>
          <w:rFonts w:hAnsi="黑体"/>
          <w:szCs w:val="44"/>
          <w:highlight w:val="none"/>
        </w:rPr>
        <w:t>第三章</w:t>
      </w:r>
      <w:r>
        <w:rPr>
          <w:rFonts w:hint="eastAsia" w:hAnsi="黑体"/>
          <w:szCs w:val="44"/>
          <w:highlight w:val="none"/>
        </w:rPr>
        <w:t xml:space="preserve"> </w:t>
      </w:r>
      <w:r>
        <w:rPr>
          <w:rFonts w:hAnsi="黑体"/>
          <w:szCs w:val="44"/>
          <w:highlight w:val="none"/>
        </w:rPr>
        <w:t>评标办法</w:t>
      </w:r>
      <w:r>
        <w:rPr>
          <w:rFonts w:hint="eastAsia" w:hAnsi="黑体"/>
          <w:szCs w:val="44"/>
          <w:highlight w:val="none"/>
        </w:rPr>
        <w:t>（综合评估法）</w:t>
      </w:r>
      <w:r>
        <w:rPr>
          <w:highlight w:val="none"/>
        </w:rPr>
        <w:tab/>
      </w:r>
      <w:r>
        <w:rPr>
          <w:highlight w:val="none"/>
        </w:rPr>
        <w:fldChar w:fldCharType="begin"/>
      </w:r>
      <w:r>
        <w:rPr>
          <w:highlight w:val="none"/>
        </w:rPr>
        <w:instrText xml:space="preserve"> PAGEREF _Toc19866 \h </w:instrText>
      </w:r>
      <w:r>
        <w:rPr>
          <w:highlight w:val="none"/>
        </w:rPr>
        <w:fldChar w:fldCharType="separate"/>
      </w:r>
      <w:r>
        <w:rPr>
          <w:highlight w:val="none"/>
        </w:rPr>
        <w:t>23</w:t>
      </w:r>
      <w:r>
        <w:rPr>
          <w:highlight w:val="none"/>
        </w:rPr>
        <w:fldChar w:fldCharType="end"/>
      </w:r>
      <w:r>
        <w:rPr>
          <w:rFonts w:hint="eastAsia" w:ascii="宋体" w:hAnsi="宋体" w:eastAsia="宋体" w:cs="宋体"/>
          <w:color w:val="auto"/>
          <w:highlight w:val="none"/>
        </w:rPr>
        <w:fldChar w:fldCharType="end"/>
      </w:r>
    </w:p>
    <w:p w14:paraId="187B33CF">
      <w:pPr>
        <w:pStyle w:val="42"/>
        <w:tabs>
          <w:tab w:val="right" w:leader="dot" w:pos="9746"/>
        </w:tabs>
        <w:rPr>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_Toc20812 </w:instrText>
      </w:r>
      <w:r>
        <w:rPr>
          <w:rFonts w:hint="eastAsia" w:ascii="宋体" w:hAnsi="宋体" w:eastAsia="宋体" w:cs="宋体"/>
          <w:highlight w:val="none"/>
        </w:rPr>
        <w:fldChar w:fldCharType="separate"/>
      </w:r>
      <w:r>
        <w:rPr>
          <w:rFonts w:hAnsi="黑体"/>
          <w:szCs w:val="44"/>
          <w:highlight w:val="none"/>
        </w:rPr>
        <w:t>第四章</w:t>
      </w:r>
      <w:r>
        <w:rPr>
          <w:rFonts w:hint="eastAsia" w:hAnsi="黑体"/>
          <w:szCs w:val="44"/>
          <w:highlight w:val="none"/>
        </w:rPr>
        <w:t xml:space="preserve"> </w:t>
      </w:r>
      <w:r>
        <w:rPr>
          <w:rFonts w:hAnsi="黑体"/>
          <w:szCs w:val="44"/>
          <w:highlight w:val="none"/>
        </w:rPr>
        <w:t>合同条款及格式</w:t>
      </w:r>
      <w:r>
        <w:rPr>
          <w:highlight w:val="none"/>
        </w:rPr>
        <w:tab/>
      </w:r>
      <w:r>
        <w:rPr>
          <w:highlight w:val="none"/>
        </w:rPr>
        <w:fldChar w:fldCharType="begin"/>
      </w:r>
      <w:r>
        <w:rPr>
          <w:highlight w:val="none"/>
        </w:rPr>
        <w:instrText xml:space="preserve"> PAGEREF _Toc20812 \h </w:instrText>
      </w:r>
      <w:r>
        <w:rPr>
          <w:highlight w:val="none"/>
        </w:rPr>
        <w:fldChar w:fldCharType="separate"/>
      </w:r>
      <w:r>
        <w:rPr>
          <w:highlight w:val="none"/>
        </w:rPr>
        <w:t>40</w:t>
      </w:r>
      <w:r>
        <w:rPr>
          <w:highlight w:val="none"/>
        </w:rPr>
        <w:fldChar w:fldCharType="end"/>
      </w:r>
      <w:r>
        <w:rPr>
          <w:rFonts w:hint="eastAsia" w:ascii="宋体" w:hAnsi="宋体" w:eastAsia="宋体" w:cs="宋体"/>
          <w:color w:val="auto"/>
          <w:highlight w:val="none"/>
        </w:rPr>
        <w:fldChar w:fldCharType="end"/>
      </w:r>
    </w:p>
    <w:p w14:paraId="770CE8BC">
      <w:pPr>
        <w:pStyle w:val="42"/>
        <w:tabs>
          <w:tab w:val="right" w:leader="dot" w:pos="9746"/>
        </w:tabs>
        <w:rPr>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_Toc20358 </w:instrText>
      </w:r>
      <w:r>
        <w:rPr>
          <w:rFonts w:hint="eastAsia" w:ascii="宋体" w:hAnsi="宋体" w:eastAsia="宋体" w:cs="宋体"/>
          <w:highlight w:val="none"/>
        </w:rPr>
        <w:fldChar w:fldCharType="separate"/>
      </w:r>
      <w:r>
        <w:rPr>
          <w:rFonts w:hint="eastAsia" w:hAnsi="黑体" w:cs="Times New Roman"/>
          <w:szCs w:val="44"/>
          <w:highlight w:val="none"/>
          <w:lang w:val="en-US" w:eastAsia="zh-CN"/>
        </w:rPr>
        <w:t>第五章 用户需求书</w:t>
      </w:r>
      <w:r>
        <w:rPr>
          <w:highlight w:val="none"/>
        </w:rPr>
        <w:tab/>
      </w:r>
      <w:r>
        <w:rPr>
          <w:highlight w:val="none"/>
        </w:rPr>
        <w:fldChar w:fldCharType="begin"/>
      </w:r>
      <w:r>
        <w:rPr>
          <w:highlight w:val="none"/>
        </w:rPr>
        <w:instrText xml:space="preserve"> PAGEREF _Toc20358 \h </w:instrText>
      </w:r>
      <w:r>
        <w:rPr>
          <w:highlight w:val="none"/>
        </w:rPr>
        <w:fldChar w:fldCharType="separate"/>
      </w:r>
      <w:r>
        <w:rPr>
          <w:highlight w:val="none"/>
        </w:rPr>
        <w:t>78</w:t>
      </w:r>
      <w:r>
        <w:rPr>
          <w:highlight w:val="none"/>
        </w:rPr>
        <w:fldChar w:fldCharType="end"/>
      </w:r>
      <w:r>
        <w:rPr>
          <w:rFonts w:hint="eastAsia" w:ascii="宋体" w:hAnsi="宋体" w:eastAsia="宋体" w:cs="宋体"/>
          <w:color w:val="auto"/>
          <w:highlight w:val="none"/>
        </w:rPr>
        <w:fldChar w:fldCharType="end"/>
      </w:r>
    </w:p>
    <w:p w14:paraId="4E1288CB">
      <w:pPr>
        <w:pStyle w:val="42"/>
        <w:tabs>
          <w:tab w:val="right" w:leader="dot" w:pos="9746"/>
        </w:tabs>
        <w:rPr>
          <w:highlight w:val="none"/>
        </w:rPr>
      </w:pPr>
      <w:r>
        <w:rPr>
          <w:rFonts w:hint="eastAsia" w:ascii="宋体" w:hAnsi="宋体" w:eastAsia="宋体" w:cs="宋体"/>
          <w:color w:val="auto"/>
          <w:highlight w:val="none"/>
        </w:rPr>
        <w:fldChar w:fldCharType="begin"/>
      </w:r>
      <w:r>
        <w:rPr>
          <w:rFonts w:hint="eastAsia" w:ascii="宋体" w:hAnsi="宋体" w:eastAsia="宋体" w:cs="宋体"/>
          <w:highlight w:val="none"/>
        </w:rPr>
        <w:instrText xml:space="preserve"> HYPERLINK \l _Toc6230 </w:instrText>
      </w:r>
      <w:r>
        <w:rPr>
          <w:rFonts w:hint="eastAsia" w:ascii="宋体" w:hAnsi="宋体" w:eastAsia="宋体" w:cs="宋体"/>
          <w:highlight w:val="none"/>
        </w:rPr>
        <w:fldChar w:fldCharType="separate"/>
      </w:r>
      <w:r>
        <w:rPr>
          <w:rFonts w:hAnsi="黑体"/>
          <w:szCs w:val="44"/>
          <w:highlight w:val="none"/>
        </w:rPr>
        <w:t>第六章</w:t>
      </w:r>
      <w:r>
        <w:rPr>
          <w:rFonts w:hint="eastAsia" w:hAnsi="黑体"/>
          <w:szCs w:val="44"/>
          <w:highlight w:val="none"/>
        </w:rPr>
        <w:t xml:space="preserve"> </w:t>
      </w:r>
      <w:r>
        <w:rPr>
          <w:rFonts w:hAnsi="黑体"/>
          <w:szCs w:val="44"/>
          <w:highlight w:val="none"/>
        </w:rPr>
        <w:t>投标文件格式</w:t>
      </w:r>
      <w:r>
        <w:rPr>
          <w:highlight w:val="none"/>
        </w:rPr>
        <w:tab/>
      </w:r>
      <w:r>
        <w:rPr>
          <w:highlight w:val="none"/>
        </w:rPr>
        <w:fldChar w:fldCharType="begin"/>
      </w:r>
      <w:r>
        <w:rPr>
          <w:highlight w:val="none"/>
        </w:rPr>
        <w:instrText xml:space="preserve"> PAGEREF _Toc6230 \h </w:instrText>
      </w:r>
      <w:r>
        <w:rPr>
          <w:highlight w:val="none"/>
        </w:rPr>
        <w:fldChar w:fldCharType="separate"/>
      </w:r>
      <w:r>
        <w:rPr>
          <w:highlight w:val="none"/>
        </w:rPr>
        <w:t>103</w:t>
      </w:r>
      <w:r>
        <w:rPr>
          <w:highlight w:val="none"/>
        </w:rPr>
        <w:fldChar w:fldCharType="end"/>
      </w:r>
      <w:r>
        <w:rPr>
          <w:rFonts w:hint="eastAsia" w:ascii="宋体" w:hAnsi="宋体" w:eastAsia="宋体" w:cs="宋体"/>
          <w:color w:val="auto"/>
          <w:highlight w:val="none"/>
        </w:rPr>
        <w:fldChar w:fldCharType="end"/>
      </w:r>
    </w:p>
    <w:p w14:paraId="223A07AC">
      <w:pPr>
        <w:pStyle w:val="42"/>
        <w:tabs>
          <w:tab w:val="right" w:leader="dot" w:pos="9746"/>
        </w:tabs>
        <w:rPr>
          <w:highlight w:val="none"/>
        </w:rPr>
      </w:pPr>
    </w:p>
    <w:p w14:paraId="3606C457">
      <w:pPr>
        <w:rPr>
          <w:color w:val="auto"/>
          <w:highlight w:val="none"/>
        </w:rPr>
      </w:pPr>
      <w:r>
        <w:rPr>
          <w:rFonts w:hint="eastAsia" w:ascii="宋体" w:hAnsi="宋体" w:eastAsia="宋体" w:cs="宋体"/>
          <w:color w:val="auto"/>
          <w:highlight w:val="none"/>
        </w:rPr>
        <w:fldChar w:fldCharType="end"/>
      </w:r>
    </w:p>
    <w:p w14:paraId="5CB8C617">
      <w:pPr>
        <w:pStyle w:val="3"/>
        <w:wordWrap w:val="0"/>
        <w:adjustRightInd w:val="0"/>
        <w:snapToGrid w:val="0"/>
        <w:spacing w:after="157" w:afterLines="50" w:line="360" w:lineRule="auto"/>
        <w:ind w:left="0" w:leftChars="0" w:right="0" w:rightChars="0" w:firstLine="0" w:firstLineChars="0"/>
        <w:jc w:val="center"/>
        <w:rPr>
          <w:rFonts w:hAnsi="黑体"/>
          <w:color w:val="auto"/>
          <w:sz w:val="44"/>
          <w:szCs w:val="44"/>
          <w:highlight w:val="none"/>
        </w:rPr>
        <w:sectPr>
          <w:headerReference r:id="rId3"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bookmarkStart w:id="1" w:name="_Toc13452"/>
      <w:bookmarkStart w:id="2" w:name="_Toc18068"/>
    </w:p>
    <w:p w14:paraId="0DB1AFC2">
      <w:pPr>
        <w:pStyle w:val="3"/>
        <w:wordWrap w:val="0"/>
        <w:adjustRightInd w:val="0"/>
        <w:snapToGrid w:val="0"/>
        <w:spacing w:after="157" w:afterLines="50" w:line="360" w:lineRule="auto"/>
        <w:ind w:left="0" w:leftChars="0" w:right="0" w:rightChars="0" w:firstLine="0" w:firstLineChars="0"/>
        <w:jc w:val="center"/>
        <w:rPr>
          <w:rFonts w:hAnsi="黑体"/>
          <w:color w:val="auto"/>
          <w:sz w:val="44"/>
          <w:szCs w:val="44"/>
          <w:highlight w:val="none"/>
        </w:rPr>
      </w:pPr>
      <w:bookmarkStart w:id="3" w:name="_Toc19558"/>
      <w:r>
        <w:rPr>
          <w:rFonts w:hAnsi="黑体"/>
          <w:color w:val="auto"/>
          <w:sz w:val="44"/>
          <w:szCs w:val="44"/>
          <w:highlight w:val="none"/>
        </w:rPr>
        <w:t>第一章</w:t>
      </w:r>
      <w:r>
        <w:rPr>
          <w:rFonts w:hint="eastAsia" w:hAnsi="黑体"/>
          <w:color w:val="auto"/>
          <w:sz w:val="44"/>
          <w:szCs w:val="44"/>
          <w:highlight w:val="none"/>
        </w:rPr>
        <w:t xml:space="preserve"> </w:t>
      </w:r>
      <w:r>
        <w:rPr>
          <w:rFonts w:hAnsi="黑体"/>
          <w:color w:val="auto"/>
          <w:sz w:val="44"/>
          <w:szCs w:val="44"/>
          <w:highlight w:val="none"/>
        </w:rPr>
        <w:t>招标公告</w:t>
      </w:r>
      <w:bookmarkEnd w:id="1"/>
      <w:bookmarkEnd w:id="2"/>
      <w:bookmarkEnd w:id="3"/>
    </w:p>
    <w:p w14:paraId="066FC61B">
      <w:pPr>
        <w:wordWrap w:val="0"/>
        <w:spacing w:before="0" w:beforeLines="0" w:after="0" w:afterLines="0" w:line="360" w:lineRule="auto"/>
        <w:ind w:left="221" w:right="340" w:firstLine="204" w:firstLineChars="97"/>
        <w:jc w:val="left"/>
        <w:outlineLvl w:val="9"/>
        <w:rPr>
          <w:rFonts w:ascii="宋体" w:hAnsi="宋体" w:cs="宋体"/>
          <w:b/>
          <w:snapToGrid w:val="0"/>
          <w:color w:val="auto"/>
          <w:kern w:val="0"/>
          <w:szCs w:val="21"/>
          <w:highlight w:val="none"/>
        </w:rPr>
      </w:pPr>
      <w:r>
        <w:rPr>
          <w:rFonts w:hint="eastAsia" w:ascii="宋体" w:hAnsi="宋体" w:cs="宋体"/>
          <w:b/>
          <w:snapToGrid w:val="0"/>
          <w:color w:val="auto"/>
          <w:kern w:val="0"/>
          <w:szCs w:val="21"/>
          <w:highlight w:val="none"/>
        </w:rPr>
        <w:t>1.招标条件</w:t>
      </w:r>
    </w:p>
    <w:p w14:paraId="3E5591B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本招标项目为2026-2028年员工食堂劳务外包、物资供应项目，招标编号为CSSC-2025-10，招标人为长沙穗城轨道交通有限公司，招标项目资金来源已落实。该项目已具备招标条件，现进行公开招标。</w:t>
      </w:r>
    </w:p>
    <w:p w14:paraId="3398360C">
      <w:pPr>
        <w:wordWrap w:val="0"/>
        <w:spacing w:before="0" w:beforeLines="0" w:after="0" w:afterLines="0" w:line="360" w:lineRule="auto"/>
        <w:ind w:left="221" w:right="340" w:firstLine="204" w:firstLineChars="97"/>
        <w:jc w:val="left"/>
        <w:outlineLvl w:val="9"/>
        <w:rPr>
          <w:rFonts w:ascii="宋体" w:hAnsi="宋体" w:cs="宋体"/>
          <w:b/>
          <w:snapToGrid w:val="0"/>
          <w:color w:val="auto"/>
          <w:kern w:val="0"/>
          <w:szCs w:val="21"/>
          <w:highlight w:val="none"/>
        </w:rPr>
      </w:pPr>
      <w:r>
        <w:rPr>
          <w:rFonts w:hint="eastAsia" w:ascii="宋体" w:hAnsi="宋体" w:cs="宋体"/>
          <w:b/>
          <w:snapToGrid w:val="0"/>
          <w:color w:val="auto"/>
          <w:kern w:val="0"/>
          <w:szCs w:val="21"/>
          <w:highlight w:val="none"/>
        </w:rPr>
        <w:t>2.项目概况与招标范围</w:t>
      </w:r>
    </w:p>
    <w:p w14:paraId="2D78CC4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2.1项目名称:2026-2028年员工食堂劳务外包、物资供应项目</w:t>
      </w:r>
    </w:p>
    <w:p w14:paraId="44FE30D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2.2项目类型：标段一为服务类；标段二、三为货物类。</w:t>
      </w:r>
    </w:p>
    <w:p w14:paraId="6B492E4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2.3招标编号：CSSC-2025-10</w:t>
      </w:r>
    </w:p>
    <w:p w14:paraId="5B99E6B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2.4最高投标限价（含税）：</w:t>
      </w:r>
    </w:p>
    <w:p w14:paraId="46263A1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一标段：人民币6410000.00元；投标报价采用总价报价方式，评审报价统一按“含税总报价”进行评审，超过最高投标限价的投标报价为无效报价。</w:t>
      </w:r>
    </w:p>
    <w:p w14:paraId="4B1E53B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二标段：优惠率不少于5%；投标报价采用优惠率报价方式，评审报价统一按“1-优惠率”进行评审，未满足优惠率要求的投标报价为无效报价。</w:t>
      </w:r>
    </w:p>
    <w:p w14:paraId="0E27637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eastAsia="zh-CN"/>
        </w:rPr>
        <w:t>三标段：</w:t>
      </w:r>
      <w:r>
        <w:rPr>
          <w:rFonts w:hint="eastAsia" w:ascii="宋体" w:hAnsi="宋体" w:eastAsia="宋体" w:cs="宋体"/>
          <w:snapToGrid w:val="0"/>
          <w:color w:val="auto"/>
          <w:kern w:val="0"/>
          <w:szCs w:val="21"/>
          <w:highlight w:val="none"/>
          <w:lang w:val="en-US" w:eastAsia="zh-CN"/>
        </w:rPr>
        <w:t>优惠率不少于5%</w:t>
      </w:r>
      <w:r>
        <w:rPr>
          <w:rFonts w:hint="eastAsia" w:ascii="宋体" w:hAnsi="宋体" w:eastAsia="宋体" w:cs="宋体"/>
          <w:snapToGrid w:val="0"/>
          <w:color w:val="auto"/>
          <w:kern w:val="0"/>
          <w:szCs w:val="21"/>
          <w:highlight w:val="none"/>
          <w:lang w:eastAsia="zh-CN"/>
        </w:rPr>
        <w:t>；投标报价采用优惠率报价方式，</w:t>
      </w:r>
      <w:r>
        <w:rPr>
          <w:rFonts w:hint="eastAsia" w:ascii="宋体" w:hAnsi="宋体" w:eastAsia="宋体" w:cs="宋体"/>
          <w:snapToGrid w:val="0"/>
          <w:color w:val="auto"/>
          <w:kern w:val="0"/>
          <w:szCs w:val="21"/>
          <w:highlight w:val="none"/>
          <w:lang w:val="en-US" w:eastAsia="zh-CN"/>
        </w:rPr>
        <w:t>评审报价统一按“1-优惠率”进行评审，未满足优惠率要求的投标报价为无效报价。</w:t>
      </w:r>
    </w:p>
    <w:p w14:paraId="1D9E2D7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2.5项目实施地点：长沙市长沙县东五路与大元路交叉口东南220米（黄梨路车辆段食堂）、长沙市望城区泉水路600号（梧桐路停车场食堂）。</w:t>
      </w:r>
    </w:p>
    <w:p w14:paraId="1620C43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2.6暂定合同金额(含税)：</w:t>
      </w:r>
    </w:p>
    <w:p w14:paraId="714BF77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default" w:ascii="宋体" w:hAnsi="宋体" w:eastAsia="宋体" w:cs="宋体"/>
          <w:snapToGrid w:val="0"/>
          <w:color w:val="auto"/>
          <w:kern w:val="0"/>
          <w:szCs w:val="21"/>
          <w:highlight w:val="none"/>
          <w:lang w:val="en-US" w:eastAsia="zh-CN"/>
        </w:rPr>
      </w:pPr>
      <w:r>
        <w:rPr>
          <w:rFonts w:hint="default" w:ascii="宋体" w:hAnsi="宋体" w:eastAsia="宋体" w:cs="宋体"/>
          <w:snapToGrid w:val="0"/>
          <w:color w:val="auto"/>
          <w:kern w:val="0"/>
          <w:szCs w:val="21"/>
          <w:highlight w:val="none"/>
          <w:lang w:val="en-US" w:eastAsia="zh-CN"/>
        </w:rPr>
        <w:t>二标段:人民币</w:t>
      </w:r>
      <w:r>
        <w:rPr>
          <w:rFonts w:hint="eastAsia" w:ascii="宋体" w:hAnsi="宋体" w:eastAsia="宋体" w:cs="宋体"/>
          <w:snapToGrid w:val="0"/>
          <w:color w:val="auto"/>
          <w:kern w:val="0"/>
          <w:szCs w:val="21"/>
          <w:highlight w:val="none"/>
          <w:lang w:val="en-US" w:eastAsia="zh-CN"/>
        </w:rPr>
        <w:t>13059400.00</w:t>
      </w:r>
      <w:r>
        <w:rPr>
          <w:rFonts w:hint="default" w:ascii="宋体" w:hAnsi="宋体" w:eastAsia="宋体" w:cs="宋体"/>
          <w:snapToGrid w:val="0"/>
          <w:color w:val="auto"/>
          <w:kern w:val="0"/>
          <w:szCs w:val="21"/>
          <w:highlight w:val="none"/>
          <w:lang w:val="en-US" w:eastAsia="zh-CN"/>
        </w:rPr>
        <w:t>元，项目结算按照物资供应情况结合中标优惠率据实结算。</w:t>
      </w:r>
    </w:p>
    <w:p w14:paraId="43ED39C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default" w:ascii="宋体" w:hAnsi="宋体" w:eastAsia="宋体" w:cs="宋体"/>
          <w:snapToGrid w:val="0"/>
          <w:color w:val="auto"/>
          <w:kern w:val="0"/>
          <w:szCs w:val="21"/>
          <w:highlight w:val="none"/>
          <w:lang w:val="en-US" w:eastAsia="zh-CN"/>
        </w:rPr>
      </w:pPr>
      <w:r>
        <w:rPr>
          <w:rFonts w:hint="default" w:ascii="宋体" w:hAnsi="宋体" w:eastAsia="宋体" w:cs="宋体"/>
          <w:snapToGrid w:val="0"/>
          <w:color w:val="auto"/>
          <w:kern w:val="0"/>
          <w:szCs w:val="21"/>
          <w:highlight w:val="none"/>
          <w:lang w:val="en-US" w:eastAsia="zh-CN"/>
        </w:rPr>
        <w:t>三标段:人民币</w:t>
      </w:r>
      <w:r>
        <w:rPr>
          <w:rFonts w:hint="eastAsia" w:ascii="宋体" w:hAnsi="宋体" w:eastAsia="宋体" w:cs="宋体"/>
          <w:snapToGrid w:val="0"/>
          <w:color w:val="auto"/>
          <w:kern w:val="0"/>
          <w:szCs w:val="21"/>
          <w:highlight w:val="none"/>
          <w:lang w:val="en-US" w:eastAsia="zh-CN"/>
        </w:rPr>
        <w:t>8733700</w:t>
      </w:r>
      <w:r>
        <w:rPr>
          <w:rFonts w:hint="default" w:ascii="宋体" w:hAnsi="宋体" w:eastAsia="宋体" w:cs="宋体"/>
          <w:snapToGrid w:val="0"/>
          <w:color w:val="auto"/>
          <w:kern w:val="0"/>
          <w:szCs w:val="21"/>
          <w:highlight w:val="none"/>
          <w:lang w:val="en-US" w:eastAsia="zh-CN"/>
        </w:rPr>
        <w:t>.00元，项目结算按照物资供应情况结合中标优惠率据实结算。</w:t>
      </w:r>
    </w:p>
    <w:p w14:paraId="1F1A3F9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2.7标段划分：3个标段；一标段：食堂劳务外包；二标段：食堂物资供应（干货商品类）；三标段：食堂物资供应（生鲜类）。</w:t>
      </w:r>
    </w:p>
    <w:p w14:paraId="68A82FE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default" w:ascii="宋体" w:hAnsi="宋体" w:eastAsia="宋体" w:cs="宋体"/>
          <w:snapToGrid w:val="0"/>
          <w:color w:val="auto"/>
          <w:kern w:val="0"/>
          <w:szCs w:val="21"/>
          <w:highlight w:val="none"/>
          <w:lang w:val="en-US" w:eastAsia="zh-CN"/>
        </w:rPr>
      </w:pPr>
      <w:r>
        <w:rPr>
          <w:rFonts w:hint="default" w:ascii="宋体" w:hAnsi="宋体" w:eastAsia="宋体" w:cs="宋体"/>
          <w:snapToGrid w:val="0"/>
          <w:color w:val="auto"/>
          <w:kern w:val="0"/>
          <w:szCs w:val="21"/>
          <w:highlight w:val="none"/>
          <w:lang w:val="en-US" w:eastAsia="zh-CN"/>
        </w:rPr>
        <w:t>2.</w:t>
      </w:r>
      <w:r>
        <w:rPr>
          <w:rFonts w:hint="eastAsia" w:ascii="宋体" w:hAnsi="宋体" w:eastAsia="宋体" w:cs="宋体"/>
          <w:snapToGrid w:val="0"/>
          <w:color w:val="auto"/>
          <w:kern w:val="0"/>
          <w:szCs w:val="21"/>
          <w:highlight w:val="none"/>
          <w:lang w:val="en-US" w:eastAsia="zh-CN"/>
        </w:rPr>
        <w:t>8</w:t>
      </w:r>
      <w:r>
        <w:rPr>
          <w:rFonts w:hint="default" w:ascii="宋体" w:hAnsi="宋体" w:eastAsia="宋体" w:cs="宋体"/>
          <w:snapToGrid w:val="0"/>
          <w:color w:val="auto"/>
          <w:kern w:val="0"/>
          <w:szCs w:val="21"/>
          <w:highlight w:val="none"/>
          <w:lang w:val="en-US" w:eastAsia="zh-CN"/>
        </w:rPr>
        <w:t>中标原则：一标段与二、三标段兼投不兼中，如一标段与二、三标段第一中标候选人为同一单位，则优先选择二、三标段中标，一标段中标单位则为该标段第二中标候选人；二、三标段可兼投兼中。</w:t>
      </w:r>
    </w:p>
    <w:p w14:paraId="2A867C5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default" w:ascii="宋体" w:hAnsi="宋体" w:eastAsia="宋体" w:cs="宋体"/>
          <w:snapToGrid w:val="0"/>
          <w:color w:val="auto"/>
          <w:kern w:val="0"/>
          <w:szCs w:val="21"/>
          <w:highlight w:val="none"/>
          <w:lang w:val="en-US" w:eastAsia="zh-CN"/>
        </w:rPr>
      </w:pPr>
      <w:r>
        <w:rPr>
          <w:rFonts w:hint="default" w:ascii="宋体" w:hAnsi="宋体" w:eastAsia="宋体" w:cs="宋体"/>
          <w:snapToGrid w:val="0"/>
          <w:color w:val="auto"/>
          <w:kern w:val="0"/>
          <w:szCs w:val="21"/>
          <w:highlight w:val="none"/>
          <w:lang w:val="en-US" w:eastAsia="zh-CN"/>
        </w:rPr>
        <w:t>2.</w:t>
      </w:r>
      <w:r>
        <w:rPr>
          <w:rFonts w:hint="eastAsia" w:ascii="宋体" w:hAnsi="宋体" w:eastAsia="宋体" w:cs="宋体"/>
          <w:snapToGrid w:val="0"/>
          <w:color w:val="auto"/>
          <w:kern w:val="0"/>
          <w:szCs w:val="21"/>
          <w:highlight w:val="none"/>
          <w:lang w:val="en-US" w:eastAsia="zh-CN"/>
        </w:rPr>
        <w:t>8</w:t>
      </w:r>
      <w:r>
        <w:rPr>
          <w:rFonts w:hint="default" w:ascii="宋体" w:hAnsi="宋体" w:eastAsia="宋体" w:cs="宋体"/>
          <w:snapToGrid w:val="0"/>
          <w:color w:val="auto"/>
          <w:kern w:val="0"/>
          <w:szCs w:val="21"/>
          <w:highlight w:val="none"/>
          <w:lang w:val="en-US" w:eastAsia="zh-CN"/>
        </w:rPr>
        <w:t>.1如一标段与二标段第一中标候选人为同一单位，则该投标人被招标人确定为二标段的中标人，并放弃一标段的中标资格；如一标段与三标段第一中标候选人为同一单位，则该投标人被招标人确定为三标段的中标人，并放弃一标段的中标资格；如一标段与二、三标段第一中标候选人为同一单位，则该投标人被招标人确定为二、三标段的中标人，并放弃一标段的中标资格。</w:t>
      </w:r>
    </w:p>
    <w:p w14:paraId="58F069B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default" w:ascii="宋体" w:hAnsi="宋体" w:eastAsia="宋体" w:cs="宋体"/>
          <w:snapToGrid w:val="0"/>
          <w:color w:val="auto"/>
          <w:kern w:val="0"/>
          <w:szCs w:val="21"/>
          <w:highlight w:val="none"/>
          <w:lang w:val="en-US" w:eastAsia="zh-CN"/>
        </w:rPr>
      </w:pPr>
      <w:r>
        <w:rPr>
          <w:rFonts w:hint="default" w:ascii="宋体" w:hAnsi="宋体" w:eastAsia="宋体" w:cs="宋体"/>
          <w:snapToGrid w:val="0"/>
          <w:color w:val="auto"/>
          <w:kern w:val="0"/>
          <w:szCs w:val="21"/>
          <w:highlight w:val="none"/>
          <w:lang w:val="en-US" w:eastAsia="zh-CN"/>
        </w:rPr>
        <w:t>2.</w:t>
      </w:r>
      <w:r>
        <w:rPr>
          <w:rFonts w:hint="eastAsia" w:ascii="宋体" w:hAnsi="宋体" w:eastAsia="宋体" w:cs="宋体"/>
          <w:snapToGrid w:val="0"/>
          <w:color w:val="auto"/>
          <w:kern w:val="0"/>
          <w:szCs w:val="21"/>
          <w:highlight w:val="none"/>
          <w:lang w:val="en-US" w:eastAsia="zh-CN"/>
        </w:rPr>
        <w:t>8</w:t>
      </w:r>
      <w:r>
        <w:rPr>
          <w:rFonts w:hint="default" w:ascii="宋体" w:hAnsi="宋体" w:eastAsia="宋体" w:cs="宋体"/>
          <w:snapToGrid w:val="0"/>
          <w:color w:val="auto"/>
          <w:kern w:val="0"/>
          <w:szCs w:val="21"/>
          <w:highlight w:val="none"/>
          <w:lang w:val="en-US" w:eastAsia="zh-CN"/>
        </w:rPr>
        <w:t>.2被放弃标段的中标资格，将由该标段剩余中标候选人内排名最高的中标候选人替补。</w:t>
      </w:r>
    </w:p>
    <w:p w14:paraId="364FC98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default" w:ascii="宋体" w:hAnsi="宋体" w:eastAsia="宋体" w:cs="宋体"/>
          <w:snapToGrid w:val="0"/>
          <w:color w:val="auto"/>
          <w:kern w:val="0"/>
          <w:szCs w:val="21"/>
          <w:highlight w:val="none"/>
          <w:lang w:val="en-US" w:eastAsia="zh-CN"/>
        </w:rPr>
      </w:pPr>
      <w:r>
        <w:rPr>
          <w:rFonts w:hint="default" w:ascii="宋体" w:hAnsi="宋体" w:eastAsia="宋体" w:cs="宋体"/>
          <w:snapToGrid w:val="0"/>
          <w:color w:val="auto"/>
          <w:kern w:val="0"/>
          <w:szCs w:val="21"/>
          <w:highlight w:val="none"/>
          <w:lang w:val="en-US" w:eastAsia="zh-CN"/>
        </w:rPr>
        <w:t>2.</w:t>
      </w:r>
      <w:r>
        <w:rPr>
          <w:rFonts w:hint="eastAsia" w:ascii="宋体" w:hAnsi="宋体" w:eastAsia="宋体" w:cs="宋体"/>
          <w:snapToGrid w:val="0"/>
          <w:color w:val="auto"/>
          <w:kern w:val="0"/>
          <w:szCs w:val="21"/>
          <w:highlight w:val="none"/>
          <w:lang w:val="en-US" w:eastAsia="zh-CN"/>
        </w:rPr>
        <w:t>8</w:t>
      </w:r>
      <w:r>
        <w:rPr>
          <w:rFonts w:hint="default" w:ascii="宋体" w:hAnsi="宋体" w:eastAsia="宋体" w:cs="宋体"/>
          <w:snapToGrid w:val="0"/>
          <w:color w:val="auto"/>
          <w:kern w:val="0"/>
          <w:szCs w:val="21"/>
          <w:highlight w:val="none"/>
          <w:lang w:val="en-US" w:eastAsia="zh-CN"/>
        </w:rPr>
        <w:t>.3对于存在替补中标情形的标段，替补中标人的中标价格为其自身的投标报价。</w:t>
      </w:r>
    </w:p>
    <w:p w14:paraId="114E40D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2.9服务期限：36个月，实际服务时间以乙方接到甲方发出开工通知书并正式进场服务开始计算。</w:t>
      </w:r>
    </w:p>
    <w:p w14:paraId="4F475DC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2.10招标范围：</w:t>
      </w:r>
    </w:p>
    <w:p w14:paraId="5C3936D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2.10.1</w:t>
      </w:r>
      <w:r>
        <w:rPr>
          <w:rFonts w:hint="eastAsia" w:ascii="宋体" w:hAnsi="宋体" w:cs="宋体"/>
          <w:color w:val="auto"/>
          <w:szCs w:val="21"/>
          <w:highlight w:val="none"/>
          <w:lang w:val="en-US" w:eastAsia="zh-CN"/>
        </w:rPr>
        <w:t>一标段：</w:t>
      </w:r>
      <w:r>
        <w:rPr>
          <w:rFonts w:hint="eastAsia" w:ascii="宋体" w:hAnsi="宋体" w:eastAsia="宋体" w:cs="宋体"/>
          <w:snapToGrid w:val="0"/>
          <w:color w:val="auto"/>
          <w:kern w:val="0"/>
          <w:szCs w:val="21"/>
          <w:highlight w:val="none"/>
          <w:lang w:val="en-US" w:eastAsia="zh-CN"/>
        </w:rPr>
        <w:t>由乙方餐饮劳务团队负责为甲方员工提供餐饮服务和管理，包括但不限于：五餐（早早餐、早餐、中餐、晚餐、晚晚餐，甲方可根据要求增加相关服务）、车站送餐、客餐服务和相关辅助服务（如按要求提供凉茶、绿豆汤等），节庆活动现场布置（传统节日、一年一次美食节活动相关宣传、现场布置、设备租赁等费用）、食品安全与经营场所有关保险、培训、服装、油烟系统清洗、食堂设备设施维修维护[单件耗材1000元以内（含）、油烟排放有效检测、餐厨垃圾收运、小卖部服务、以及其他服务性的工作（如遇抢险救援等特殊情况需要加班的必须服从甲方安排，确保员工用餐）。员工食堂日常经营所需食材、调味品由甲方提供。具体内容详见招标文件用户需求书。</w:t>
      </w:r>
    </w:p>
    <w:p w14:paraId="01FBE23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default"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2.10.2</w:t>
      </w:r>
      <w:r>
        <w:rPr>
          <w:rFonts w:hint="eastAsia" w:ascii="宋体" w:hAnsi="宋体" w:cs="宋体"/>
          <w:color w:val="auto"/>
          <w:szCs w:val="21"/>
          <w:highlight w:val="none"/>
          <w:lang w:val="en-US" w:eastAsia="zh-CN"/>
        </w:rPr>
        <w:t>二标段：</w:t>
      </w:r>
      <w:r>
        <w:rPr>
          <w:rFonts w:hint="eastAsia" w:ascii="宋体" w:hAnsi="宋体" w:eastAsia="宋体" w:cs="宋体"/>
          <w:snapToGrid w:val="0"/>
          <w:color w:val="auto"/>
          <w:kern w:val="0"/>
          <w:szCs w:val="21"/>
          <w:highlight w:val="none"/>
          <w:lang w:val="en-US" w:eastAsia="zh-CN"/>
        </w:rPr>
        <w:t>干货商品类材料包括但不限于干货类食品原材料（粮油、奶及奶制品、大豆类、调味品及其他常用干货食材等）；食堂耗材（清洁卫生用品、厨具用品、餐具用品（含一次性餐具））；辅助类商品（日用日化品、水饮、饼干、面包、剁辣椒、老干妈、泡面、食堂场所活动布置所需物料等零星物资等）；具体详见招标文件用户需求书。</w:t>
      </w:r>
    </w:p>
    <w:p w14:paraId="56572F63">
      <w:pPr>
        <w:wordWrap/>
        <w:spacing w:before="0" w:beforeLines="-2147483648" w:after="0" w:afterLines="-2147483648" w:line="440" w:lineRule="exact"/>
        <w:ind w:left="0" w:right="0" w:firstLine="420" w:firstLineChars="200"/>
        <w:jc w:val="left"/>
        <w:outlineLvl w:val="9"/>
        <w:rPr>
          <w:rFonts w:hint="eastAsia" w:ascii="宋体" w:hAnsi="宋体" w:cs="宋体"/>
          <w:b w:val="0"/>
          <w:snapToGrid/>
          <w:color w:val="auto"/>
          <w:kern w:val="2"/>
          <w:szCs w:val="21"/>
          <w:highlight w:val="none"/>
          <w:u w:val="none"/>
        </w:rPr>
      </w:pPr>
      <w:r>
        <w:rPr>
          <w:rFonts w:hint="eastAsia" w:ascii="宋体" w:hAnsi="宋体" w:eastAsia="宋体" w:cs="宋体"/>
          <w:snapToGrid/>
          <w:color w:val="auto"/>
          <w:kern w:val="2"/>
          <w:szCs w:val="21"/>
          <w:highlight w:val="none"/>
          <w:lang w:val="en-US" w:eastAsia="zh-CN"/>
        </w:rPr>
        <w:t>2.10.3</w:t>
      </w:r>
      <w:r>
        <w:rPr>
          <w:rFonts w:hint="eastAsia" w:ascii="宋体" w:hAnsi="宋体" w:cs="宋体"/>
          <w:color w:val="auto"/>
          <w:szCs w:val="21"/>
          <w:highlight w:val="none"/>
          <w:lang w:val="en-US" w:eastAsia="zh-CN"/>
        </w:rPr>
        <w:t>三标段：</w:t>
      </w:r>
      <w:r>
        <w:rPr>
          <w:rFonts w:hint="eastAsia" w:ascii="宋体" w:hAnsi="宋体" w:eastAsia="宋体" w:cs="宋体"/>
          <w:snapToGrid/>
          <w:color w:val="auto"/>
          <w:kern w:val="2"/>
          <w:szCs w:val="21"/>
          <w:highlight w:val="none"/>
          <w:lang w:val="en-US" w:eastAsia="zh-CN"/>
        </w:rPr>
        <w:t>生鲜类食品原材料包括但不限于肉类及副产品（五花肉、精腿肉、排骨、猪大骨、猪脚、牛肉、羊肉、含冻品类等）；水产类（虾米、小鱼仔、草鱼(杀)、雄鱼（杀）、黄鸭叫(杀)、鱼籽鱼泡、牛蛙(杀)、鳝鱼(杀)）；活禽类（土鸡、水鸭、肉鸡）及禽蛋类；蔬菜类（南瓜、冬瓜、茄子、丝瓜、油麦菜等蔬菜）；水果类（鲜荔枝、火龙果等水果）；豆制品（油豆腐、米豆腐、卤香干、卤香干、攸县香干、白豆腐）；粉面类（鲜米粉、鲜圆粉、鲜碱面）等；具体详见招标文件用户需求书。</w:t>
      </w:r>
    </w:p>
    <w:p w14:paraId="42D4339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3.投标人资格要求</w:t>
      </w:r>
    </w:p>
    <w:p w14:paraId="6EDEC52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3.1本次招标要求投标人须具备以下资质及业绩要求：</w:t>
      </w:r>
    </w:p>
    <w:p w14:paraId="1AEE275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3.1.1资质要求</w:t>
      </w:r>
    </w:p>
    <w:p w14:paraId="69CE8F8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（1）投标人须为具有独立法人资格的事业单位或企业单位，且营业执照（或事业单位法人证书）处于有效期内，投标人须提供营业执照副本（或事业单位法人证书）复印件并加盖投标人公章；</w:t>
      </w:r>
    </w:p>
    <w:p w14:paraId="7871FEC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（2）投标人须提供《食品经营许可证》或《食品生产许可证》且证书在有效期内；投标人须提供《食品经营许可证》或《食品生产许可证》复印件并加盖投标人公章（一标段投标人无需提供）。</w:t>
      </w:r>
    </w:p>
    <w:p w14:paraId="12FB6B7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3.1.2业绩相关要求，投标人须满足以下条件：</w:t>
      </w:r>
    </w:p>
    <w:p w14:paraId="3CD0822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一标段：投标人在投标文件截止之日前36个月内承担过不少于100万元/年的餐饮服务项目业绩。</w:t>
      </w:r>
    </w:p>
    <w:p w14:paraId="3F360AC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二标段：投标人在投标文件截止之日前36个月内承担过不少于210万元/年的干货商品类供货项目业绩。</w:t>
      </w:r>
    </w:p>
    <w:p w14:paraId="0A84C4C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三标段：投标人在投标文件截止之日前36个月内承担过不少于140万元/年的生鲜类供货项目业绩。</w:t>
      </w:r>
    </w:p>
    <w:p w14:paraId="0EF6FED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业绩证明材料以合同为准，且须提供合同复印件；时间以合同中较晚一方签字时间为准；若合同中无法体现业绩相关信息时，须另外提供由业主单位出具的《业主证明》。不接受港澳台或境外业绩，不接受联合体业绩。</w:t>
      </w:r>
    </w:p>
    <w:p w14:paraId="2953E6B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3.2单位负责人为同一人或者存在控股、管理关系的不同单位，不得参加同一标段投标或者未划分标段的同一招标项目投标，否则相关投标均无效。</w:t>
      </w:r>
    </w:p>
    <w:p w14:paraId="66A98D7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3.3本项目不接受联合体投标。</w:t>
      </w:r>
    </w:p>
    <w:p w14:paraId="7221CD2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4.评标办法</w:t>
      </w:r>
    </w:p>
    <w:p w14:paraId="459C51A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本项目评标办法采用综合评估法，资格审查方式为资格后审。</w:t>
      </w:r>
    </w:p>
    <w:p w14:paraId="2C77295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5.投标保证金</w:t>
      </w:r>
    </w:p>
    <w:p w14:paraId="2C7D929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5.1投标保证金金额：</w:t>
      </w:r>
    </w:p>
    <w:p w14:paraId="24681CE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劳务外包服务保证金：人民币大写壹拾贰万元整(¥120000.00)。</w:t>
      </w:r>
    </w:p>
    <w:p w14:paraId="58D958C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干货商品类物资供应保证金：人民币（大写）贰拾陆万元整（¥260000.00元）</w:t>
      </w:r>
    </w:p>
    <w:p w14:paraId="50577E9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生鲜类物资供应保证金：人民币（大写）壹拾柒万元整（¥170000.00元）。</w:t>
      </w:r>
    </w:p>
    <w:p w14:paraId="08614F0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5.2投标保证金递交形式：银行转账或银行保函的方式提交。</w:t>
      </w:r>
    </w:p>
    <w:p w14:paraId="186C40B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5.3投标保证金托管账户获取方式：所有参与项目竞争的供应商（纸质标）均应在潇湘交易云平台（www.avicwings.com）完成注册，凭注册账号登录潇湘交易云平台供应商系统，获取虚拟子账号并完成投标保证金缴纳（已完成注册的直接用注册账号登录供应商系统）。虚拟子账号是随机产生的，不同投标人、不同项目（标段）的虚拟子账号是唯一的，各供应商（投标人）在缴纳投标保证金时须认准本单位当前所投项目的虚拟子账号，缴纳至错误虚拟子账号的投标保证金信息系统不能识别，视为未按招标文件要求递交投标保证金。</w:t>
      </w:r>
    </w:p>
    <w:p w14:paraId="3655AFD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具体操作流程如下：</w:t>
      </w:r>
    </w:p>
    <w:p w14:paraId="3BF99EC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平台首页在潇湘交易云企业控制台入口“注册/修改企业信息”处完成账号注册--&gt;凭注册账号登录供应商系统--&gt;在“采购公告/邀请函”栏目找到对应项目--&gt;点击“进入项目”按钮进入项目工作台--&gt;在“网上投标”页签点击“递交保证金”按钮--&gt;点击“缴纳”按钮获取虚拟子账号--&gt;使用公司对公账号向虚拟子账号转入保证金--&gt;跟踪保证金缴纳状态，完成缴纳。</w:t>
      </w:r>
    </w:p>
    <w:p w14:paraId="26DFE12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5.4交纳方式：银行转账形式提交的，从投标人单位基本账户转入投标保证金的托管账户管理。招标人不接受以现金方式提交的投标保证金，以现金方式提交的投标保证金无效；银行保函形式提交的，投标人须在交标时同步提供保函原件，保函格式自拟，保函有效期应当不小于投标有效期；不满足上述要求的，其投标将被否决。</w:t>
      </w:r>
    </w:p>
    <w:p w14:paraId="1F20913C">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5.5交纳时间：投标截止时间前。投标保证金要求在交纳截止时间（含）到达账户（以潇湘交易云平台投标保证金电子化管理系统公布的到账时间为准），请各供应商（投标人）尽量提前缴纳投标保证金，避免在递交截止时间后到账而导致投标失败。</w:t>
      </w:r>
    </w:p>
    <w:p w14:paraId="077D407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系统操作咨询及问题反馈电话：0731-85675505</w:t>
      </w:r>
    </w:p>
    <w:p w14:paraId="2435E45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6.招标文件的澄清与答疑</w:t>
      </w:r>
      <w:r>
        <w:rPr>
          <w:rFonts w:hint="eastAsia" w:ascii="宋体" w:hAnsi="宋体" w:cs="宋体"/>
          <w:snapToGrid w:val="0"/>
          <w:color w:val="auto"/>
          <w:kern w:val="0"/>
          <w:szCs w:val="21"/>
          <w:highlight w:val="none"/>
          <w:lang w:val="en-US" w:eastAsia="zh-CN"/>
        </w:rPr>
        <w:t>。</w:t>
      </w:r>
    </w:p>
    <w:p w14:paraId="48DD1439">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6.1本项目不组织招标答疑会和现场踏勘。</w:t>
      </w:r>
    </w:p>
    <w:p w14:paraId="78600BC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6.2投标人若对招标文件有任何疑问，应在2025年</w:t>
      </w:r>
      <w:r>
        <w:rPr>
          <w:rFonts w:hint="eastAsia" w:ascii="宋体" w:hAnsi="宋体" w:cs="宋体"/>
          <w:snapToGrid w:val="0"/>
          <w:color w:val="auto"/>
          <w:kern w:val="0"/>
          <w:szCs w:val="21"/>
          <w:highlight w:val="none"/>
          <w:lang w:val="en-US" w:eastAsia="zh-CN"/>
        </w:rPr>
        <w:t>11</w:t>
      </w:r>
      <w:r>
        <w:rPr>
          <w:rFonts w:hint="eastAsia" w:ascii="宋体" w:hAnsi="宋体" w:eastAsia="宋体" w:cs="宋体"/>
          <w:snapToGrid w:val="0"/>
          <w:color w:val="auto"/>
          <w:kern w:val="0"/>
          <w:szCs w:val="21"/>
          <w:highlight w:val="none"/>
          <w:lang w:val="en-US" w:eastAsia="zh-CN"/>
        </w:rPr>
        <w:t>月</w:t>
      </w:r>
      <w:r>
        <w:rPr>
          <w:rFonts w:hint="eastAsia" w:ascii="宋体" w:hAnsi="宋体" w:cs="宋体"/>
          <w:snapToGrid w:val="0"/>
          <w:color w:val="auto"/>
          <w:kern w:val="0"/>
          <w:szCs w:val="21"/>
          <w:highlight w:val="none"/>
          <w:lang w:val="en-US" w:eastAsia="zh-CN"/>
        </w:rPr>
        <w:t>09</w:t>
      </w:r>
      <w:r>
        <w:rPr>
          <w:rFonts w:hint="eastAsia" w:ascii="宋体" w:hAnsi="宋体" w:eastAsia="宋体" w:cs="宋体"/>
          <w:snapToGrid w:val="0"/>
          <w:color w:val="auto"/>
          <w:kern w:val="0"/>
          <w:szCs w:val="21"/>
          <w:highlight w:val="none"/>
          <w:lang w:val="en-US" w:eastAsia="zh-CN"/>
        </w:rPr>
        <w:t>日</w:t>
      </w:r>
      <w:r>
        <w:rPr>
          <w:rFonts w:hint="eastAsia" w:ascii="宋体" w:hAnsi="宋体" w:eastAsia="宋体" w:cs="宋体"/>
          <w:snapToGrid w:val="0"/>
          <w:color w:val="auto"/>
          <w:kern w:val="0"/>
          <w:szCs w:val="21"/>
          <w:highlight w:val="none"/>
          <w:lang w:val="en-US" w:eastAsia="zh-CN"/>
        </w:rPr>
        <w:t>17：00时（含）前以书面形式向本项目招标代理机构提出。</w:t>
      </w:r>
    </w:p>
    <w:p w14:paraId="0701949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6.3在投标截止时间前，招标人可主动地或在解答投标人提出的问题时对招标文件进行澄清。</w:t>
      </w:r>
    </w:p>
    <w:p w14:paraId="4336B8E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6.4答疑文件、修改澄清文件将在潇湘交易云平台、中国招标投标公共服务平台发布，敬请获得招标文件的所有投标人关注，恕不另行通知，如有遗漏，招标人概不负责。</w:t>
      </w:r>
    </w:p>
    <w:p w14:paraId="7FE11DE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7.投标文件的递交及开标</w:t>
      </w:r>
      <w:r>
        <w:rPr>
          <w:rFonts w:hint="eastAsia" w:ascii="宋体" w:hAnsi="宋体" w:cs="宋体"/>
          <w:snapToGrid w:val="0"/>
          <w:color w:val="auto"/>
          <w:kern w:val="0"/>
          <w:szCs w:val="21"/>
          <w:highlight w:val="none"/>
          <w:lang w:val="en-US" w:eastAsia="zh-CN"/>
        </w:rPr>
        <w:t>。</w:t>
      </w:r>
    </w:p>
    <w:p w14:paraId="6372D9C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7.1提交投标文件的截止时间及开标时间：</w:t>
      </w:r>
      <w:r>
        <w:rPr>
          <w:rFonts w:hint="eastAsia" w:ascii="宋体" w:hAnsi="宋体" w:eastAsia="宋体" w:cs="宋体"/>
          <w:snapToGrid w:val="0"/>
          <w:color w:val="0000FF"/>
          <w:kern w:val="0"/>
          <w:szCs w:val="21"/>
          <w:highlight w:val="none"/>
          <w:lang w:val="en-US" w:eastAsia="zh-CN"/>
        </w:rPr>
        <w:t>2025年</w:t>
      </w:r>
      <w:r>
        <w:rPr>
          <w:rFonts w:hint="eastAsia" w:ascii="宋体" w:hAnsi="宋体" w:cs="宋体"/>
          <w:snapToGrid w:val="0"/>
          <w:color w:val="0000FF"/>
          <w:kern w:val="0"/>
          <w:szCs w:val="21"/>
          <w:highlight w:val="none"/>
          <w:lang w:val="en-US" w:eastAsia="zh-CN"/>
        </w:rPr>
        <w:t>11</w:t>
      </w:r>
      <w:r>
        <w:rPr>
          <w:rFonts w:hint="eastAsia" w:ascii="宋体" w:hAnsi="宋体" w:eastAsia="宋体" w:cs="宋体"/>
          <w:snapToGrid w:val="0"/>
          <w:color w:val="0000FF"/>
          <w:kern w:val="0"/>
          <w:szCs w:val="21"/>
          <w:highlight w:val="none"/>
          <w:lang w:val="en-US" w:eastAsia="zh-CN"/>
        </w:rPr>
        <w:t>月</w:t>
      </w:r>
      <w:r>
        <w:rPr>
          <w:rFonts w:hint="eastAsia" w:ascii="宋体" w:hAnsi="宋体" w:cs="宋体"/>
          <w:snapToGrid w:val="0"/>
          <w:color w:val="0000FF"/>
          <w:kern w:val="0"/>
          <w:szCs w:val="21"/>
          <w:highlight w:val="none"/>
          <w:lang w:val="en-US" w:eastAsia="zh-CN"/>
        </w:rPr>
        <w:t>20</w:t>
      </w:r>
      <w:r>
        <w:rPr>
          <w:rFonts w:hint="eastAsia" w:ascii="宋体" w:hAnsi="宋体" w:eastAsia="宋体" w:cs="宋体"/>
          <w:snapToGrid w:val="0"/>
          <w:color w:val="0000FF"/>
          <w:kern w:val="0"/>
          <w:szCs w:val="21"/>
          <w:highlight w:val="none"/>
          <w:lang w:val="en-US" w:eastAsia="zh-CN"/>
        </w:rPr>
        <w:t>日9:30时（北京时间）</w:t>
      </w:r>
      <w:r>
        <w:rPr>
          <w:rFonts w:hint="eastAsia" w:ascii="宋体" w:hAnsi="宋体" w:eastAsia="宋体" w:cs="宋体"/>
          <w:snapToGrid w:val="0"/>
          <w:color w:val="auto"/>
          <w:kern w:val="0"/>
          <w:szCs w:val="21"/>
          <w:highlight w:val="none"/>
          <w:lang w:val="en-US" w:eastAsia="zh-CN"/>
        </w:rPr>
        <w:t>。</w:t>
      </w:r>
    </w:p>
    <w:p w14:paraId="15A6D4CD">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7.2提交投标文件地点及开标地点：</w:t>
      </w:r>
      <w:r>
        <w:rPr>
          <w:rFonts w:hint="eastAsia" w:ascii="宋体" w:hAnsi="宋体" w:eastAsia="宋体" w:cs="宋体"/>
          <w:i w:val="0"/>
          <w:iCs w:val="0"/>
          <w:caps w:val="0"/>
          <w:snapToGrid w:val="0"/>
          <w:color w:val="auto"/>
          <w:spacing w:val="0"/>
          <w:kern w:val="0"/>
          <w:sz w:val="21"/>
          <w:szCs w:val="21"/>
          <w:highlight w:val="none"/>
          <w:shd w:val="clear"/>
        </w:rPr>
        <w:t>湖南省长沙市芙蓉区蓉园路6号湖南省老干部大学金秋楼10楼【中航公共资源交易平台】相应开标室</w:t>
      </w:r>
      <w:r>
        <w:rPr>
          <w:rFonts w:hint="eastAsia" w:ascii="宋体" w:hAnsi="宋体" w:eastAsia="宋体" w:cs="宋体"/>
          <w:i w:val="0"/>
          <w:iCs w:val="0"/>
          <w:caps w:val="0"/>
          <w:snapToGrid w:val="0"/>
          <w:color w:val="auto"/>
          <w:spacing w:val="0"/>
          <w:kern w:val="0"/>
          <w:sz w:val="21"/>
          <w:szCs w:val="21"/>
          <w:highlight w:val="none"/>
          <w:shd w:val="clear"/>
          <w:lang w:eastAsia="zh-CN"/>
        </w:rPr>
        <w:t>。</w:t>
      </w:r>
      <w:bookmarkStart w:id="58" w:name="_GoBack"/>
      <w:bookmarkEnd w:id="58"/>
    </w:p>
    <w:p w14:paraId="706ADA0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 xml:space="preserve">7.3逾期送达的或者未送达指定地点或未按要求密封的投标文件，招标人不予受理（★）。 </w:t>
      </w:r>
    </w:p>
    <w:p w14:paraId="6BEEB36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8.发布公告的媒介</w:t>
      </w:r>
    </w:p>
    <w:p w14:paraId="33689DB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本项目招标公告和结果公告在潇湘交易云平台（http://www.avicwings.com）、中国招标投标公共服务平台（http://www.cebpubservice.com/）发布。</w:t>
      </w:r>
    </w:p>
    <w:p w14:paraId="1F75C97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9.监督机构</w:t>
      </w:r>
    </w:p>
    <w:p w14:paraId="463DC94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本次招标项目招标投标监督机构为长沙穗城轨道交通有限公司经营管理部，联系人：</w:t>
      </w:r>
      <w:r>
        <w:rPr>
          <w:rFonts w:hint="eastAsia" w:ascii="宋体" w:hAnsi="宋体" w:cs="宋体"/>
          <w:snapToGrid w:val="0"/>
          <w:color w:val="auto"/>
          <w:kern w:val="0"/>
          <w:szCs w:val="21"/>
          <w:highlight w:val="none"/>
          <w:lang w:val="en-US" w:eastAsia="zh-CN"/>
        </w:rPr>
        <w:t>魏先生</w:t>
      </w:r>
      <w:r>
        <w:rPr>
          <w:rFonts w:ascii="Helvetica" w:hAnsi="Helvetica" w:eastAsia="Helvetica" w:cs="Helvetica"/>
          <w:i w:val="0"/>
          <w:iCs w:val="0"/>
          <w:caps w:val="0"/>
          <w:color w:val="000000"/>
          <w:spacing w:val="0"/>
          <w:sz w:val="19"/>
          <w:szCs w:val="19"/>
          <w:highlight w:val="none"/>
          <w:shd w:val="clear" w:fill="FFFFFF"/>
        </w:rPr>
        <w:t>0731-81635488</w:t>
      </w:r>
      <w:r>
        <w:rPr>
          <w:rFonts w:hint="eastAsia" w:ascii="Helvetica" w:hAnsi="Helvetica" w:eastAsia="宋体" w:cs="Helvetica"/>
          <w:i w:val="0"/>
          <w:iCs w:val="0"/>
          <w:caps w:val="0"/>
          <w:color w:val="000000"/>
          <w:spacing w:val="0"/>
          <w:sz w:val="19"/>
          <w:szCs w:val="19"/>
          <w:highlight w:val="none"/>
          <w:shd w:val="clear" w:fill="FFFFFF"/>
          <w:lang w:eastAsia="zh-CN"/>
        </w:rPr>
        <w:t>。</w:t>
      </w:r>
    </w:p>
    <w:p w14:paraId="3889706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10.招标人及其委托的招标代理机构的名称、地址和联系方法</w:t>
      </w:r>
    </w:p>
    <w:p w14:paraId="223D45E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招标人：长沙穗城轨道交通有限公司</w:t>
      </w:r>
    </w:p>
    <w:p w14:paraId="758E35B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地址：湖南省长沙县榔梨街道东六路南段85号轨道交通六号线黄梨路车辆段</w:t>
      </w:r>
    </w:p>
    <w:p w14:paraId="4963BD8F">
      <w:pPr>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招标代理机构：</w:t>
      </w:r>
      <w:r>
        <w:rPr>
          <w:rFonts w:hint="eastAsia" w:ascii="宋体" w:hAnsi="宋体" w:cs="宋体"/>
          <w:snapToGrid w:val="0"/>
          <w:color w:val="auto"/>
          <w:kern w:val="0"/>
          <w:szCs w:val="21"/>
          <w:highlight w:val="none"/>
          <w:lang w:val="en-US" w:eastAsia="zh-CN"/>
        </w:rPr>
        <w:t>融汇项目管理有限公司</w:t>
      </w:r>
    </w:p>
    <w:p w14:paraId="44CD0B73">
      <w:pPr>
        <w:spacing w:line="360" w:lineRule="auto"/>
        <w:ind w:firstLine="420" w:firstLineChars="200"/>
        <w:rPr>
          <w:rFonts w:hint="eastAsia" w:ascii="宋体" w:hAnsi="宋体" w:cs="宋体"/>
          <w:snapToGrid w:val="0"/>
          <w:color w:val="auto"/>
          <w:kern w:val="0"/>
          <w:szCs w:val="21"/>
          <w:highlight w:val="none"/>
        </w:rPr>
      </w:pPr>
      <w:r>
        <w:rPr>
          <w:rFonts w:hint="eastAsia" w:ascii="宋体" w:hAnsi="宋体" w:cs="宋体"/>
          <w:snapToGrid w:val="0"/>
          <w:color w:val="auto"/>
          <w:kern w:val="0"/>
          <w:szCs w:val="21"/>
          <w:highlight w:val="none"/>
        </w:rPr>
        <w:t>地  址：</w:t>
      </w:r>
      <w:r>
        <w:rPr>
          <w:rFonts w:hint="eastAsia" w:ascii="宋体" w:hAnsi="宋体" w:eastAsia="宋体" w:cs="宋体"/>
          <w:snapToGrid w:val="0"/>
          <w:color w:val="auto"/>
          <w:kern w:val="0"/>
          <w:sz w:val="21"/>
          <w:szCs w:val="21"/>
          <w:highlight w:val="none"/>
          <w:u w:val="none"/>
          <w:lang w:val="en-US" w:eastAsia="zh-CN"/>
        </w:rPr>
        <w:t>长沙县榔梨街道铭诚绿谷产业</w:t>
      </w:r>
      <w:r>
        <w:rPr>
          <w:rFonts w:hint="eastAsia" w:ascii="宋体" w:hAnsi="宋体" w:eastAsia="宋体" w:cs="宋体"/>
          <w:snapToGrid w:val="0"/>
          <w:color w:val="auto"/>
          <w:kern w:val="0"/>
          <w:sz w:val="21"/>
          <w:szCs w:val="21"/>
          <w:highlight w:val="none"/>
          <w:u w:val="none"/>
        </w:rPr>
        <w:t>园15栋403</w:t>
      </w:r>
    </w:p>
    <w:p w14:paraId="2BC91B09">
      <w:pPr>
        <w:spacing w:line="360" w:lineRule="auto"/>
        <w:ind w:firstLine="420" w:firstLineChars="200"/>
        <w:rPr>
          <w:rFonts w:hint="default" w:ascii="宋体" w:hAnsi="宋体" w:eastAsia="宋体" w:cs="宋体"/>
          <w:snapToGrid w:val="0"/>
          <w:color w:val="auto"/>
          <w:kern w:val="0"/>
          <w:szCs w:val="21"/>
          <w:highlight w:val="none"/>
          <w:lang w:val="en-US" w:eastAsia="zh-CN"/>
        </w:rPr>
      </w:pPr>
      <w:r>
        <w:rPr>
          <w:rFonts w:hint="eastAsia" w:ascii="宋体" w:hAnsi="宋体" w:cs="宋体"/>
          <w:snapToGrid w:val="0"/>
          <w:color w:val="auto"/>
          <w:kern w:val="0"/>
          <w:szCs w:val="21"/>
          <w:highlight w:val="none"/>
        </w:rPr>
        <w:t>联系人：</w:t>
      </w:r>
      <w:r>
        <w:rPr>
          <w:rFonts w:hint="eastAsia" w:ascii="宋体" w:hAnsi="宋体" w:cs="宋体"/>
          <w:snapToGrid w:val="0"/>
          <w:color w:val="auto"/>
          <w:kern w:val="0"/>
          <w:szCs w:val="21"/>
          <w:highlight w:val="none"/>
          <w:lang w:val="en-US" w:eastAsia="zh-CN"/>
        </w:rPr>
        <w:t>佘东麟、</w:t>
      </w:r>
      <w:r>
        <w:rPr>
          <w:rFonts w:hint="eastAsia" w:ascii="宋体" w:hAnsi="宋体" w:eastAsia="宋体" w:cs="宋体"/>
          <w:color w:val="auto"/>
          <w:highlight w:val="none"/>
        </w:rPr>
        <w:t>龙千妮</w:t>
      </w:r>
    </w:p>
    <w:p w14:paraId="62C411BC">
      <w:pPr>
        <w:wordWrap/>
        <w:spacing w:beforeLines="-2147483648" w:afterLines="-2147483648" w:line="360" w:lineRule="auto"/>
        <w:ind w:firstLine="420" w:firstLineChars="200"/>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电  话：</w:t>
      </w:r>
      <w:r>
        <w:rPr>
          <w:rFonts w:hint="eastAsia" w:ascii="宋体" w:hAnsi="宋体" w:cs="宋体"/>
          <w:snapToGrid w:val="0"/>
          <w:color w:val="auto"/>
          <w:kern w:val="0"/>
          <w:szCs w:val="21"/>
          <w:highlight w:val="none"/>
          <w:lang w:val="en-US" w:eastAsia="zh-CN"/>
        </w:rPr>
        <w:t>17680412798/15874834816/</w:t>
      </w:r>
      <w:r>
        <w:rPr>
          <w:rFonts w:hint="eastAsia" w:ascii="宋体" w:hAnsi="宋体" w:eastAsia="宋体" w:cs="宋体"/>
          <w:color w:val="auto"/>
          <w:highlight w:val="none"/>
        </w:rPr>
        <w:t>0731-82041910</w:t>
      </w:r>
    </w:p>
    <w:p w14:paraId="039BF9CD">
      <w:pPr>
        <w:rPr>
          <w:rFonts w:ascii="Calibri" w:hAnsi="Calibri" w:eastAsia="宋体" w:cs="Times New Roman"/>
          <w:color w:val="auto"/>
          <w:szCs w:val="24"/>
          <w:highlight w:val="none"/>
        </w:rPr>
      </w:pPr>
      <w:r>
        <w:rPr>
          <w:rFonts w:hAnsi="黑体"/>
          <w:color w:val="auto"/>
          <w:sz w:val="44"/>
          <w:szCs w:val="44"/>
          <w:highlight w:val="none"/>
        </w:rPr>
        <w:br w:type="page"/>
      </w:r>
    </w:p>
    <w:p w14:paraId="4E7A90D8">
      <w:pPr>
        <w:pStyle w:val="3"/>
        <w:wordWrap w:val="0"/>
        <w:spacing w:line="360" w:lineRule="auto"/>
        <w:ind w:left="0" w:leftChars="0" w:right="0" w:rightChars="0" w:firstLine="0" w:firstLineChars="0"/>
        <w:jc w:val="center"/>
        <w:rPr>
          <w:rFonts w:ascii="宋体" w:hAnsi="宋体"/>
          <w:b w:val="0"/>
          <w:color w:val="auto"/>
          <w:sz w:val="44"/>
          <w:szCs w:val="44"/>
          <w:highlight w:val="none"/>
        </w:rPr>
      </w:pPr>
      <w:bookmarkStart w:id="4" w:name="_Toc21641"/>
      <w:bookmarkStart w:id="5" w:name="_Toc4967"/>
      <w:bookmarkStart w:id="6" w:name="_Toc29909"/>
      <w:r>
        <w:rPr>
          <w:rFonts w:hAnsi="黑体"/>
          <w:color w:val="auto"/>
          <w:sz w:val="44"/>
          <w:szCs w:val="44"/>
          <w:highlight w:val="none"/>
        </w:rPr>
        <w:t>第二章</w:t>
      </w:r>
      <w:r>
        <w:rPr>
          <w:rFonts w:hint="eastAsia" w:hAnsi="黑体"/>
          <w:color w:val="auto"/>
          <w:sz w:val="44"/>
          <w:szCs w:val="44"/>
          <w:highlight w:val="none"/>
        </w:rPr>
        <w:t xml:space="preserve"> </w:t>
      </w:r>
      <w:r>
        <w:rPr>
          <w:rFonts w:hAnsi="黑体"/>
          <w:color w:val="auto"/>
          <w:sz w:val="44"/>
          <w:szCs w:val="44"/>
          <w:highlight w:val="none"/>
        </w:rPr>
        <w:t>投标人须知</w:t>
      </w:r>
      <w:bookmarkEnd w:id="4"/>
      <w:bookmarkEnd w:id="5"/>
      <w:bookmarkEnd w:id="6"/>
    </w:p>
    <w:p w14:paraId="418219A2">
      <w:pPr>
        <w:pStyle w:val="138"/>
        <w:wordWrap w:val="0"/>
        <w:spacing w:after="240" w:line="360" w:lineRule="auto"/>
        <w:ind w:left="220" w:right="339"/>
        <w:jc w:val="center"/>
        <w:rPr>
          <w:rFonts w:ascii="Calibri" w:cs="宋体"/>
          <w:color w:val="auto"/>
          <w:szCs w:val="28"/>
          <w:highlight w:val="none"/>
        </w:rPr>
      </w:pPr>
      <w:r>
        <w:rPr>
          <w:rFonts w:ascii="Calibri" w:cs="宋体"/>
          <w:color w:val="auto"/>
          <w:szCs w:val="28"/>
          <w:highlight w:val="none"/>
        </w:rPr>
        <w:t>投标人须知前附表</w:t>
      </w:r>
    </w:p>
    <w:tbl>
      <w:tblPr>
        <w:tblStyle w:val="64"/>
        <w:tblW w:w="914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96"/>
        <w:gridCol w:w="849"/>
        <w:gridCol w:w="2126"/>
        <w:gridCol w:w="1134"/>
        <w:gridCol w:w="4340"/>
      </w:tblGrid>
      <w:tr w14:paraId="7A0C54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blHeader/>
          <w:jc w:val="center"/>
        </w:trPr>
        <w:tc>
          <w:tcPr>
            <w:tcW w:w="696" w:type="dxa"/>
            <w:tcBorders>
              <w:right w:val="single" w:color="auto" w:sz="4" w:space="0"/>
            </w:tcBorders>
            <w:vAlign w:val="center"/>
          </w:tcPr>
          <w:p w14:paraId="51D7810F">
            <w:pPr>
              <w:wordWrap w:val="0"/>
              <w:jc w:val="center"/>
              <w:rPr>
                <w:rFonts w:ascii="宋体" w:hAnsi="宋体"/>
                <w:b/>
                <w:color w:val="auto"/>
                <w:szCs w:val="21"/>
                <w:highlight w:val="none"/>
              </w:rPr>
            </w:pPr>
            <w:r>
              <w:rPr>
                <w:rFonts w:hint="eastAsia" w:ascii="宋体" w:hAnsi="宋体"/>
                <w:b/>
                <w:color w:val="auto"/>
                <w:szCs w:val="21"/>
                <w:highlight w:val="none"/>
              </w:rPr>
              <w:t>序号</w:t>
            </w:r>
          </w:p>
        </w:tc>
        <w:tc>
          <w:tcPr>
            <w:tcW w:w="849" w:type="dxa"/>
            <w:tcBorders>
              <w:left w:val="single" w:color="auto" w:sz="4" w:space="0"/>
            </w:tcBorders>
            <w:vAlign w:val="center"/>
          </w:tcPr>
          <w:p w14:paraId="08DAE339">
            <w:pPr>
              <w:wordWrap w:val="0"/>
              <w:jc w:val="center"/>
              <w:rPr>
                <w:rFonts w:ascii="宋体" w:hAnsi="宋体"/>
                <w:b/>
                <w:color w:val="auto"/>
                <w:szCs w:val="21"/>
                <w:highlight w:val="none"/>
              </w:rPr>
            </w:pPr>
            <w:r>
              <w:rPr>
                <w:rFonts w:hint="eastAsia" w:ascii="宋体" w:hAnsi="宋体"/>
                <w:b/>
                <w:color w:val="auto"/>
                <w:szCs w:val="21"/>
                <w:highlight w:val="none"/>
              </w:rPr>
              <w:t>条款号</w:t>
            </w:r>
          </w:p>
        </w:tc>
        <w:tc>
          <w:tcPr>
            <w:tcW w:w="2126" w:type="dxa"/>
            <w:vAlign w:val="center"/>
          </w:tcPr>
          <w:p w14:paraId="19B80B2C">
            <w:pPr>
              <w:wordWrap w:val="0"/>
              <w:jc w:val="center"/>
              <w:rPr>
                <w:rFonts w:ascii="宋体" w:hAnsi="宋体"/>
                <w:b/>
                <w:color w:val="auto"/>
                <w:szCs w:val="21"/>
                <w:highlight w:val="none"/>
              </w:rPr>
            </w:pPr>
            <w:r>
              <w:rPr>
                <w:rFonts w:hint="eastAsia" w:ascii="宋体" w:hAnsi="宋体"/>
                <w:b/>
                <w:color w:val="auto"/>
                <w:szCs w:val="21"/>
                <w:highlight w:val="none"/>
              </w:rPr>
              <w:t>条款名称</w:t>
            </w:r>
          </w:p>
        </w:tc>
        <w:tc>
          <w:tcPr>
            <w:tcW w:w="5474" w:type="dxa"/>
            <w:gridSpan w:val="2"/>
            <w:vAlign w:val="center"/>
          </w:tcPr>
          <w:p w14:paraId="221DA379">
            <w:pPr>
              <w:wordWrap w:val="0"/>
              <w:jc w:val="center"/>
              <w:rPr>
                <w:rFonts w:ascii="宋体" w:hAnsi="宋体"/>
                <w:b/>
                <w:color w:val="auto"/>
                <w:szCs w:val="21"/>
                <w:highlight w:val="none"/>
              </w:rPr>
            </w:pPr>
            <w:r>
              <w:rPr>
                <w:rFonts w:hint="eastAsia" w:ascii="宋体" w:hAnsi="宋体"/>
                <w:b/>
                <w:color w:val="auto"/>
                <w:szCs w:val="21"/>
                <w:highlight w:val="none"/>
              </w:rPr>
              <w:t>编列内容</w:t>
            </w:r>
          </w:p>
        </w:tc>
      </w:tr>
      <w:tr w14:paraId="65C35C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696" w:type="dxa"/>
            <w:tcBorders>
              <w:right w:val="single" w:color="auto" w:sz="4" w:space="0"/>
            </w:tcBorders>
            <w:vAlign w:val="center"/>
          </w:tcPr>
          <w:p w14:paraId="7ABBADA7">
            <w:pPr>
              <w:wordWrap w:val="0"/>
              <w:jc w:val="center"/>
              <w:rPr>
                <w:rFonts w:ascii="宋体" w:hAnsi="宋体"/>
                <w:color w:val="auto"/>
                <w:szCs w:val="21"/>
                <w:highlight w:val="none"/>
              </w:rPr>
            </w:pPr>
            <w:r>
              <w:rPr>
                <w:rFonts w:hint="eastAsia" w:ascii="宋体" w:hAnsi="宋体"/>
                <w:color w:val="auto"/>
                <w:szCs w:val="21"/>
                <w:highlight w:val="none"/>
              </w:rPr>
              <w:t>1</w:t>
            </w:r>
          </w:p>
        </w:tc>
        <w:tc>
          <w:tcPr>
            <w:tcW w:w="849" w:type="dxa"/>
            <w:tcBorders>
              <w:left w:val="single" w:color="auto" w:sz="4" w:space="0"/>
            </w:tcBorders>
            <w:vAlign w:val="center"/>
          </w:tcPr>
          <w:p w14:paraId="430F972D">
            <w:pPr>
              <w:wordWrap w:val="0"/>
              <w:jc w:val="center"/>
              <w:rPr>
                <w:rFonts w:ascii="宋体" w:hAnsi="宋体"/>
                <w:color w:val="auto"/>
                <w:szCs w:val="21"/>
                <w:highlight w:val="none"/>
              </w:rPr>
            </w:pPr>
            <w:r>
              <w:rPr>
                <w:rFonts w:hint="eastAsia" w:ascii="宋体" w:hAnsi="宋体"/>
                <w:color w:val="auto"/>
                <w:szCs w:val="21"/>
                <w:highlight w:val="none"/>
              </w:rPr>
              <w:t>1.1.2</w:t>
            </w:r>
          </w:p>
        </w:tc>
        <w:tc>
          <w:tcPr>
            <w:tcW w:w="2126" w:type="dxa"/>
            <w:vAlign w:val="center"/>
          </w:tcPr>
          <w:p w14:paraId="532A3D50">
            <w:pPr>
              <w:wordWrap w:val="0"/>
              <w:jc w:val="center"/>
              <w:rPr>
                <w:rFonts w:ascii="宋体" w:hAnsi="宋体"/>
                <w:color w:val="auto"/>
                <w:szCs w:val="21"/>
                <w:highlight w:val="none"/>
              </w:rPr>
            </w:pPr>
            <w:r>
              <w:rPr>
                <w:rFonts w:ascii="宋体" w:hAnsi="宋体"/>
                <w:color w:val="auto"/>
                <w:szCs w:val="21"/>
                <w:highlight w:val="none"/>
              </w:rPr>
              <w:t>招标人</w:t>
            </w:r>
          </w:p>
        </w:tc>
        <w:tc>
          <w:tcPr>
            <w:tcW w:w="5474" w:type="dxa"/>
            <w:gridSpan w:val="2"/>
            <w:vAlign w:val="center"/>
          </w:tcPr>
          <w:p w14:paraId="68F8617A">
            <w:pPr>
              <w:wordWrap w:val="0"/>
              <w:rPr>
                <w:rFonts w:ascii="宋体" w:hAnsi="宋体"/>
                <w:color w:val="auto"/>
                <w:szCs w:val="21"/>
                <w:highlight w:val="none"/>
              </w:rPr>
            </w:pPr>
            <w:r>
              <w:rPr>
                <w:rFonts w:hint="eastAsia" w:ascii="宋体" w:hAnsi="宋体"/>
                <w:color w:val="auto"/>
                <w:szCs w:val="21"/>
                <w:highlight w:val="none"/>
              </w:rPr>
              <w:t>详见招标公告</w:t>
            </w:r>
          </w:p>
        </w:tc>
      </w:tr>
      <w:tr w14:paraId="19FD63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2" w:hRule="atLeast"/>
          <w:jc w:val="center"/>
        </w:trPr>
        <w:tc>
          <w:tcPr>
            <w:tcW w:w="696" w:type="dxa"/>
            <w:tcBorders>
              <w:right w:val="single" w:color="auto" w:sz="4" w:space="0"/>
            </w:tcBorders>
            <w:vAlign w:val="center"/>
          </w:tcPr>
          <w:p w14:paraId="519399A8">
            <w:pPr>
              <w:wordWrap w:val="0"/>
              <w:jc w:val="center"/>
              <w:rPr>
                <w:rFonts w:ascii="宋体" w:hAnsi="宋体"/>
                <w:color w:val="auto"/>
                <w:szCs w:val="21"/>
                <w:highlight w:val="none"/>
              </w:rPr>
            </w:pPr>
            <w:r>
              <w:rPr>
                <w:rFonts w:hint="eastAsia" w:ascii="宋体" w:hAnsi="宋体"/>
                <w:color w:val="auto"/>
                <w:szCs w:val="21"/>
                <w:highlight w:val="none"/>
              </w:rPr>
              <w:t>2</w:t>
            </w:r>
          </w:p>
        </w:tc>
        <w:tc>
          <w:tcPr>
            <w:tcW w:w="849" w:type="dxa"/>
            <w:tcBorders>
              <w:left w:val="single" w:color="auto" w:sz="4" w:space="0"/>
            </w:tcBorders>
            <w:vAlign w:val="center"/>
          </w:tcPr>
          <w:p w14:paraId="4A224C99">
            <w:pPr>
              <w:wordWrap w:val="0"/>
              <w:jc w:val="center"/>
              <w:rPr>
                <w:rFonts w:ascii="宋体" w:hAnsi="宋体"/>
                <w:color w:val="auto"/>
                <w:szCs w:val="21"/>
                <w:highlight w:val="none"/>
              </w:rPr>
            </w:pPr>
            <w:r>
              <w:rPr>
                <w:rFonts w:hint="eastAsia" w:ascii="宋体" w:hAnsi="宋体"/>
                <w:color w:val="auto"/>
                <w:szCs w:val="21"/>
                <w:highlight w:val="none"/>
              </w:rPr>
              <w:t>1.1.3</w:t>
            </w:r>
          </w:p>
        </w:tc>
        <w:tc>
          <w:tcPr>
            <w:tcW w:w="2126" w:type="dxa"/>
            <w:vAlign w:val="center"/>
          </w:tcPr>
          <w:p w14:paraId="7E832D75">
            <w:pPr>
              <w:wordWrap w:val="0"/>
              <w:jc w:val="center"/>
              <w:rPr>
                <w:rFonts w:ascii="宋体" w:hAnsi="宋体"/>
                <w:color w:val="auto"/>
                <w:szCs w:val="21"/>
                <w:highlight w:val="none"/>
              </w:rPr>
            </w:pPr>
            <w:r>
              <w:rPr>
                <w:rFonts w:ascii="宋体" w:hAnsi="宋体"/>
                <w:color w:val="auto"/>
                <w:szCs w:val="21"/>
                <w:highlight w:val="none"/>
              </w:rPr>
              <w:t>招标项目名称</w:t>
            </w:r>
          </w:p>
        </w:tc>
        <w:tc>
          <w:tcPr>
            <w:tcW w:w="5474" w:type="dxa"/>
            <w:gridSpan w:val="2"/>
            <w:vAlign w:val="center"/>
          </w:tcPr>
          <w:p w14:paraId="10830F9C">
            <w:pPr>
              <w:wordWrap w:val="0"/>
              <w:rPr>
                <w:rFonts w:ascii="宋体" w:hAnsi="宋体"/>
                <w:color w:val="auto"/>
                <w:szCs w:val="21"/>
                <w:highlight w:val="none"/>
              </w:rPr>
            </w:pPr>
            <w:r>
              <w:rPr>
                <w:rFonts w:hint="eastAsia" w:ascii="宋体" w:hAnsi="宋体"/>
                <w:color w:val="auto"/>
                <w:szCs w:val="21"/>
                <w:highlight w:val="none"/>
              </w:rPr>
              <w:t>详见招标公告</w:t>
            </w:r>
          </w:p>
        </w:tc>
      </w:tr>
      <w:tr w14:paraId="291C61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7" w:hRule="atLeast"/>
          <w:jc w:val="center"/>
        </w:trPr>
        <w:tc>
          <w:tcPr>
            <w:tcW w:w="696" w:type="dxa"/>
            <w:tcBorders>
              <w:right w:val="single" w:color="auto" w:sz="4" w:space="0"/>
            </w:tcBorders>
            <w:vAlign w:val="center"/>
          </w:tcPr>
          <w:p w14:paraId="640C2A9E">
            <w:pPr>
              <w:wordWrap w:val="0"/>
              <w:jc w:val="center"/>
              <w:rPr>
                <w:rFonts w:ascii="宋体" w:hAnsi="宋体"/>
                <w:color w:val="auto"/>
                <w:szCs w:val="21"/>
                <w:highlight w:val="none"/>
              </w:rPr>
            </w:pPr>
            <w:r>
              <w:rPr>
                <w:rFonts w:hint="eastAsia" w:ascii="宋体" w:hAnsi="宋体"/>
                <w:color w:val="auto"/>
                <w:szCs w:val="21"/>
                <w:highlight w:val="none"/>
              </w:rPr>
              <w:t>3</w:t>
            </w:r>
          </w:p>
        </w:tc>
        <w:tc>
          <w:tcPr>
            <w:tcW w:w="849" w:type="dxa"/>
            <w:tcBorders>
              <w:left w:val="single" w:color="auto" w:sz="4" w:space="0"/>
            </w:tcBorders>
            <w:vAlign w:val="center"/>
          </w:tcPr>
          <w:p w14:paraId="79206127">
            <w:pPr>
              <w:wordWrap w:val="0"/>
              <w:jc w:val="center"/>
              <w:rPr>
                <w:rFonts w:ascii="宋体" w:hAnsi="宋体"/>
                <w:color w:val="auto"/>
                <w:szCs w:val="21"/>
                <w:highlight w:val="none"/>
              </w:rPr>
            </w:pPr>
            <w:r>
              <w:rPr>
                <w:rFonts w:hint="eastAsia" w:ascii="宋体" w:hAnsi="宋体"/>
                <w:color w:val="auto"/>
                <w:szCs w:val="21"/>
                <w:highlight w:val="none"/>
              </w:rPr>
              <w:t>1.3.1</w:t>
            </w:r>
          </w:p>
        </w:tc>
        <w:tc>
          <w:tcPr>
            <w:tcW w:w="2126" w:type="dxa"/>
            <w:vAlign w:val="center"/>
          </w:tcPr>
          <w:p w14:paraId="29FB8CB4">
            <w:pPr>
              <w:wordWrap w:val="0"/>
              <w:jc w:val="center"/>
              <w:rPr>
                <w:rFonts w:ascii="宋体" w:hAnsi="宋体"/>
                <w:color w:val="auto"/>
                <w:szCs w:val="21"/>
                <w:highlight w:val="none"/>
              </w:rPr>
            </w:pPr>
            <w:r>
              <w:rPr>
                <w:rFonts w:ascii="宋体" w:hAnsi="宋体"/>
                <w:color w:val="auto"/>
                <w:szCs w:val="21"/>
                <w:highlight w:val="none"/>
              </w:rPr>
              <w:t>招标范围</w:t>
            </w:r>
          </w:p>
        </w:tc>
        <w:tc>
          <w:tcPr>
            <w:tcW w:w="5474" w:type="dxa"/>
            <w:gridSpan w:val="2"/>
            <w:vAlign w:val="center"/>
          </w:tcPr>
          <w:p w14:paraId="49804529">
            <w:pPr>
              <w:wordWrap w:val="0"/>
              <w:rPr>
                <w:rFonts w:ascii="宋体" w:hAnsi="宋体"/>
                <w:color w:val="auto"/>
                <w:szCs w:val="21"/>
                <w:highlight w:val="none"/>
              </w:rPr>
            </w:pPr>
            <w:r>
              <w:rPr>
                <w:rFonts w:hint="eastAsia" w:ascii="宋体" w:hAnsi="宋体"/>
                <w:color w:val="auto"/>
                <w:szCs w:val="21"/>
                <w:highlight w:val="none"/>
              </w:rPr>
              <w:t>详见招标公告</w:t>
            </w:r>
          </w:p>
        </w:tc>
      </w:tr>
      <w:tr w14:paraId="627D04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2" w:hRule="atLeast"/>
          <w:jc w:val="center"/>
        </w:trPr>
        <w:tc>
          <w:tcPr>
            <w:tcW w:w="696" w:type="dxa"/>
            <w:tcBorders>
              <w:right w:val="single" w:color="auto" w:sz="4" w:space="0"/>
            </w:tcBorders>
            <w:vAlign w:val="center"/>
          </w:tcPr>
          <w:p w14:paraId="6F38B5AB">
            <w:pPr>
              <w:wordWrap w:val="0"/>
              <w:jc w:val="center"/>
              <w:rPr>
                <w:rFonts w:ascii="宋体" w:hAnsi="宋体"/>
                <w:color w:val="auto"/>
                <w:szCs w:val="21"/>
                <w:highlight w:val="none"/>
              </w:rPr>
            </w:pPr>
            <w:r>
              <w:rPr>
                <w:rFonts w:hint="eastAsia" w:ascii="宋体" w:hAnsi="宋体"/>
                <w:color w:val="auto"/>
                <w:szCs w:val="21"/>
                <w:highlight w:val="none"/>
              </w:rPr>
              <w:t>4</w:t>
            </w:r>
          </w:p>
        </w:tc>
        <w:tc>
          <w:tcPr>
            <w:tcW w:w="849" w:type="dxa"/>
            <w:tcBorders>
              <w:left w:val="single" w:color="auto" w:sz="4" w:space="0"/>
            </w:tcBorders>
            <w:vAlign w:val="center"/>
          </w:tcPr>
          <w:p w14:paraId="10D11B04">
            <w:pPr>
              <w:wordWrap w:val="0"/>
              <w:jc w:val="center"/>
              <w:rPr>
                <w:rFonts w:ascii="宋体" w:hAnsi="宋体"/>
                <w:color w:val="auto"/>
                <w:szCs w:val="21"/>
                <w:highlight w:val="none"/>
              </w:rPr>
            </w:pPr>
            <w:r>
              <w:rPr>
                <w:rFonts w:hint="eastAsia" w:ascii="宋体" w:hAnsi="宋体"/>
                <w:color w:val="auto"/>
                <w:szCs w:val="21"/>
                <w:highlight w:val="none"/>
              </w:rPr>
              <w:t>1.3.2</w:t>
            </w:r>
          </w:p>
        </w:tc>
        <w:tc>
          <w:tcPr>
            <w:tcW w:w="2126" w:type="dxa"/>
            <w:vAlign w:val="center"/>
          </w:tcPr>
          <w:p w14:paraId="3AF996D7">
            <w:pPr>
              <w:wordWrap w:val="0"/>
              <w:jc w:val="center"/>
              <w:rPr>
                <w:rFonts w:ascii="宋体" w:hAnsi="宋体"/>
                <w:color w:val="auto"/>
                <w:szCs w:val="21"/>
                <w:highlight w:val="none"/>
              </w:rPr>
            </w:pPr>
            <w:r>
              <w:rPr>
                <w:rFonts w:hint="eastAsia" w:ascii="宋体" w:hAnsi="宋体"/>
                <w:color w:val="auto"/>
                <w:szCs w:val="21"/>
                <w:highlight w:val="none"/>
              </w:rPr>
              <w:t>服务期限</w:t>
            </w:r>
          </w:p>
        </w:tc>
        <w:tc>
          <w:tcPr>
            <w:tcW w:w="5474" w:type="dxa"/>
            <w:gridSpan w:val="2"/>
            <w:vAlign w:val="center"/>
          </w:tcPr>
          <w:p w14:paraId="6B60D0F8">
            <w:pPr>
              <w:wordWrap w:val="0"/>
              <w:rPr>
                <w:rFonts w:ascii="宋体" w:hAnsi="宋体"/>
                <w:color w:val="auto"/>
                <w:szCs w:val="21"/>
                <w:highlight w:val="none"/>
              </w:rPr>
            </w:pPr>
            <w:r>
              <w:rPr>
                <w:rFonts w:hint="eastAsia" w:ascii="宋体" w:hAnsi="宋体"/>
                <w:color w:val="auto"/>
                <w:szCs w:val="21"/>
                <w:highlight w:val="none"/>
              </w:rPr>
              <w:t>详见招标公告</w:t>
            </w:r>
          </w:p>
        </w:tc>
      </w:tr>
      <w:tr w14:paraId="6A08F8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7" w:hRule="atLeast"/>
          <w:jc w:val="center"/>
        </w:trPr>
        <w:tc>
          <w:tcPr>
            <w:tcW w:w="696" w:type="dxa"/>
            <w:tcBorders>
              <w:right w:val="single" w:color="auto" w:sz="4" w:space="0"/>
            </w:tcBorders>
            <w:vAlign w:val="center"/>
          </w:tcPr>
          <w:p w14:paraId="20D529F5">
            <w:pPr>
              <w:wordWrap w:val="0"/>
              <w:jc w:val="center"/>
              <w:rPr>
                <w:rFonts w:ascii="宋体" w:hAnsi="宋体"/>
                <w:color w:val="auto"/>
                <w:szCs w:val="21"/>
                <w:highlight w:val="none"/>
              </w:rPr>
            </w:pPr>
            <w:r>
              <w:rPr>
                <w:rFonts w:hint="eastAsia" w:ascii="宋体" w:hAnsi="宋体"/>
                <w:color w:val="auto"/>
                <w:szCs w:val="21"/>
                <w:highlight w:val="none"/>
              </w:rPr>
              <w:t>5</w:t>
            </w:r>
          </w:p>
        </w:tc>
        <w:tc>
          <w:tcPr>
            <w:tcW w:w="849" w:type="dxa"/>
            <w:tcBorders>
              <w:left w:val="single" w:color="auto" w:sz="4" w:space="0"/>
            </w:tcBorders>
            <w:vAlign w:val="center"/>
          </w:tcPr>
          <w:p w14:paraId="1CAF9A9D">
            <w:pPr>
              <w:wordWrap w:val="0"/>
              <w:jc w:val="center"/>
              <w:rPr>
                <w:rFonts w:ascii="宋体" w:hAnsi="宋体"/>
                <w:color w:val="auto"/>
                <w:szCs w:val="21"/>
                <w:highlight w:val="none"/>
              </w:rPr>
            </w:pPr>
            <w:r>
              <w:rPr>
                <w:rFonts w:hint="eastAsia" w:ascii="宋体" w:hAnsi="宋体"/>
                <w:color w:val="auto"/>
                <w:szCs w:val="21"/>
                <w:highlight w:val="none"/>
              </w:rPr>
              <w:t>1.4.1</w:t>
            </w:r>
          </w:p>
        </w:tc>
        <w:tc>
          <w:tcPr>
            <w:tcW w:w="2126" w:type="dxa"/>
            <w:vAlign w:val="center"/>
          </w:tcPr>
          <w:p w14:paraId="37FCA9CA">
            <w:pPr>
              <w:wordWrap w:val="0"/>
              <w:jc w:val="center"/>
              <w:rPr>
                <w:rFonts w:ascii="宋体" w:hAnsi="宋体"/>
                <w:color w:val="auto"/>
                <w:szCs w:val="21"/>
                <w:highlight w:val="none"/>
              </w:rPr>
            </w:pPr>
            <w:r>
              <w:rPr>
                <w:rFonts w:hint="eastAsia" w:ascii="宋体" w:hAnsi="宋体"/>
                <w:color w:val="auto"/>
                <w:szCs w:val="21"/>
                <w:highlight w:val="none"/>
              </w:rPr>
              <w:t>投标人资格要求</w:t>
            </w:r>
          </w:p>
        </w:tc>
        <w:tc>
          <w:tcPr>
            <w:tcW w:w="5474" w:type="dxa"/>
            <w:gridSpan w:val="2"/>
            <w:vAlign w:val="center"/>
          </w:tcPr>
          <w:p w14:paraId="1CE981F2">
            <w:pPr>
              <w:wordWrap w:val="0"/>
              <w:rPr>
                <w:rFonts w:ascii="宋体" w:hAnsi="宋体"/>
                <w:color w:val="auto"/>
                <w:szCs w:val="21"/>
                <w:highlight w:val="none"/>
              </w:rPr>
            </w:pPr>
            <w:r>
              <w:rPr>
                <w:rFonts w:hint="eastAsia" w:ascii="宋体" w:hAnsi="宋体"/>
                <w:color w:val="auto"/>
                <w:szCs w:val="21"/>
                <w:highlight w:val="none"/>
              </w:rPr>
              <w:t>详见招标公告</w:t>
            </w:r>
          </w:p>
        </w:tc>
      </w:tr>
      <w:tr w14:paraId="4C4B7D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96" w:type="dxa"/>
            <w:tcBorders>
              <w:right w:val="single" w:color="auto" w:sz="4" w:space="0"/>
            </w:tcBorders>
            <w:vAlign w:val="center"/>
          </w:tcPr>
          <w:p w14:paraId="7087EA01">
            <w:pPr>
              <w:wordWrap w:val="0"/>
              <w:jc w:val="center"/>
              <w:rPr>
                <w:rFonts w:ascii="宋体" w:hAnsi="宋体"/>
                <w:color w:val="auto"/>
                <w:szCs w:val="21"/>
                <w:highlight w:val="none"/>
              </w:rPr>
            </w:pPr>
            <w:r>
              <w:rPr>
                <w:rFonts w:hint="eastAsia" w:ascii="宋体" w:hAnsi="宋体"/>
                <w:color w:val="auto"/>
                <w:szCs w:val="21"/>
                <w:highlight w:val="none"/>
              </w:rPr>
              <w:t>6</w:t>
            </w:r>
          </w:p>
        </w:tc>
        <w:tc>
          <w:tcPr>
            <w:tcW w:w="849" w:type="dxa"/>
            <w:tcBorders>
              <w:left w:val="single" w:color="auto" w:sz="4" w:space="0"/>
            </w:tcBorders>
            <w:vAlign w:val="center"/>
          </w:tcPr>
          <w:p w14:paraId="58030DF0">
            <w:pPr>
              <w:wordWrap w:val="0"/>
              <w:jc w:val="center"/>
              <w:rPr>
                <w:rFonts w:ascii="宋体" w:hAnsi="宋体"/>
                <w:color w:val="auto"/>
                <w:szCs w:val="21"/>
                <w:highlight w:val="none"/>
              </w:rPr>
            </w:pPr>
            <w:r>
              <w:rPr>
                <w:rFonts w:hint="eastAsia" w:ascii="宋体" w:hAnsi="宋体"/>
                <w:color w:val="auto"/>
                <w:szCs w:val="21"/>
                <w:highlight w:val="none"/>
              </w:rPr>
              <w:t>1.4.2</w:t>
            </w:r>
          </w:p>
        </w:tc>
        <w:tc>
          <w:tcPr>
            <w:tcW w:w="2126" w:type="dxa"/>
            <w:vAlign w:val="center"/>
          </w:tcPr>
          <w:p w14:paraId="4EE53709">
            <w:pPr>
              <w:wordWrap w:val="0"/>
              <w:rPr>
                <w:rFonts w:ascii="宋体" w:hAnsi="宋体"/>
                <w:color w:val="auto"/>
                <w:szCs w:val="21"/>
                <w:highlight w:val="none"/>
              </w:rPr>
            </w:pPr>
            <w:r>
              <w:rPr>
                <w:rFonts w:hint="eastAsia" w:ascii="宋体" w:hAnsi="宋体"/>
                <w:color w:val="auto"/>
                <w:szCs w:val="21"/>
                <w:highlight w:val="none"/>
              </w:rPr>
              <w:t>是否接受联合体投标</w:t>
            </w:r>
          </w:p>
        </w:tc>
        <w:tc>
          <w:tcPr>
            <w:tcW w:w="5474" w:type="dxa"/>
            <w:gridSpan w:val="2"/>
            <w:vAlign w:val="center"/>
          </w:tcPr>
          <w:p w14:paraId="0DEAC935">
            <w:pPr>
              <w:wordWrap w:val="0"/>
              <w:rPr>
                <w:rFonts w:ascii="宋体" w:hAnsi="宋体"/>
                <w:color w:val="auto"/>
                <w:szCs w:val="21"/>
                <w:highlight w:val="none"/>
              </w:rPr>
            </w:pPr>
            <w:r>
              <w:rPr>
                <w:rFonts w:hint="eastAsia" w:ascii="宋体" w:hAnsi="宋体"/>
                <w:color w:val="auto"/>
                <w:szCs w:val="21"/>
                <w:highlight w:val="none"/>
              </w:rPr>
              <w:sym w:font="Wingdings 2" w:char="0052"/>
            </w:r>
            <w:r>
              <w:rPr>
                <w:rFonts w:hint="eastAsia" w:ascii="宋体" w:hAnsi="宋体"/>
                <w:color w:val="auto"/>
                <w:szCs w:val="21"/>
                <w:highlight w:val="none"/>
              </w:rPr>
              <w:t>不接受</w:t>
            </w:r>
          </w:p>
          <w:p w14:paraId="31214A35">
            <w:pPr>
              <w:wordWrap w:val="0"/>
              <w:rPr>
                <w:rFonts w:ascii="宋体" w:hAnsi="宋体"/>
                <w:color w:val="auto"/>
                <w:szCs w:val="21"/>
                <w:highlight w:val="none"/>
              </w:rPr>
            </w:pPr>
            <w:r>
              <w:rPr>
                <w:rFonts w:hint="eastAsia" w:ascii="宋体" w:hAnsi="宋体"/>
                <w:color w:val="auto"/>
                <w:szCs w:val="21"/>
                <w:highlight w:val="none"/>
              </w:rPr>
              <w:t>□接受，应满足下列要求：详见招标公告</w:t>
            </w:r>
          </w:p>
        </w:tc>
      </w:tr>
      <w:tr w14:paraId="549FF0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96" w:type="dxa"/>
            <w:tcBorders>
              <w:right w:val="single" w:color="auto" w:sz="4" w:space="0"/>
            </w:tcBorders>
            <w:vAlign w:val="center"/>
          </w:tcPr>
          <w:p w14:paraId="734D2D2E">
            <w:pPr>
              <w:wordWrap w:val="0"/>
              <w:jc w:val="center"/>
              <w:rPr>
                <w:rFonts w:ascii="宋体" w:hAnsi="宋体"/>
                <w:color w:val="auto"/>
                <w:szCs w:val="21"/>
                <w:highlight w:val="none"/>
              </w:rPr>
            </w:pPr>
            <w:r>
              <w:rPr>
                <w:rFonts w:hint="eastAsia" w:ascii="宋体" w:hAnsi="宋体"/>
                <w:color w:val="auto"/>
                <w:szCs w:val="21"/>
                <w:highlight w:val="none"/>
              </w:rPr>
              <w:t>7</w:t>
            </w:r>
          </w:p>
        </w:tc>
        <w:tc>
          <w:tcPr>
            <w:tcW w:w="849" w:type="dxa"/>
            <w:tcBorders>
              <w:left w:val="single" w:color="auto" w:sz="4" w:space="0"/>
            </w:tcBorders>
            <w:vAlign w:val="center"/>
          </w:tcPr>
          <w:p w14:paraId="76DD23F6">
            <w:pPr>
              <w:wordWrap w:val="0"/>
              <w:jc w:val="center"/>
              <w:rPr>
                <w:rFonts w:ascii="宋体" w:hAnsi="宋体"/>
                <w:color w:val="auto"/>
                <w:szCs w:val="21"/>
                <w:highlight w:val="none"/>
              </w:rPr>
            </w:pPr>
            <w:r>
              <w:rPr>
                <w:rFonts w:hint="eastAsia" w:ascii="宋体" w:hAnsi="宋体"/>
                <w:color w:val="auto"/>
                <w:szCs w:val="21"/>
                <w:highlight w:val="none"/>
              </w:rPr>
              <w:t>1.10.1</w:t>
            </w:r>
          </w:p>
        </w:tc>
        <w:tc>
          <w:tcPr>
            <w:tcW w:w="2126" w:type="dxa"/>
            <w:vAlign w:val="center"/>
          </w:tcPr>
          <w:p w14:paraId="4798BB21">
            <w:pPr>
              <w:wordWrap w:val="0"/>
              <w:jc w:val="center"/>
              <w:rPr>
                <w:rFonts w:ascii="宋体" w:hAnsi="宋体"/>
                <w:color w:val="auto"/>
                <w:szCs w:val="21"/>
                <w:highlight w:val="none"/>
              </w:rPr>
            </w:pPr>
            <w:r>
              <w:rPr>
                <w:rFonts w:ascii="宋体" w:hAnsi="宋体"/>
                <w:color w:val="auto"/>
                <w:szCs w:val="21"/>
                <w:highlight w:val="none"/>
              </w:rPr>
              <w:t>实质性要求和条件</w:t>
            </w:r>
          </w:p>
        </w:tc>
        <w:tc>
          <w:tcPr>
            <w:tcW w:w="5474" w:type="dxa"/>
            <w:gridSpan w:val="2"/>
            <w:vAlign w:val="center"/>
          </w:tcPr>
          <w:p w14:paraId="16459AA4">
            <w:pPr>
              <w:wordWrap w:val="0"/>
              <w:rPr>
                <w:rStyle w:val="191"/>
                <w:rFonts w:hint="default"/>
                <w:color w:val="auto"/>
                <w:sz w:val="21"/>
                <w:szCs w:val="21"/>
                <w:highlight w:val="none"/>
              </w:rPr>
            </w:pPr>
            <w:r>
              <w:rPr>
                <w:rStyle w:val="191"/>
                <w:rFonts w:hint="default"/>
                <w:color w:val="auto"/>
                <w:sz w:val="21"/>
                <w:szCs w:val="21"/>
                <w:highlight w:val="none"/>
              </w:rPr>
              <w:t>1、招标文件中规定的</w:t>
            </w:r>
            <w:r>
              <w:rPr>
                <w:rStyle w:val="191"/>
                <w:rFonts w:hint="default"/>
                <w:b/>
                <w:bCs/>
                <w:color w:val="auto"/>
                <w:sz w:val="21"/>
                <w:szCs w:val="21"/>
                <w:highlight w:val="none"/>
              </w:rPr>
              <w:t>否决</w:t>
            </w:r>
            <w:r>
              <w:rPr>
                <w:rStyle w:val="191"/>
                <w:rFonts w:hint="default"/>
                <w:color w:val="auto"/>
                <w:sz w:val="21"/>
                <w:szCs w:val="21"/>
                <w:highlight w:val="none"/>
              </w:rPr>
              <w:t>性条款；</w:t>
            </w:r>
          </w:p>
          <w:p w14:paraId="1B985AD5">
            <w:pPr>
              <w:wordWrap w:val="0"/>
              <w:rPr>
                <w:rFonts w:ascii="宋体" w:hAnsi="宋体"/>
                <w:color w:val="auto"/>
                <w:szCs w:val="21"/>
                <w:highlight w:val="none"/>
              </w:rPr>
            </w:pPr>
            <w:r>
              <w:rPr>
                <w:rStyle w:val="191"/>
                <w:rFonts w:hint="default"/>
                <w:color w:val="auto"/>
                <w:sz w:val="21"/>
                <w:szCs w:val="21"/>
                <w:highlight w:val="none"/>
              </w:rPr>
              <w:t>2、招标文件中标注“★”符号的条款。</w:t>
            </w:r>
          </w:p>
        </w:tc>
      </w:tr>
      <w:tr w14:paraId="79548E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96" w:type="dxa"/>
            <w:tcBorders>
              <w:right w:val="single" w:color="auto" w:sz="4" w:space="0"/>
            </w:tcBorders>
            <w:vAlign w:val="center"/>
          </w:tcPr>
          <w:p w14:paraId="22A73877">
            <w:pPr>
              <w:wordWrap w:val="0"/>
              <w:jc w:val="center"/>
              <w:rPr>
                <w:rFonts w:ascii="宋体" w:hAnsi="宋体"/>
                <w:color w:val="auto"/>
                <w:szCs w:val="21"/>
                <w:highlight w:val="none"/>
              </w:rPr>
            </w:pPr>
            <w:r>
              <w:rPr>
                <w:rFonts w:hint="eastAsia" w:ascii="宋体" w:hAnsi="宋体"/>
                <w:color w:val="auto"/>
                <w:szCs w:val="21"/>
                <w:highlight w:val="none"/>
              </w:rPr>
              <w:t>8</w:t>
            </w:r>
          </w:p>
        </w:tc>
        <w:tc>
          <w:tcPr>
            <w:tcW w:w="849" w:type="dxa"/>
            <w:tcBorders>
              <w:left w:val="single" w:color="auto" w:sz="4" w:space="0"/>
            </w:tcBorders>
            <w:vAlign w:val="center"/>
          </w:tcPr>
          <w:p w14:paraId="19A31027">
            <w:pPr>
              <w:wordWrap w:val="0"/>
              <w:jc w:val="center"/>
              <w:rPr>
                <w:rFonts w:ascii="宋体" w:hAnsi="宋体"/>
                <w:color w:val="auto"/>
                <w:szCs w:val="21"/>
                <w:highlight w:val="none"/>
              </w:rPr>
            </w:pPr>
            <w:r>
              <w:rPr>
                <w:rFonts w:ascii="宋体" w:hAnsi="宋体"/>
                <w:color w:val="auto"/>
                <w:szCs w:val="21"/>
                <w:highlight w:val="none"/>
              </w:rPr>
              <w:t>1.1</w:t>
            </w:r>
            <w:r>
              <w:rPr>
                <w:rFonts w:hint="eastAsia" w:ascii="宋体" w:hAnsi="宋体"/>
                <w:color w:val="auto"/>
                <w:szCs w:val="21"/>
                <w:highlight w:val="none"/>
              </w:rPr>
              <w:t>0</w:t>
            </w:r>
            <w:r>
              <w:rPr>
                <w:rFonts w:ascii="宋体" w:hAnsi="宋体"/>
                <w:color w:val="auto"/>
                <w:szCs w:val="21"/>
                <w:highlight w:val="none"/>
              </w:rPr>
              <w:t>.4</w:t>
            </w:r>
          </w:p>
        </w:tc>
        <w:tc>
          <w:tcPr>
            <w:tcW w:w="2126" w:type="dxa"/>
            <w:vAlign w:val="center"/>
          </w:tcPr>
          <w:p w14:paraId="73393534">
            <w:pPr>
              <w:wordWrap w:val="0"/>
              <w:jc w:val="center"/>
              <w:rPr>
                <w:rFonts w:ascii="宋体" w:hAnsi="宋体"/>
                <w:color w:val="auto"/>
                <w:szCs w:val="21"/>
                <w:highlight w:val="none"/>
              </w:rPr>
            </w:pPr>
            <w:r>
              <w:rPr>
                <w:rFonts w:hint="eastAsia" w:ascii="宋体" w:hAnsi="宋体"/>
                <w:color w:val="auto"/>
                <w:szCs w:val="21"/>
                <w:highlight w:val="none"/>
              </w:rPr>
              <w:t>非</w:t>
            </w:r>
            <w:r>
              <w:rPr>
                <w:rFonts w:ascii="宋体" w:hAnsi="宋体"/>
                <w:color w:val="auto"/>
                <w:szCs w:val="21"/>
                <w:highlight w:val="none"/>
              </w:rPr>
              <w:t>实质性要求</w:t>
            </w:r>
            <w:r>
              <w:rPr>
                <w:rFonts w:hint="eastAsia" w:ascii="宋体" w:hAnsi="宋体"/>
                <w:color w:val="auto"/>
                <w:szCs w:val="21"/>
                <w:highlight w:val="none"/>
              </w:rPr>
              <w:t>/</w:t>
            </w:r>
            <w:r>
              <w:rPr>
                <w:rFonts w:ascii="宋体" w:hAnsi="宋体"/>
                <w:color w:val="auto"/>
                <w:szCs w:val="21"/>
                <w:highlight w:val="none"/>
              </w:rPr>
              <w:t>条件允许</w:t>
            </w:r>
            <w:r>
              <w:rPr>
                <w:rFonts w:hint="eastAsia" w:ascii="宋体" w:hAnsi="宋体"/>
                <w:color w:val="auto"/>
                <w:szCs w:val="21"/>
                <w:highlight w:val="none"/>
              </w:rPr>
              <w:t>偏差的</w:t>
            </w:r>
            <w:r>
              <w:rPr>
                <w:rFonts w:ascii="宋体" w:hAnsi="宋体"/>
                <w:color w:val="auto"/>
                <w:szCs w:val="21"/>
                <w:highlight w:val="none"/>
              </w:rPr>
              <w:t>最</w:t>
            </w:r>
            <w:r>
              <w:rPr>
                <w:rFonts w:hint="eastAsia" w:ascii="宋体" w:hAnsi="宋体"/>
                <w:color w:val="auto"/>
                <w:szCs w:val="21"/>
                <w:highlight w:val="none"/>
              </w:rPr>
              <w:t>高</w:t>
            </w:r>
            <w:r>
              <w:rPr>
                <w:rFonts w:ascii="宋体" w:hAnsi="宋体"/>
                <w:color w:val="auto"/>
                <w:szCs w:val="21"/>
                <w:highlight w:val="none"/>
              </w:rPr>
              <w:t>项数</w:t>
            </w:r>
          </w:p>
        </w:tc>
        <w:tc>
          <w:tcPr>
            <w:tcW w:w="5474" w:type="dxa"/>
            <w:gridSpan w:val="2"/>
            <w:vAlign w:val="center"/>
          </w:tcPr>
          <w:p w14:paraId="74CA29F8">
            <w:pPr>
              <w:wordWrap w:val="0"/>
              <w:rPr>
                <w:rStyle w:val="191"/>
                <w:rFonts w:hint="default"/>
                <w:color w:val="auto"/>
                <w:sz w:val="21"/>
                <w:szCs w:val="21"/>
                <w:highlight w:val="none"/>
              </w:rPr>
            </w:pPr>
            <w:r>
              <w:rPr>
                <w:rStyle w:val="191"/>
                <w:rFonts w:hint="default"/>
                <w:color w:val="auto"/>
                <w:sz w:val="21"/>
                <w:szCs w:val="21"/>
                <w:highlight w:val="none"/>
              </w:rPr>
              <w:t>偏差范围：非实质性要求/条件</w:t>
            </w:r>
          </w:p>
          <w:p w14:paraId="0654EF34">
            <w:pPr>
              <w:wordWrap w:val="0"/>
              <w:rPr>
                <w:rStyle w:val="191"/>
                <w:rFonts w:hint="default"/>
                <w:color w:val="auto"/>
                <w:sz w:val="21"/>
                <w:szCs w:val="21"/>
                <w:highlight w:val="none"/>
              </w:rPr>
            </w:pPr>
            <w:r>
              <w:rPr>
                <w:rStyle w:val="191"/>
                <w:rFonts w:hint="default"/>
                <w:color w:val="auto"/>
                <w:sz w:val="21"/>
                <w:szCs w:val="21"/>
                <w:highlight w:val="none"/>
              </w:rPr>
              <w:t>最高项数：偏差项数之和</w:t>
            </w:r>
            <w:r>
              <w:rPr>
                <w:rFonts w:hint="eastAsia" w:ascii="宋体" w:hAnsi="宋体"/>
                <w:color w:val="auto"/>
                <w:szCs w:val="21"/>
                <w:highlight w:val="none"/>
              </w:rPr>
              <w:t>≥10项将</w:t>
            </w:r>
            <w:r>
              <w:rPr>
                <w:rFonts w:hint="eastAsia" w:ascii="宋体" w:hAnsi="宋体"/>
                <w:b/>
                <w:bCs/>
                <w:color w:val="auto"/>
                <w:szCs w:val="21"/>
                <w:highlight w:val="none"/>
              </w:rPr>
              <w:t>否决</w:t>
            </w:r>
            <w:r>
              <w:rPr>
                <w:rFonts w:hint="eastAsia" w:ascii="宋体" w:hAnsi="宋体"/>
                <w:color w:val="auto"/>
                <w:szCs w:val="21"/>
                <w:highlight w:val="none"/>
              </w:rPr>
              <w:t>投标。相同内容不重复计算项数。</w:t>
            </w:r>
          </w:p>
        </w:tc>
      </w:tr>
      <w:tr w14:paraId="141CC4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96" w:type="dxa"/>
            <w:tcBorders>
              <w:right w:val="single" w:color="auto" w:sz="4" w:space="0"/>
            </w:tcBorders>
            <w:vAlign w:val="center"/>
          </w:tcPr>
          <w:p w14:paraId="5CDB7BF1">
            <w:pPr>
              <w:wordWrap w:val="0"/>
              <w:jc w:val="center"/>
              <w:rPr>
                <w:rFonts w:ascii="宋体" w:hAnsi="宋体"/>
                <w:color w:val="auto"/>
                <w:szCs w:val="21"/>
                <w:highlight w:val="none"/>
              </w:rPr>
            </w:pPr>
            <w:r>
              <w:rPr>
                <w:rFonts w:hint="eastAsia" w:ascii="宋体" w:hAnsi="宋体"/>
                <w:color w:val="auto"/>
                <w:szCs w:val="21"/>
                <w:highlight w:val="none"/>
              </w:rPr>
              <w:t>9</w:t>
            </w:r>
          </w:p>
        </w:tc>
        <w:tc>
          <w:tcPr>
            <w:tcW w:w="849" w:type="dxa"/>
            <w:tcBorders>
              <w:left w:val="single" w:color="auto" w:sz="4" w:space="0"/>
            </w:tcBorders>
            <w:vAlign w:val="center"/>
          </w:tcPr>
          <w:p w14:paraId="17DD4EA2">
            <w:pPr>
              <w:wordWrap w:val="0"/>
              <w:jc w:val="center"/>
              <w:rPr>
                <w:rFonts w:ascii="宋体" w:hAnsi="宋体"/>
                <w:color w:val="auto"/>
                <w:szCs w:val="21"/>
                <w:highlight w:val="none"/>
              </w:rPr>
            </w:pPr>
            <w:r>
              <w:rPr>
                <w:rFonts w:hint="eastAsia" w:ascii="宋体" w:hAnsi="宋体"/>
                <w:color w:val="auto"/>
                <w:szCs w:val="21"/>
                <w:highlight w:val="none"/>
              </w:rPr>
              <w:t>2.1</w:t>
            </w:r>
          </w:p>
        </w:tc>
        <w:tc>
          <w:tcPr>
            <w:tcW w:w="2126" w:type="dxa"/>
            <w:vAlign w:val="center"/>
          </w:tcPr>
          <w:p w14:paraId="5EFEC1A8">
            <w:pPr>
              <w:wordWrap w:val="0"/>
              <w:jc w:val="center"/>
              <w:rPr>
                <w:rFonts w:ascii="宋体" w:hAnsi="宋体"/>
                <w:color w:val="auto"/>
                <w:szCs w:val="21"/>
                <w:highlight w:val="none"/>
              </w:rPr>
            </w:pPr>
            <w:r>
              <w:rPr>
                <w:rFonts w:ascii="宋体" w:hAnsi="宋体"/>
                <w:color w:val="auto"/>
                <w:szCs w:val="21"/>
                <w:highlight w:val="none"/>
              </w:rPr>
              <w:t>构成招标文件的</w:t>
            </w:r>
          </w:p>
          <w:p w14:paraId="3EA3DBA6">
            <w:pPr>
              <w:wordWrap w:val="0"/>
              <w:jc w:val="center"/>
              <w:rPr>
                <w:rFonts w:ascii="宋体" w:hAnsi="宋体"/>
                <w:color w:val="auto"/>
                <w:szCs w:val="21"/>
                <w:highlight w:val="none"/>
              </w:rPr>
            </w:pPr>
            <w:r>
              <w:rPr>
                <w:rFonts w:ascii="宋体" w:hAnsi="宋体"/>
                <w:color w:val="auto"/>
                <w:szCs w:val="21"/>
                <w:highlight w:val="none"/>
              </w:rPr>
              <w:t>其他资料</w:t>
            </w:r>
          </w:p>
        </w:tc>
        <w:tc>
          <w:tcPr>
            <w:tcW w:w="5474" w:type="dxa"/>
            <w:gridSpan w:val="2"/>
            <w:vAlign w:val="center"/>
          </w:tcPr>
          <w:p w14:paraId="47A34327">
            <w:pPr>
              <w:wordWrap w:val="0"/>
              <w:rPr>
                <w:rFonts w:ascii="宋体" w:hAnsi="宋体"/>
                <w:color w:val="auto"/>
                <w:szCs w:val="21"/>
                <w:highlight w:val="none"/>
              </w:rPr>
            </w:pPr>
            <w:r>
              <w:rPr>
                <w:rFonts w:hint="eastAsia" w:ascii="宋体" w:hAnsi="宋体"/>
                <w:color w:val="auto"/>
                <w:szCs w:val="21"/>
                <w:highlight w:val="none"/>
              </w:rPr>
              <w:t>招标澄清、修改、补充公告等（如有）</w:t>
            </w:r>
          </w:p>
        </w:tc>
      </w:tr>
      <w:tr w14:paraId="570DFE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96" w:type="dxa"/>
            <w:tcBorders>
              <w:right w:val="single" w:color="auto" w:sz="4" w:space="0"/>
            </w:tcBorders>
            <w:vAlign w:val="center"/>
          </w:tcPr>
          <w:p w14:paraId="76CC9771">
            <w:pPr>
              <w:wordWrap w:val="0"/>
              <w:jc w:val="center"/>
              <w:rPr>
                <w:rFonts w:ascii="宋体" w:hAnsi="宋体"/>
                <w:color w:val="auto"/>
                <w:szCs w:val="21"/>
                <w:highlight w:val="none"/>
              </w:rPr>
            </w:pPr>
            <w:r>
              <w:rPr>
                <w:rFonts w:hint="eastAsia" w:ascii="宋体" w:hAnsi="宋体"/>
                <w:color w:val="auto"/>
                <w:szCs w:val="21"/>
                <w:highlight w:val="none"/>
              </w:rPr>
              <w:t>10</w:t>
            </w:r>
          </w:p>
        </w:tc>
        <w:tc>
          <w:tcPr>
            <w:tcW w:w="849" w:type="dxa"/>
            <w:tcBorders>
              <w:left w:val="single" w:color="auto" w:sz="4" w:space="0"/>
            </w:tcBorders>
            <w:vAlign w:val="center"/>
          </w:tcPr>
          <w:p w14:paraId="17901125">
            <w:pPr>
              <w:wordWrap w:val="0"/>
              <w:jc w:val="center"/>
              <w:rPr>
                <w:rFonts w:ascii="宋体" w:hAnsi="宋体"/>
                <w:color w:val="auto"/>
                <w:szCs w:val="21"/>
                <w:highlight w:val="none"/>
              </w:rPr>
            </w:pPr>
            <w:r>
              <w:rPr>
                <w:rFonts w:hint="eastAsia" w:ascii="宋体" w:hAnsi="宋体"/>
                <w:color w:val="auto"/>
                <w:szCs w:val="21"/>
                <w:highlight w:val="none"/>
              </w:rPr>
              <w:t>2.2.1</w:t>
            </w:r>
          </w:p>
        </w:tc>
        <w:tc>
          <w:tcPr>
            <w:tcW w:w="2126" w:type="dxa"/>
            <w:vAlign w:val="center"/>
          </w:tcPr>
          <w:p w14:paraId="285E760E">
            <w:pPr>
              <w:wordWrap w:val="0"/>
              <w:jc w:val="center"/>
              <w:rPr>
                <w:rFonts w:ascii="宋体" w:hAnsi="宋体"/>
                <w:color w:val="auto"/>
                <w:szCs w:val="21"/>
                <w:highlight w:val="none"/>
              </w:rPr>
            </w:pPr>
            <w:r>
              <w:rPr>
                <w:rFonts w:ascii="宋体" w:hAnsi="宋体"/>
                <w:color w:val="auto"/>
                <w:szCs w:val="21"/>
                <w:highlight w:val="none"/>
              </w:rPr>
              <w:t>投标人要求澄清招标文件</w:t>
            </w:r>
            <w:r>
              <w:rPr>
                <w:rFonts w:hint="eastAsia" w:ascii="宋体" w:hAnsi="宋体"/>
                <w:color w:val="auto"/>
                <w:szCs w:val="21"/>
                <w:highlight w:val="none"/>
              </w:rPr>
              <w:t>时间和形式</w:t>
            </w:r>
          </w:p>
        </w:tc>
        <w:tc>
          <w:tcPr>
            <w:tcW w:w="5474" w:type="dxa"/>
            <w:gridSpan w:val="2"/>
            <w:vAlign w:val="center"/>
          </w:tcPr>
          <w:p w14:paraId="06C35EA4">
            <w:pPr>
              <w:wordWrap w:val="0"/>
              <w:rPr>
                <w:rFonts w:ascii="宋体" w:hAnsi="宋体"/>
                <w:color w:val="auto"/>
                <w:szCs w:val="21"/>
                <w:highlight w:val="none"/>
              </w:rPr>
            </w:pPr>
            <w:r>
              <w:rPr>
                <w:rFonts w:hint="eastAsia" w:ascii="宋体" w:hAnsi="宋体"/>
                <w:color w:val="auto"/>
                <w:szCs w:val="21"/>
                <w:highlight w:val="none"/>
              </w:rPr>
              <w:t>详见招标公告</w:t>
            </w:r>
          </w:p>
        </w:tc>
      </w:tr>
      <w:tr w14:paraId="71650A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96" w:type="dxa"/>
            <w:tcBorders>
              <w:right w:val="single" w:color="auto" w:sz="4" w:space="0"/>
            </w:tcBorders>
            <w:vAlign w:val="center"/>
          </w:tcPr>
          <w:p w14:paraId="2A090825">
            <w:pPr>
              <w:wordWrap w:val="0"/>
              <w:jc w:val="center"/>
              <w:rPr>
                <w:rFonts w:ascii="宋体" w:hAnsi="宋体"/>
                <w:color w:val="auto"/>
                <w:szCs w:val="21"/>
                <w:highlight w:val="none"/>
              </w:rPr>
            </w:pPr>
            <w:r>
              <w:rPr>
                <w:rFonts w:hint="eastAsia" w:ascii="宋体" w:hAnsi="宋体"/>
                <w:color w:val="auto"/>
                <w:szCs w:val="21"/>
                <w:highlight w:val="none"/>
              </w:rPr>
              <w:t>11</w:t>
            </w:r>
          </w:p>
        </w:tc>
        <w:tc>
          <w:tcPr>
            <w:tcW w:w="849" w:type="dxa"/>
            <w:tcBorders>
              <w:left w:val="single" w:color="auto" w:sz="4" w:space="0"/>
            </w:tcBorders>
            <w:vAlign w:val="center"/>
          </w:tcPr>
          <w:p w14:paraId="0B2DB693">
            <w:pPr>
              <w:wordWrap w:val="0"/>
              <w:jc w:val="center"/>
              <w:rPr>
                <w:rFonts w:ascii="宋体" w:hAnsi="宋体"/>
                <w:color w:val="auto"/>
                <w:szCs w:val="21"/>
                <w:highlight w:val="none"/>
              </w:rPr>
            </w:pPr>
            <w:r>
              <w:rPr>
                <w:rFonts w:hint="eastAsia" w:ascii="宋体" w:hAnsi="宋体"/>
                <w:color w:val="auto"/>
                <w:szCs w:val="21"/>
                <w:highlight w:val="none"/>
              </w:rPr>
              <w:t>2.2.2</w:t>
            </w:r>
          </w:p>
        </w:tc>
        <w:tc>
          <w:tcPr>
            <w:tcW w:w="2126" w:type="dxa"/>
            <w:vAlign w:val="center"/>
          </w:tcPr>
          <w:p w14:paraId="68E2BDE4">
            <w:pPr>
              <w:wordWrap w:val="0"/>
              <w:jc w:val="center"/>
              <w:rPr>
                <w:rFonts w:ascii="宋体" w:hAnsi="宋体"/>
                <w:color w:val="auto"/>
                <w:szCs w:val="21"/>
                <w:highlight w:val="none"/>
              </w:rPr>
            </w:pPr>
            <w:r>
              <w:rPr>
                <w:rFonts w:ascii="宋体" w:hAnsi="宋体"/>
                <w:color w:val="auto"/>
                <w:szCs w:val="21"/>
                <w:highlight w:val="none"/>
              </w:rPr>
              <w:t>招标文件澄清发出的形式</w:t>
            </w:r>
          </w:p>
        </w:tc>
        <w:tc>
          <w:tcPr>
            <w:tcW w:w="5474" w:type="dxa"/>
            <w:gridSpan w:val="2"/>
            <w:vAlign w:val="center"/>
          </w:tcPr>
          <w:p w14:paraId="75F0FB49">
            <w:pPr>
              <w:wordWrap w:val="0"/>
              <w:rPr>
                <w:rFonts w:ascii="宋体" w:hAnsi="宋体"/>
                <w:color w:val="auto"/>
                <w:szCs w:val="21"/>
                <w:highlight w:val="none"/>
              </w:rPr>
            </w:pPr>
            <w:r>
              <w:rPr>
                <w:rFonts w:hint="eastAsia" w:ascii="宋体" w:hAnsi="宋体"/>
                <w:color w:val="auto"/>
                <w:szCs w:val="21"/>
                <w:highlight w:val="none"/>
              </w:rPr>
              <w:t>详见招标公告</w:t>
            </w:r>
          </w:p>
        </w:tc>
      </w:tr>
      <w:tr w14:paraId="7B9749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96" w:type="dxa"/>
            <w:tcBorders>
              <w:right w:val="single" w:color="auto" w:sz="4" w:space="0"/>
            </w:tcBorders>
            <w:vAlign w:val="center"/>
          </w:tcPr>
          <w:p w14:paraId="60F11CDF">
            <w:pPr>
              <w:wordWrap w:val="0"/>
              <w:jc w:val="center"/>
              <w:rPr>
                <w:rFonts w:ascii="宋体" w:hAnsi="宋体"/>
                <w:color w:val="auto"/>
                <w:szCs w:val="21"/>
                <w:highlight w:val="none"/>
              </w:rPr>
            </w:pPr>
            <w:r>
              <w:rPr>
                <w:rFonts w:hint="eastAsia" w:ascii="宋体" w:hAnsi="宋体"/>
                <w:color w:val="auto"/>
                <w:szCs w:val="21"/>
                <w:highlight w:val="none"/>
              </w:rPr>
              <w:t>12</w:t>
            </w:r>
          </w:p>
        </w:tc>
        <w:tc>
          <w:tcPr>
            <w:tcW w:w="849" w:type="dxa"/>
            <w:tcBorders>
              <w:left w:val="single" w:color="auto" w:sz="4" w:space="0"/>
            </w:tcBorders>
            <w:vAlign w:val="center"/>
          </w:tcPr>
          <w:p w14:paraId="54FD9C48">
            <w:pPr>
              <w:wordWrap w:val="0"/>
              <w:jc w:val="center"/>
              <w:rPr>
                <w:rFonts w:ascii="宋体" w:hAnsi="宋体"/>
                <w:color w:val="auto"/>
                <w:szCs w:val="21"/>
                <w:highlight w:val="none"/>
              </w:rPr>
            </w:pPr>
            <w:r>
              <w:rPr>
                <w:rFonts w:hint="eastAsia" w:ascii="宋体" w:hAnsi="宋体"/>
                <w:color w:val="auto"/>
                <w:szCs w:val="21"/>
                <w:highlight w:val="none"/>
              </w:rPr>
              <w:t>2.3.1</w:t>
            </w:r>
          </w:p>
        </w:tc>
        <w:tc>
          <w:tcPr>
            <w:tcW w:w="2126" w:type="dxa"/>
            <w:vAlign w:val="center"/>
          </w:tcPr>
          <w:p w14:paraId="546A0A54">
            <w:pPr>
              <w:wordWrap w:val="0"/>
              <w:jc w:val="center"/>
              <w:rPr>
                <w:rFonts w:ascii="宋体" w:hAnsi="宋体"/>
                <w:color w:val="auto"/>
                <w:szCs w:val="21"/>
                <w:highlight w:val="none"/>
              </w:rPr>
            </w:pPr>
            <w:r>
              <w:rPr>
                <w:rFonts w:ascii="宋体" w:hAnsi="宋体"/>
                <w:color w:val="auto"/>
                <w:szCs w:val="21"/>
                <w:highlight w:val="none"/>
              </w:rPr>
              <w:t>招标文件修改发出的形式</w:t>
            </w:r>
          </w:p>
        </w:tc>
        <w:tc>
          <w:tcPr>
            <w:tcW w:w="5474" w:type="dxa"/>
            <w:gridSpan w:val="2"/>
            <w:vAlign w:val="center"/>
          </w:tcPr>
          <w:p w14:paraId="402B87F2">
            <w:pPr>
              <w:wordWrap w:val="0"/>
              <w:rPr>
                <w:rFonts w:ascii="宋体" w:hAnsi="宋体"/>
                <w:color w:val="auto"/>
                <w:szCs w:val="21"/>
                <w:highlight w:val="none"/>
              </w:rPr>
            </w:pPr>
            <w:r>
              <w:rPr>
                <w:rFonts w:hint="eastAsia" w:ascii="宋体" w:hAnsi="宋体"/>
                <w:color w:val="auto"/>
                <w:szCs w:val="21"/>
                <w:highlight w:val="none"/>
              </w:rPr>
              <w:t>详见招标公告</w:t>
            </w:r>
          </w:p>
        </w:tc>
      </w:tr>
      <w:tr w14:paraId="0892B1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96" w:type="dxa"/>
            <w:tcBorders>
              <w:right w:val="single" w:color="auto" w:sz="4" w:space="0"/>
            </w:tcBorders>
            <w:vAlign w:val="center"/>
          </w:tcPr>
          <w:p w14:paraId="74185CE3">
            <w:pPr>
              <w:wordWrap w:val="0"/>
              <w:jc w:val="center"/>
              <w:rPr>
                <w:rFonts w:ascii="宋体" w:hAnsi="宋体"/>
                <w:color w:val="auto"/>
                <w:szCs w:val="21"/>
                <w:highlight w:val="none"/>
              </w:rPr>
            </w:pPr>
            <w:r>
              <w:rPr>
                <w:rFonts w:hint="eastAsia" w:ascii="宋体" w:hAnsi="宋体"/>
                <w:color w:val="auto"/>
                <w:szCs w:val="21"/>
                <w:highlight w:val="none"/>
              </w:rPr>
              <w:t>13</w:t>
            </w:r>
          </w:p>
        </w:tc>
        <w:tc>
          <w:tcPr>
            <w:tcW w:w="849" w:type="dxa"/>
            <w:tcBorders>
              <w:left w:val="single" w:color="auto" w:sz="4" w:space="0"/>
            </w:tcBorders>
            <w:vAlign w:val="center"/>
          </w:tcPr>
          <w:p w14:paraId="12997F0C">
            <w:pPr>
              <w:wordWrap w:val="0"/>
              <w:jc w:val="center"/>
              <w:rPr>
                <w:rFonts w:ascii="宋体" w:hAnsi="宋体"/>
                <w:color w:val="auto"/>
                <w:szCs w:val="21"/>
                <w:highlight w:val="none"/>
              </w:rPr>
            </w:pPr>
            <w:r>
              <w:rPr>
                <w:rFonts w:hint="eastAsia" w:ascii="宋体" w:hAnsi="宋体"/>
                <w:color w:val="auto"/>
                <w:szCs w:val="21"/>
                <w:highlight w:val="none"/>
              </w:rPr>
              <w:t>3.2.4</w:t>
            </w:r>
          </w:p>
        </w:tc>
        <w:tc>
          <w:tcPr>
            <w:tcW w:w="2126" w:type="dxa"/>
            <w:vAlign w:val="center"/>
          </w:tcPr>
          <w:p w14:paraId="356B2C39">
            <w:pPr>
              <w:wordWrap w:val="0"/>
              <w:jc w:val="center"/>
              <w:rPr>
                <w:rFonts w:ascii="宋体" w:hAnsi="宋体"/>
                <w:color w:val="auto"/>
                <w:szCs w:val="21"/>
                <w:highlight w:val="none"/>
              </w:rPr>
            </w:pPr>
            <w:r>
              <w:rPr>
                <w:rFonts w:hint="eastAsia" w:hAnsi="宋体"/>
                <w:color w:val="auto"/>
                <w:szCs w:val="21"/>
                <w:highlight w:val="none"/>
              </w:rPr>
              <w:t>最高投标限价</w:t>
            </w:r>
          </w:p>
        </w:tc>
        <w:tc>
          <w:tcPr>
            <w:tcW w:w="5474" w:type="dxa"/>
            <w:gridSpan w:val="2"/>
            <w:vAlign w:val="center"/>
          </w:tcPr>
          <w:p w14:paraId="0C1BB29B">
            <w:pPr>
              <w:wordWrap w:val="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本项目总价上限(含税)</w:t>
            </w:r>
            <w:r>
              <w:rPr>
                <w:rFonts w:hint="eastAsia" w:ascii="宋体" w:hAnsi="宋体" w:eastAsia="宋体" w:cs="Times New Roman"/>
                <w:color w:val="auto"/>
                <w:szCs w:val="21"/>
                <w:highlight w:val="none"/>
                <w:lang w:val="en-US" w:eastAsia="zh-CN"/>
              </w:rPr>
              <w:t>为：</w:t>
            </w:r>
          </w:p>
          <w:p w14:paraId="2BCF9BEF">
            <w:pPr>
              <w:wordWrap w:val="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一标段：人民币6410000.00元；投标报价采用总价报价方式，评审报价统一按“含税总报价”进行评审，超过最高投标限价的投标报价为无效报价。</w:t>
            </w:r>
          </w:p>
          <w:p w14:paraId="19423C0A">
            <w:pPr>
              <w:wordWrap w:val="0"/>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二标段：优惠率不少于5%；投标报价采用优惠率报价方式，评审报价统一按“1-优惠率”进行评审，未满足优惠率要求的投标报价为无效报价。</w:t>
            </w:r>
          </w:p>
          <w:p w14:paraId="4CE93CBB">
            <w:pPr>
              <w:wordWrap w:val="0"/>
              <w:rPr>
                <w:rFonts w:hint="eastAsia" w:ascii="宋体" w:hAnsi="宋体"/>
                <w:color w:val="auto"/>
                <w:szCs w:val="21"/>
                <w:highlight w:val="none"/>
                <w:lang w:val="en-US" w:eastAsia="zh-CN"/>
              </w:rPr>
            </w:pPr>
            <w:r>
              <w:rPr>
                <w:rFonts w:hint="eastAsia" w:ascii="宋体" w:hAnsi="宋体" w:eastAsia="宋体" w:cs="Times New Roman"/>
                <w:color w:val="auto"/>
                <w:szCs w:val="21"/>
                <w:highlight w:val="none"/>
                <w:lang w:eastAsia="zh-CN"/>
              </w:rPr>
              <w:t>三标段：</w:t>
            </w:r>
            <w:r>
              <w:rPr>
                <w:rFonts w:hint="eastAsia" w:ascii="宋体" w:hAnsi="宋体" w:eastAsia="宋体" w:cs="Times New Roman"/>
                <w:color w:val="auto"/>
                <w:szCs w:val="21"/>
                <w:highlight w:val="none"/>
                <w:lang w:val="en-US" w:eastAsia="zh-CN"/>
              </w:rPr>
              <w:t>优惠率不少于5%</w:t>
            </w:r>
            <w:r>
              <w:rPr>
                <w:rFonts w:hint="eastAsia" w:ascii="宋体" w:hAnsi="宋体" w:eastAsia="宋体" w:cs="Times New Roman"/>
                <w:color w:val="auto"/>
                <w:szCs w:val="21"/>
                <w:highlight w:val="none"/>
                <w:lang w:eastAsia="zh-CN"/>
              </w:rPr>
              <w:t>；投标报价采用优惠率报价方式，</w:t>
            </w:r>
            <w:r>
              <w:rPr>
                <w:rFonts w:hint="eastAsia" w:ascii="宋体" w:hAnsi="宋体" w:eastAsia="宋体" w:cs="Times New Roman"/>
                <w:color w:val="auto"/>
                <w:szCs w:val="21"/>
                <w:highlight w:val="none"/>
                <w:lang w:val="en-US" w:eastAsia="zh-CN"/>
              </w:rPr>
              <w:t>评审报价统一按“1-优惠率”进行评审，未满足优惠率要求的投标报价为无效报价。</w:t>
            </w:r>
          </w:p>
        </w:tc>
      </w:tr>
      <w:tr w14:paraId="68B526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96" w:type="dxa"/>
            <w:tcBorders>
              <w:right w:val="single" w:color="auto" w:sz="4" w:space="0"/>
            </w:tcBorders>
            <w:vAlign w:val="center"/>
          </w:tcPr>
          <w:p w14:paraId="240C8428">
            <w:pPr>
              <w:wordWrap w:val="0"/>
              <w:jc w:val="center"/>
              <w:rPr>
                <w:rFonts w:ascii="宋体" w:hAnsi="宋体"/>
                <w:color w:val="auto"/>
                <w:szCs w:val="21"/>
                <w:highlight w:val="none"/>
              </w:rPr>
            </w:pPr>
            <w:r>
              <w:rPr>
                <w:rFonts w:hint="eastAsia" w:ascii="宋体" w:hAnsi="宋体"/>
                <w:color w:val="auto"/>
                <w:szCs w:val="21"/>
                <w:highlight w:val="none"/>
              </w:rPr>
              <w:t>14</w:t>
            </w:r>
          </w:p>
        </w:tc>
        <w:tc>
          <w:tcPr>
            <w:tcW w:w="849" w:type="dxa"/>
            <w:tcBorders>
              <w:left w:val="single" w:color="auto" w:sz="4" w:space="0"/>
            </w:tcBorders>
            <w:vAlign w:val="center"/>
          </w:tcPr>
          <w:p w14:paraId="0C4078CA">
            <w:pPr>
              <w:wordWrap w:val="0"/>
              <w:jc w:val="center"/>
              <w:rPr>
                <w:rFonts w:ascii="宋体" w:hAnsi="宋体"/>
                <w:color w:val="auto"/>
                <w:szCs w:val="21"/>
                <w:highlight w:val="none"/>
              </w:rPr>
            </w:pPr>
            <w:r>
              <w:rPr>
                <w:rFonts w:hint="eastAsia" w:ascii="宋体" w:hAnsi="宋体"/>
                <w:color w:val="auto"/>
                <w:szCs w:val="21"/>
                <w:highlight w:val="none"/>
              </w:rPr>
              <w:t>3.2.6</w:t>
            </w:r>
          </w:p>
        </w:tc>
        <w:tc>
          <w:tcPr>
            <w:tcW w:w="2126" w:type="dxa"/>
            <w:vAlign w:val="center"/>
          </w:tcPr>
          <w:p w14:paraId="285D6477">
            <w:pPr>
              <w:wordWrap w:val="0"/>
              <w:jc w:val="center"/>
              <w:rPr>
                <w:rFonts w:ascii="宋体" w:hAnsi="宋体"/>
                <w:color w:val="auto"/>
                <w:szCs w:val="21"/>
                <w:highlight w:val="none"/>
              </w:rPr>
            </w:pPr>
            <w:r>
              <w:rPr>
                <w:rFonts w:hint="eastAsia" w:ascii="宋体" w:hAnsi="宋体"/>
                <w:color w:val="auto"/>
                <w:szCs w:val="21"/>
                <w:highlight w:val="none"/>
              </w:rPr>
              <w:t>投标报价的其他要求</w:t>
            </w:r>
          </w:p>
        </w:tc>
        <w:tc>
          <w:tcPr>
            <w:tcW w:w="5474" w:type="dxa"/>
            <w:gridSpan w:val="2"/>
            <w:vAlign w:val="center"/>
          </w:tcPr>
          <w:p w14:paraId="4120C224">
            <w:pPr>
              <w:wordWrap w:val="0"/>
              <w:rPr>
                <w:rFonts w:ascii="宋体" w:hAnsi="宋体"/>
                <w:color w:val="auto"/>
                <w:szCs w:val="21"/>
                <w:highlight w:val="none"/>
              </w:rPr>
            </w:pPr>
            <w:r>
              <w:rPr>
                <w:rFonts w:hint="eastAsia" w:ascii="宋体" w:hAnsi="宋体"/>
                <w:color w:val="auto"/>
                <w:szCs w:val="21"/>
                <w:highlight w:val="none"/>
              </w:rPr>
              <w:t>1、投标报价是指为完成合同文件约定的招标项目内容所发生的全部费用。</w:t>
            </w:r>
          </w:p>
          <w:p w14:paraId="59153948">
            <w:pPr>
              <w:wordWrap w:val="0"/>
              <w:rPr>
                <w:rFonts w:ascii="宋体" w:hAnsi="宋体"/>
                <w:color w:val="auto"/>
                <w:szCs w:val="21"/>
                <w:highlight w:val="none"/>
              </w:rPr>
            </w:pPr>
            <w:r>
              <w:rPr>
                <w:rFonts w:hint="eastAsia" w:ascii="宋体" w:hAnsi="宋体"/>
                <w:color w:val="auto"/>
                <w:szCs w:val="21"/>
                <w:highlight w:val="none"/>
              </w:rPr>
              <w:t>2、在合同谈判或履行期间，如发现投标报价有漏缺项、缺件，中标人应无条件无偿补齐。履行合同所需的一切费用，视为已包含在投标报价中，并且不因此而影响交付招标人使用的时间。由于明细报价填报不完整、不清楚或存在其它任何失误，所导致的任何不利后果均应当由投标人自行承担。</w:t>
            </w:r>
          </w:p>
        </w:tc>
      </w:tr>
      <w:tr w14:paraId="49E703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4" w:hRule="atLeast"/>
          <w:jc w:val="center"/>
        </w:trPr>
        <w:tc>
          <w:tcPr>
            <w:tcW w:w="696" w:type="dxa"/>
            <w:tcBorders>
              <w:right w:val="single" w:color="auto" w:sz="4" w:space="0"/>
            </w:tcBorders>
            <w:vAlign w:val="center"/>
          </w:tcPr>
          <w:p w14:paraId="7138D3D8">
            <w:pPr>
              <w:wordWrap w:val="0"/>
              <w:jc w:val="center"/>
              <w:rPr>
                <w:rFonts w:ascii="宋体" w:hAnsi="宋体"/>
                <w:color w:val="auto"/>
                <w:szCs w:val="21"/>
                <w:highlight w:val="none"/>
              </w:rPr>
            </w:pPr>
            <w:r>
              <w:rPr>
                <w:rFonts w:hint="eastAsia" w:ascii="宋体" w:hAnsi="宋体"/>
                <w:color w:val="auto"/>
                <w:szCs w:val="21"/>
                <w:highlight w:val="none"/>
              </w:rPr>
              <w:t>15</w:t>
            </w:r>
          </w:p>
        </w:tc>
        <w:tc>
          <w:tcPr>
            <w:tcW w:w="849" w:type="dxa"/>
            <w:tcBorders>
              <w:left w:val="single" w:color="auto" w:sz="4" w:space="0"/>
            </w:tcBorders>
            <w:vAlign w:val="center"/>
          </w:tcPr>
          <w:p w14:paraId="1CB90E0C">
            <w:pPr>
              <w:wordWrap w:val="0"/>
              <w:jc w:val="center"/>
              <w:rPr>
                <w:rFonts w:ascii="宋体" w:hAnsi="宋体"/>
                <w:color w:val="auto"/>
                <w:szCs w:val="21"/>
                <w:highlight w:val="none"/>
              </w:rPr>
            </w:pPr>
            <w:r>
              <w:rPr>
                <w:rFonts w:hint="eastAsia" w:ascii="宋体" w:hAnsi="宋体"/>
                <w:color w:val="auto"/>
                <w:szCs w:val="21"/>
                <w:highlight w:val="none"/>
              </w:rPr>
              <w:t>3.3.1</w:t>
            </w:r>
          </w:p>
        </w:tc>
        <w:tc>
          <w:tcPr>
            <w:tcW w:w="2126" w:type="dxa"/>
            <w:vAlign w:val="center"/>
          </w:tcPr>
          <w:p w14:paraId="0B2AAD9E">
            <w:pPr>
              <w:wordWrap w:val="0"/>
              <w:jc w:val="center"/>
              <w:rPr>
                <w:rFonts w:ascii="宋体" w:hAnsi="宋体"/>
                <w:color w:val="auto"/>
                <w:szCs w:val="21"/>
                <w:highlight w:val="none"/>
              </w:rPr>
            </w:pPr>
            <w:r>
              <w:rPr>
                <w:rFonts w:hint="eastAsia" w:ascii="宋体" w:hAnsi="宋体"/>
                <w:color w:val="auto"/>
                <w:szCs w:val="21"/>
                <w:highlight w:val="none"/>
              </w:rPr>
              <w:t>投标有效期</w:t>
            </w:r>
          </w:p>
        </w:tc>
        <w:tc>
          <w:tcPr>
            <w:tcW w:w="5474" w:type="dxa"/>
            <w:gridSpan w:val="2"/>
            <w:vAlign w:val="center"/>
          </w:tcPr>
          <w:p w14:paraId="5E8394A6">
            <w:pPr>
              <w:wordWrap w:val="0"/>
              <w:rPr>
                <w:rFonts w:ascii="宋体" w:hAnsi="宋体"/>
                <w:color w:val="auto"/>
                <w:szCs w:val="21"/>
                <w:highlight w:val="none"/>
              </w:rPr>
            </w:pPr>
            <w:r>
              <w:rPr>
                <w:rFonts w:hint="eastAsia" w:ascii="宋体" w:hAnsi="宋体"/>
                <w:color w:val="auto"/>
                <w:szCs w:val="21"/>
                <w:highlight w:val="none"/>
              </w:rPr>
              <w:t>180日历天，从投标截止之日起算。</w:t>
            </w:r>
          </w:p>
        </w:tc>
      </w:tr>
      <w:tr w14:paraId="3CC95B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96" w:type="dxa"/>
            <w:tcBorders>
              <w:right w:val="single" w:color="auto" w:sz="4" w:space="0"/>
            </w:tcBorders>
            <w:vAlign w:val="center"/>
          </w:tcPr>
          <w:p w14:paraId="60DBA7DA">
            <w:pPr>
              <w:wordWrap w:val="0"/>
              <w:jc w:val="center"/>
              <w:rPr>
                <w:rFonts w:ascii="宋体" w:hAnsi="宋体"/>
                <w:color w:val="auto"/>
                <w:szCs w:val="21"/>
                <w:highlight w:val="none"/>
              </w:rPr>
            </w:pPr>
            <w:r>
              <w:rPr>
                <w:rFonts w:hint="eastAsia" w:ascii="宋体" w:hAnsi="宋体"/>
                <w:color w:val="auto"/>
                <w:szCs w:val="21"/>
                <w:highlight w:val="none"/>
              </w:rPr>
              <w:t>16</w:t>
            </w:r>
          </w:p>
        </w:tc>
        <w:tc>
          <w:tcPr>
            <w:tcW w:w="849" w:type="dxa"/>
            <w:tcBorders>
              <w:left w:val="single" w:color="auto" w:sz="4" w:space="0"/>
            </w:tcBorders>
            <w:vAlign w:val="center"/>
          </w:tcPr>
          <w:p w14:paraId="51594A5C">
            <w:pPr>
              <w:wordWrap w:val="0"/>
              <w:jc w:val="center"/>
              <w:rPr>
                <w:rFonts w:ascii="宋体" w:hAnsi="宋体"/>
                <w:color w:val="auto"/>
                <w:szCs w:val="21"/>
                <w:highlight w:val="none"/>
              </w:rPr>
            </w:pPr>
            <w:r>
              <w:rPr>
                <w:rFonts w:hint="eastAsia" w:ascii="宋体" w:hAnsi="宋体"/>
                <w:color w:val="auto"/>
                <w:szCs w:val="21"/>
                <w:highlight w:val="none"/>
              </w:rPr>
              <w:t>3.4.1</w:t>
            </w:r>
          </w:p>
        </w:tc>
        <w:tc>
          <w:tcPr>
            <w:tcW w:w="2126" w:type="dxa"/>
            <w:vAlign w:val="center"/>
          </w:tcPr>
          <w:p w14:paraId="58F7BFD6">
            <w:pPr>
              <w:wordWrap w:val="0"/>
              <w:jc w:val="center"/>
              <w:rPr>
                <w:rFonts w:ascii="宋体" w:hAnsi="宋体"/>
                <w:color w:val="auto"/>
                <w:szCs w:val="21"/>
                <w:highlight w:val="none"/>
              </w:rPr>
            </w:pPr>
            <w:r>
              <w:rPr>
                <w:rFonts w:hint="eastAsia" w:ascii="宋体" w:hAnsi="宋体"/>
                <w:color w:val="auto"/>
                <w:szCs w:val="21"/>
                <w:highlight w:val="none"/>
              </w:rPr>
              <w:t>投标保证金</w:t>
            </w:r>
          </w:p>
        </w:tc>
        <w:tc>
          <w:tcPr>
            <w:tcW w:w="5474" w:type="dxa"/>
            <w:gridSpan w:val="2"/>
            <w:vAlign w:val="center"/>
          </w:tcPr>
          <w:p w14:paraId="03FCA90C">
            <w:pPr>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要求提供保证金</w:t>
            </w:r>
          </w:p>
          <w:p w14:paraId="7459B20F">
            <w:pPr>
              <w:wordWrap w:val="0"/>
              <w:adjustRightInd w:val="0"/>
              <w:snapToGrid w:val="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数额为：</w:t>
            </w:r>
            <w:r>
              <w:rPr>
                <w:rFonts w:hint="eastAsia" w:ascii="宋体" w:hAnsi="宋体" w:eastAsia="宋体" w:cs="Times New Roman"/>
                <w:color w:val="auto"/>
                <w:szCs w:val="21"/>
                <w:highlight w:val="none"/>
                <w:lang w:val="en-US" w:eastAsia="zh-CN"/>
              </w:rPr>
              <w:t>一标段：人民币（大写）壹拾贰万元整(¥120000.00元)；二标段：人民币（大写）贰拾陆万元整（¥260000.00元）；三标段：人民币（大写）壹拾柒万元整（¥170000.00元）</w:t>
            </w:r>
          </w:p>
          <w:p w14:paraId="5940AF83">
            <w:pPr>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缴纳方式：</w:t>
            </w:r>
            <w:r>
              <w:rPr>
                <w:rFonts w:hint="eastAsia" w:ascii="宋体" w:hAnsi="宋体"/>
                <w:color w:val="auto"/>
                <w:szCs w:val="21"/>
                <w:highlight w:val="none"/>
              </w:rPr>
              <w:t>☑</w:t>
            </w:r>
            <w:r>
              <w:rPr>
                <w:rFonts w:hint="eastAsia" w:ascii="宋体" w:hAnsi="宋体" w:cs="宋体"/>
                <w:color w:val="auto"/>
                <w:szCs w:val="21"/>
                <w:highlight w:val="none"/>
              </w:rPr>
              <w:t xml:space="preserve">银行转帐   </w:t>
            </w:r>
            <w:r>
              <w:rPr>
                <w:rFonts w:hint="eastAsia" w:ascii="宋体" w:hAnsi="宋体"/>
                <w:color w:val="auto"/>
                <w:szCs w:val="21"/>
                <w:highlight w:val="none"/>
              </w:rPr>
              <w:t>☑</w:t>
            </w:r>
            <w:r>
              <w:rPr>
                <w:rFonts w:hint="eastAsia" w:ascii="宋体" w:hAnsi="宋体" w:cs="宋体"/>
                <w:color w:val="auto"/>
                <w:szCs w:val="21"/>
                <w:highlight w:val="none"/>
              </w:rPr>
              <w:t>银行保函</w:t>
            </w:r>
          </w:p>
          <w:p w14:paraId="1A0149AA">
            <w:pPr>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eastAsia="zh-CN"/>
              </w:rPr>
              <w:t>银行转账</w:t>
            </w:r>
            <w:r>
              <w:rPr>
                <w:rFonts w:hint="eastAsia" w:ascii="宋体" w:hAnsi="宋体" w:cs="宋体"/>
                <w:color w:val="auto"/>
                <w:szCs w:val="21"/>
                <w:highlight w:val="none"/>
              </w:rPr>
              <w:t>。</w:t>
            </w:r>
          </w:p>
          <w:p w14:paraId="2ECF6A72">
            <w:pPr>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1.1投标保证金托管账户获取方式：所有参与项目竞争的供应商（纸质标）均应在潇湘交易云平台（www.avicwings.com）完成注册，凭注册账号登录潇湘交易云平台供应商系统，获取虚拟子账号并完成投标保证金缴纳（已完成注册的直接用注册账号登录供应商系统）。虚拟子账号是随机产生的，不同投标人、不同项目（标段）的虚拟子账号是唯一的，各供应商（投标人）在缴纳投标保证金时须认准本单位当前所投项目的虚拟子账号，缴纳至错误虚拟子账号的投标保证金信息系统不能识别，视为未按招标文件要求递交投标保证金。</w:t>
            </w:r>
          </w:p>
          <w:p w14:paraId="575BF321">
            <w:pPr>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具体操作流程如下：</w:t>
            </w:r>
          </w:p>
          <w:p w14:paraId="435334B1">
            <w:pPr>
              <w:wordWrap w:val="0"/>
              <w:adjustRightInd w:val="0"/>
              <w:snapToGrid w:val="0"/>
              <w:rPr>
                <w:rFonts w:ascii="宋体" w:hAnsi="宋体" w:cs="宋体"/>
                <w:color w:val="auto"/>
                <w:szCs w:val="21"/>
                <w:highlight w:val="none"/>
              </w:rPr>
            </w:pPr>
            <w:r>
              <w:rPr>
                <w:rFonts w:hint="eastAsia" w:ascii="宋体" w:hAnsi="宋体" w:eastAsia="宋体" w:cs="宋体"/>
                <w:snapToGrid w:val="0"/>
                <w:color w:val="auto"/>
                <w:kern w:val="0"/>
                <w:szCs w:val="21"/>
                <w:highlight w:val="none"/>
              </w:rPr>
              <w:t>平台首页在潇湘交易云企业控制台入口“注册/修改企业信息”处完成账号注册--&gt;凭注册账号登录供应商系统--&gt;在“采购公告/邀请函”栏目找到对应项目--&gt;点击“进入项目”按钮进入项目工作台--&gt;在“网上投标”页签点击“递交保证金”按钮--&gt;点击“缴纳”按钮获取虚拟子账号--&gt;使用公司对公账号向虚拟子账号转入保证金--&gt;跟踪保证金缴纳状态，完成缴纳</w:t>
            </w:r>
            <w:r>
              <w:rPr>
                <w:rFonts w:hint="eastAsia" w:ascii="宋体" w:hAnsi="宋体" w:cs="宋体"/>
                <w:color w:val="auto"/>
                <w:szCs w:val="21"/>
                <w:highlight w:val="none"/>
              </w:rPr>
              <w:t>。</w:t>
            </w:r>
          </w:p>
          <w:p w14:paraId="2D56A48B">
            <w:pPr>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1.2交纳方式：银行转账，从投标人单位基本账户转入投标保证金的托管账户管理。招标人不接受以现金方式提交的投标保证金，以现金方式提交的投标保证金无效。</w:t>
            </w:r>
          </w:p>
          <w:p w14:paraId="155E31EE">
            <w:pPr>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1.3交纳时间：投标截止时间前。投标保证金要求在交纳截止时间（含）到达账户（以潇湘交易云平台投标保证金电子化管理系统公布的到账时间为准），请各供应商（投标人）尽量提前缴纳投标保证金，避免在递交截止时间后到账而导致投标失败。</w:t>
            </w:r>
          </w:p>
          <w:p w14:paraId="5777A758">
            <w:pPr>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系统操作咨询及问题反馈电话：</w:t>
            </w:r>
            <w:r>
              <w:rPr>
                <w:rFonts w:hint="eastAsia" w:ascii="宋体" w:hAnsi="宋体" w:cs="宋体"/>
                <w:color w:val="auto"/>
                <w:szCs w:val="21"/>
                <w:highlight w:val="none"/>
                <w:lang w:eastAsia="zh-CN"/>
              </w:rPr>
              <w:t>0731-85675505</w:t>
            </w:r>
          </w:p>
          <w:p w14:paraId="164AF56B">
            <w:pPr>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2、银行保函。</w:t>
            </w:r>
          </w:p>
          <w:p w14:paraId="53E504BA">
            <w:pPr>
              <w:wordWrap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2.1银行保函形式提交的，</w:t>
            </w:r>
            <w:r>
              <w:rPr>
                <w:rFonts w:hint="eastAsia" w:ascii="宋体" w:hAnsi="宋体" w:eastAsia="宋体" w:cs="宋体"/>
                <w:color w:val="auto"/>
                <w:szCs w:val="21"/>
                <w:highlight w:val="none"/>
              </w:rPr>
              <w:t>投标人须在交标时同步提供保函原件，保</w:t>
            </w:r>
            <w:r>
              <w:rPr>
                <w:rFonts w:hint="eastAsia" w:ascii="宋体" w:hAnsi="宋体" w:cs="宋体"/>
                <w:color w:val="auto"/>
                <w:szCs w:val="21"/>
                <w:highlight w:val="none"/>
              </w:rPr>
              <w:t>函格式自拟，保函有效期应当不小于投标有效期；不满足上述要求的，其投标将被否决。</w:t>
            </w:r>
          </w:p>
          <w:p w14:paraId="053DB092">
            <w:pPr>
              <w:wordWrap w:val="0"/>
              <w:adjustRightInd w:val="0"/>
              <w:snapToGrid w:val="0"/>
              <w:rPr>
                <w:rFonts w:ascii="宋体" w:hAnsi="宋体"/>
                <w:b/>
                <w:color w:val="auto"/>
                <w:szCs w:val="21"/>
                <w:highlight w:val="none"/>
              </w:rPr>
            </w:pPr>
            <w:r>
              <w:rPr>
                <w:rFonts w:hint="eastAsia" w:ascii="宋体" w:hAnsi="宋体" w:cs="宋体"/>
                <w:b/>
                <w:color w:val="auto"/>
                <w:szCs w:val="21"/>
                <w:highlight w:val="none"/>
              </w:rPr>
              <w:t>注：投标人和担保人对保函的真实性和合法性负责。</w:t>
            </w:r>
          </w:p>
        </w:tc>
      </w:tr>
      <w:tr w14:paraId="73B14B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96" w:type="dxa"/>
            <w:tcBorders>
              <w:right w:val="single" w:color="auto" w:sz="4" w:space="0"/>
            </w:tcBorders>
            <w:vAlign w:val="center"/>
          </w:tcPr>
          <w:p w14:paraId="1FF73210">
            <w:pPr>
              <w:wordWrap w:val="0"/>
              <w:jc w:val="center"/>
              <w:rPr>
                <w:rFonts w:ascii="宋体" w:hAnsi="宋体"/>
                <w:color w:val="auto"/>
                <w:szCs w:val="21"/>
                <w:highlight w:val="none"/>
              </w:rPr>
            </w:pPr>
            <w:r>
              <w:rPr>
                <w:rFonts w:hint="eastAsia" w:ascii="宋体" w:hAnsi="宋体"/>
                <w:color w:val="auto"/>
                <w:szCs w:val="21"/>
                <w:highlight w:val="none"/>
              </w:rPr>
              <w:t>17</w:t>
            </w:r>
          </w:p>
        </w:tc>
        <w:tc>
          <w:tcPr>
            <w:tcW w:w="849" w:type="dxa"/>
            <w:tcBorders>
              <w:left w:val="single" w:color="auto" w:sz="4" w:space="0"/>
            </w:tcBorders>
            <w:vAlign w:val="center"/>
          </w:tcPr>
          <w:p w14:paraId="640A2CEC">
            <w:pPr>
              <w:wordWrap w:val="0"/>
              <w:jc w:val="center"/>
              <w:rPr>
                <w:rFonts w:ascii="宋体" w:hAnsi="宋体"/>
                <w:color w:val="auto"/>
                <w:szCs w:val="21"/>
                <w:highlight w:val="none"/>
              </w:rPr>
            </w:pPr>
            <w:r>
              <w:rPr>
                <w:rFonts w:hint="eastAsia" w:ascii="宋体" w:hAnsi="宋体"/>
                <w:color w:val="auto"/>
                <w:szCs w:val="21"/>
                <w:highlight w:val="none"/>
              </w:rPr>
              <w:t>3.7</w:t>
            </w:r>
          </w:p>
        </w:tc>
        <w:tc>
          <w:tcPr>
            <w:tcW w:w="2126" w:type="dxa"/>
            <w:vAlign w:val="center"/>
          </w:tcPr>
          <w:p w14:paraId="358C2CB7">
            <w:pPr>
              <w:wordWrap w:val="0"/>
              <w:jc w:val="center"/>
              <w:rPr>
                <w:rFonts w:ascii="宋体" w:hAnsi="宋体"/>
                <w:color w:val="auto"/>
                <w:szCs w:val="21"/>
                <w:highlight w:val="none"/>
              </w:rPr>
            </w:pPr>
            <w:r>
              <w:rPr>
                <w:rFonts w:hint="eastAsia" w:ascii="宋体" w:hAnsi="宋体"/>
                <w:color w:val="auto"/>
                <w:szCs w:val="21"/>
                <w:highlight w:val="none"/>
              </w:rPr>
              <w:t>投标文件的编制</w:t>
            </w:r>
          </w:p>
        </w:tc>
        <w:tc>
          <w:tcPr>
            <w:tcW w:w="5474" w:type="dxa"/>
            <w:gridSpan w:val="2"/>
            <w:vAlign w:val="center"/>
          </w:tcPr>
          <w:p w14:paraId="742C521D">
            <w:pPr>
              <w:wordWrap/>
              <w:jc w:val="left"/>
              <w:rPr>
                <w:rFonts w:ascii="宋体" w:hAnsi="宋体"/>
                <w:color w:val="auto"/>
                <w:szCs w:val="21"/>
                <w:highlight w:val="none"/>
              </w:rPr>
            </w:pPr>
            <w:r>
              <w:rPr>
                <w:rFonts w:hint="eastAsia" w:ascii="宋体" w:hAnsi="宋体"/>
                <w:color w:val="auto"/>
                <w:szCs w:val="21"/>
                <w:highlight w:val="none"/>
              </w:rPr>
              <w:t>1、招标文件第六章“投标文件格式”规定处必须由投标人的法定代表人</w:t>
            </w:r>
            <w:r>
              <w:rPr>
                <w:rFonts w:hint="eastAsia" w:ascii="宋体" w:hAnsi="宋体" w:cs="宋体"/>
                <w:iCs/>
                <w:color w:val="auto"/>
                <w:szCs w:val="21"/>
                <w:highlight w:val="none"/>
              </w:rPr>
              <w:t>/负责人</w:t>
            </w:r>
            <w:r>
              <w:rPr>
                <w:rFonts w:hint="eastAsia" w:ascii="宋体" w:hAnsi="宋体"/>
                <w:color w:val="auto"/>
                <w:szCs w:val="21"/>
                <w:highlight w:val="none"/>
              </w:rPr>
              <w:t>或授权委托代理人签字或盖章和加盖企业法人公章。</w:t>
            </w:r>
          </w:p>
          <w:p w14:paraId="4982B939">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2、投标文件一式</w:t>
            </w:r>
            <w:r>
              <w:rPr>
                <w:rFonts w:hint="eastAsia" w:ascii="宋体" w:hAnsi="宋体" w:eastAsia="宋体" w:cs="宋体"/>
                <w:color w:val="auto"/>
                <w:szCs w:val="21"/>
                <w:highlight w:val="none"/>
                <w:lang w:val="en-US" w:eastAsia="zh-CN"/>
              </w:rPr>
              <w:t>七</w:t>
            </w:r>
            <w:r>
              <w:rPr>
                <w:rFonts w:hint="eastAsia" w:ascii="宋体" w:hAnsi="宋体" w:eastAsia="宋体" w:cs="宋体"/>
                <w:color w:val="auto"/>
                <w:szCs w:val="21"/>
                <w:highlight w:val="none"/>
              </w:rPr>
              <w:t>份，正本一份，副本</w:t>
            </w:r>
            <w:r>
              <w:rPr>
                <w:rFonts w:hint="eastAsia" w:ascii="宋体" w:hAnsi="宋体" w:eastAsia="宋体" w:cs="宋体"/>
                <w:color w:val="auto"/>
                <w:szCs w:val="21"/>
                <w:highlight w:val="none"/>
                <w:lang w:val="en-US" w:eastAsia="zh-CN"/>
              </w:rPr>
              <w:t>六</w:t>
            </w:r>
            <w:r>
              <w:rPr>
                <w:rFonts w:hint="eastAsia" w:ascii="宋体" w:hAnsi="宋体" w:eastAsia="宋体" w:cs="宋体"/>
                <w:color w:val="auto"/>
                <w:szCs w:val="21"/>
                <w:highlight w:val="none"/>
              </w:rPr>
              <w:t>份，电子文本一份（须为投标文件正本扫描件）。</w:t>
            </w:r>
          </w:p>
          <w:p w14:paraId="642F86D4">
            <w:pPr>
              <w:wordWrap w:val="0"/>
              <w:adjustRightInd w:val="0"/>
              <w:snapToGrid w:val="0"/>
              <w:rPr>
                <w:rFonts w:hint="eastAsia" w:ascii="宋体" w:hAnsi="宋体"/>
                <w:color w:val="auto"/>
                <w:szCs w:val="21"/>
                <w:highlight w:val="none"/>
              </w:rPr>
            </w:pPr>
            <w:r>
              <w:rPr>
                <w:rFonts w:hint="eastAsia" w:ascii="宋体" w:hAnsi="宋体" w:eastAsia="宋体" w:cs="宋体"/>
                <w:b/>
                <w:bCs/>
                <w:color w:val="auto"/>
                <w:szCs w:val="21"/>
                <w:highlight w:val="none"/>
              </w:rPr>
              <w:t>3、投标人同时参与多标段投标的，需针对所投标段并按照上述第1、2点要求分别制作对应标段的投标文件进行投标，并分别进行封装和递交。例如：投标人对一、二、三标段同时进行投标的，需要分别制作一、二、三标段的投标文件，并分别进行封装和递交。</w:t>
            </w:r>
          </w:p>
        </w:tc>
      </w:tr>
      <w:tr w14:paraId="4AE537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72" w:hRule="atLeast"/>
          <w:jc w:val="center"/>
        </w:trPr>
        <w:tc>
          <w:tcPr>
            <w:tcW w:w="696" w:type="dxa"/>
            <w:tcBorders>
              <w:right w:val="single" w:color="auto" w:sz="4" w:space="0"/>
            </w:tcBorders>
            <w:vAlign w:val="center"/>
          </w:tcPr>
          <w:p w14:paraId="2A4DCA92">
            <w:pPr>
              <w:wordWrap w:val="0"/>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18</w:t>
            </w:r>
          </w:p>
        </w:tc>
        <w:tc>
          <w:tcPr>
            <w:tcW w:w="849" w:type="dxa"/>
            <w:tcBorders>
              <w:left w:val="single" w:color="auto" w:sz="4" w:space="0"/>
            </w:tcBorders>
            <w:vAlign w:val="center"/>
          </w:tcPr>
          <w:p w14:paraId="384AB570">
            <w:pPr>
              <w:wordWrap w:val="0"/>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3.8</w:t>
            </w:r>
          </w:p>
        </w:tc>
        <w:tc>
          <w:tcPr>
            <w:tcW w:w="2126" w:type="dxa"/>
            <w:vAlign w:val="center"/>
          </w:tcPr>
          <w:p w14:paraId="0FDAED29">
            <w:pPr>
              <w:wordWrap w:val="0"/>
              <w:jc w:val="center"/>
              <w:rPr>
                <w:rFonts w:ascii="宋体" w:hAnsi="宋体"/>
                <w:color w:val="auto"/>
                <w:szCs w:val="21"/>
                <w:highlight w:val="none"/>
              </w:rPr>
            </w:pPr>
            <w:r>
              <w:rPr>
                <w:rFonts w:hint="eastAsia" w:ascii="宋体" w:hAnsi="宋体"/>
                <w:color w:val="auto"/>
                <w:szCs w:val="21"/>
                <w:highlight w:val="none"/>
              </w:rPr>
              <w:t>投标文件封套</w:t>
            </w:r>
          </w:p>
          <w:p w14:paraId="7D501399">
            <w:pPr>
              <w:wordWrap w:val="0"/>
              <w:jc w:val="center"/>
              <w:rPr>
                <w:rFonts w:hint="eastAsia" w:ascii="宋体" w:hAnsi="宋体"/>
                <w:color w:val="auto"/>
                <w:szCs w:val="21"/>
                <w:highlight w:val="none"/>
              </w:rPr>
            </w:pPr>
            <w:r>
              <w:rPr>
                <w:rFonts w:hint="eastAsia" w:ascii="宋体" w:hAnsi="宋体"/>
                <w:color w:val="auto"/>
                <w:szCs w:val="21"/>
                <w:highlight w:val="none"/>
              </w:rPr>
              <w:t>标识要求</w:t>
            </w:r>
          </w:p>
        </w:tc>
        <w:tc>
          <w:tcPr>
            <w:tcW w:w="5474" w:type="dxa"/>
            <w:gridSpan w:val="2"/>
            <w:vAlign w:val="center"/>
          </w:tcPr>
          <w:p w14:paraId="15AECD6E">
            <w:pPr>
              <w:rPr>
                <w:rFonts w:ascii="宋体" w:hAnsi="宋体" w:cs="宋体"/>
                <w:color w:val="auto"/>
                <w:szCs w:val="21"/>
                <w:highlight w:val="none"/>
              </w:rPr>
            </w:pPr>
            <w:r>
              <w:rPr>
                <w:rFonts w:hint="eastAsia" w:ascii="宋体" w:hAnsi="宋体" w:cs="宋体"/>
                <w:color w:val="auto"/>
                <w:szCs w:val="21"/>
                <w:highlight w:val="none"/>
              </w:rPr>
              <w:t>封套上须写明：</w:t>
            </w:r>
          </w:p>
          <w:p w14:paraId="0D64F23C">
            <w:pPr>
              <w:rPr>
                <w:rFonts w:ascii="宋体" w:hAnsi="宋体" w:cs="宋体"/>
                <w:color w:val="auto"/>
                <w:szCs w:val="21"/>
                <w:highlight w:val="none"/>
                <w:u w:val="single"/>
              </w:rPr>
            </w:pPr>
            <w:r>
              <w:rPr>
                <w:rFonts w:hint="eastAsia" w:ascii="宋体" w:hAnsi="宋体" w:cs="宋体"/>
                <w:color w:val="auto"/>
                <w:szCs w:val="21"/>
                <w:highlight w:val="none"/>
              </w:rPr>
              <w:t>招标人名称：</w:t>
            </w:r>
            <w:r>
              <w:rPr>
                <w:rFonts w:hint="eastAsia" w:ascii="宋体" w:hAnsi="宋体" w:cs="宋体"/>
                <w:color w:val="auto"/>
                <w:szCs w:val="21"/>
                <w:highlight w:val="none"/>
                <w:u w:val="single"/>
              </w:rPr>
              <w:t xml:space="preserve">                        </w:t>
            </w:r>
          </w:p>
          <w:p w14:paraId="41D8616D">
            <w:pPr>
              <w:snapToGrid w:val="0"/>
              <w:rPr>
                <w:rFonts w:ascii="宋体" w:hAnsi="宋体" w:cs="宋体"/>
                <w:color w:val="auto"/>
                <w:szCs w:val="21"/>
                <w:highlight w:val="none"/>
              </w:rPr>
            </w:pPr>
            <w:r>
              <w:rPr>
                <w:rFonts w:hint="eastAsia" w:ascii="宋体" w:hAnsi="宋体" w:cs="宋体"/>
                <w:color w:val="auto"/>
                <w:szCs w:val="21"/>
                <w:highlight w:val="none"/>
              </w:rPr>
              <w:t>投标人全称（盖章）：</w:t>
            </w:r>
            <w:r>
              <w:rPr>
                <w:rFonts w:hint="eastAsia" w:ascii="宋体" w:hAnsi="宋体" w:cs="宋体"/>
                <w:color w:val="auto"/>
                <w:szCs w:val="21"/>
                <w:highlight w:val="none"/>
                <w:u w:val="single"/>
              </w:rPr>
              <w:t xml:space="preserve">                      </w:t>
            </w:r>
          </w:p>
          <w:p w14:paraId="41E911D3">
            <w:pPr>
              <w:snapToGrid w:val="0"/>
              <w:rPr>
                <w:rFonts w:ascii="宋体" w:hAnsi="宋体" w:cs="宋体"/>
                <w:color w:val="auto"/>
                <w:szCs w:val="21"/>
                <w:highlight w:val="none"/>
              </w:rPr>
            </w:pPr>
            <w:r>
              <w:rPr>
                <w:rFonts w:hint="eastAsia" w:ascii="宋体" w:hAnsi="宋体" w:cs="宋体"/>
                <w:color w:val="auto"/>
                <w:szCs w:val="21"/>
                <w:highlight w:val="none"/>
              </w:rPr>
              <w:t>投标人的地址：</w:t>
            </w:r>
            <w:r>
              <w:rPr>
                <w:rFonts w:hint="eastAsia" w:ascii="宋体" w:hAnsi="宋体" w:cs="宋体"/>
                <w:color w:val="auto"/>
                <w:szCs w:val="21"/>
                <w:highlight w:val="none"/>
                <w:u w:val="single"/>
              </w:rPr>
              <w:t xml:space="preserve">                    </w:t>
            </w:r>
          </w:p>
          <w:p w14:paraId="1A316542">
            <w:pPr>
              <w:wordWrap w:val="0"/>
              <w:rPr>
                <w:rFonts w:hint="eastAsia" w:ascii="宋体" w:hAnsi="宋体"/>
                <w:color w:val="auto"/>
                <w:szCs w:val="21"/>
                <w:highlight w:val="none"/>
              </w:rPr>
            </w:pPr>
            <w:r>
              <w:rPr>
                <w:rFonts w:hint="eastAsia" w:ascii="宋体" w:hAnsi="宋体" w:cs="宋体"/>
                <w:color w:val="auto"/>
                <w:szCs w:val="21"/>
                <w:highlight w:val="none"/>
                <w:u w:val="single"/>
              </w:rPr>
              <w:t>（项目名称）</w:t>
            </w:r>
            <w:r>
              <w:rPr>
                <w:rFonts w:hint="eastAsia" w:ascii="宋体" w:hAnsi="宋体" w:cs="宋体"/>
                <w:color w:val="auto"/>
                <w:szCs w:val="21"/>
                <w:highlight w:val="none"/>
              </w:rPr>
              <w:t>投标文件在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（投标截止时间）前不得开启</w:t>
            </w:r>
          </w:p>
        </w:tc>
      </w:tr>
      <w:tr w14:paraId="082101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jc w:val="center"/>
        </w:trPr>
        <w:tc>
          <w:tcPr>
            <w:tcW w:w="696" w:type="dxa"/>
            <w:tcBorders>
              <w:right w:val="single" w:color="auto" w:sz="4" w:space="0"/>
            </w:tcBorders>
            <w:vAlign w:val="center"/>
          </w:tcPr>
          <w:p w14:paraId="11A7497E">
            <w:pPr>
              <w:wordWrap w:val="0"/>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19</w:t>
            </w:r>
          </w:p>
        </w:tc>
        <w:tc>
          <w:tcPr>
            <w:tcW w:w="849" w:type="dxa"/>
            <w:tcBorders>
              <w:left w:val="single" w:color="auto" w:sz="4" w:space="0"/>
            </w:tcBorders>
            <w:vAlign w:val="center"/>
          </w:tcPr>
          <w:p w14:paraId="467AB7DD">
            <w:pPr>
              <w:wordWrap w:val="0"/>
              <w:jc w:val="center"/>
              <w:rPr>
                <w:rFonts w:ascii="宋体" w:hAnsi="宋体"/>
                <w:color w:val="auto"/>
                <w:szCs w:val="21"/>
                <w:highlight w:val="none"/>
              </w:rPr>
            </w:pPr>
            <w:r>
              <w:rPr>
                <w:rFonts w:hint="eastAsia" w:ascii="宋体" w:hAnsi="宋体"/>
                <w:color w:val="auto"/>
                <w:szCs w:val="21"/>
                <w:highlight w:val="none"/>
              </w:rPr>
              <w:t>4.1.1</w:t>
            </w:r>
          </w:p>
        </w:tc>
        <w:tc>
          <w:tcPr>
            <w:tcW w:w="2126" w:type="dxa"/>
            <w:vAlign w:val="center"/>
          </w:tcPr>
          <w:p w14:paraId="64D837C0">
            <w:pPr>
              <w:wordWrap w:val="0"/>
              <w:jc w:val="center"/>
              <w:rPr>
                <w:rFonts w:ascii="宋体" w:hAnsi="宋体"/>
                <w:color w:val="auto"/>
                <w:szCs w:val="21"/>
                <w:highlight w:val="none"/>
              </w:rPr>
            </w:pPr>
            <w:r>
              <w:rPr>
                <w:rFonts w:ascii="宋体" w:hAnsi="宋体"/>
                <w:color w:val="auto"/>
                <w:szCs w:val="21"/>
                <w:highlight w:val="none"/>
              </w:rPr>
              <w:t>投标截止时间</w:t>
            </w:r>
          </w:p>
        </w:tc>
        <w:tc>
          <w:tcPr>
            <w:tcW w:w="5474" w:type="dxa"/>
            <w:gridSpan w:val="2"/>
            <w:vAlign w:val="center"/>
          </w:tcPr>
          <w:p w14:paraId="48D4913B">
            <w:pPr>
              <w:wordWrap/>
              <w:rPr>
                <w:rFonts w:ascii="宋体" w:hAnsi="宋体"/>
                <w:color w:val="auto"/>
                <w:szCs w:val="21"/>
                <w:highlight w:val="none"/>
              </w:rPr>
            </w:pPr>
            <w:r>
              <w:rPr>
                <w:rFonts w:hint="eastAsia" w:ascii="宋体" w:hAnsi="宋体" w:eastAsia="宋体" w:cs="宋体"/>
                <w:color w:val="0000FF"/>
                <w:szCs w:val="21"/>
                <w:highlight w:val="none"/>
              </w:rPr>
              <w:t>20</w:t>
            </w:r>
            <w:r>
              <w:rPr>
                <w:rFonts w:hint="eastAsia" w:ascii="宋体" w:hAnsi="宋体" w:eastAsia="宋体" w:cs="宋体"/>
                <w:color w:val="0000FF"/>
                <w:szCs w:val="21"/>
                <w:highlight w:val="none"/>
                <w:lang w:val="en-US" w:eastAsia="zh-CN"/>
              </w:rPr>
              <w:t>25</w:t>
            </w:r>
            <w:r>
              <w:rPr>
                <w:rFonts w:hint="eastAsia" w:ascii="宋体" w:hAnsi="宋体" w:eastAsia="宋体" w:cs="宋体"/>
                <w:color w:val="0000FF"/>
                <w:szCs w:val="21"/>
                <w:highlight w:val="none"/>
              </w:rPr>
              <w:t>年</w:t>
            </w:r>
            <w:r>
              <w:rPr>
                <w:rFonts w:hint="eastAsia" w:ascii="宋体" w:hAnsi="宋体" w:eastAsia="宋体" w:cs="宋体"/>
                <w:color w:val="0000FF"/>
                <w:szCs w:val="21"/>
                <w:highlight w:val="none"/>
                <w:lang w:val="en-US" w:eastAsia="zh-CN"/>
              </w:rPr>
              <w:t>11</w:t>
            </w:r>
            <w:r>
              <w:rPr>
                <w:rFonts w:hint="eastAsia" w:ascii="宋体" w:hAnsi="宋体" w:eastAsia="宋体" w:cs="宋体"/>
                <w:color w:val="0000FF"/>
                <w:szCs w:val="21"/>
                <w:highlight w:val="none"/>
              </w:rPr>
              <w:t>月</w:t>
            </w:r>
            <w:r>
              <w:rPr>
                <w:rFonts w:hint="eastAsia" w:ascii="宋体" w:hAnsi="宋体" w:eastAsia="宋体" w:cs="宋体"/>
                <w:color w:val="0000FF"/>
                <w:szCs w:val="21"/>
                <w:highlight w:val="none"/>
                <w:lang w:val="en-US" w:eastAsia="zh-CN"/>
              </w:rPr>
              <w:t>20</w:t>
            </w:r>
            <w:r>
              <w:rPr>
                <w:rFonts w:hint="eastAsia" w:ascii="宋体" w:hAnsi="宋体" w:eastAsia="宋体" w:cs="宋体"/>
                <w:color w:val="0000FF"/>
                <w:szCs w:val="21"/>
                <w:highlight w:val="none"/>
              </w:rPr>
              <w:t>日</w:t>
            </w:r>
            <w:r>
              <w:rPr>
                <w:rFonts w:hint="eastAsia" w:ascii="宋体" w:hAnsi="宋体" w:eastAsia="宋体" w:cs="宋体"/>
                <w:color w:val="0000FF"/>
                <w:szCs w:val="21"/>
                <w:highlight w:val="none"/>
                <w:lang w:val="en-US" w:eastAsia="zh-CN"/>
              </w:rPr>
              <w:t>9</w:t>
            </w:r>
            <w:r>
              <w:rPr>
                <w:rFonts w:hint="eastAsia" w:ascii="宋体" w:hAnsi="宋体" w:eastAsia="宋体" w:cs="宋体"/>
                <w:color w:val="0000FF"/>
                <w:szCs w:val="21"/>
                <w:highlight w:val="none"/>
              </w:rPr>
              <w:t>时</w:t>
            </w:r>
            <w:r>
              <w:rPr>
                <w:rFonts w:hint="eastAsia" w:ascii="宋体" w:hAnsi="宋体" w:eastAsia="宋体" w:cs="宋体"/>
                <w:color w:val="0000FF"/>
                <w:szCs w:val="21"/>
                <w:highlight w:val="none"/>
                <w:lang w:val="en-US" w:eastAsia="zh-CN"/>
              </w:rPr>
              <w:t>3</w:t>
            </w:r>
            <w:r>
              <w:rPr>
                <w:rFonts w:hint="eastAsia" w:ascii="宋体" w:hAnsi="宋体" w:eastAsia="宋体" w:cs="宋体"/>
                <w:color w:val="0000FF"/>
                <w:szCs w:val="21"/>
                <w:highlight w:val="none"/>
              </w:rPr>
              <w:t>0分</w:t>
            </w:r>
          </w:p>
        </w:tc>
      </w:tr>
      <w:tr w14:paraId="2C077E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96" w:type="dxa"/>
            <w:tcBorders>
              <w:right w:val="single" w:color="auto" w:sz="4" w:space="0"/>
            </w:tcBorders>
            <w:vAlign w:val="center"/>
          </w:tcPr>
          <w:p w14:paraId="5FBB07D5">
            <w:pPr>
              <w:wordWrap w:val="0"/>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20</w:t>
            </w:r>
          </w:p>
        </w:tc>
        <w:tc>
          <w:tcPr>
            <w:tcW w:w="849" w:type="dxa"/>
            <w:tcBorders>
              <w:left w:val="single" w:color="auto" w:sz="4" w:space="0"/>
            </w:tcBorders>
            <w:vAlign w:val="center"/>
          </w:tcPr>
          <w:p w14:paraId="7291817D">
            <w:pPr>
              <w:wordWrap w:val="0"/>
              <w:jc w:val="center"/>
              <w:rPr>
                <w:rFonts w:ascii="宋体" w:hAnsi="宋体"/>
                <w:color w:val="auto"/>
                <w:szCs w:val="21"/>
                <w:highlight w:val="none"/>
              </w:rPr>
            </w:pPr>
            <w:r>
              <w:rPr>
                <w:rFonts w:hint="eastAsia" w:ascii="宋体" w:hAnsi="宋体"/>
                <w:color w:val="auto"/>
                <w:szCs w:val="21"/>
                <w:highlight w:val="none"/>
              </w:rPr>
              <w:t>4.1.2</w:t>
            </w:r>
          </w:p>
        </w:tc>
        <w:tc>
          <w:tcPr>
            <w:tcW w:w="2126" w:type="dxa"/>
            <w:vAlign w:val="center"/>
          </w:tcPr>
          <w:p w14:paraId="6980AF99">
            <w:pPr>
              <w:spacing w:line="360" w:lineRule="auto"/>
              <w:jc w:val="center"/>
              <w:rPr>
                <w:rFonts w:ascii="宋体" w:hAnsi="宋体"/>
                <w:color w:val="auto"/>
                <w:szCs w:val="21"/>
                <w:highlight w:val="none"/>
              </w:rPr>
            </w:pPr>
            <w:r>
              <w:rPr>
                <w:rFonts w:hint="eastAsia" w:ascii="宋体" w:hAnsi="宋体" w:cs="宋体"/>
                <w:color w:val="auto"/>
                <w:szCs w:val="21"/>
                <w:highlight w:val="none"/>
              </w:rPr>
              <w:t>提交投标文件地点</w:t>
            </w:r>
          </w:p>
        </w:tc>
        <w:tc>
          <w:tcPr>
            <w:tcW w:w="5474" w:type="dxa"/>
            <w:gridSpan w:val="2"/>
            <w:vAlign w:val="center"/>
          </w:tcPr>
          <w:p w14:paraId="11862E3F">
            <w:pPr>
              <w:wordWrap w:val="0"/>
              <w:rPr>
                <w:rFonts w:ascii="宋体" w:hAnsi="宋体"/>
                <w:color w:val="auto"/>
                <w:szCs w:val="21"/>
                <w:highlight w:val="none"/>
              </w:rPr>
            </w:pPr>
            <w:r>
              <w:rPr>
                <w:rFonts w:hint="eastAsia" w:ascii="宋体" w:hAnsi="宋体" w:cs="宋体"/>
                <w:snapToGrid w:val="0"/>
                <w:color w:val="auto"/>
                <w:kern w:val="0"/>
                <w:szCs w:val="21"/>
                <w:highlight w:val="none"/>
              </w:rPr>
              <w:t>湖南省长沙市芙蓉区蓉园路6号湖南省老干部大学金秋楼10楼【中航公共资源交易平台】相应开标室。</w:t>
            </w:r>
          </w:p>
        </w:tc>
      </w:tr>
      <w:tr w14:paraId="42D412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8" w:hRule="atLeast"/>
          <w:jc w:val="center"/>
        </w:trPr>
        <w:tc>
          <w:tcPr>
            <w:tcW w:w="696" w:type="dxa"/>
            <w:tcBorders>
              <w:right w:val="single" w:color="auto" w:sz="4" w:space="0"/>
            </w:tcBorders>
            <w:vAlign w:val="center"/>
          </w:tcPr>
          <w:p w14:paraId="310739CC">
            <w:pPr>
              <w:wordWrap w:val="0"/>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21</w:t>
            </w:r>
          </w:p>
        </w:tc>
        <w:tc>
          <w:tcPr>
            <w:tcW w:w="849" w:type="dxa"/>
            <w:tcBorders>
              <w:left w:val="single" w:color="auto" w:sz="4" w:space="0"/>
            </w:tcBorders>
            <w:vAlign w:val="center"/>
          </w:tcPr>
          <w:p w14:paraId="12D617EC">
            <w:pPr>
              <w:spacing w:line="360" w:lineRule="auto"/>
              <w:jc w:val="center"/>
              <w:rPr>
                <w:rFonts w:hint="eastAsia" w:ascii="宋体" w:hAnsi="宋体"/>
                <w:color w:val="auto"/>
                <w:szCs w:val="21"/>
                <w:highlight w:val="none"/>
              </w:rPr>
            </w:pPr>
            <w:r>
              <w:rPr>
                <w:rFonts w:hint="eastAsia" w:ascii="宋体" w:hAnsi="宋体" w:cs="宋体"/>
                <w:color w:val="auto"/>
                <w:szCs w:val="21"/>
                <w:highlight w:val="none"/>
              </w:rPr>
              <w:t>4.2.3</w:t>
            </w:r>
          </w:p>
        </w:tc>
        <w:tc>
          <w:tcPr>
            <w:tcW w:w="2126" w:type="dxa"/>
            <w:vAlign w:val="center"/>
          </w:tcPr>
          <w:p w14:paraId="64C2DF6D">
            <w:pPr>
              <w:spacing w:line="360" w:lineRule="auto"/>
              <w:jc w:val="center"/>
              <w:rPr>
                <w:rFonts w:ascii="宋体" w:hAnsi="宋体"/>
                <w:color w:val="auto"/>
                <w:szCs w:val="21"/>
                <w:highlight w:val="none"/>
              </w:rPr>
            </w:pPr>
            <w:r>
              <w:rPr>
                <w:rFonts w:hint="eastAsia" w:ascii="宋体" w:hAnsi="宋体" w:cs="宋体"/>
                <w:color w:val="auto"/>
                <w:szCs w:val="21"/>
                <w:highlight w:val="none"/>
              </w:rPr>
              <w:t>是否退还投标文件</w:t>
            </w:r>
          </w:p>
        </w:tc>
        <w:tc>
          <w:tcPr>
            <w:tcW w:w="5474" w:type="dxa"/>
            <w:gridSpan w:val="2"/>
            <w:vAlign w:val="center"/>
          </w:tcPr>
          <w:p w14:paraId="2749DE5B">
            <w:pPr>
              <w:wordWrap w:val="0"/>
              <w:rPr>
                <w:rFonts w:hint="eastAsia" w:ascii="宋体" w:hAnsi="宋体"/>
                <w:color w:val="auto"/>
                <w:szCs w:val="21"/>
                <w:highlight w:val="none"/>
              </w:rPr>
            </w:pPr>
            <w:r>
              <w:rPr>
                <w:rFonts w:hint="eastAsia" w:ascii="宋体" w:hAnsi="宋体" w:cs="宋体"/>
                <w:color w:val="auto"/>
                <w:szCs w:val="21"/>
                <w:highlight w:val="none"/>
              </w:rPr>
              <w:t>否</w:t>
            </w:r>
          </w:p>
        </w:tc>
      </w:tr>
      <w:tr w14:paraId="051924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89" w:hRule="atLeast"/>
          <w:jc w:val="center"/>
        </w:trPr>
        <w:tc>
          <w:tcPr>
            <w:tcW w:w="696" w:type="dxa"/>
            <w:tcBorders>
              <w:right w:val="single" w:color="auto" w:sz="4" w:space="0"/>
            </w:tcBorders>
            <w:vAlign w:val="center"/>
          </w:tcPr>
          <w:p w14:paraId="1B61967E">
            <w:pPr>
              <w:wordWrap w:val="0"/>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22</w:t>
            </w:r>
          </w:p>
        </w:tc>
        <w:tc>
          <w:tcPr>
            <w:tcW w:w="849" w:type="dxa"/>
            <w:tcBorders>
              <w:left w:val="single" w:color="auto" w:sz="4" w:space="0"/>
            </w:tcBorders>
            <w:vAlign w:val="center"/>
          </w:tcPr>
          <w:p w14:paraId="04F7C65D">
            <w:pPr>
              <w:wordWrap w:val="0"/>
              <w:jc w:val="center"/>
              <w:rPr>
                <w:rFonts w:ascii="宋体" w:hAnsi="宋体"/>
                <w:color w:val="auto"/>
                <w:szCs w:val="21"/>
                <w:highlight w:val="none"/>
              </w:rPr>
            </w:pPr>
            <w:r>
              <w:rPr>
                <w:rFonts w:hint="eastAsia" w:ascii="宋体" w:hAnsi="宋体"/>
                <w:color w:val="auto"/>
                <w:szCs w:val="21"/>
                <w:highlight w:val="none"/>
              </w:rPr>
              <w:t>5.1</w:t>
            </w:r>
          </w:p>
        </w:tc>
        <w:tc>
          <w:tcPr>
            <w:tcW w:w="2126" w:type="dxa"/>
            <w:vAlign w:val="center"/>
          </w:tcPr>
          <w:p w14:paraId="0916445B">
            <w:pPr>
              <w:spacing w:line="360" w:lineRule="auto"/>
              <w:jc w:val="center"/>
              <w:rPr>
                <w:rFonts w:ascii="宋体" w:hAnsi="宋体"/>
                <w:color w:val="auto"/>
                <w:szCs w:val="21"/>
                <w:highlight w:val="none"/>
              </w:rPr>
            </w:pPr>
            <w:r>
              <w:rPr>
                <w:rFonts w:hint="eastAsia" w:ascii="宋体" w:hAnsi="宋体" w:cs="宋体"/>
                <w:color w:val="auto"/>
                <w:szCs w:val="21"/>
                <w:highlight w:val="none"/>
              </w:rPr>
              <w:t>开标时间和地点</w:t>
            </w:r>
          </w:p>
        </w:tc>
        <w:tc>
          <w:tcPr>
            <w:tcW w:w="5474" w:type="dxa"/>
            <w:gridSpan w:val="2"/>
            <w:vAlign w:val="center"/>
          </w:tcPr>
          <w:p w14:paraId="6238C86C">
            <w:pPr>
              <w:rPr>
                <w:rFonts w:ascii="宋体" w:hAnsi="宋体" w:cs="宋体"/>
                <w:color w:val="0000FF"/>
                <w:szCs w:val="21"/>
                <w:highlight w:val="none"/>
              </w:rPr>
            </w:pPr>
            <w:r>
              <w:rPr>
                <w:rFonts w:hint="eastAsia" w:ascii="宋体" w:hAnsi="宋体" w:cs="宋体"/>
                <w:color w:val="0000FF"/>
                <w:szCs w:val="21"/>
                <w:highlight w:val="none"/>
              </w:rPr>
              <w:t>开标时间：202</w:t>
            </w:r>
            <w:r>
              <w:rPr>
                <w:rFonts w:hint="eastAsia" w:ascii="宋体" w:hAnsi="宋体" w:cs="宋体"/>
                <w:color w:val="0000FF"/>
                <w:szCs w:val="21"/>
                <w:highlight w:val="none"/>
                <w:lang w:val="en-US" w:eastAsia="zh-CN"/>
              </w:rPr>
              <w:t>5</w:t>
            </w:r>
            <w:r>
              <w:rPr>
                <w:rFonts w:hint="eastAsia" w:ascii="宋体" w:hAnsi="宋体" w:cs="宋体"/>
                <w:color w:val="0000FF"/>
                <w:szCs w:val="21"/>
                <w:highlight w:val="none"/>
              </w:rPr>
              <w:t>年</w:t>
            </w:r>
            <w:r>
              <w:rPr>
                <w:rFonts w:hint="eastAsia" w:ascii="宋体" w:hAnsi="宋体" w:cs="宋体"/>
                <w:snapToGrid w:val="0"/>
                <w:color w:val="0000FF"/>
                <w:kern w:val="0"/>
                <w:szCs w:val="21"/>
                <w:highlight w:val="none"/>
                <w:lang w:val="en-US" w:eastAsia="zh-CN"/>
              </w:rPr>
              <w:t>11</w:t>
            </w:r>
            <w:r>
              <w:rPr>
                <w:rFonts w:hint="eastAsia" w:ascii="宋体" w:hAnsi="宋体" w:cs="宋体"/>
                <w:snapToGrid w:val="0"/>
                <w:color w:val="0000FF"/>
                <w:kern w:val="0"/>
                <w:szCs w:val="21"/>
                <w:highlight w:val="none"/>
              </w:rPr>
              <w:t>月</w:t>
            </w:r>
            <w:r>
              <w:rPr>
                <w:rFonts w:hint="eastAsia" w:ascii="宋体" w:hAnsi="宋体" w:cs="宋体"/>
                <w:snapToGrid w:val="0"/>
                <w:color w:val="0000FF"/>
                <w:kern w:val="0"/>
                <w:szCs w:val="21"/>
                <w:highlight w:val="none"/>
                <w:lang w:val="en-US" w:eastAsia="zh-CN"/>
              </w:rPr>
              <w:t>20</w:t>
            </w:r>
            <w:r>
              <w:rPr>
                <w:rFonts w:hint="eastAsia" w:ascii="宋体" w:hAnsi="宋体" w:cs="宋体"/>
                <w:color w:val="0000FF"/>
                <w:szCs w:val="21"/>
                <w:highlight w:val="none"/>
              </w:rPr>
              <w:t>日</w:t>
            </w:r>
            <w:r>
              <w:rPr>
                <w:rFonts w:hint="eastAsia" w:ascii="宋体" w:hAnsi="宋体" w:cs="宋体"/>
                <w:color w:val="0000FF"/>
                <w:szCs w:val="21"/>
                <w:highlight w:val="none"/>
                <w:lang w:val="en-US" w:eastAsia="zh-CN"/>
              </w:rPr>
              <w:t>9</w:t>
            </w:r>
            <w:r>
              <w:rPr>
                <w:rFonts w:hint="eastAsia" w:ascii="宋体" w:hAnsi="宋体" w:cs="宋体"/>
                <w:color w:val="0000FF"/>
                <w:szCs w:val="21"/>
                <w:highlight w:val="none"/>
              </w:rPr>
              <w:t>时30分。</w:t>
            </w:r>
          </w:p>
          <w:p w14:paraId="2106E658">
            <w:pPr>
              <w:rPr>
                <w:rFonts w:ascii="宋体" w:hAnsi="宋体"/>
                <w:color w:val="auto"/>
                <w:szCs w:val="21"/>
                <w:highlight w:val="none"/>
              </w:rPr>
            </w:pPr>
            <w:r>
              <w:rPr>
                <w:rFonts w:hint="eastAsia" w:ascii="宋体" w:hAnsi="宋体" w:cs="宋体"/>
                <w:color w:val="auto"/>
                <w:szCs w:val="21"/>
                <w:highlight w:val="none"/>
              </w:rPr>
              <w:t>开标地点：</w:t>
            </w:r>
            <w:r>
              <w:rPr>
                <w:rFonts w:hint="eastAsia" w:ascii="宋体" w:hAnsi="宋体" w:cs="宋体"/>
                <w:snapToGrid w:val="0"/>
                <w:color w:val="auto"/>
                <w:kern w:val="0"/>
                <w:szCs w:val="21"/>
                <w:highlight w:val="none"/>
              </w:rPr>
              <w:t>湖南省长沙市芙蓉区蓉园路6号湖南省老干部大学金秋楼10楼【中航公共资源交易平台】相应开标室。</w:t>
            </w:r>
          </w:p>
        </w:tc>
      </w:tr>
      <w:tr w14:paraId="22723C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5" w:hRule="atLeast"/>
          <w:jc w:val="center"/>
        </w:trPr>
        <w:tc>
          <w:tcPr>
            <w:tcW w:w="696" w:type="dxa"/>
            <w:tcBorders>
              <w:right w:val="single" w:color="auto" w:sz="4" w:space="0"/>
            </w:tcBorders>
            <w:vAlign w:val="center"/>
          </w:tcPr>
          <w:p w14:paraId="7B4D360F">
            <w:pPr>
              <w:wordWrap w:val="0"/>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23</w:t>
            </w:r>
          </w:p>
        </w:tc>
        <w:tc>
          <w:tcPr>
            <w:tcW w:w="849" w:type="dxa"/>
            <w:tcBorders>
              <w:left w:val="single" w:color="auto" w:sz="4" w:space="0"/>
            </w:tcBorders>
            <w:vAlign w:val="center"/>
          </w:tcPr>
          <w:p w14:paraId="311F0156">
            <w:pPr>
              <w:wordWrap w:val="0"/>
              <w:jc w:val="center"/>
              <w:rPr>
                <w:rFonts w:hint="eastAsia" w:ascii="宋体" w:hAnsi="宋体" w:eastAsia="宋体"/>
                <w:color w:val="auto"/>
                <w:szCs w:val="21"/>
                <w:highlight w:val="none"/>
                <w:lang w:eastAsia="zh-CN"/>
              </w:rPr>
            </w:pPr>
            <w:r>
              <w:rPr>
                <w:rFonts w:hint="eastAsia" w:ascii="宋体" w:hAnsi="宋体" w:cs="宋体"/>
                <w:color w:val="auto"/>
                <w:szCs w:val="21"/>
                <w:highlight w:val="none"/>
              </w:rPr>
              <w:t>5.</w:t>
            </w:r>
            <w:r>
              <w:rPr>
                <w:rFonts w:hint="eastAsia" w:ascii="宋体" w:hAnsi="宋体" w:cs="宋体"/>
                <w:color w:val="auto"/>
                <w:szCs w:val="21"/>
                <w:highlight w:val="none"/>
                <w:lang w:val="en-US" w:eastAsia="zh-CN"/>
              </w:rPr>
              <w:t>2</w:t>
            </w:r>
          </w:p>
        </w:tc>
        <w:tc>
          <w:tcPr>
            <w:tcW w:w="2126" w:type="dxa"/>
            <w:vAlign w:val="center"/>
          </w:tcPr>
          <w:p w14:paraId="3177EE6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开标程序</w:t>
            </w:r>
          </w:p>
        </w:tc>
        <w:tc>
          <w:tcPr>
            <w:tcW w:w="5474" w:type="dxa"/>
            <w:gridSpan w:val="2"/>
            <w:vAlign w:val="center"/>
          </w:tcPr>
          <w:p w14:paraId="7657B5A3">
            <w:pPr>
              <w:rPr>
                <w:rFonts w:ascii="宋体" w:hAnsi="宋体" w:cs="宋体"/>
                <w:color w:val="auto"/>
                <w:szCs w:val="21"/>
                <w:highlight w:val="none"/>
              </w:rPr>
            </w:pPr>
            <w:r>
              <w:rPr>
                <w:rFonts w:hint="eastAsia" w:ascii="宋体" w:hAnsi="宋体" w:cs="宋体"/>
                <w:color w:val="auto"/>
                <w:szCs w:val="21"/>
                <w:highlight w:val="none"/>
              </w:rPr>
              <w:t>1、密封情况检查：投标人代表检查确认</w:t>
            </w:r>
          </w:p>
          <w:p w14:paraId="08DAEFCD">
            <w:pPr>
              <w:rPr>
                <w:rFonts w:hint="eastAsia" w:ascii="宋体" w:hAnsi="宋体"/>
                <w:color w:val="auto"/>
                <w:szCs w:val="21"/>
                <w:highlight w:val="none"/>
              </w:rPr>
            </w:pPr>
            <w:r>
              <w:rPr>
                <w:rFonts w:hint="eastAsia" w:ascii="宋体" w:hAnsi="宋体" w:cs="宋体"/>
                <w:color w:val="auto"/>
                <w:szCs w:val="21"/>
                <w:highlight w:val="none"/>
              </w:rPr>
              <w:t>2、开标顺序：随机</w:t>
            </w:r>
          </w:p>
        </w:tc>
      </w:tr>
      <w:tr w14:paraId="7C79C4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84" w:hRule="atLeast"/>
          <w:jc w:val="center"/>
        </w:trPr>
        <w:tc>
          <w:tcPr>
            <w:tcW w:w="696" w:type="dxa"/>
            <w:vMerge w:val="restart"/>
            <w:tcBorders>
              <w:right w:val="single" w:color="auto" w:sz="4" w:space="0"/>
            </w:tcBorders>
            <w:vAlign w:val="center"/>
          </w:tcPr>
          <w:p w14:paraId="2E9A8EAB">
            <w:pPr>
              <w:wordWrap w:val="0"/>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24</w:t>
            </w:r>
          </w:p>
        </w:tc>
        <w:tc>
          <w:tcPr>
            <w:tcW w:w="849" w:type="dxa"/>
            <w:vMerge w:val="restart"/>
            <w:tcBorders>
              <w:left w:val="single" w:color="auto" w:sz="4" w:space="0"/>
            </w:tcBorders>
            <w:vAlign w:val="center"/>
          </w:tcPr>
          <w:p w14:paraId="46F4872E">
            <w:pPr>
              <w:wordWrap w:val="0"/>
              <w:jc w:val="center"/>
              <w:rPr>
                <w:rFonts w:hint="eastAsia" w:ascii="宋体" w:hAnsi="宋体"/>
                <w:color w:val="auto"/>
                <w:szCs w:val="21"/>
                <w:highlight w:val="none"/>
              </w:rPr>
            </w:pPr>
            <w:r>
              <w:rPr>
                <w:rFonts w:hint="eastAsia" w:ascii="宋体" w:hAnsi="宋体"/>
                <w:color w:val="auto"/>
                <w:szCs w:val="21"/>
                <w:highlight w:val="none"/>
              </w:rPr>
              <w:t>6.3.2</w:t>
            </w:r>
          </w:p>
        </w:tc>
        <w:tc>
          <w:tcPr>
            <w:tcW w:w="2126" w:type="dxa"/>
            <w:vMerge w:val="restart"/>
            <w:vAlign w:val="center"/>
          </w:tcPr>
          <w:p w14:paraId="5F371F5B">
            <w:pPr>
              <w:wordWrap w:val="0"/>
              <w:jc w:val="center"/>
              <w:rPr>
                <w:rFonts w:ascii="宋体" w:hAnsi="宋体"/>
                <w:color w:val="auto"/>
                <w:szCs w:val="21"/>
                <w:highlight w:val="none"/>
              </w:rPr>
            </w:pPr>
            <w:r>
              <w:rPr>
                <w:rFonts w:ascii="宋体" w:hAnsi="宋体"/>
                <w:color w:val="auto"/>
                <w:szCs w:val="21"/>
                <w:highlight w:val="none"/>
              </w:rPr>
              <w:t>评标委员会推荐</w:t>
            </w:r>
          </w:p>
          <w:p w14:paraId="10A75169">
            <w:pPr>
              <w:wordWrap w:val="0"/>
              <w:jc w:val="center"/>
              <w:rPr>
                <w:rFonts w:ascii="宋体" w:hAnsi="宋体"/>
                <w:color w:val="auto"/>
                <w:szCs w:val="21"/>
                <w:highlight w:val="none"/>
              </w:rPr>
            </w:pPr>
            <w:r>
              <w:rPr>
                <w:rFonts w:ascii="宋体" w:hAnsi="宋体"/>
                <w:color w:val="auto"/>
                <w:szCs w:val="21"/>
                <w:highlight w:val="none"/>
              </w:rPr>
              <w:t>中标候选人的人数</w:t>
            </w:r>
          </w:p>
        </w:tc>
        <w:tc>
          <w:tcPr>
            <w:tcW w:w="1134" w:type="dxa"/>
            <w:vMerge w:val="restart"/>
            <w:vAlign w:val="center"/>
          </w:tcPr>
          <w:p w14:paraId="2FB9D35D">
            <w:pPr>
              <w:wordWrap w:val="0"/>
              <w:rPr>
                <w:rFonts w:hint="eastAsia" w:hAnsi="宋体"/>
                <w:color w:val="auto"/>
                <w:szCs w:val="21"/>
                <w:highlight w:val="none"/>
              </w:rPr>
            </w:pPr>
            <w:r>
              <w:rPr>
                <w:rFonts w:hint="eastAsia" w:hAnsi="宋体"/>
                <w:color w:val="auto"/>
                <w:szCs w:val="21"/>
                <w:highlight w:val="none"/>
              </w:rPr>
              <w:t>采用综合评分法</w:t>
            </w:r>
          </w:p>
        </w:tc>
        <w:tc>
          <w:tcPr>
            <w:tcW w:w="4340" w:type="dxa"/>
            <w:vAlign w:val="center"/>
          </w:tcPr>
          <w:p w14:paraId="05F354F2">
            <w:pPr>
              <w:wordWrap w:val="0"/>
              <w:rPr>
                <w:rFonts w:hint="eastAsia" w:hAnsi="宋体" w:eastAsia="宋体"/>
                <w:color w:val="auto"/>
                <w:szCs w:val="21"/>
                <w:highlight w:val="none"/>
                <w:lang w:val="en-US" w:eastAsia="zh-CN"/>
              </w:rPr>
            </w:pPr>
            <w:r>
              <w:rPr>
                <w:rFonts w:hint="eastAsia" w:hAnsi="宋体"/>
                <w:color w:val="auto"/>
                <w:szCs w:val="21"/>
                <w:highlight w:val="none"/>
              </w:rPr>
              <w:t>评标委员会按综合得分由高至低的顺序，推荐</w:t>
            </w:r>
            <w:r>
              <w:rPr>
                <w:rFonts w:hint="eastAsia" w:ascii="宋体" w:hAnsi="宋体"/>
                <w:color w:val="auto"/>
                <w:szCs w:val="21"/>
                <w:highlight w:val="none"/>
                <w:lang w:val="en-US" w:eastAsia="zh-CN"/>
              </w:rPr>
              <w:t>3</w:t>
            </w:r>
            <w:r>
              <w:rPr>
                <w:rFonts w:hint="eastAsia" w:hAnsi="宋体"/>
                <w:color w:val="auto"/>
                <w:szCs w:val="21"/>
                <w:highlight w:val="none"/>
              </w:rPr>
              <w:t>个单位为中标候选人，</w:t>
            </w:r>
            <w:r>
              <w:rPr>
                <w:rFonts w:hint="eastAsia" w:hAnsi="宋体"/>
                <w:color w:val="auto"/>
                <w:szCs w:val="21"/>
                <w:highlight w:val="none"/>
                <w:lang w:eastAsia="zh-CN"/>
              </w:rPr>
              <w:t>其他</w:t>
            </w:r>
            <w:r>
              <w:rPr>
                <w:rFonts w:hint="eastAsia" w:hAnsi="宋体"/>
                <w:color w:val="auto"/>
                <w:szCs w:val="21"/>
                <w:highlight w:val="none"/>
              </w:rPr>
              <w:t>单位不予排序。若出现投标人评标综合得分相同的情况，则依次按照商务部分、技术部分得分由高至低排序、评委票决顺序确定。</w:t>
            </w:r>
          </w:p>
        </w:tc>
      </w:tr>
      <w:tr w14:paraId="612C76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84" w:hRule="atLeast"/>
          <w:jc w:val="center"/>
        </w:trPr>
        <w:tc>
          <w:tcPr>
            <w:tcW w:w="696" w:type="dxa"/>
            <w:vMerge w:val="continue"/>
            <w:tcBorders>
              <w:right w:val="single" w:color="auto" w:sz="4" w:space="0"/>
            </w:tcBorders>
            <w:vAlign w:val="center"/>
          </w:tcPr>
          <w:p w14:paraId="6ADEEC1A">
            <w:pPr>
              <w:wordWrap w:val="0"/>
              <w:jc w:val="center"/>
              <w:rPr>
                <w:rFonts w:hint="default" w:ascii="宋体" w:hAnsi="宋体"/>
                <w:color w:val="auto"/>
                <w:szCs w:val="21"/>
                <w:highlight w:val="none"/>
                <w:lang w:val="en-US"/>
              </w:rPr>
            </w:pPr>
          </w:p>
        </w:tc>
        <w:tc>
          <w:tcPr>
            <w:tcW w:w="849" w:type="dxa"/>
            <w:vMerge w:val="continue"/>
            <w:tcBorders>
              <w:left w:val="single" w:color="auto" w:sz="4" w:space="0"/>
            </w:tcBorders>
            <w:vAlign w:val="center"/>
          </w:tcPr>
          <w:p w14:paraId="5B70A124">
            <w:pPr>
              <w:wordWrap w:val="0"/>
              <w:jc w:val="center"/>
              <w:rPr>
                <w:rFonts w:hint="eastAsia" w:ascii="宋体" w:hAnsi="宋体"/>
                <w:color w:val="auto"/>
                <w:szCs w:val="21"/>
                <w:highlight w:val="none"/>
              </w:rPr>
            </w:pPr>
          </w:p>
        </w:tc>
        <w:tc>
          <w:tcPr>
            <w:tcW w:w="2126" w:type="dxa"/>
            <w:vMerge w:val="continue"/>
            <w:vAlign w:val="center"/>
          </w:tcPr>
          <w:p w14:paraId="27CAEAE0">
            <w:pPr>
              <w:wordWrap w:val="0"/>
              <w:jc w:val="center"/>
              <w:rPr>
                <w:rFonts w:ascii="宋体" w:hAnsi="宋体"/>
                <w:color w:val="auto"/>
                <w:szCs w:val="21"/>
                <w:highlight w:val="none"/>
              </w:rPr>
            </w:pPr>
          </w:p>
        </w:tc>
        <w:tc>
          <w:tcPr>
            <w:tcW w:w="1134" w:type="dxa"/>
            <w:vMerge w:val="continue"/>
            <w:vAlign w:val="center"/>
          </w:tcPr>
          <w:p w14:paraId="2B191508">
            <w:pPr>
              <w:wordWrap w:val="0"/>
              <w:rPr>
                <w:rFonts w:hint="eastAsia" w:hAnsi="宋体"/>
                <w:color w:val="auto"/>
                <w:szCs w:val="21"/>
                <w:highlight w:val="none"/>
              </w:rPr>
            </w:pPr>
          </w:p>
        </w:tc>
        <w:tc>
          <w:tcPr>
            <w:tcW w:w="4340" w:type="dxa"/>
            <w:vAlign w:val="center"/>
          </w:tcPr>
          <w:p w14:paraId="7A200399">
            <w:pPr>
              <w:keepNext w:val="0"/>
              <w:keepLines w:val="0"/>
              <w:pageBreakBefore w:val="0"/>
              <w:widowControl/>
              <w:kinsoku/>
              <w:wordWrap w:val="0"/>
              <w:overflowPunct/>
              <w:topLinePunct w:val="0"/>
              <w:autoSpaceDE/>
              <w:autoSpaceDN/>
              <w:bidi w:val="0"/>
              <w:adjustRightInd/>
              <w:snapToGrid/>
              <w:spacing w:line="240" w:lineRule="auto"/>
              <w:ind w:firstLine="0" w:firstLineChars="0"/>
              <w:textAlignment w:val="auto"/>
              <w:rPr>
                <w:rFonts w:hint="default" w:ascii="宋体" w:hAnsi="宋体" w:eastAsia="宋体" w:cs="宋体"/>
                <w:b/>
                <w:bCs/>
                <w:snapToGrid w:val="0"/>
                <w:color w:val="auto"/>
                <w:kern w:val="0"/>
                <w:szCs w:val="21"/>
                <w:highlight w:val="none"/>
                <w:lang w:val="en-US" w:eastAsia="zh-CN"/>
              </w:rPr>
            </w:pPr>
            <w:r>
              <w:rPr>
                <w:rFonts w:hint="eastAsia" w:ascii="宋体" w:hAnsi="宋体" w:cs="宋体"/>
                <w:b/>
                <w:bCs/>
                <w:color w:val="auto"/>
                <w:szCs w:val="21"/>
                <w:highlight w:val="none"/>
                <w:lang w:val="en-US" w:eastAsia="zh-CN"/>
              </w:rPr>
              <w:t>中标原则：</w:t>
            </w:r>
            <w:r>
              <w:rPr>
                <w:rFonts w:hint="default" w:ascii="宋体" w:hAnsi="宋体" w:eastAsia="宋体" w:cs="宋体"/>
                <w:b/>
                <w:bCs/>
                <w:snapToGrid w:val="0"/>
                <w:color w:val="auto"/>
                <w:kern w:val="0"/>
                <w:szCs w:val="21"/>
                <w:highlight w:val="none"/>
                <w:lang w:val="en-US" w:eastAsia="zh-CN"/>
              </w:rPr>
              <w:t>一标段与二、三标段兼投不兼中，二、三标段可兼投兼中。</w:t>
            </w:r>
          </w:p>
          <w:p w14:paraId="531C7D3A">
            <w:pPr>
              <w:keepNext w:val="0"/>
              <w:keepLines w:val="0"/>
              <w:pageBreakBefore w:val="0"/>
              <w:widowControl/>
              <w:kinsoku/>
              <w:wordWrap w:val="0"/>
              <w:overflowPunct/>
              <w:topLinePunct w:val="0"/>
              <w:autoSpaceDE/>
              <w:autoSpaceDN/>
              <w:bidi w:val="0"/>
              <w:adjustRightInd/>
              <w:snapToGrid/>
              <w:spacing w:line="240" w:lineRule="auto"/>
              <w:ind w:firstLine="0" w:firstLineChars="0"/>
              <w:textAlignment w:val="auto"/>
              <w:rPr>
                <w:rFonts w:hint="default"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1.</w:t>
            </w:r>
            <w:r>
              <w:rPr>
                <w:rFonts w:hint="default" w:ascii="宋体" w:hAnsi="宋体" w:eastAsia="宋体" w:cs="宋体"/>
                <w:snapToGrid w:val="0"/>
                <w:color w:val="auto"/>
                <w:kern w:val="0"/>
                <w:szCs w:val="21"/>
                <w:highlight w:val="none"/>
                <w:lang w:val="en-US" w:eastAsia="zh-CN"/>
              </w:rPr>
              <w:t>如一标段与二标段第一中标候选人为同一单位，则该投标人被招标人确定为二标段的中标人，并放弃一标段的中标资格；如一标段与三标段第一中标候选人为同一单位，则该投标人被招标人确定为三标段的中标人，并放弃一标段的中标资格；如一标段与二、三标段第一中标候选人为同一单位，则该投标人被招标人确定为二、三标段的中标人，并放弃一标段的中标资格。</w:t>
            </w:r>
          </w:p>
          <w:p w14:paraId="4CEDE3DE">
            <w:pPr>
              <w:keepNext w:val="0"/>
              <w:keepLines w:val="0"/>
              <w:pageBreakBefore w:val="0"/>
              <w:widowControl/>
              <w:kinsoku/>
              <w:wordWrap w:val="0"/>
              <w:overflowPunct/>
              <w:topLinePunct w:val="0"/>
              <w:autoSpaceDE/>
              <w:autoSpaceDN/>
              <w:bidi w:val="0"/>
              <w:adjustRightInd/>
              <w:snapToGrid/>
              <w:spacing w:line="240" w:lineRule="auto"/>
              <w:ind w:firstLine="0" w:firstLineChars="0"/>
              <w:textAlignment w:val="auto"/>
              <w:rPr>
                <w:rFonts w:hint="default"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2.</w:t>
            </w:r>
            <w:r>
              <w:rPr>
                <w:rFonts w:hint="default" w:ascii="宋体" w:hAnsi="宋体" w:eastAsia="宋体" w:cs="宋体"/>
                <w:snapToGrid w:val="0"/>
                <w:color w:val="auto"/>
                <w:kern w:val="0"/>
                <w:szCs w:val="21"/>
                <w:highlight w:val="none"/>
                <w:lang w:val="en-US" w:eastAsia="zh-CN"/>
              </w:rPr>
              <w:t>被放弃标段的中标资格，将由该标段剩余中标候选人内排名最高的中标候选人替补。</w:t>
            </w:r>
          </w:p>
          <w:p w14:paraId="54AC0F05">
            <w:pPr>
              <w:keepNext w:val="0"/>
              <w:keepLines w:val="0"/>
              <w:pageBreakBefore w:val="0"/>
              <w:widowControl/>
              <w:kinsoku/>
              <w:wordWrap w:val="0"/>
              <w:overflowPunct/>
              <w:topLinePunct w:val="0"/>
              <w:autoSpaceDE/>
              <w:autoSpaceDN/>
              <w:bidi w:val="0"/>
              <w:adjustRightInd/>
              <w:snapToGrid/>
              <w:spacing w:line="240" w:lineRule="auto"/>
              <w:ind w:firstLine="0" w:firstLineChars="0"/>
              <w:textAlignment w:val="auto"/>
              <w:rPr>
                <w:rFonts w:hint="eastAsia" w:hAnsi="宋体"/>
                <w:color w:val="auto"/>
                <w:szCs w:val="21"/>
                <w:highlight w:val="none"/>
              </w:rPr>
            </w:pPr>
            <w:r>
              <w:rPr>
                <w:rFonts w:hint="eastAsia" w:ascii="宋体" w:hAnsi="宋体" w:eastAsia="宋体" w:cs="宋体"/>
                <w:snapToGrid w:val="0"/>
                <w:color w:val="auto"/>
                <w:kern w:val="0"/>
                <w:szCs w:val="21"/>
                <w:highlight w:val="none"/>
                <w:lang w:val="en-US" w:eastAsia="zh-CN"/>
              </w:rPr>
              <w:t>3.</w:t>
            </w:r>
            <w:r>
              <w:rPr>
                <w:rFonts w:hint="default" w:ascii="宋体" w:hAnsi="宋体" w:eastAsia="宋体" w:cs="宋体"/>
                <w:snapToGrid w:val="0"/>
                <w:color w:val="auto"/>
                <w:kern w:val="0"/>
                <w:szCs w:val="21"/>
                <w:highlight w:val="none"/>
                <w:lang w:val="en-US" w:eastAsia="zh-CN"/>
              </w:rPr>
              <w:t>对于存在替补中标情形的标段，替补中标人的中标价格为其自身的投标报价。</w:t>
            </w:r>
          </w:p>
        </w:tc>
      </w:tr>
      <w:tr w14:paraId="6700E4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5" w:hRule="atLeast"/>
          <w:jc w:val="center"/>
        </w:trPr>
        <w:tc>
          <w:tcPr>
            <w:tcW w:w="696" w:type="dxa"/>
            <w:tcBorders>
              <w:right w:val="single" w:color="auto" w:sz="4" w:space="0"/>
            </w:tcBorders>
            <w:vAlign w:val="center"/>
          </w:tcPr>
          <w:p w14:paraId="08A3B691">
            <w:pPr>
              <w:wordWrap w:val="0"/>
              <w:jc w:val="center"/>
              <w:rPr>
                <w:rFonts w:hint="default" w:ascii="宋体" w:hAnsi="宋体"/>
                <w:color w:val="auto"/>
                <w:szCs w:val="21"/>
                <w:highlight w:val="none"/>
                <w:lang w:val="en-US"/>
              </w:rPr>
            </w:pPr>
            <w:r>
              <w:rPr>
                <w:rFonts w:hint="eastAsia" w:ascii="宋体" w:hAnsi="宋体"/>
                <w:color w:val="auto"/>
                <w:szCs w:val="21"/>
                <w:highlight w:val="none"/>
              </w:rPr>
              <w:t>25</w:t>
            </w:r>
          </w:p>
        </w:tc>
        <w:tc>
          <w:tcPr>
            <w:tcW w:w="849" w:type="dxa"/>
            <w:tcBorders>
              <w:left w:val="single" w:color="auto" w:sz="4" w:space="0"/>
            </w:tcBorders>
            <w:vAlign w:val="center"/>
          </w:tcPr>
          <w:p w14:paraId="7003B030">
            <w:pPr>
              <w:wordWrap w:val="0"/>
              <w:jc w:val="center"/>
              <w:rPr>
                <w:rFonts w:hint="eastAsia" w:ascii="宋体" w:hAnsi="宋体"/>
                <w:color w:val="auto"/>
                <w:szCs w:val="21"/>
                <w:highlight w:val="none"/>
              </w:rPr>
            </w:pPr>
            <w:r>
              <w:rPr>
                <w:rFonts w:hint="eastAsia" w:ascii="宋体" w:hAnsi="宋体"/>
                <w:color w:val="auto"/>
                <w:szCs w:val="21"/>
                <w:highlight w:val="none"/>
              </w:rPr>
              <w:t>7.1</w:t>
            </w:r>
          </w:p>
        </w:tc>
        <w:tc>
          <w:tcPr>
            <w:tcW w:w="2126" w:type="dxa"/>
            <w:vAlign w:val="center"/>
          </w:tcPr>
          <w:p w14:paraId="5F912C7A">
            <w:pPr>
              <w:wordWrap w:val="0"/>
              <w:jc w:val="center"/>
              <w:rPr>
                <w:rFonts w:ascii="宋体" w:hAnsi="宋体"/>
                <w:color w:val="auto"/>
                <w:szCs w:val="21"/>
                <w:highlight w:val="none"/>
              </w:rPr>
            </w:pPr>
            <w:r>
              <w:rPr>
                <w:rFonts w:hint="eastAsia" w:ascii="宋体" w:hAnsi="宋体"/>
                <w:color w:val="auto"/>
                <w:szCs w:val="21"/>
                <w:highlight w:val="none"/>
              </w:rPr>
              <w:t>结果公告</w:t>
            </w:r>
            <w:r>
              <w:rPr>
                <w:rFonts w:ascii="宋体" w:hAnsi="宋体"/>
                <w:color w:val="auto"/>
                <w:szCs w:val="21"/>
                <w:highlight w:val="none"/>
              </w:rPr>
              <w:t>媒介</w:t>
            </w:r>
          </w:p>
          <w:p w14:paraId="53A51F50">
            <w:pPr>
              <w:wordWrap w:val="0"/>
              <w:jc w:val="center"/>
              <w:rPr>
                <w:rFonts w:ascii="宋体" w:hAnsi="宋体"/>
                <w:color w:val="auto"/>
                <w:szCs w:val="21"/>
                <w:highlight w:val="none"/>
              </w:rPr>
            </w:pPr>
            <w:r>
              <w:rPr>
                <w:rFonts w:ascii="宋体" w:hAnsi="宋体"/>
                <w:color w:val="auto"/>
                <w:szCs w:val="21"/>
                <w:highlight w:val="none"/>
              </w:rPr>
              <w:t>及期限</w:t>
            </w:r>
          </w:p>
        </w:tc>
        <w:tc>
          <w:tcPr>
            <w:tcW w:w="5474" w:type="dxa"/>
            <w:gridSpan w:val="2"/>
            <w:vAlign w:val="center"/>
          </w:tcPr>
          <w:p w14:paraId="5C8AA11D">
            <w:pPr>
              <w:wordWrap w:val="0"/>
              <w:rPr>
                <w:rFonts w:ascii="宋体" w:hAnsi="宋体"/>
                <w:color w:val="auto"/>
                <w:szCs w:val="21"/>
                <w:highlight w:val="none"/>
              </w:rPr>
            </w:pPr>
            <w:r>
              <w:rPr>
                <w:rFonts w:hint="eastAsia" w:ascii="宋体" w:hAnsi="宋体"/>
                <w:color w:val="auto"/>
                <w:szCs w:val="21"/>
                <w:highlight w:val="none"/>
              </w:rPr>
              <w:t>公告媒介：</w:t>
            </w:r>
            <w:r>
              <w:rPr>
                <w:rFonts w:ascii="宋体" w:hAnsi="宋体"/>
                <w:color w:val="auto"/>
                <w:szCs w:val="21"/>
                <w:highlight w:val="none"/>
              </w:rPr>
              <w:t>在</w:t>
            </w:r>
            <w:r>
              <w:rPr>
                <w:rFonts w:hint="eastAsia" w:ascii="宋体" w:hAnsi="宋体" w:cs="宋体"/>
                <w:snapToGrid w:val="0"/>
                <w:color w:val="auto"/>
                <w:kern w:val="0"/>
                <w:szCs w:val="21"/>
                <w:highlight w:val="none"/>
              </w:rPr>
              <w:t>潇湘交易云平台、中国招标投标公共服务平台</w:t>
            </w:r>
            <w:r>
              <w:rPr>
                <w:rFonts w:hint="eastAsia" w:ascii="宋体" w:hAnsi="宋体"/>
                <w:color w:val="auto"/>
                <w:szCs w:val="21"/>
                <w:highlight w:val="none"/>
              </w:rPr>
              <w:t>发布</w:t>
            </w:r>
            <w:r>
              <w:rPr>
                <w:rFonts w:ascii="宋体" w:hAnsi="宋体"/>
                <w:color w:val="auto"/>
                <w:szCs w:val="21"/>
                <w:highlight w:val="none"/>
              </w:rPr>
              <w:t>。</w:t>
            </w:r>
          </w:p>
          <w:p w14:paraId="5E560AD0">
            <w:pPr>
              <w:wordWrap w:val="0"/>
              <w:rPr>
                <w:rFonts w:hint="eastAsia" w:ascii="宋体" w:hAnsi="宋体" w:cs="宋体"/>
                <w:color w:val="auto"/>
                <w:szCs w:val="21"/>
                <w:highlight w:val="none"/>
              </w:rPr>
            </w:pPr>
            <w:r>
              <w:rPr>
                <w:rFonts w:hint="eastAsia" w:ascii="宋体" w:hAnsi="宋体"/>
                <w:color w:val="auto"/>
                <w:szCs w:val="21"/>
                <w:highlight w:val="none"/>
              </w:rPr>
              <w:t>公告期限：按相关规定执行。</w:t>
            </w:r>
          </w:p>
        </w:tc>
      </w:tr>
      <w:tr w14:paraId="0290F2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6" w:hRule="atLeast"/>
          <w:jc w:val="center"/>
        </w:trPr>
        <w:tc>
          <w:tcPr>
            <w:tcW w:w="696" w:type="dxa"/>
            <w:tcBorders>
              <w:right w:val="single" w:color="auto" w:sz="4" w:space="0"/>
            </w:tcBorders>
            <w:vAlign w:val="center"/>
          </w:tcPr>
          <w:p w14:paraId="320C6CCC">
            <w:pPr>
              <w:wordWrap w:val="0"/>
              <w:jc w:val="center"/>
              <w:rPr>
                <w:rFonts w:hint="eastAsia" w:ascii="宋体" w:hAnsi="宋体"/>
                <w:color w:val="auto"/>
                <w:szCs w:val="21"/>
                <w:highlight w:val="none"/>
              </w:rPr>
            </w:pPr>
            <w:r>
              <w:rPr>
                <w:rFonts w:hint="eastAsia" w:ascii="宋体" w:hAnsi="宋体"/>
                <w:color w:val="auto"/>
                <w:szCs w:val="21"/>
                <w:highlight w:val="none"/>
              </w:rPr>
              <w:t>26</w:t>
            </w:r>
          </w:p>
        </w:tc>
        <w:tc>
          <w:tcPr>
            <w:tcW w:w="849" w:type="dxa"/>
            <w:tcBorders>
              <w:left w:val="single" w:color="auto" w:sz="4" w:space="0"/>
            </w:tcBorders>
            <w:vAlign w:val="center"/>
          </w:tcPr>
          <w:p w14:paraId="31569672">
            <w:pPr>
              <w:wordWrap w:val="0"/>
              <w:jc w:val="center"/>
              <w:rPr>
                <w:rFonts w:hint="eastAsia" w:ascii="宋体" w:hAnsi="宋体"/>
                <w:color w:val="auto"/>
                <w:szCs w:val="21"/>
                <w:highlight w:val="none"/>
              </w:rPr>
            </w:pPr>
            <w:r>
              <w:rPr>
                <w:rFonts w:hint="eastAsia" w:ascii="宋体" w:hAnsi="宋体"/>
                <w:color w:val="auto"/>
                <w:szCs w:val="21"/>
                <w:highlight w:val="none"/>
              </w:rPr>
              <w:t>7.5</w:t>
            </w:r>
          </w:p>
        </w:tc>
        <w:tc>
          <w:tcPr>
            <w:tcW w:w="2126" w:type="dxa"/>
            <w:vAlign w:val="center"/>
          </w:tcPr>
          <w:p w14:paraId="3889A8DF">
            <w:pPr>
              <w:wordWrap w:val="0"/>
              <w:jc w:val="center"/>
              <w:rPr>
                <w:rFonts w:ascii="宋体" w:hAnsi="宋体"/>
                <w:color w:val="auto"/>
                <w:szCs w:val="21"/>
                <w:highlight w:val="none"/>
              </w:rPr>
            </w:pPr>
            <w:r>
              <w:rPr>
                <w:rFonts w:ascii="宋体" w:hAnsi="宋体"/>
                <w:color w:val="auto"/>
                <w:szCs w:val="21"/>
                <w:highlight w:val="none"/>
              </w:rPr>
              <w:t>履约保证金</w:t>
            </w:r>
          </w:p>
        </w:tc>
        <w:tc>
          <w:tcPr>
            <w:tcW w:w="5474" w:type="dxa"/>
            <w:gridSpan w:val="2"/>
            <w:vAlign w:val="center"/>
          </w:tcPr>
          <w:p w14:paraId="0064DE73">
            <w:pPr>
              <w:wordWrap w:val="0"/>
              <w:rPr>
                <w:rFonts w:ascii="宋体" w:hAnsi="宋体"/>
                <w:color w:val="auto"/>
                <w:szCs w:val="21"/>
                <w:highlight w:val="none"/>
              </w:rPr>
            </w:pPr>
            <w:r>
              <w:rPr>
                <w:rFonts w:ascii="宋体" w:hAnsi="宋体"/>
                <w:color w:val="auto"/>
                <w:szCs w:val="21"/>
                <w:highlight w:val="none"/>
              </w:rPr>
              <w:t>履约保证金的形式：</w:t>
            </w:r>
            <w:r>
              <w:rPr>
                <w:rFonts w:hint="eastAsia" w:ascii="宋体" w:hAnsi="宋体"/>
                <w:color w:val="auto"/>
                <w:szCs w:val="21"/>
                <w:highlight w:val="none"/>
              </w:rPr>
              <w:t>详见合同条款</w:t>
            </w:r>
          </w:p>
          <w:p w14:paraId="54084B88">
            <w:pPr>
              <w:wordWrap w:val="0"/>
              <w:rPr>
                <w:rFonts w:hint="eastAsia" w:ascii="宋体" w:hAnsi="宋体"/>
                <w:color w:val="auto"/>
                <w:szCs w:val="21"/>
                <w:highlight w:val="none"/>
              </w:rPr>
            </w:pPr>
            <w:r>
              <w:rPr>
                <w:rFonts w:ascii="宋体" w:hAnsi="宋体"/>
                <w:color w:val="auto"/>
                <w:szCs w:val="21"/>
                <w:highlight w:val="none"/>
              </w:rPr>
              <w:t>履约保证金的金额：</w:t>
            </w:r>
            <w:r>
              <w:rPr>
                <w:rFonts w:hint="eastAsia" w:ascii="宋体" w:hAnsi="宋体"/>
                <w:color w:val="auto"/>
                <w:szCs w:val="21"/>
                <w:highlight w:val="none"/>
              </w:rPr>
              <w:t>详见合同条款</w:t>
            </w:r>
          </w:p>
        </w:tc>
      </w:tr>
      <w:tr w14:paraId="323FA3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6" w:hRule="atLeast"/>
          <w:jc w:val="center"/>
        </w:trPr>
        <w:tc>
          <w:tcPr>
            <w:tcW w:w="696" w:type="dxa"/>
            <w:tcBorders>
              <w:right w:val="single" w:color="auto" w:sz="4" w:space="0"/>
            </w:tcBorders>
            <w:vAlign w:val="center"/>
          </w:tcPr>
          <w:p w14:paraId="32CF92B5">
            <w:pPr>
              <w:wordWrap w:val="0"/>
              <w:jc w:val="center"/>
              <w:rPr>
                <w:rFonts w:hint="eastAsia" w:ascii="宋体" w:hAnsi="宋体"/>
                <w:color w:val="auto"/>
                <w:szCs w:val="21"/>
                <w:highlight w:val="none"/>
              </w:rPr>
            </w:pPr>
            <w:r>
              <w:rPr>
                <w:rFonts w:hint="eastAsia" w:ascii="宋体" w:hAnsi="宋体"/>
                <w:color w:val="auto"/>
                <w:szCs w:val="21"/>
                <w:highlight w:val="none"/>
              </w:rPr>
              <w:t>27</w:t>
            </w:r>
          </w:p>
        </w:tc>
        <w:tc>
          <w:tcPr>
            <w:tcW w:w="849" w:type="dxa"/>
            <w:tcBorders>
              <w:left w:val="single" w:color="auto" w:sz="4" w:space="0"/>
            </w:tcBorders>
            <w:vAlign w:val="center"/>
          </w:tcPr>
          <w:p w14:paraId="61D1EB10">
            <w:pPr>
              <w:wordWrap w:val="0"/>
              <w:jc w:val="center"/>
              <w:rPr>
                <w:rFonts w:hint="eastAsia" w:ascii="宋体" w:hAnsi="宋体"/>
                <w:color w:val="auto"/>
                <w:szCs w:val="21"/>
                <w:highlight w:val="none"/>
              </w:rPr>
            </w:pPr>
            <w:r>
              <w:rPr>
                <w:rFonts w:hint="eastAsia" w:ascii="宋体" w:hAnsi="宋体"/>
                <w:color w:val="auto"/>
                <w:szCs w:val="21"/>
                <w:highlight w:val="none"/>
              </w:rPr>
              <w:t>9.2</w:t>
            </w:r>
          </w:p>
        </w:tc>
        <w:tc>
          <w:tcPr>
            <w:tcW w:w="2126" w:type="dxa"/>
            <w:vAlign w:val="center"/>
          </w:tcPr>
          <w:p w14:paraId="404A68AC">
            <w:pPr>
              <w:wordWrap w:val="0"/>
              <w:jc w:val="center"/>
              <w:rPr>
                <w:rFonts w:ascii="宋体" w:hAnsi="宋体"/>
                <w:color w:val="auto"/>
                <w:szCs w:val="21"/>
                <w:highlight w:val="none"/>
              </w:rPr>
            </w:pPr>
            <w:r>
              <w:rPr>
                <w:rFonts w:hint="eastAsia" w:ascii="宋体" w:hAnsi="宋体" w:cs="宋体"/>
                <w:color w:val="auto"/>
                <w:szCs w:val="21"/>
                <w:highlight w:val="none"/>
                <w:lang w:eastAsia="zh-CN"/>
              </w:rPr>
              <w:t>其他</w:t>
            </w:r>
          </w:p>
        </w:tc>
        <w:tc>
          <w:tcPr>
            <w:tcW w:w="5474" w:type="dxa"/>
            <w:gridSpan w:val="2"/>
            <w:vAlign w:val="center"/>
          </w:tcPr>
          <w:p w14:paraId="329057B8">
            <w:pPr>
              <w:wordWrap w:val="0"/>
              <w:rPr>
                <w:rFonts w:ascii="宋体" w:hAnsi="宋体" w:cs="宋体"/>
                <w:color w:val="auto"/>
                <w:highlight w:val="none"/>
              </w:rPr>
            </w:pPr>
            <w:r>
              <w:rPr>
                <w:rFonts w:hint="eastAsia" w:ascii="宋体" w:hAnsi="宋体" w:cs="宋体"/>
                <w:color w:val="auto"/>
                <w:highlight w:val="none"/>
              </w:rPr>
              <w:t>1、本招标文件要求的复印件是指复印件或扫描件或影印件。</w:t>
            </w:r>
          </w:p>
          <w:p w14:paraId="1DB6BCEC">
            <w:pPr>
              <w:wordWrap w:val="0"/>
              <w:rPr>
                <w:rFonts w:ascii="宋体" w:hAnsi="宋体"/>
                <w:color w:val="auto"/>
                <w:szCs w:val="21"/>
                <w:highlight w:val="none"/>
              </w:rPr>
            </w:pPr>
            <w:r>
              <w:rPr>
                <w:rFonts w:hint="eastAsia" w:ascii="宋体" w:hAnsi="宋体" w:cs="宋体"/>
                <w:color w:val="auto"/>
                <w:highlight w:val="none"/>
              </w:rPr>
              <w:t>2、构成本招标文件的各个组成文件应互为解释，互为说明；如有不明确或不一致，构成合同文件组成内容，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7B877B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6" w:hRule="atLeast"/>
          <w:jc w:val="center"/>
        </w:trPr>
        <w:tc>
          <w:tcPr>
            <w:tcW w:w="696" w:type="dxa"/>
            <w:tcBorders>
              <w:right w:val="single" w:color="auto" w:sz="4" w:space="0"/>
            </w:tcBorders>
            <w:vAlign w:val="center"/>
          </w:tcPr>
          <w:p w14:paraId="24CA8E0A">
            <w:pPr>
              <w:wordWrap w:val="0"/>
              <w:jc w:val="center"/>
              <w:rPr>
                <w:rFonts w:hint="eastAsia" w:ascii="宋体" w:hAnsi="宋体"/>
                <w:color w:val="auto"/>
                <w:szCs w:val="21"/>
                <w:highlight w:val="none"/>
              </w:rPr>
            </w:pPr>
            <w:r>
              <w:rPr>
                <w:rFonts w:hint="eastAsia" w:ascii="宋体" w:hAnsi="宋体"/>
                <w:color w:val="auto"/>
                <w:szCs w:val="21"/>
                <w:highlight w:val="none"/>
              </w:rPr>
              <w:t>28</w:t>
            </w:r>
          </w:p>
        </w:tc>
        <w:tc>
          <w:tcPr>
            <w:tcW w:w="849" w:type="dxa"/>
            <w:tcBorders>
              <w:left w:val="single" w:color="auto" w:sz="4" w:space="0"/>
            </w:tcBorders>
            <w:vAlign w:val="center"/>
          </w:tcPr>
          <w:p w14:paraId="017D5919">
            <w:pPr>
              <w:wordWrap w:val="0"/>
              <w:jc w:val="center"/>
              <w:rPr>
                <w:rFonts w:hint="eastAsia" w:ascii="宋体" w:hAnsi="宋体"/>
                <w:color w:val="auto"/>
                <w:szCs w:val="21"/>
                <w:highlight w:val="none"/>
              </w:rPr>
            </w:pPr>
            <w:r>
              <w:rPr>
                <w:rFonts w:hint="eastAsia" w:ascii="宋体" w:hAnsi="宋体"/>
                <w:color w:val="auto"/>
                <w:szCs w:val="21"/>
                <w:highlight w:val="none"/>
              </w:rPr>
              <w:t>9.2.7</w:t>
            </w:r>
          </w:p>
        </w:tc>
        <w:tc>
          <w:tcPr>
            <w:tcW w:w="2126" w:type="dxa"/>
            <w:vAlign w:val="center"/>
          </w:tcPr>
          <w:p w14:paraId="4D1F394F">
            <w:pPr>
              <w:wordWrap w:val="0"/>
              <w:jc w:val="center"/>
              <w:rPr>
                <w:rFonts w:hint="eastAsia" w:ascii="宋体" w:hAnsi="宋体" w:cs="宋体"/>
                <w:color w:val="auto"/>
                <w:szCs w:val="21"/>
                <w:highlight w:val="none"/>
                <w:lang w:eastAsia="zh-CN"/>
              </w:rPr>
            </w:pPr>
            <w:r>
              <w:rPr>
                <w:rFonts w:hint="eastAsia" w:ascii="宋体" w:hAnsi="宋体"/>
                <w:color w:val="auto"/>
                <w:szCs w:val="21"/>
                <w:highlight w:val="none"/>
              </w:rPr>
              <w:t>纸质招标文件获取</w:t>
            </w:r>
          </w:p>
        </w:tc>
        <w:tc>
          <w:tcPr>
            <w:tcW w:w="5474" w:type="dxa"/>
            <w:gridSpan w:val="2"/>
            <w:vAlign w:val="center"/>
          </w:tcPr>
          <w:p w14:paraId="493B0BEE">
            <w:pPr>
              <w:wordWrap w:val="0"/>
              <w:ind w:left="0" w:firstLine="0" w:firstLineChars="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1、购买纸质招标文件的时间：</w:t>
            </w:r>
            <w:r>
              <w:rPr>
                <w:rFonts w:hint="eastAsia" w:ascii="宋体" w:hAnsi="宋体" w:eastAsia="宋体" w:cs="Times New Roman"/>
                <w:color w:val="0000FF"/>
                <w:szCs w:val="21"/>
                <w:highlight w:val="none"/>
              </w:rPr>
              <w:t>202</w:t>
            </w:r>
            <w:r>
              <w:rPr>
                <w:rFonts w:hint="eastAsia" w:ascii="宋体" w:hAnsi="宋体" w:cs="Times New Roman"/>
                <w:color w:val="0000FF"/>
                <w:szCs w:val="21"/>
                <w:highlight w:val="none"/>
                <w:lang w:val="en-US" w:eastAsia="zh-CN"/>
              </w:rPr>
              <w:t>5</w:t>
            </w:r>
            <w:r>
              <w:rPr>
                <w:rFonts w:hint="eastAsia" w:ascii="宋体" w:hAnsi="宋体" w:eastAsia="宋体" w:cs="Times New Roman"/>
                <w:color w:val="0000FF"/>
                <w:szCs w:val="21"/>
                <w:highlight w:val="none"/>
              </w:rPr>
              <w:t>年</w:t>
            </w:r>
            <w:r>
              <w:rPr>
                <w:rFonts w:hint="eastAsia" w:ascii="宋体" w:hAnsi="宋体" w:cs="Times New Roman"/>
                <w:color w:val="0000FF"/>
                <w:szCs w:val="21"/>
                <w:highlight w:val="none"/>
                <w:lang w:val="en-US" w:eastAsia="zh-CN"/>
              </w:rPr>
              <w:t>10</w:t>
            </w:r>
            <w:r>
              <w:rPr>
                <w:rFonts w:hint="eastAsia" w:ascii="宋体" w:hAnsi="宋体" w:eastAsia="宋体" w:cs="Times New Roman"/>
                <w:color w:val="0000FF"/>
                <w:szCs w:val="21"/>
                <w:highlight w:val="none"/>
              </w:rPr>
              <w:t>月</w:t>
            </w:r>
            <w:r>
              <w:rPr>
                <w:rFonts w:hint="eastAsia" w:ascii="宋体" w:hAnsi="宋体" w:cs="Times New Roman"/>
                <w:color w:val="0000FF"/>
                <w:szCs w:val="21"/>
                <w:highlight w:val="none"/>
                <w:lang w:val="en-US" w:eastAsia="zh-CN"/>
              </w:rPr>
              <w:t>30</w:t>
            </w:r>
            <w:r>
              <w:rPr>
                <w:rFonts w:hint="eastAsia" w:ascii="宋体" w:hAnsi="宋体" w:eastAsia="宋体" w:cs="Times New Roman"/>
                <w:color w:val="0000FF"/>
                <w:szCs w:val="21"/>
                <w:highlight w:val="none"/>
              </w:rPr>
              <w:t>日至202</w:t>
            </w:r>
            <w:r>
              <w:rPr>
                <w:rFonts w:hint="eastAsia" w:ascii="宋体" w:hAnsi="宋体" w:cs="Times New Roman"/>
                <w:color w:val="0000FF"/>
                <w:szCs w:val="21"/>
                <w:highlight w:val="none"/>
                <w:lang w:val="en-US" w:eastAsia="zh-CN"/>
              </w:rPr>
              <w:t>5</w:t>
            </w:r>
            <w:r>
              <w:rPr>
                <w:rFonts w:hint="eastAsia" w:ascii="宋体" w:hAnsi="宋体" w:eastAsia="宋体" w:cs="Times New Roman"/>
                <w:color w:val="0000FF"/>
                <w:szCs w:val="21"/>
                <w:highlight w:val="none"/>
              </w:rPr>
              <w:t>年</w:t>
            </w:r>
            <w:r>
              <w:rPr>
                <w:rFonts w:hint="eastAsia" w:ascii="宋体" w:hAnsi="宋体" w:cs="Times New Roman"/>
                <w:color w:val="0000FF"/>
                <w:szCs w:val="21"/>
                <w:highlight w:val="none"/>
                <w:lang w:val="en-US" w:eastAsia="zh-CN"/>
              </w:rPr>
              <w:t>11</w:t>
            </w:r>
            <w:r>
              <w:rPr>
                <w:rFonts w:hint="eastAsia" w:ascii="宋体" w:hAnsi="宋体" w:eastAsia="宋体" w:cs="Times New Roman"/>
                <w:color w:val="0000FF"/>
                <w:szCs w:val="21"/>
                <w:highlight w:val="none"/>
              </w:rPr>
              <w:t>月</w:t>
            </w:r>
            <w:r>
              <w:rPr>
                <w:rFonts w:hint="eastAsia" w:ascii="宋体" w:hAnsi="宋体" w:cs="Times New Roman"/>
                <w:color w:val="0000FF"/>
                <w:szCs w:val="21"/>
                <w:highlight w:val="none"/>
                <w:lang w:val="en-US" w:eastAsia="zh-CN"/>
              </w:rPr>
              <w:t>05</w:t>
            </w:r>
            <w:r>
              <w:rPr>
                <w:rFonts w:hint="eastAsia" w:ascii="宋体" w:hAnsi="宋体" w:eastAsia="宋体" w:cs="Times New Roman"/>
                <w:color w:val="0000FF"/>
                <w:szCs w:val="21"/>
                <w:highlight w:val="none"/>
              </w:rPr>
              <w:t>日</w:t>
            </w:r>
            <w:r>
              <w:rPr>
                <w:rFonts w:hint="eastAsia" w:ascii="宋体" w:hAnsi="宋体" w:eastAsia="宋体" w:cs="Times New Roman"/>
                <w:color w:val="auto"/>
                <w:szCs w:val="21"/>
                <w:highlight w:val="none"/>
              </w:rPr>
              <w:t>，每天9:00～11:30，14:00～17:30（北京时间）。</w:t>
            </w:r>
          </w:p>
          <w:p w14:paraId="2CA69BBE">
            <w:pPr>
              <w:wordWrap w:val="0"/>
              <w:jc w:val="left"/>
              <w:rPr>
                <w:rFonts w:ascii="宋体" w:hAnsi="宋体"/>
                <w:color w:val="auto"/>
                <w:szCs w:val="21"/>
                <w:highlight w:val="none"/>
              </w:rPr>
            </w:pPr>
            <w:r>
              <w:rPr>
                <w:rFonts w:hint="eastAsia" w:ascii="宋体" w:hAnsi="宋体"/>
                <w:color w:val="auto"/>
                <w:szCs w:val="21"/>
                <w:highlight w:val="none"/>
              </w:rPr>
              <w:t>2、纸质招标文件售价：每套售价400元人民币，纸质招标文件售后不退。</w:t>
            </w:r>
          </w:p>
          <w:p w14:paraId="2F3306DC">
            <w:pPr>
              <w:wordWrap w:val="0"/>
              <w:rPr>
                <w:rFonts w:hint="eastAsia" w:ascii="宋体" w:hAnsi="宋体"/>
                <w:color w:val="auto"/>
                <w:szCs w:val="21"/>
                <w:highlight w:val="none"/>
              </w:rPr>
            </w:pPr>
            <w:r>
              <w:rPr>
                <w:rFonts w:hint="eastAsia" w:ascii="宋体" w:hAnsi="宋体"/>
                <w:color w:val="auto"/>
                <w:szCs w:val="21"/>
                <w:highlight w:val="none"/>
              </w:rPr>
              <w:t>3、购买纸质招标文件的要求：现场购买。投标人的授权代表持加盖公章的公司营业执照副本复印件、授权委托书原件及授权代表本人身份证原件至中航公共资源交易平台（湖南省长沙市芙蓉区蓉园路6号湖南省老干部大学金秋楼10楼）购买纸质招标文件</w:t>
            </w:r>
            <w:r>
              <w:rPr>
                <w:rFonts w:hint="eastAsia" w:ascii="宋体" w:hAnsi="宋体"/>
                <w:color w:val="auto"/>
                <w:szCs w:val="21"/>
                <w:highlight w:val="none"/>
                <w:lang w:eastAsia="zh-CN"/>
              </w:rPr>
              <w:t>，</w:t>
            </w:r>
            <w:r>
              <w:rPr>
                <w:rFonts w:hint="eastAsia" w:ascii="宋体" w:hAnsi="宋体"/>
                <w:color w:val="auto"/>
                <w:szCs w:val="21"/>
                <w:highlight w:val="none"/>
              </w:rPr>
              <w:t>未购买纸质招标文件的投标人不得参加该项目的投标。</w:t>
            </w:r>
          </w:p>
          <w:p w14:paraId="70E66EC2">
            <w:pPr>
              <w:wordWrap w:val="0"/>
              <w:rPr>
                <w:rFonts w:hint="eastAsia" w:ascii="宋体" w:hAnsi="宋体"/>
                <w:color w:val="auto"/>
                <w:szCs w:val="21"/>
                <w:highlight w:val="none"/>
              </w:rPr>
            </w:pPr>
            <w:r>
              <w:rPr>
                <w:rFonts w:hint="eastAsia" w:ascii="宋体" w:hAnsi="宋体" w:eastAsia="宋体" w:cs="Times New Roman"/>
                <w:color w:val="auto"/>
                <w:szCs w:val="21"/>
                <w:highlight w:val="none"/>
                <w:lang w:val="en-US" w:eastAsia="zh-CN"/>
              </w:rPr>
              <w:t>4</w:t>
            </w:r>
            <w:r>
              <w:rPr>
                <w:rFonts w:hint="eastAsia" w:ascii="宋体" w:hAnsi="宋体" w:eastAsia="宋体" w:cs="Times New Roman"/>
                <w:color w:val="auto"/>
                <w:szCs w:val="21"/>
                <w:highlight w:val="none"/>
              </w:rPr>
              <w:t>、投标人准备同时参与多标段投标的只需购买一份纸质招标文件即可，但需针对所投标段并按照上述第3点要求准备对应的材料，在购买纸质招标文件时一并提交。</w:t>
            </w:r>
          </w:p>
        </w:tc>
      </w:tr>
    </w:tbl>
    <w:p w14:paraId="5301FAE5">
      <w:pPr>
        <w:pStyle w:val="138"/>
        <w:wordWrap w:val="0"/>
        <w:spacing w:before="0" w:after="0" w:line="360" w:lineRule="auto"/>
        <w:ind w:left="0" w:right="339"/>
        <w:jc w:val="left"/>
        <w:outlineLvl w:val="9"/>
        <w:rPr>
          <w:rFonts w:hint="eastAsia" w:ascii="宋体" w:hAnsi="宋体" w:eastAsia="宋体" w:cs="宋体"/>
          <w:b w:val="0"/>
          <w:color w:val="auto"/>
          <w:szCs w:val="21"/>
          <w:highlight w:val="none"/>
        </w:rPr>
      </w:pPr>
      <w:r>
        <w:rPr>
          <w:rFonts w:ascii="黑体" w:hAnsi="黑体" w:eastAsia="黑体"/>
          <w:color w:val="auto"/>
          <w:sz w:val="30"/>
          <w:szCs w:val="30"/>
          <w:highlight w:val="none"/>
        </w:rPr>
        <w:br w:type="page"/>
      </w:r>
      <w:r>
        <w:rPr>
          <w:rFonts w:hint="eastAsia" w:ascii="宋体" w:hAnsi="宋体" w:eastAsia="宋体" w:cs="宋体"/>
          <w:color w:val="auto"/>
          <w:szCs w:val="28"/>
          <w:highlight w:val="none"/>
        </w:rPr>
        <w:t>1.总则</w:t>
      </w:r>
    </w:p>
    <w:p w14:paraId="005EF040">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1.1 招标项目概况</w:t>
      </w:r>
    </w:p>
    <w:p w14:paraId="6F661F9C">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 根据《中华人民共和国招标投标法》、《中华人民共和国招标投标法实施条例》等有关法律、法规和规章的规定，本招标项目已具备招标条件，现对</w:t>
      </w:r>
      <w:r>
        <w:rPr>
          <w:rFonts w:hint="eastAsia" w:ascii="宋体" w:hAnsi="宋体" w:cs="宋体"/>
          <w:color w:val="auto"/>
          <w:szCs w:val="21"/>
          <w:highlight w:val="none"/>
          <w:lang w:val="en-US" w:eastAsia="zh-CN"/>
        </w:rPr>
        <w:t>本项目</w:t>
      </w:r>
      <w:r>
        <w:rPr>
          <w:rFonts w:hint="eastAsia" w:ascii="宋体" w:hAnsi="宋体" w:eastAsia="宋体" w:cs="宋体"/>
          <w:color w:val="auto"/>
          <w:szCs w:val="21"/>
          <w:highlight w:val="none"/>
        </w:rPr>
        <w:t>进行招标。</w:t>
      </w:r>
    </w:p>
    <w:p w14:paraId="495D65C8">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 招标人：见招标公告。</w:t>
      </w:r>
    </w:p>
    <w:p w14:paraId="35E611BA">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1.1.3招标项目名称：见招标公告。</w:t>
      </w:r>
    </w:p>
    <w:p w14:paraId="5E593F90">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1.2 招标项目的资金来源</w:t>
      </w:r>
    </w:p>
    <w:p w14:paraId="51EA7134">
      <w:pPr>
        <w:pStyle w:val="272"/>
        <w:wordWrap w:val="0"/>
        <w:jc w:val="both"/>
        <w:rPr>
          <w:rFonts w:hint="eastAsia" w:ascii="宋体" w:hAnsi="宋体" w:eastAsia="宋体" w:cs="宋体"/>
          <w:strike/>
          <w:color w:val="auto"/>
          <w:sz w:val="21"/>
          <w:szCs w:val="21"/>
          <w:highlight w:val="none"/>
        </w:rPr>
      </w:pPr>
      <w:r>
        <w:rPr>
          <w:rFonts w:hint="eastAsia" w:ascii="宋体" w:hAnsi="宋体" w:eastAsia="宋体" w:cs="宋体"/>
          <w:color w:val="auto"/>
          <w:sz w:val="21"/>
          <w:szCs w:val="21"/>
          <w:highlight w:val="none"/>
        </w:rPr>
        <w:t>1.2.1 资金来源：见招标公告。</w:t>
      </w:r>
    </w:p>
    <w:p w14:paraId="4950C3BA">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1.3 招标范围、服务期限、服务地点</w:t>
      </w:r>
    </w:p>
    <w:p w14:paraId="30F49ED2">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 招标范围：见招标公告。</w:t>
      </w:r>
    </w:p>
    <w:p w14:paraId="3BF1AA8B">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 服务期限：见招标公告。</w:t>
      </w:r>
    </w:p>
    <w:p w14:paraId="212F28BB">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 服务地点：见招标公告。</w:t>
      </w:r>
    </w:p>
    <w:p w14:paraId="4A888E5F">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1.4 投标人资格要求</w:t>
      </w:r>
    </w:p>
    <w:p w14:paraId="7211D72F">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 投标人应具备承担本招标项目资格要求：见招标公告。</w:t>
      </w:r>
    </w:p>
    <w:p w14:paraId="585078EF">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w:t>
      </w:r>
      <w:r>
        <w:rPr>
          <w:rFonts w:hint="eastAsia" w:ascii="宋体" w:hAnsi="宋体" w:eastAsia="宋体" w:cs="宋体"/>
          <w:strike w:val="0"/>
          <w:dstrike w:val="0"/>
          <w:color w:val="auto"/>
          <w:sz w:val="21"/>
          <w:szCs w:val="21"/>
          <w:highlight w:val="none"/>
        </w:rPr>
        <w:t xml:space="preserve"> </w:t>
      </w:r>
      <w:r>
        <w:rPr>
          <w:rFonts w:hint="eastAsia" w:ascii="宋体" w:hAnsi="宋体" w:eastAsia="宋体" w:cs="宋体"/>
          <w:color w:val="auto"/>
          <w:sz w:val="21"/>
          <w:szCs w:val="21"/>
          <w:highlight w:val="none"/>
        </w:rPr>
        <w:t>投标人存在下列情形之一的，其投标将被</w:t>
      </w:r>
      <w:r>
        <w:rPr>
          <w:rFonts w:hint="eastAsia" w:ascii="宋体" w:hAnsi="宋体" w:eastAsia="宋体" w:cs="宋体"/>
          <w:b/>
          <w:bCs/>
          <w:color w:val="auto"/>
          <w:sz w:val="21"/>
          <w:szCs w:val="21"/>
          <w:highlight w:val="none"/>
        </w:rPr>
        <w:t>否决</w:t>
      </w:r>
      <w:r>
        <w:rPr>
          <w:rFonts w:hint="eastAsia" w:ascii="宋体" w:hAnsi="宋体" w:eastAsia="宋体" w:cs="宋体"/>
          <w:color w:val="auto"/>
          <w:sz w:val="21"/>
          <w:szCs w:val="21"/>
          <w:highlight w:val="none"/>
        </w:rPr>
        <w:t>：</w:t>
      </w:r>
    </w:p>
    <w:p w14:paraId="4CB7CEE8">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（1）与招标人（或本项目招标代理机构）存在利害关系且可能影响招标公正性；</w:t>
      </w:r>
    </w:p>
    <w:p w14:paraId="2119B104">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（2）投标人的法定代表人或负责人与本招标项目（标段）其他投标人的法定代表人或负责人为同一人；</w:t>
      </w:r>
    </w:p>
    <w:p w14:paraId="617791B1">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（3）与本招标项目的其他投标人存在控股、管理关系；</w:t>
      </w:r>
    </w:p>
    <w:p w14:paraId="64B5CA4A">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（4）被依法暂停或者取消投标资格；</w:t>
      </w:r>
    </w:p>
    <w:p w14:paraId="631F19F4">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（5）被责令停产停业、暂扣或者吊销许可证、暂扣或者吊销执照；</w:t>
      </w:r>
    </w:p>
    <w:p w14:paraId="42D34E7A">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（6）进入破产、清算、注销程序，或存在其他可能丧失履约能力的情形；</w:t>
      </w:r>
    </w:p>
    <w:p w14:paraId="62469794">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在最近三年内受到刑事处罚或重大行政处罚（以相关行业主管部门的行政处罚决定或司法机关出具的有关法律文书为准），重大行政处罚是指受到较大数额的罚款（说明：“较大数额罚款”的认定按财政部关于《中华人民共和国政府采购法实施条例》第十九条第一款“较大数额罚款”具体适用问题的意见（财库[2022]3号）执行）、责令停产停业、在一至三年内禁止参加政府采购活动、暂扣或者吊销许可证、暂扣或者吊销执照等情形之一的行政处罚，或者存在财政部门认定的其他重大违法记录；</w:t>
      </w:r>
    </w:p>
    <w:p w14:paraId="3F806834">
      <w:pPr>
        <w:pStyle w:val="272"/>
        <w:wordWrap w:val="0"/>
        <w:jc w:val="left"/>
        <w:rPr>
          <w:rFonts w:hint="eastAsia" w:ascii="宋体" w:hAnsi="宋体" w:eastAsia="宋体" w:cs="宋体"/>
          <w:color w:val="auto"/>
          <w:sz w:val="21"/>
          <w:szCs w:val="21"/>
          <w:highlight w:val="none"/>
          <w:lang w:eastAsia="zh-CN"/>
        </w:rPr>
      </w:pP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8</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投标人被“信用中国”网站（www.creditchina.gov.cn）列入失信被执行人和重大税收违法案件当事人名单</w:t>
      </w:r>
      <w:r>
        <w:rPr>
          <w:rFonts w:hint="eastAsia" w:hAnsi="宋体" w:cs="宋体"/>
          <w:color w:val="auto"/>
          <w:sz w:val="21"/>
          <w:szCs w:val="21"/>
          <w:highlight w:val="none"/>
          <w:lang w:eastAsia="zh-CN"/>
        </w:rPr>
        <w:t>；</w:t>
      </w:r>
    </w:p>
    <w:p w14:paraId="13A8687A">
      <w:pPr>
        <w:pStyle w:val="272"/>
        <w:wordWrap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hAnsi="宋体" w:cs="宋体"/>
          <w:color w:val="auto"/>
          <w:sz w:val="21"/>
          <w:szCs w:val="21"/>
          <w:highlight w:val="none"/>
          <w:lang w:val="en-US" w:eastAsia="zh-CN"/>
        </w:rPr>
        <w:t>9</w:t>
      </w:r>
      <w:r>
        <w:rPr>
          <w:rFonts w:hint="eastAsia" w:ascii="宋体" w:hAnsi="宋体" w:eastAsia="宋体" w:cs="宋体"/>
          <w:color w:val="auto"/>
          <w:sz w:val="21"/>
          <w:szCs w:val="21"/>
          <w:highlight w:val="none"/>
        </w:rPr>
        <w:t>）</w:t>
      </w:r>
      <w:r>
        <w:rPr>
          <w:rFonts w:hint="eastAsia" w:ascii="宋体" w:hAnsi="宋体" w:eastAsia="宋体" w:cs="Times New Roman"/>
          <w:color w:val="auto"/>
          <w:sz w:val="21"/>
          <w:szCs w:val="21"/>
          <w:highlight w:val="none"/>
          <w:lang w:val="en-US" w:eastAsia="zh-CN"/>
        </w:rPr>
        <w:t>投标人</w:t>
      </w:r>
      <w:r>
        <w:rPr>
          <w:rFonts w:hint="eastAsia" w:ascii="宋体" w:hAnsi="宋体" w:eastAsia="宋体" w:cs="Times New Roman"/>
          <w:color w:val="auto"/>
          <w:sz w:val="21"/>
          <w:szCs w:val="21"/>
          <w:highlight w:val="none"/>
        </w:rPr>
        <w:t>被长沙</w:t>
      </w:r>
      <w:r>
        <w:rPr>
          <w:rFonts w:hint="eastAsia" w:ascii="宋体" w:hAnsi="宋体" w:eastAsia="宋体" w:cs="Times New Roman"/>
          <w:color w:val="auto"/>
          <w:sz w:val="21"/>
          <w:szCs w:val="21"/>
          <w:highlight w:val="none"/>
          <w:lang w:val="en-US" w:eastAsia="zh-CN"/>
        </w:rPr>
        <w:t>市</w:t>
      </w:r>
      <w:r>
        <w:rPr>
          <w:rFonts w:hint="eastAsia" w:ascii="宋体" w:hAnsi="宋体" w:eastAsia="宋体" w:cs="Times New Roman"/>
          <w:color w:val="auto"/>
          <w:sz w:val="21"/>
          <w:szCs w:val="21"/>
          <w:highlight w:val="none"/>
        </w:rPr>
        <w:t>轨道交通集团</w:t>
      </w:r>
      <w:r>
        <w:rPr>
          <w:rFonts w:hint="eastAsia" w:ascii="宋体" w:hAnsi="宋体" w:eastAsia="宋体" w:cs="Times New Roman"/>
          <w:color w:val="auto"/>
          <w:sz w:val="21"/>
          <w:szCs w:val="21"/>
          <w:highlight w:val="none"/>
          <w:lang w:val="en-US" w:eastAsia="zh-CN"/>
        </w:rPr>
        <w:t>有限公司</w:t>
      </w:r>
      <w:r>
        <w:rPr>
          <w:rFonts w:hint="eastAsia" w:ascii="宋体" w:hAnsi="宋体" w:eastAsia="宋体" w:cs="Times New Roman"/>
          <w:color w:val="auto"/>
          <w:sz w:val="21"/>
          <w:szCs w:val="21"/>
          <w:highlight w:val="none"/>
        </w:rPr>
        <w:t>或长沙穗城轨道交通有限公司函告禁止在一定期限内参与轨道项目投标的单位按函告内容执行。如有，则以招标人提供的函件内容为准</w:t>
      </w:r>
      <w:r>
        <w:rPr>
          <w:rFonts w:hint="eastAsia" w:hAnsi="宋体" w:cs="Times New Roman"/>
          <w:color w:val="auto"/>
          <w:sz w:val="21"/>
          <w:szCs w:val="21"/>
          <w:highlight w:val="none"/>
          <w:lang w:eastAsia="zh-CN"/>
        </w:rPr>
        <w:t>；</w:t>
      </w:r>
    </w:p>
    <w:p w14:paraId="145ADB58">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hAnsi="宋体" w:cs="宋体"/>
          <w:color w:val="auto"/>
          <w:sz w:val="21"/>
          <w:szCs w:val="21"/>
          <w:highlight w:val="none"/>
          <w:lang w:val="en-US" w:eastAsia="zh-CN"/>
        </w:rPr>
        <w:t>0</w:t>
      </w:r>
      <w:r>
        <w:rPr>
          <w:rFonts w:hint="eastAsia" w:ascii="宋体" w:hAnsi="宋体" w:eastAsia="宋体" w:cs="宋体"/>
          <w:color w:val="auto"/>
          <w:sz w:val="21"/>
          <w:szCs w:val="21"/>
          <w:highlight w:val="none"/>
        </w:rPr>
        <w:t>）法律法规或投标人须知前附表规定的其他情形。</w:t>
      </w:r>
    </w:p>
    <w:p w14:paraId="00C813E8">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1.5 费用承担</w:t>
      </w:r>
    </w:p>
    <w:p w14:paraId="3B1603C0">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投标人准备和参加投标活动发生的费用自理。</w:t>
      </w:r>
    </w:p>
    <w:p w14:paraId="7AB37D96">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1.6 保密</w:t>
      </w:r>
    </w:p>
    <w:p w14:paraId="27777657">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参与招标投标活动的各方应对招标文件和投标文件中的商业和技术等秘密保密，否则应承担相应的法律责任。</w:t>
      </w:r>
    </w:p>
    <w:p w14:paraId="39A1C22F">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1.7 语言文字</w:t>
      </w:r>
    </w:p>
    <w:p w14:paraId="4CFDB0C4">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招标投标文件使用的语言文字为中文。专用术语使用外文的，应附有中文注释，有差异时以中文为准。</w:t>
      </w:r>
    </w:p>
    <w:p w14:paraId="73F19D80">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1.8 计量单位</w:t>
      </w:r>
    </w:p>
    <w:p w14:paraId="54C81626">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所有计量均采用中华人民共和国法定计量单位。</w:t>
      </w:r>
    </w:p>
    <w:p w14:paraId="6B18DB4D">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1.9 招标答疑会和现场踏勘</w:t>
      </w:r>
    </w:p>
    <w:p w14:paraId="24EEA8CF">
      <w:pPr>
        <w:pStyle w:val="272"/>
        <w:wordWrap w:val="0"/>
        <w:jc w:val="both"/>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1.9.1本项目不组织招标答疑会和现场踏勘。</w:t>
      </w:r>
    </w:p>
    <w:p w14:paraId="0564BB48">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1.9.2投标人的疑问应按本项目招标公告规定的时间和方式提出，以便招标人在规定时间内回复。</w:t>
      </w:r>
    </w:p>
    <w:p w14:paraId="3473E58B">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1.9.3招标人按本项目招标公告规定的方式发布答疑文件，该文件的内容为招标文件的组成部分。</w:t>
      </w:r>
    </w:p>
    <w:p w14:paraId="363887B1">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1.10 响应和偏差</w:t>
      </w:r>
    </w:p>
    <w:p w14:paraId="68179817">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1.10.1投标文件应当对招标文件的实质性要求和条件作出满足性或更有利于招标人的响应，否则，投标人的投标将被</w:t>
      </w:r>
      <w:r>
        <w:rPr>
          <w:rFonts w:hint="eastAsia" w:ascii="宋体" w:hAnsi="宋体" w:eastAsia="宋体" w:cs="宋体"/>
          <w:b/>
          <w:bCs/>
          <w:color w:val="auto"/>
          <w:sz w:val="21"/>
          <w:szCs w:val="21"/>
          <w:highlight w:val="none"/>
        </w:rPr>
        <w:t>否决</w:t>
      </w:r>
      <w:r>
        <w:rPr>
          <w:rFonts w:hint="eastAsia" w:ascii="宋体" w:hAnsi="宋体" w:eastAsia="宋体" w:cs="宋体"/>
          <w:color w:val="auto"/>
          <w:sz w:val="21"/>
          <w:szCs w:val="21"/>
          <w:highlight w:val="none"/>
        </w:rPr>
        <w:t>。实质性要求和条件见投标人须知前附表。</w:t>
      </w:r>
    </w:p>
    <w:p w14:paraId="02B89BB0">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投标文件对招标文件标注“★”符号的实质性要求和条件的响应，均须按招标文件要求在投标文件的《实质性条款响应表》中列明，《实质性条款响应表》中缺项、漏项或者任意一项不响应招标文件的，投标将被</w:t>
      </w:r>
      <w:r>
        <w:rPr>
          <w:rFonts w:hint="eastAsia" w:ascii="宋体" w:hAnsi="宋体" w:eastAsia="宋体" w:cs="宋体"/>
          <w:b/>
          <w:color w:val="auto"/>
          <w:sz w:val="21"/>
          <w:szCs w:val="21"/>
          <w:highlight w:val="none"/>
        </w:rPr>
        <w:t>否决</w:t>
      </w:r>
      <w:r>
        <w:rPr>
          <w:rFonts w:hint="eastAsia" w:ascii="宋体" w:hAnsi="宋体" w:eastAsia="宋体" w:cs="宋体"/>
          <w:color w:val="auto"/>
          <w:sz w:val="21"/>
          <w:szCs w:val="21"/>
          <w:highlight w:val="none"/>
        </w:rPr>
        <w:t>。</w:t>
      </w:r>
    </w:p>
    <w:p w14:paraId="3BE324E1">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1.10.3投标人应根据招标文件的要求提供投标服务质量标准的详细描述、技术支持资料及相关服务计划等内容，以对招标文件作出响应。</w:t>
      </w:r>
    </w:p>
    <w:p w14:paraId="26C24948">
      <w:pPr>
        <w:pStyle w:val="272"/>
        <w:wordWrap w:val="0"/>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1.10.4投标文件对招标文件非实质性要求和条件的偏差应当符合投标人须知前附表规定的偏差范围和最高项数，超出偏差范围或最高偏差项数的投标将被</w:t>
      </w:r>
      <w:r>
        <w:rPr>
          <w:rFonts w:hint="eastAsia" w:ascii="宋体" w:hAnsi="宋体" w:eastAsia="宋体" w:cs="宋体"/>
          <w:b/>
          <w:bCs/>
          <w:color w:val="auto"/>
          <w:sz w:val="21"/>
          <w:szCs w:val="21"/>
          <w:highlight w:val="none"/>
        </w:rPr>
        <w:t>否决</w:t>
      </w:r>
      <w:r>
        <w:rPr>
          <w:rFonts w:hint="eastAsia" w:ascii="宋体" w:hAnsi="宋体" w:eastAsia="宋体" w:cs="宋体"/>
          <w:color w:val="auto"/>
          <w:sz w:val="21"/>
          <w:szCs w:val="21"/>
          <w:highlight w:val="none"/>
        </w:rPr>
        <w:t>。投标人须按招标文件规定，在投标文件的《商务和技术偏差表》中列明对非实质性要求和条件的偏差内容，除列明的内容外，视为投标人响应招标文件的全部要求和条件。</w:t>
      </w:r>
    </w:p>
    <w:p w14:paraId="7E80C2F0">
      <w:pPr>
        <w:pStyle w:val="138"/>
        <w:wordWrap w:val="0"/>
        <w:spacing w:before="0" w:after="0" w:line="360" w:lineRule="auto"/>
        <w:ind w:left="0" w:right="339"/>
        <w:jc w:val="left"/>
        <w:outlineLvl w:val="9"/>
        <w:rPr>
          <w:rFonts w:hint="eastAsia" w:ascii="宋体" w:hAnsi="宋体" w:eastAsia="宋体" w:cs="宋体"/>
          <w:color w:val="auto"/>
          <w:szCs w:val="28"/>
          <w:highlight w:val="none"/>
        </w:rPr>
      </w:pPr>
      <w:r>
        <w:rPr>
          <w:rFonts w:hint="eastAsia" w:ascii="宋体" w:hAnsi="宋体" w:eastAsia="宋体" w:cs="宋体"/>
          <w:color w:val="auto"/>
          <w:szCs w:val="28"/>
          <w:highlight w:val="none"/>
        </w:rPr>
        <w:t>2.招标文件</w:t>
      </w:r>
    </w:p>
    <w:p w14:paraId="5325C6F5">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2.1 招标文件的组成</w:t>
      </w:r>
    </w:p>
    <w:p w14:paraId="6D3088D3">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本招标文件包括：</w:t>
      </w:r>
    </w:p>
    <w:p w14:paraId="59D2D0B0">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（1）招标公告；</w:t>
      </w:r>
    </w:p>
    <w:p w14:paraId="340773E7">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（2）投标人须知；</w:t>
      </w:r>
    </w:p>
    <w:p w14:paraId="12558FF4">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（3）评标办法；</w:t>
      </w:r>
    </w:p>
    <w:p w14:paraId="4A22E66A">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（4）合同条款及格式；</w:t>
      </w:r>
    </w:p>
    <w:p w14:paraId="1A617370">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（5）用户需求书；</w:t>
      </w:r>
    </w:p>
    <w:p w14:paraId="5C6B47D2">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（6）投标文件格式；</w:t>
      </w:r>
    </w:p>
    <w:p w14:paraId="34CC2B16">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（7）投标人须知前附表规定的其他资料（如有）。</w:t>
      </w:r>
    </w:p>
    <w:p w14:paraId="5F341DF1">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本章第1.9款、第2.2款和第2.3款对招标文件所做的澄清、修改和补充等，构成招标文件的组成部分。当招标文件，以及对招标文件所做的澄清、修改和补充等在同一内容的表述不一致时，以最后发布的文件为准。</w:t>
      </w:r>
    </w:p>
    <w:p w14:paraId="5AAF88D6">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2.2 招标文件的澄清</w:t>
      </w:r>
    </w:p>
    <w:p w14:paraId="7F7F3876">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2.2.1投标人应仔细阅读和检查招标文件的全部内容，如有疑问，应在投标人须知前附表规定的时间前，按规定的方式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w:t>
      </w:r>
      <w:r>
        <w:rPr>
          <w:rFonts w:hint="eastAsia" w:ascii="宋体" w:hAnsi="宋体" w:eastAsia="宋体" w:cs="宋体"/>
          <w:b/>
          <w:bCs/>
          <w:color w:val="auto"/>
          <w:szCs w:val="21"/>
          <w:highlight w:val="none"/>
        </w:rPr>
        <w:t>拒绝</w:t>
      </w:r>
      <w:r>
        <w:rPr>
          <w:rFonts w:hint="eastAsia" w:ascii="宋体" w:hAnsi="宋体" w:eastAsia="宋体" w:cs="宋体"/>
          <w:color w:val="auto"/>
          <w:szCs w:val="21"/>
          <w:highlight w:val="none"/>
        </w:rPr>
        <w:t>。</w:t>
      </w:r>
    </w:p>
    <w:p w14:paraId="44FD8766">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 招标文件的澄清以投标人须知前附表规定的形式发布，但不指明澄清问题的来源，敬请获得招标文件的所有投标人关注，恕不另行通知，如有遗漏，招标人概不负责。澄清发出的时间距本章第4.1.1项规定的投标截止时间不足15日的，并且澄清内容可能影响投标文件编制的，将相应延长投标截止时间。</w:t>
      </w:r>
    </w:p>
    <w:p w14:paraId="1D2439B8">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2.2.3 除招标人认为确有必要答复外，招标人有权拒绝回复投标人在本章第 2.2.1 项规定的时间后的任何澄清要求。</w:t>
      </w:r>
    </w:p>
    <w:p w14:paraId="1306BD0C">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2.3 招标文件的修改</w:t>
      </w:r>
    </w:p>
    <w:p w14:paraId="281A1165">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 招标人以投标人须知前附表规定的形式修改招标文件，并发布招标文件修改文件。修改招标文件的时间距本章第4.1.1项规定的投标截止时间不足15日的，并且修改内容可能影响投标文件编制的，将相应延长投标截止时间。</w:t>
      </w:r>
    </w:p>
    <w:p w14:paraId="5E9CCADC">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2.4 招标文件的异议</w:t>
      </w:r>
    </w:p>
    <w:p w14:paraId="74EA6623">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2.4.1投标人或者其他利害关系人对招标文件有异议的，应当在投标截止时间10日前以书面形式向招标人提出。</w:t>
      </w:r>
    </w:p>
    <w:p w14:paraId="58CAF6CD">
      <w:pPr>
        <w:pStyle w:val="138"/>
        <w:wordWrap w:val="0"/>
        <w:spacing w:before="0" w:after="0" w:line="360" w:lineRule="auto"/>
        <w:ind w:left="0" w:right="339"/>
        <w:jc w:val="left"/>
        <w:outlineLvl w:val="9"/>
        <w:rPr>
          <w:rFonts w:hint="eastAsia" w:ascii="宋体" w:hAnsi="宋体" w:eastAsia="宋体" w:cs="宋体"/>
          <w:color w:val="auto"/>
          <w:szCs w:val="28"/>
          <w:highlight w:val="none"/>
        </w:rPr>
      </w:pPr>
      <w:r>
        <w:rPr>
          <w:rFonts w:hint="eastAsia" w:ascii="宋体" w:hAnsi="宋体" w:eastAsia="宋体" w:cs="宋体"/>
          <w:color w:val="auto"/>
          <w:szCs w:val="28"/>
          <w:highlight w:val="none"/>
        </w:rPr>
        <w:t>3.投标文件</w:t>
      </w:r>
    </w:p>
    <w:p w14:paraId="7EC4D702">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3.1 投标文件的组成</w:t>
      </w:r>
    </w:p>
    <w:p w14:paraId="0EEC37D0">
      <w:pPr>
        <w:pStyle w:val="272"/>
        <w:wordWrap w:val="0"/>
        <w:ind w:left="420" w:leftChars="200" w:firstLine="0"/>
        <w:jc w:val="both"/>
        <w:rPr>
          <w:rFonts w:hAnsi="宋体"/>
          <w:color w:val="auto"/>
          <w:sz w:val="21"/>
          <w:szCs w:val="21"/>
          <w:highlight w:val="none"/>
        </w:rPr>
      </w:pPr>
      <w:r>
        <w:rPr>
          <w:rFonts w:hAnsi="宋体"/>
          <w:color w:val="auto"/>
          <w:sz w:val="21"/>
          <w:szCs w:val="21"/>
          <w:highlight w:val="none"/>
        </w:rPr>
        <w:t>3.1.1 投标文件</w:t>
      </w:r>
      <w:r>
        <w:rPr>
          <w:rFonts w:hint="eastAsia" w:hAnsi="宋体"/>
          <w:color w:val="auto"/>
          <w:sz w:val="21"/>
          <w:szCs w:val="21"/>
          <w:highlight w:val="none"/>
        </w:rPr>
        <w:t>应包括下列内容</w:t>
      </w:r>
      <w:r>
        <w:rPr>
          <w:rFonts w:hAnsi="宋体"/>
          <w:color w:val="auto"/>
          <w:sz w:val="21"/>
          <w:szCs w:val="21"/>
          <w:highlight w:val="none"/>
        </w:rPr>
        <w:t>：</w:t>
      </w:r>
    </w:p>
    <w:p w14:paraId="04462EEC">
      <w:pPr>
        <w:pStyle w:val="272"/>
        <w:wordWrap w:val="0"/>
        <w:ind w:left="420" w:leftChars="200" w:firstLine="0"/>
        <w:jc w:val="both"/>
        <w:rPr>
          <w:rFonts w:hint="default"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一标段格式如下：</w:t>
      </w:r>
    </w:p>
    <w:p w14:paraId="547C5FE4">
      <w:pPr>
        <w:pStyle w:val="272"/>
        <w:wordWrap w:val="0"/>
        <w:ind w:left="420" w:leftChars="200" w:firstLine="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一、投标函</w:t>
      </w:r>
    </w:p>
    <w:p w14:paraId="0EEE645D">
      <w:pPr>
        <w:pStyle w:val="272"/>
        <w:wordWrap w:val="0"/>
        <w:ind w:left="420" w:leftChars="200" w:firstLine="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二、开标一览表</w:t>
      </w:r>
    </w:p>
    <w:p w14:paraId="478B4B23">
      <w:pPr>
        <w:pStyle w:val="272"/>
        <w:wordWrap w:val="0"/>
        <w:ind w:left="420" w:leftChars="200" w:firstLine="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三、投标报价表</w:t>
      </w:r>
    </w:p>
    <w:p w14:paraId="5DA21316">
      <w:pPr>
        <w:pStyle w:val="272"/>
        <w:wordWrap w:val="0"/>
        <w:ind w:left="420" w:leftChars="200" w:firstLine="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四、法定代表人身份证明</w:t>
      </w:r>
    </w:p>
    <w:p w14:paraId="6D884AB3">
      <w:pPr>
        <w:pStyle w:val="272"/>
        <w:wordWrap w:val="0"/>
        <w:ind w:left="420" w:leftChars="200" w:firstLine="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五、授权委托书(如有）</w:t>
      </w:r>
    </w:p>
    <w:p w14:paraId="6076C5EA">
      <w:pPr>
        <w:pStyle w:val="272"/>
        <w:wordWrap w:val="0"/>
        <w:ind w:left="420" w:leftChars="200" w:firstLine="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六、投标人具备投标资格的证明文件</w:t>
      </w:r>
    </w:p>
    <w:p w14:paraId="7D392FD5">
      <w:pPr>
        <w:pStyle w:val="272"/>
        <w:wordWrap w:val="0"/>
        <w:ind w:left="420" w:leftChars="200" w:firstLine="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七、投标保证金</w:t>
      </w:r>
    </w:p>
    <w:p w14:paraId="2B49690E">
      <w:pPr>
        <w:pStyle w:val="272"/>
        <w:wordWrap w:val="0"/>
        <w:ind w:left="420" w:leftChars="200" w:firstLine="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八、投标人承诺函</w:t>
      </w:r>
    </w:p>
    <w:p w14:paraId="586694CA">
      <w:pPr>
        <w:pStyle w:val="272"/>
        <w:wordWrap w:val="0"/>
        <w:ind w:left="420" w:leftChars="200" w:firstLine="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九、实质性条款（标注“★”符号）响应表</w:t>
      </w:r>
    </w:p>
    <w:p w14:paraId="17C4AE86">
      <w:pPr>
        <w:pStyle w:val="272"/>
        <w:wordWrap w:val="0"/>
        <w:ind w:left="420" w:leftChars="200" w:firstLine="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十、商务和技术偏差表</w:t>
      </w:r>
    </w:p>
    <w:p w14:paraId="0433D704">
      <w:pPr>
        <w:pStyle w:val="272"/>
        <w:wordWrap w:val="0"/>
        <w:ind w:left="420" w:leftChars="200" w:firstLine="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十一、投标人类似业绩</w:t>
      </w:r>
    </w:p>
    <w:p w14:paraId="3AF2AF1A">
      <w:pPr>
        <w:pStyle w:val="272"/>
        <w:wordWrap w:val="0"/>
        <w:ind w:left="420" w:leftChars="200" w:firstLine="0"/>
        <w:jc w:val="both"/>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十二、综合实力</w:t>
      </w:r>
    </w:p>
    <w:p w14:paraId="56EC53EF">
      <w:pPr>
        <w:pStyle w:val="272"/>
        <w:wordWrap w:val="0"/>
        <w:ind w:left="420" w:leftChars="200" w:firstLine="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十三、人员配置</w:t>
      </w:r>
    </w:p>
    <w:p w14:paraId="671B8655">
      <w:pPr>
        <w:pStyle w:val="272"/>
        <w:wordWrap w:val="0"/>
        <w:ind w:left="420" w:leftChars="200" w:firstLine="0"/>
        <w:jc w:val="both"/>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十四、投标人认为需提供的其他商务评审资料</w:t>
      </w:r>
    </w:p>
    <w:p w14:paraId="66098B76">
      <w:pPr>
        <w:pStyle w:val="272"/>
        <w:wordWrap w:val="0"/>
        <w:ind w:left="420" w:leftChars="200" w:firstLine="0"/>
        <w:jc w:val="both"/>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十五、项目实施方案</w:t>
      </w:r>
    </w:p>
    <w:p w14:paraId="2A6323F9">
      <w:pPr>
        <w:pStyle w:val="272"/>
        <w:wordWrap w:val="0"/>
        <w:ind w:left="420" w:leftChars="200" w:firstLine="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十六、投标人认为需提供的其他技术评审资料</w:t>
      </w:r>
    </w:p>
    <w:p w14:paraId="3473896D">
      <w:pPr>
        <w:pStyle w:val="272"/>
        <w:wordWrap w:val="0"/>
        <w:ind w:left="420" w:leftChars="200" w:firstLine="0"/>
        <w:jc w:val="both"/>
        <w:rPr>
          <w:rFonts w:hint="eastAsia"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二标段、三标段格式如下：</w:t>
      </w:r>
    </w:p>
    <w:p w14:paraId="4021CD2A">
      <w:pPr>
        <w:pStyle w:val="272"/>
        <w:wordWrap w:val="0"/>
        <w:ind w:left="420" w:leftChars="200" w:firstLine="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一、投标函</w:t>
      </w:r>
    </w:p>
    <w:p w14:paraId="0A4D1C24">
      <w:pPr>
        <w:pStyle w:val="272"/>
        <w:wordWrap w:val="0"/>
        <w:ind w:left="420" w:leftChars="200" w:firstLine="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二、开标一览表</w:t>
      </w:r>
    </w:p>
    <w:p w14:paraId="7AB23883">
      <w:pPr>
        <w:pStyle w:val="272"/>
        <w:wordWrap w:val="0"/>
        <w:ind w:left="420" w:leftChars="200" w:firstLine="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三、投标报价表</w:t>
      </w:r>
    </w:p>
    <w:p w14:paraId="5F85D2A3">
      <w:pPr>
        <w:pStyle w:val="272"/>
        <w:wordWrap w:val="0"/>
        <w:ind w:left="420" w:leftChars="200" w:firstLine="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四、法定代表人身份证明</w:t>
      </w:r>
    </w:p>
    <w:p w14:paraId="1F25289D">
      <w:pPr>
        <w:pStyle w:val="272"/>
        <w:wordWrap w:val="0"/>
        <w:ind w:left="420" w:leftChars="200" w:firstLine="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五、授权委托书(如有）</w:t>
      </w:r>
    </w:p>
    <w:p w14:paraId="506376F4">
      <w:pPr>
        <w:pStyle w:val="272"/>
        <w:wordWrap w:val="0"/>
        <w:ind w:left="420" w:leftChars="200" w:firstLine="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六、投标人具备投标资格的证明文件</w:t>
      </w:r>
    </w:p>
    <w:p w14:paraId="02C74C6E">
      <w:pPr>
        <w:pStyle w:val="272"/>
        <w:wordWrap w:val="0"/>
        <w:ind w:left="420" w:leftChars="200" w:firstLine="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七、投标保证金</w:t>
      </w:r>
    </w:p>
    <w:p w14:paraId="38A6ADAF">
      <w:pPr>
        <w:pStyle w:val="272"/>
        <w:wordWrap w:val="0"/>
        <w:ind w:left="420" w:leftChars="200" w:firstLine="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八、投标人承诺函</w:t>
      </w:r>
    </w:p>
    <w:p w14:paraId="0602B06E">
      <w:pPr>
        <w:pStyle w:val="272"/>
        <w:wordWrap w:val="0"/>
        <w:ind w:left="420" w:leftChars="200" w:firstLine="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九、实质性条款（标注“★”符号）响应表</w:t>
      </w:r>
    </w:p>
    <w:p w14:paraId="2336B12B">
      <w:pPr>
        <w:pStyle w:val="272"/>
        <w:wordWrap w:val="0"/>
        <w:ind w:left="420" w:leftChars="200" w:firstLine="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十、商务和技术偏差表</w:t>
      </w:r>
    </w:p>
    <w:p w14:paraId="4D8CEB7F">
      <w:pPr>
        <w:pStyle w:val="272"/>
        <w:wordWrap w:val="0"/>
        <w:ind w:left="420" w:leftChars="200" w:firstLine="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十一、投标人类似业绩</w:t>
      </w:r>
    </w:p>
    <w:p w14:paraId="3E47199C">
      <w:pPr>
        <w:pStyle w:val="272"/>
        <w:wordWrap w:val="0"/>
        <w:ind w:left="420" w:leftChars="200" w:firstLine="0"/>
        <w:jc w:val="both"/>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十二、综合实力</w:t>
      </w:r>
    </w:p>
    <w:p w14:paraId="3FDA07AD">
      <w:pPr>
        <w:pStyle w:val="272"/>
        <w:wordWrap w:val="0"/>
        <w:ind w:left="420" w:leftChars="200" w:firstLine="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十三、人员配置</w:t>
      </w:r>
    </w:p>
    <w:p w14:paraId="7745B68C">
      <w:pPr>
        <w:pStyle w:val="272"/>
        <w:wordWrap w:val="0"/>
        <w:ind w:left="420" w:leftChars="200" w:firstLine="0"/>
        <w:jc w:val="both"/>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十四、投标人认为需提供的其他商务评审资料</w:t>
      </w:r>
    </w:p>
    <w:p w14:paraId="0FC80458">
      <w:pPr>
        <w:pStyle w:val="272"/>
        <w:wordWrap w:val="0"/>
        <w:ind w:left="420" w:leftChars="200" w:firstLine="0"/>
        <w:jc w:val="both"/>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十五、项目实施方案</w:t>
      </w:r>
    </w:p>
    <w:p w14:paraId="2F154605">
      <w:pPr>
        <w:pStyle w:val="272"/>
        <w:wordWrap w:val="0"/>
        <w:ind w:left="420" w:leftChars="200" w:firstLine="0"/>
        <w:jc w:val="both"/>
        <w:rPr>
          <w:rFonts w:hint="default"/>
          <w:highlight w:val="none"/>
          <w:lang w:val="en-US" w:eastAsia="zh-CN"/>
        </w:rPr>
      </w:pPr>
      <w:r>
        <w:rPr>
          <w:rFonts w:hint="eastAsia" w:ascii="宋体" w:hAnsi="宋体" w:eastAsia="宋体" w:cs="Times New Roman"/>
          <w:color w:val="auto"/>
          <w:sz w:val="21"/>
          <w:szCs w:val="21"/>
          <w:highlight w:val="none"/>
          <w:lang w:val="en-US" w:eastAsia="zh-CN"/>
        </w:rPr>
        <w:t>十六、投标人认为需提供的其他技术评审资料</w:t>
      </w:r>
    </w:p>
    <w:p w14:paraId="62C488C1">
      <w:pPr>
        <w:pStyle w:val="272"/>
        <w:wordWrap w:val="0"/>
        <w:ind w:left="0" w:leftChars="0" w:firstLine="420" w:firstLineChars="200"/>
        <w:jc w:val="left"/>
        <w:rPr>
          <w:rFonts w:hAnsi="宋体"/>
          <w:color w:val="auto"/>
          <w:sz w:val="21"/>
          <w:szCs w:val="21"/>
          <w:highlight w:val="none"/>
        </w:rPr>
      </w:pPr>
      <w:r>
        <w:rPr>
          <w:rFonts w:hAnsi="宋体"/>
          <w:color w:val="auto"/>
          <w:sz w:val="21"/>
          <w:szCs w:val="21"/>
          <w:highlight w:val="none"/>
        </w:rPr>
        <w:t>投标人在评标过程中作出的符合法律法规和招标文件规定的澄清</w:t>
      </w:r>
      <w:r>
        <w:rPr>
          <w:rFonts w:hint="eastAsia" w:hAnsi="宋体"/>
          <w:color w:val="auto"/>
          <w:sz w:val="21"/>
          <w:szCs w:val="21"/>
          <w:highlight w:val="none"/>
        </w:rPr>
        <w:t>、说明和补正</w:t>
      </w:r>
      <w:r>
        <w:rPr>
          <w:rFonts w:hAnsi="宋体"/>
          <w:color w:val="auto"/>
          <w:sz w:val="21"/>
          <w:szCs w:val="21"/>
          <w:highlight w:val="none"/>
        </w:rPr>
        <w:t>，构成投标文件的组成部分。</w:t>
      </w:r>
    </w:p>
    <w:p w14:paraId="0D462B9C">
      <w:pPr>
        <w:pStyle w:val="272"/>
        <w:wordWrap w:val="0"/>
        <w:jc w:val="both"/>
        <w:rPr>
          <w:rFonts w:hAnsi="宋体"/>
          <w:color w:val="auto"/>
          <w:sz w:val="21"/>
          <w:szCs w:val="21"/>
          <w:highlight w:val="none"/>
        </w:rPr>
      </w:pPr>
      <w:r>
        <w:rPr>
          <w:rFonts w:hAnsi="宋体"/>
          <w:color w:val="auto"/>
          <w:sz w:val="21"/>
          <w:szCs w:val="21"/>
          <w:highlight w:val="none"/>
        </w:rPr>
        <w:t>3.1.2</w:t>
      </w:r>
      <w:r>
        <w:rPr>
          <w:rFonts w:hint="eastAsia" w:hAnsi="宋体"/>
          <w:color w:val="auto"/>
          <w:sz w:val="21"/>
          <w:szCs w:val="21"/>
          <w:highlight w:val="none"/>
        </w:rPr>
        <w:t xml:space="preserve"> </w:t>
      </w:r>
      <w:r>
        <w:rPr>
          <w:rFonts w:hAnsi="宋体"/>
          <w:color w:val="auto"/>
          <w:sz w:val="21"/>
          <w:szCs w:val="21"/>
          <w:highlight w:val="none"/>
        </w:rPr>
        <w:t>投标人须知前附表规定不接受联合体投标的，或投标人没有组成联合体的，投标文件不包括本章第3.1.1</w:t>
      </w:r>
      <w:r>
        <w:rPr>
          <w:rFonts w:hint="eastAsia" w:hAnsi="宋体"/>
          <w:color w:val="auto"/>
          <w:sz w:val="21"/>
          <w:szCs w:val="21"/>
          <w:highlight w:val="none"/>
        </w:rPr>
        <w:t>所指的联合体协议书。</w:t>
      </w:r>
    </w:p>
    <w:p w14:paraId="1A9DFE37">
      <w:pPr>
        <w:pStyle w:val="272"/>
        <w:wordWrap w:val="0"/>
        <w:jc w:val="both"/>
        <w:rPr>
          <w:rFonts w:hAnsi="宋体"/>
          <w:color w:val="auto"/>
          <w:sz w:val="21"/>
          <w:szCs w:val="21"/>
          <w:highlight w:val="none"/>
        </w:rPr>
      </w:pPr>
      <w:r>
        <w:rPr>
          <w:rFonts w:hint="eastAsia" w:hAnsi="宋体"/>
          <w:color w:val="auto"/>
          <w:sz w:val="21"/>
          <w:szCs w:val="21"/>
          <w:highlight w:val="none"/>
        </w:rPr>
        <w:t>3.1.3 投标人应当按照招标文件的要求编制投标文件。投标文件应当对招标文件提出的要求和条件作出明确响应。</w:t>
      </w:r>
    </w:p>
    <w:p w14:paraId="02671D32">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3.2 投标报价</w:t>
      </w:r>
    </w:p>
    <w:p w14:paraId="46675BF3">
      <w:pPr>
        <w:pStyle w:val="272"/>
        <w:wordWrap w:val="0"/>
        <w:ind w:firstLine="420" w:firstLineChars="200"/>
        <w:jc w:val="both"/>
        <w:rPr>
          <w:rFonts w:hAnsi="宋体"/>
          <w:color w:val="auto"/>
          <w:sz w:val="21"/>
          <w:szCs w:val="21"/>
          <w:highlight w:val="none"/>
        </w:rPr>
      </w:pPr>
      <w:r>
        <w:rPr>
          <w:rFonts w:hAnsi="宋体"/>
          <w:color w:val="auto"/>
          <w:sz w:val="21"/>
          <w:szCs w:val="21"/>
          <w:highlight w:val="none"/>
        </w:rPr>
        <w:t>3.2.1</w:t>
      </w:r>
      <w:r>
        <w:rPr>
          <w:rFonts w:hint="eastAsia" w:hAnsi="宋体"/>
          <w:color w:val="auto"/>
          <w:sz w:val="21"/>
          <w:szCs w:val="21"/>
          <w:highlight w:val="none"/>
        </w:rPr>
        <w:t xml:space="preserve"> </w:t>
      </w:r>
      <w:r>
        <w:rPr>
          <w:rFonts w:hint="eastAsia" w:hAnsi="宋体" w:cs="宋体"/>
          <w:color w:val="auto"/>
          <w:sz w:val="21"/>
          <w:szCs w:val="21"/>
          <w:highlight w:val="none"/>
        </w:rPr>
        <w:t>投标人应按第六章“投标文件格式”的要求在投标函、开标一览表中进行报价</w:t>
      </w:r>
      <w:r>
        <w:rPr>
          <w:rFonts w:hint="eastAsia" w:hAnsi="宋体"/>
          <w:color w:val="auto"/>
          <w:sz w:val="21"/>
          <w:szCs w:val="21"/>
          <w:highlight w:val="none"/>
        </w:rPr>
        <w:t>。</w:t>
      </w:r>
      <w:r>
        <w:rPr>
          <w:rFonts w:hint="eastAsia" w:hAnsi="宋体" w:cs="宋体"/>
          <w:color w:val="auto"/>
          <w:sz w:val="21"/>
          <w:szCs w:val="21"/>
          <w:highlight w:val="none"/>
        </w:rPr>
        <w:t>本项目投标总报价、综合单价（如有）均不能高于招标人公布的最高投标限价，超过最高投标限价的投标报价为无效报价，按</w:t>
      </w:r>
      <w:r>
        <w:rPr>
          <w:rFonts w:hint="eastAsia" w:hAnsi="宋体" w:cs="宋体"/>
          <w:b/>
          <w:bCs/>
          <w:color w:val="auto"/>
          <w:sz w:val="21"/>
          <w:szCs w:val="21"/>
          <w:highlight w:val="none"/>
        </w:rPr>
        <w:t>废标</w:t>
      </w:r>
      <w:r>
        <w:rPr>
          <w:rFonts w:hint="eastAsia" w:hAnsi="宋体" w:cs="宋体"/>
          <w:color w:val="auto"/>
          <w:sz w:val="21"/>
          <w:szCs w:val="21"/>
          <w:highlight w:val="none"/>
        </w:rPr>
        <w:t>情形处理。投标时需明确税费，税率必须符合国家政策法规规定，合同支付时服务单位需开具经招标方认可的合法完税单据</w:t>
      </w:r>
      <w:r>
        <w:rPr>
          <w:rFonts w:hint="eastAsia" w:hAnsi="宋体"/>
          <w:color w:val="auto"/>
          <w:sz w:val="21"/>
          <w:szCs w:val="21"/>
          <w:highlight w:val="none"/>
        </w:rPr>
        <w:t>。</w:t>
      </w:r>
    </w:p>
    <w:p w14:paraId="2002268A">
      <w:pPr>
        <w:pStyle w:val="272"/>
        <w:wordWrap w:val="0"/>
        <w:ind w:firstLine="420" w:firstLineChars="200"/>
        <w:jc w:val="both"/>
        <w:rPr>
          <w:rFonts w:hAnsi="宋体"/>
          <w:color w:val="auto"/>
          <w:sz w:val="21"/>
          <w:szCs w:val="21"/>
          <w:highlight w:val="none"/>
        </w:rPr>
      </w:pPr>
      <w:r>
        <w:rPr>
          <w:rFonts w:hAnsi="宋体"/>
          <w:color w:val="auto"/>
          <w:sz w:val="21"/>
          <w:szCs w:val="21"/>
          <w:highlight w:val="none"/>
        </w:rPr>
        <w:t>3.2.2 投标人应充分了解该项目的总体情况以及影响投标报价的其他要素。</w:t>
      </w:r>
      <w:r>
        <w:rPr>
          <w:rFonts w:hint="eastAsia" w:hAnsi="宋体"/>
          <w:color w:val="auto"/>
          <w:sz w:val="21"/>
          <w:szCs w:val="21"/>
          <w:highlight w:val="none"/>
        </w:rPr>
        <w:t>最终结算以长沙穗城轨道交通有限公司或政府职能部门审核为准。</w:t>
      </w:r>
    </w:p>
    <w:p w14:paraId="4D69E672">
      <w:pPr>
        <w:pStyle w:val="272"/>
        <w:wordWrap w:val="0"/>
        <w:ind w:firstLine="420" w:firstLineChars="200"/>
        <w:jc w:val="both"/>
        <w:rPr>
          <w:rFonts w:hint="eastAsia" w:hAnsi="宋体"/>
          <w:color w:val="auto"/>
          <w:sz w:val="21"/>
          <w:szCs w:val="21"/>
          <w:highlight w:val="none"/>
        </w:rPr>
      </w:pPr>
      <w:r>
        <w:rPr>
          <w:rFonts w:hint="eastAsia" w:hAnsi="宋体"/>
          <w:color w:val="auto"/>
          <w:sz w:val="21"/>
          <w:szCs w:val="21"/>
          <w:highlight w:val="none"/>
        </w:rPr>
        <w:t>3.2.3 投标</w:t>
      </w:r>
      <w:r>
        <w:rPr>
          <w:rFonts w:hint="default" w:hAnsi="宋体"/>
          <w:color w:val="auto"/>
          <w:sz w:val="21"/>
          <w:szCs w:val="21"/>
          <w:highlight w:val="none"/>
        </w:rPr>
        <w:t>总</w:t>
      </w:r>
      <w:r>
        <w:rPr>
          <w:rFonts w:hint="eastAsia" w:hAnsi="宋体"/>
          <w:color w:val="auto"/>
          <w:sz w:val="21"/>
          <w:szCs w:val="21"/>
          <w:highlight w:val="none"/>
        </w:rPr>
        <w:t>报价为各明细报价金额之和，投标</w:t>
      </w:r>
      <w:r>
        <w:rPr>
          <w:rFonts w:hint="default" w:hAnsi="宋体"/>
          <w:color w:val="auto"/>
          <w:sz w:val="21"/>
          <w:szCs w:val="21"/>
          <w:highlight w:val="none"/>
        </w:rPr>
        <w:t>总</w:t>
      </w:r>
      <w:r>
        <w:rPr>
          <w:rFonts w:hint="eastAsia" w:hAnsi="宋体"/>
          <w:color w:val="auto"/>
          <w:sz w:val="21"/>
          <w:szCs w:val="21"/>
          <w:highlight w:val="none"/>
        </w:rPr>
        <w:t>报价与明细报价的合价不一致的，以</w:t>
      </w:r>
      <w:r>
        <w:rPr>
          <w:rFonts w:hint="default" w:hAnsi="宋体"/>
          <w:color w:val="auto"/>
          <w:sz w:val="21"/>
          <w:szCs w:val="21"/>
          <w:highlight w:val="none"/>
        </w:rPr>
        <w:t>“开标一览表”中“投标总报价”为准</w:t>
      </w:r>
      <w:r>
        <w:rPr>
          <w:rFonts w:hint="eastAsia" w:hAnsi="宋体"/>
          <w:color w:val="auto"/>
          <w:sz w:val="21"/>
          <w:szCs w:val="21"/>
          <w:highlight w:val="none"/>
        </w:rPr>
        <w:t>；如明细报价中存在缺漏项，则视为缺漏项价格已包含在其他明细报价之中。投标人在投标截止时间前修改投标函中的投标</w:t>
      </w:r>
      <w:r>
        <w:rPr>
          <w:rFonts w:hint="default" w:hAnsi="宋体"/>
          <w:color w:val="auto"/>
          <w:sz w:val="21"/>
          <w:szCs w:val="21"/>
          <w:highlight w:val="none"/>
        </w:rPr>
        <w:t>总</w:t>
      </w:r>
      <w:r>
        <w:rPr>
          <w:rFonts w:hint="eastAsia" w:hAnsi="宋体"/>
          <w:color w:val="auto"/>
          <w:sz w:val="21"/>
          <w:szCs w:val="21"/>
          <w:highlight w:val="none"/>
        </w:rPr>
        <w:t>报价，应同时修改投标文件</w:t>
      </w:r>
      <w:r>
        <w:rPr>
          <w:rFonts w:hint="default" w:hAnsi="宋体"/>
          <w:color w:val="auto"/>
          <w:sz w:val="21"/>
          <w:szCs w:val="21"/>
          <w:highlight w:val="none"/>
        </w:rPr>
        <w:t>《开标一览表》和《投标报价表》</w:t>
      </w:r>
      <w:r>
        <w:rPr>
          <w:rFonts w:hint="eastAsia" w:hAnsi="宋体"/>
          <w:color w:val="auto"/>
          <w:sz w:val="21"/>
          <w:szCs w:val="21"/>
          <w:highlight w:val="none"/>
        </w:rPr>
        <w:t>中的相应报价。此修改须符合本章第4.3款的有关要求。</w:t>
      </w:r>
    </w:p>
    <w:p w14:paraId="2EE63E51">
      <w:pPr>
        <w:pStyle w:val="272"/>
        <w:wordWrap w:val="0"/>
        <w:ind w:firstLine="420" w:firstLineChars="200"/>
        <w:jc w:val="both"/>
        <w:rPr>
          <w:rFonts w:hint="eastAsia" w:hAnsi="宋体"/>
          <w:color w:val="auto"/>
          <w:sz w:val="21"/>
          <w:szCs w:val="21"/>
          <w:highlight w:val="none"/>
        </w:rPr>
      </w:pPr>
      <w:r>
        <w:rPr>
          <w:rFonts w:hint="eastAsia" w:hAnsi="宋体"/>
          <w:color w:val="auto"/>
          <w:sz w:val="21"/>
          <w:szCs w:val="21"/>
          <w:highlight w:val="none"/>
        </w:rPr>
        <w:t>3.2.</w:t>
      </w:r>
      <w:r>
        <w:rPr>
          <w:rFonts w:hint="default" w:hAnsi="宋体"/>
          <w:color w:val="auto"/>
          <w:sz w:val="21"/>
          <w:szCs w:val="21"/>
          <w:highlight w:val="none"/>
        </w:rPr>
        <w:t>4 最高投标限价：见投标人须知前附表。</w:t>
      </w:r>
    </w:p>
    <w:p w14:paraId="260E7AE2">
      <w:pPr>
        <w:pStyle w:val="272"/>
        <w:wordWrap w:val="0"/>
        <w:ind w:firstLine="420" w:firstLineChars="200"/>
        <w:jc w:val="both"/>
        <w:rPr>
          <w:rFonts w:hint="eastAsia" w:hAnsi="宋体"/>
          <w:color w:val="auto"/>
          <w:sz w:val="21"/>
          <w:szCs w:val="21"/>
          <w:highlight w:val="none"/>
        </w:rPr>
      </w:pPr>
      <w:r>
        <w:rPr>
          <w:rFonts w:hint="eastAsia" w:hAnsi="宋体"/>
          <w:color w:val="auto"/>
          <w:sz w:val="21"/>
          <w:szCs w:val="21"/>
          <w:highlight w:val="none"/>
        </w:rPr>
        <w:t>3.2.</w:t>
      </w:r>
      <w:r>
        <w:rPr>
          <w:rFonts w:hint="default" w:hAnsi="宋体"/>
          <w:color w:val="auto"/>
          <w:sz w:val="21"/>
          <w:szCs w:val="21"/>
          <w:highlight w:val="none"/>
        </w:rPr>
        <w:t>5 投标报价应保证在投标有效期内有效。除合同另有约定外，投标报价作为中标价及合同价在合同履行期间是固定不变的，不受政策、法规变化以及汇率浮动、物价指数浮动等因素的影响。中标人不得以任何理由予以变更。</w:t>
      </w:r>
    </w:p>
    <w:p w14:paraId="010DA0B0">
      <w:pPr>
        <w:pStyle w:val="272"/>
        <w:wordWrap w:val="0"/>
        <w:ind w:firstLine="420" w:firstLineChars="200"/>
        <w:jc w:val="both"/>
        <w:rPr>
          <w:rFonts w:hAnsi="宋体"/>
          <w:color w:val="auto"/>
          <w:sz w:val="21"/>
          <w:szCs w:val="21"/>
          <w:highlight w:val="none"/>
        </w:rPr>
      </w:pPr>
      <w:r>
        <w:rPr>
          <w:rFonts w:hint="default" w:hAnsi="宋体"/>
          <w:color w:val="auto"/>
          <w:sz w:val="21"/>
          <w:szCs w:val="21"/>
          <w:highlight w:val="none"/>
        </w:rPr>
        <w:t>3.2.6 投标报价的其他要求见投标人须知前附表。</w:t>
      </w:r>
    </w:p>
    <w:p w14:paraId="012F51C9">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3.3 投标有效期</w:t>
      </w:r>
    </w:p>
    <w:p w14:paraId="46D19826">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 除投标人须知前附表另有规定外，投标有效期为180日历天，从投标截止之日起算。投标有效期不足的投标，在评标时将其视为</w:t>
      </w:r>
      <w:r>
        <w:rPr>
          <w:rFonts w:hint="eastAsia" w:ascii="宋体" w:hAnsi="宋体" w:eastAsia="宋体" w:cs="宋体"/>
          <w:b/>
          <w:bCs/>
          <w:color w:val="auto"/>
          <w:sz w:val="21"/>
          <w:szCs w:val="21"/>
          <w:highlight w:val="none"/>
        </w:rPr>
        <w:t>无效投标</w:t>
      </w:r>
      <w:r>
        <w:rPr>
          <w:rFonts w:hint="eastAsia" w:ascii="宋体" w:hAnsi="宋体" w:eastAsia="宋体" w:cs="宋体"/>
          <w:color w:val="auto"/>
          <w:sz w:val="21"/>
          <w:szCs w:val="21"/>
          <w:highlight w:val="none"/>
        </w:rPr>
        <w:t>。</w:t>
      </w:r>
    </w:p>
    <w:p w14:paraId="6A2F6350">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3.3.2 在投标有效期内，投标人撤销投标文件的，应承担招标文件和法律规定的责任。</w:t>
      </w:r>
    </w:p>
    <w:p w14:paraId="53BCD5B1">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 出现特殊情况需要延长投标有效期的，招标人可以根据需要以书面形式向投标人提出延长投标有效期的要求。投标人应予以书面答复，同意延长的，应相应延长其投标保证金的有效期，但不得要求或被允许修改其投标文件；投标人拒绝延长的，其投标失效，但投标人有权收回其投标保证金。</w:t>
      </w:r>
    </w:p>
    <w:p w14:paraId="2A784C9C">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3.4 投标保证金</w:t>
      </w:r>
    </w:p>
    <w:p w14:paraId="6A1F264C">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3.4.1投标人在递交投标文件的同时，应按投标人须知前附表规定的金额递交投标保证金，并作为其投标文件的组成部分。联合体投标的，其投标保证金由牵头人递交，并应符合投标人须知前附表的规定。</w:t>
      </w:r>
    </w:p>
    <w:p w14:paraId="4532FC68">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3.4.2投标人不按本章第3.4.1项要求提交投标保证金的，提交评标委员会</w:t>
      </w:r>
      <w:r>
        <w:rPr>
          <w:rFonts w:hint="eastAsia" w:ascii="宋体" w:hAnsi="宋体" w:eastAsia="宋体" w:cs="宋体"/>
          <w:b/>
          <w:bCs/>
          <w:color w:val="auto"/>
          <w:sz w:val="21"/>
          <w:szCs w:val="21"/>
          <w:highlight w:val="none"/>
        </w:rPr>
        <w:t>否决</w:t>
      </w:r>
      <w:r>
        <w:rPr>
          <w:rFonts w:hint="eastAsia" w:ascii="宋体" w:hAnsi="宋体" w:eastAsia="宋体" w:cs="宋体"/>
          <w:color w:val="auto"/>
          <w:sz w:val="21"/>
          <w:szCs w:val="21"/>
          <w:highlight w:val="none"/>
        </w:rPr>
        <w:t>其投标。</w:t>
      </w:r>
    </w:p>
    <w:p w14:paraId="3F626FDF">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3.4.3投标保证金的退还按</w:t>
      </w:r>
      <w:r>
        <w:rPr>
          <w:rFonts w:hint="eastAsia" w:hAnsi="宋体" w:cs="宋体"/>
          <w:color w:val="auto"/>
          <w:sz w:val="21"/>
          <w:szCs w:val="21"/>
          <w:highlight w:val="none"/>
          <w:lang w:val="en-US" w:eastAsia="zh-CN"/>
        </w:rPr>
        <w:t>潇湘交易云</w:t>
      </w:r>
      <w:r>
        <w:rPr>
          <w:rFonts w:hint="eastAsia" w:ascii="宋体" w:hAnsi="宋体" w:eastAsia="宋体" w:cs="宋体"/>
          <w:color w:val="auto"/>
          <w:sz w:val="21"/>
          <w:szCs w:val="21"/>
          <w:highlight w:val="none"/>
        </w:rPr>
        <w:t>平台公布的《投标保证金退还流程》等要求办理。</w:t>
      </w:r>
    </w:p>
    <w:p w14:paraId="40FAD8E0">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3.4.4有下列情形之一的，投标保证金将不予退还：</w:t>
      </w:r>
    </w:p>
    <w:p w14:paraId="2E328D04">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（1）投标人在投标有效期内撤销投标文件；</w:t>
      </w:r>
    </w:p>
    <w:p w14:paraId="17FB2F37">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（2）中标人在收到中标通知书后，30天内无正当理由不与招标人订立合同，在签订合同时向招标人提出附加条件，或者不按照招标文件要求提交履约保证金；</w:t>
      </w:r>
    </w:p>
    <w:p w14:paraId="2216D66F">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（3）投标人在投标过程中以任何方式进行串通投标；</w:t>
      </w:r>
    </w:p>
    <w:p w14:paraId="1B5FDF11">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（4）投标人以他人名义投标或者弄虚作假，骗取中标。</w:t>
      </w:r>
    </w:p>
    <w:p w14:paraId="6AE23088">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（5）法律法规或招标文件规定的其他情形。</w:t>
      </w:r>
    </w:p>
    <w:p w14:paraId="5449D84A">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3.5 资格证明文件</w:t>
      </w:r>
    </w:p>
    <w:p w14:paraId="0DED6608">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3.5.1资格证明文件及提交要求：详见第六章“投标文件格式”。</w:t>
      </w:r>
    </w:p>
    <w:p w14:paraId="11B3449D">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3.6 备选投标方案</w:t>
      </w:r>
    </w:p>
    <w:p w14:paraId="7130D7F4">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3.6.1投标人不得递交备选投标方案，否则其投标将被</w:t>
      </w:r>
      <w:r>
        <w:rPr>
          <w:rFonts w:hint="eastAsia" w:ascii="宋体" w:hAnsi="宋体" w:eastAsia="宋体" w:cs="宋体"/>
          <w:b/>
          <w:bCs/>
          <w:color w:val="auto"/>
          <w:sz w:val="21"/>
          <w:szCs w:val="21"/>
          <w:highlight w:val="none"/>
        </w:rPr>
        <w:t>否决</w:t>
      </w:r>
      <w:r>
        <w:rPr>
          <w:rFonts w:hint="eastAsia" w:ascii="宋体" w:hAnsi="宋体" w:eastAsia="宋体" w:cs="宋体"/>
          <w:color w:val="auto"/>
          <w:sz w:val="21"/>
          <w:szCs w:val="21"/>
          <w:highlight w:val="none"/>
        </w:rPr>
        <w:t>。</w:t>
      </w:r>
    </w:p>
    <w:p w14:paraId="2DDD276C">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3.6.2 投标人提供两个或两个以上投标报价，或者在投标文件中提供一个报价，但同时提供两个或两个以上投标方案的，视为提供备选投标方案。</w:t>
      </w:r>
    </w:p>
    <w:p w14:paraId="3F63A769">
      <w:pPr>
        <w:wordWrap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3.7 投标文件的编制</w:t>
      </w:r>
    </w:p>
    <w:p w14:paraId="2846F84A">
      <w:pPr>
        <w:pStyle w:val="272"/>
        <w:wordWrap w:val="0"/>
        <w:ind w:firstLine="482"/>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3.7.1 投标文件应按第六章“投标文件格式”进行编写，如有必要，可以增加附页，作为投标文件的组成部分。</w:t>
      </w:r>
    </w:p>
    <w:p w14:paraId="53A501A9">
      <w:pPr>
        <w:pStyle w:val="272"/>
        <w:wordWrap w:val="0"/>
        <w:ind w:firstLine="482"/>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3.7.2 投标文件应当对招标文件有关</w:t>
      </w: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期、投标有效期、用户需求书、招标范围、合同条款等实质性内容作出响应。</w:t>
      </w:r>
    </w:p>
    <w:p w14:paraId="12022191">
      <w:pPr>
        <w:pStyle w:val="272"/>
        <w:wordWrap w:val="0"/>
        <w:spacing w:after="0"/>
        <w:ind w:left="0" w:right="0" w:firstLine="482"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3.7.3 投标文件应用不褪色的材料书写、打印或复印，并由投标人的法定代表人/负责人或其委托代理人签字或盖单位公章。委托代理人签字的，投标文件应附法定代表人/负责人签署的授权委托书。投标文件应尽量避免涂改、行间插字或删除。如果出现上述情况，改动之处应加盖单位公章或由投标人的法定代表人/负责人或其委托代理人签字确认。签字或盖章的具体要求见投标人须知前附表。</w:t>
      </w:r>
    </w:p>
    <w:p w14:paraId="01EF8A01">
      <w:pPr>
        <w:pStyle w:val="272"/>
        <w:wordWrap w:val="0"/>
        <w:ind w:firstLine="482" w:firstLineChars="0"/>
        <w:jc w:val="both"/>
        <w:rPr>
          <w:rFonts w:hint="eastAsia" w:hAnsi="宋体" w:cs="宋体"/>
          <w:b/>
          <w:bCs/>
          <w:color w:val="auto"/>
          <w:sz w:val="21"/>
          <w:szCs w:val="21"/>
          <w:highlight w:val="none"/>
        </w:rPr>
      </w:pPr>
      <w:r>
        <w:rPr>
          <w:rFonts w:hint="eastAsia" w:hAnsi="宋体" w:cs="宋体"/>
          <w:b/>
          <w:bCs/>
          <w:color w:val="auto"/>
          <w:sz w:val="21"/>
          <w:szCs w:val="21"/>
          <w:highlight w:val="none"/>
        </w:rPr>
        <w:t>3.7.4 投标文件正本一份、副本</w:t>
      </w:r>
      <w:r>
        <w:rPr>
          <w:rFonts w:hint="eastAsia" w:hAnsi="宋体" w:cs="宋体"/>
          <w:b/>
          <w:bCs/>
          <w:color w:val="auto"/>
          <w:sz w:val="21"/>
          <w:szCs w:val="21"/>
          <w:highlight w:val="none"/>
          <w:lang w:val="en-US" w:eastAsia="zh-CN"/>
        </w:rPr>
        <w:t>六</w:t>
      </w:r>
      <w:r>
        <w:rPr>
          <w:rFonts w:hint="eastAsia" w:hAnsi="宋体" w:cs="宋体"/>
          <w:b/>
          <w:bCs/>
          <w:color w:val="auto"/>
          <w:sz w:val="21"/>
          <w:szCs w:val="21"/>
          <w:highlight w:val="none"/>
        </w:rPr>
        <w:t>份、电子文本一份（须为投标文件正本扫描件），以上文件可单独封装或一起封装；投标文件份数不符合要求的，招标人不予受理并将所有投标文件予以退还。</w:t>
      </w:r>
    </w:p>
    <w:p w14:paraId="3685C506">
      <w:pPr>
        <w:pStyle w:val="272"/>
        <w:wordWrap w:val="0"/>
        <w:ind w:firstLine="482" w:firstLineChars="0"/>
        <w:jc w:val="both"/>
        <w:rPr>
          <w:rFonts w:hint="eastAsia" w:hAnsi="宋体" w:cs="宋体"/>
          <w:color w:val="auto"/>
          <w:sz w:val="21"/>
          <w:szCs w:val="21"/>
          <w:highlight w:val="none"/>
        </w:rPr>
      </w:pPr>
      <w:r>
        <w:rPr>
          <w:rFonts w:hint="eastAsia" w:ascii="宋体" w:hAnsi="宋体" w:eastAsia="宋体" w:cs="宋体"/>
          <w:b/>
          <w:bCs/>
          <w:color w:val="auto"/>
          <w:sz w:val="21"/>
          <w:szCs w:val="21"/>
          <w:highlight w:val="none"/>
        </w:rPr>
        <w:t>投标人同时参与多标段投标的，需针对所投标段并按照上述要求分别制作对应标段的投标文件，并分 别进行封装和递交。例如：投标人对一、二、三标段同时进行投标的，需要分别制作一、二、三标段的投 标文件，并分别进行封装和递交。</w:t>
      </w:r>
    </w:p>
    <w:p w14:paraId="470087F3">
      <w:pPr>
        <w:pStyle w:val="272"/>
        <w:wordWrap w:val="0"/>
        <w:ind w:firstLine="482" w:firstLineChars="0"/>
        <w:jc w:val="both"/>
        <w:rPr>
          <w:rFonts w:hint="eastAsia" w:hAnsi="宋体" w:cs="宋体"/>
          <w:b w:val="0"/>
          <w:bCs w:val="0"/>
          <w:color w:val="auto"/>
          <w:sz w:val="21"/>
          <w:szCs w:val="21"/>
          <w:highlight w:val="none"/>
        </w:rPr>
      </w:pPr>
      <w:r>
        <w:rPr>
          <w:rFonts w:hint="eastAsia" w:hAnsi="宋体" w:cs="宋体"/>
          <w:color w:val="auto"/>
          <w:sz w:val="21"/>
          <w:szCs w:val="21"/>
          <w:highlight w:val="none"/>
        </w:rPr>
        <w:t>正本和副本的封面上应清楚地标记“正本”或“副本”的字样，当副本和正本不一致时，以正本为准。</w:t>
      </w:r>
    </w:p>
    <w:p w14:paraId="6B5E21CE">
      <w:pPr>
        <w:pStyle w:val="272"/>
        <w:wordWrap w:val="0"/>
        <w:ind w:firstLine="482" w:firstLineChars="0"/>
        <w:jc w:val="both"/>
        <w:rPr>
          <w:rFonts w:hint="eastAsia" w:hAnsi="宋体" w:cs="宋体"/>
          <w:color w:val="auto"/>
          <w:sz w:val="21"/>
          <w:szCs w:val="21"/>
          <w:highlight w:val="none"/>
        </w:rPr>
      </w:pPr>
      <w:r>
        <w:rPr>
          <w:rFonts w:hint="eastAsia" w:hAnsi="宋体" w:cs="宋体"/>
          <w:color w:val="auto"/>
          <w:sz w:val="21"/>
          <w:szCs w:val="21"/>
          <w:highlight w:val="none"/>
        </w:rPr>
        <w:t>3.7.5 投标文件的正本与副本应分别装订成册，并编制目录，正副本均需采用胶装方式进行装订。</w:t>
      </w:r>
    </w:p>
    <w:p w14:paraId="3D8AA3FE">
      <w:pPr>
        <w:pStyle w:val="272"/>
        <w:wordWrap w:val="0"/>
        <w:spacing w:after="0"/>
        <w:ind w:left="0" w:right="0" w:firstLine="482" w:firstLineChars="0"/>
        <w:jc w:val="both"/>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3.7.6 联合体投标的，除招标文件另有明确规定外，投标人加盖公章和/或投标人相关受托人签字和/或签章处由联合体牵头人代表即可。</w:t>
      </w:r>
    </w:p>
    <w:p w14:paraId="6E6DA71A">
      <w:pPr>
        <w:pStyle w:val="138"/>
        <w:wordWrap w:val="0"/>
        <w:spacing w:before="0" w:after="0" w:line="360" w:lineRule="auto"/>
        <w:ind w:left="0" w:right="339"/>
        <w:jc w:val="left"/>
        <w:outlineLvl w:val="9"/>
        <w:rPr>
          <w:rFonts w:hint="eastAsia" w:ascii="宋体" w:hAnsi="宋体" w:eastAsia="宋体" w:cs="宋体"/>
          <w:color w:val="auto"/>
          <w:szCs w:val="28"/>
          <w:highlight w:val="none"/>
        </w:rPr>
      </w:pPr>
      <w:r>
        <w:rPr>
          <w:rFonts w:hint="eastAsia" w:ascii="宋体" w:hAnsi="宋体" w:eastAsia="宋体" w:cs="宋体"/>
          <w:color w:val="auto"/>
          <w:szCs w:val="28"/>
          <w:highlight w:val="none"/>
        </w:rPr>
        <w:t>4.投标</w:t>
      </w:r>
    </w:p>
    <w:p w14:paraId="7CB547A1">
      <w:pPr>
        <w:wordWrap w:val="0"/>
        <w:spacing w:line="360" w:lineRule="auto"/>
        <w:rPr>
          <w:rFonts w:ascii="宋体" w:hAnsi="宋体"/>
          <w:b/>
          <w:bCs/>
          <w:color w:val="auto"/>
          <w:szCs w:val="21"/>
          <w:highlight w:val="none"/>
        </w:rPr>
      </w:pPr>
      <w:r>
        <w:rPr>
          <w:rFonts w:hint="eastAsia" w:ascii="宋体" w:hAnsi="宋体"/>
          <w:b/>
          <w:bCs/>
          <w:color w:val="auto"/>
          <w:szCs w:val="21"/>
          <w:highlight w:val="none"/>
        </w:rPr>
        <w:t>4.1投标文件的密封和标识</w:t>
      </w:r>
    </w:p>
    <w:p w14:paraId="68B474D6">
      <w:pPr>
        <w:pStyle w:val="272"/>
        <w:wordWrap w:val="0"/>
        <w:ind w:firstLine="482"/>
        <w:jc w:val="both"/>
        <w:rPr>
          <w:rFonts w:hint="eastAsia" w:hAnsi="宋体" w:cs="宋体"/>
          <w:color w:val="auto"/>
          <w:sz w:val="21"/>
          <w:szCs w:val="21"/>
          <w:highlight w:val="none"/>
        </w:rPr>
      </w:pPr>
      <w:r>
        <w:rPr>
          <w:rFonts w:hint="eastAsia" w:hAnsi="宋体" w:cs="宋体"/>
          <w:color w:val="auto"/>
          <w:sz w:val="21"/>
          <w:szCs w:val="21"/>
          <w:highlight w:val="none"/>
        </w:rPr>
        <w:t>4.1.1 投标文件的密封：投标人应将投标文件密封后提交，所有密封的封口处须加盖投标人公章。</w:t>
      </w:r>
    </w:p>
    <w:p w14:paraId="038C358B">
      <w:pPr>
        <w:pStyle w:val="272"/>
        <w:wordWrap w:val="0"/>
        <w:ind w:firstLine="482"/>
        <w:jc w:val="both"/>
        <w:rPr>
          <w:rFonts w:hint="eastAsia" w:hAnsi="宋体" w:cs="宋体"/>
          <w:color w:val="auto"/>
          <w:sz w:val="21"/>
          <w:szCs w:val="21"/>
          <w:highlight w:val="none"/>
        </w:rPr>
      </w:pPr>
      <w:r>
        <w:rPr>
          <w:rFonts w:hint="eastAsia" w:hAnsi="宋体" w:cs="宋体"/>
          <w:color w:val="auto"/>
          <w:sz w:val="21"/>
          <w:szCs w:val="21"/>
          <w:highlight w:val="none"/>
        </w:rPr>
        <w:t>4.1.2 投标文件的标识：投标文件封套上应写明的其他内容见投标人须知前附表，并在封套上加盖投标人单位公章。</w:t>
      </w:r>
    </w:p>
    <w:p w14:paraId="3D3566E4">
      <w:pPr>
        <w:pStyle w:val="272"/>
        <w:wordWrap w:val="0"/>
        <w:ind w:firstLine="482"/>
        <w:jc w:val="both"/>
        <w:rPr>
          <w:rFonts w:hint="eastAsia" w:hAnsi="宋体" w:cs="宋体"/>
          <w:color w:val="auto"/>
          <w:sz w:val="21"/>
          <w:szCs w:val="21"/>
          <w:highlight w:val="none"/>
        </w:rPr>
      </w:pPr>
      <w:r>
        <w:rPr>
          <w:rFonts w:hint="eastAsia" w:hAnsi="宋体" w:cs="宋体"/>
          <w:color w:val="auto"/>
          <w:sz w:val="21"/>
          <w:szCs w:val="21"/>
          <w:highlight w:val="none"/>
        </w:rPr>
        <w:t>4.1.3 未按本章第4.1款要求密封及标识的投标文件，招标人不予受理并退还给投标人；同时招标人不承担投标文件错放或提前开封的责任。由此造成的提前开封的投标文件将予以拒绝。</w:t>
      </w:r>
    </w:p>
    <w:p w14:paraId="2CBB6DD8">
      <w:pPr>
        <w:wordWrap w:val="0"/>
        <w:spacing w:line="360" w:lineRule="auto"/>
        <w:rPr>
          <w:rFonts w:ascii="宋体" w:hAnsi="宋体"/>
          <w:b/>
          <w:bCs/>
          <w:color w:val="auto"/>
          <w:szCs w:val="21"/>
          <w:highlight w:val="none"/>
        </w:rPr>
      </w:pPr>
      <w:r>
        <w:rPr>
          <w:rFonts w:hint="eastAsia" w:ascii="宋体" w:hAnsi="宋体"/>
          <w:b/>
          <w:bCs/>
          <w:color w:val="auto"/>
          <w:szCs w:val="21"/>
          <w:highlight w:val="none"/>
        </w:rPr>
        <w:t>4.2投标文件的递交</w:t>
      </w:r>
    </w:p>
    <w:p w14:paraId="128C5374">
      <w:pPr>
        <w:pStyle w:val="272"/>
        <w:wordWrap w:val="0"/>
        <w:jc w:val="both"/>
        <w:rPr>
          <w:rFonts w:hAnsi="宋体"/>
          <w:color w:val="auto"/>
          <w:sz w:val="21"/>
          <w:szCs w:val="21"/>
          <w:highlight w:val="none"/>
        </w:rPr>
      </w:pPr>
      <w:r>
        <w:rPr>
          <w:rFonts w:hint="eastAsia" w:hAnsi="宋体"/>
          <w:color w:val="auto"/>
          <w:sz w:val="21"/>
          <w:szCs w:val="21"/>
          <w:highlight w:val="none"/>
        </w:rPr>
        <w:t>4.2.1 投标人应在投标人须知前附表规定的投标截止时间前递交投标文件（投标截止时间前1个小时开始接收投标文件）；</w:t>
      </w:r>
    </w:p>
    <w:p w14:paraId="0D46748F">
      <w:pPr>
        <w:pStyle w:val="272"/>
        <w:wordWrap w:val="0"/>
        <w:jc w:val="both"/>
        <w:rPr>
          <w:rFonts w:hAnsi="宋体"/>
          <w:color w:val="auto"/>
          <w:sz w:val="21"/>
          <w:szCs w:val="21"/>
          <w:highlight w:val="none"/>
        </w:rPr>
      </w:pPr>
      <w:r>
        <w:rPr>
          <w:rFonts w:hint="eastAsia" w:hAnsi="宋体"/>
          <w:color w:val="auto"/>
          <w:sz w:val="21"/>
          <w:szCs w:val="21"/>
          <w:highlight w:val="none"/>
        </w:rPr>
        <w:t>4.2.2 投标人递交投标文件的地点：见投标人须知前附表；</w:t>
      </w:r>
    </w:p>
    <w:p w14:paraId="51FE42B4">
      <w:pPr>
        <w:pStyle w:val="272"/>
        <w:wordWrap w:val="0"/>
        <w:jc w:val="both"/>
        <w:rPr>
          <w:rFonts w:hAnsi="宋体"/>
          <w:color w:val="auto"/>
          <w:sz w:val="21"/>
          <w:szCs w:val="21"/>
          <w:highlight w:val="none"/>
        </w:rPr>
      </w:pPr>
      <w:r>
        <w:rPr>
          <w:rFonts w:hint="eastAsia" w:hAnsi="宋体"/>
          <w:color w:val="auto"/>
          <w:sz w:val="21"/>
          <w:szCs w:val="21"/>
          <w:highlight w:val="none"/>
        </w:rPr>
        <w:t>4.2.3 除招标文件另有规定外，投标人所递交的投标文件不予退还；</w:t>
      </w:r>
    </w:p>
    <w:p w14:paraId="3991B678">
      <w:pPr>
        <w:pStyle w:val="272"/>
        <w:wordWrap w:val="0"/>
        <w:jc w:val="both"/>
        <w:rPr>
          <w:rFonts w:hAnsi="宋体"/>
          <w:color w:val="auto"/>
          <w:sz w:val="21"/>
          <w:szCs w:val="21"/>
          <w:highlight w:val="none"/>
        </w:rPr>
      </w:pPr>
      <w:r>
        <w:rPr>
          <w:rFonts w:hint="eastAsia" w:hAnsi="宋体"/>
          <w:color w:val="auto"/>
          <w:sz w:val="21"/>
          <w:szCs w:val="21"/>
          <w:highlight w:val="none"/>
        </w:rPr>
        <w:t>4.2.4 逾期送达或者未送达指定地点的投标文件，招标人和招标代理机构不予受理。</w:t>
      </w:r>
    </w:p>
    <w:p w14:paraId="0768412C">
      <w:pPr>
        <w:wordWrap w:val="0"/>
        <w:spacing w:line="360" w:lineRule="auto"/>
        <w:rPr>
          <w:rFonts w:ascii="宋体" w:hAnsi="宋体"/>
          <w:b/>
          <w:bCs/>
          <w:color w:val="auto"/>
          <w:szCs w:val="21"/>
          <w:highlight w:val="none"/>
        </w:rPr>
      </w:pPr>
      <w:r>
        <w:rPr>
          <w:rFonts w:hint="eastAsia" w:ascii="宋体" w:hAnsi="宋体"/>
          <w:b/>
          <w:bCs/>
          <w:color w:val="auto"/>
          <w:szCs w:val="21"/>
          <w:highlight w:val="none"/>
        </w:rPr>
        <w:t>4.3投标文件的修改与撤回</w:t>
      </w:r>
    </w:p>
    <w:p w14:paraId="4FF40DFF">
      <w:pPr>
        <w:pStyle w:val="272"/>
        <w:wordWrap w:val="0"/>
        <w:jc w:val="both"/>
        <w:rPr>
          <w:rFonts w:hAnsi="宋体"/>
          <w:color w:val="auto"/>
          <w:sz w:val="21"/>
          <w:szCs w:val="21"/>
          <w:highlight w:val="none"/>
        </w:rPr>
      </w:pPr>
      <w:r>
        <w:rPr>
          <w:rFonts w:hint="eastAsia" w:hAnsi="宋体"/>
          <w:color w:val="auto"/>
          <w:sz w:val="21"/>
          <w:szCs w:val="21"/>
          <w:highlight w:val="none"/>
        </w:rPr>
        <w:t>4.3.1 在投标人须知前附表第4.2.1款规定的投标截止时间前，投标人可以修改或撤回已递交的投标文件，但应以书面形式通知招标人；</w:t>
      </w:r>
    </w:p>
    <w:p w14:paraId="276E7A3D">
      <w:pPr>
        <w:pStyle w:val="272"/>
        <w:wordWrap w:val="0"/>
        <w:jc w:val="both"/>
        <w:rPr>
          <w:rFonts w:hAnsi="宋体"/>
          <w:color w:val="auto"/>
          <w:sz w:val="21"/>
          <w:szCs w:val="21"/>
          <w:highlight w:val="none"/>
        </w:rPr>
      </w:pPr>
      <w:r>
        <w:rPr>
          <w:rFonts w:hint="eastAsia" w:hAnsi="宋体"/>
          <w:color w:val="auto"/>
          <w:sz w:val="21"/>
          <w:szCs w:val="21"/>
          <w:highlight w:val="none"/>
        </w:rPr>
        <w:t>4.3.2 投标人修改或撤回已递交投标文件的书面通知应按照本章第3.7.3款的要求签字或盖章。招标人收到书面通知后，向投标人出具签收凭证；</w:t>
      </w:r>
    </w:p>
    <w:p w14:paraId="622E6EA8">
      <w:pPr>
        <w:pStyle w:val="272"/>
        <w:wordWrap w:val="0"/>
        <w:jc w:val="both"/>
        <w:rPr>
          <w:rFonts w:hAnsi="宋体"/>
          <w:color w:val="auto"/>
          <w:sz w:val="21"/>
          <w:szCs w:val="21"/>
          <w:highlight w:val="none"/>
        </w:rPr>
      </w:pPr>
      <w:r>
        <w:rPr>
          <w:rFonts w:hint="eastAsia" w:hAnsi="宋体"/>
          <w:color w:val="auto"/>
          <w:sz w:val="21"/>
          <w:szCs w:val="21"/>
          <w:highlight w:val="none"/>
        </w:rPr>
        <w:t>4.3.3 修改的内容为投标文件的组成部分。修改的投标文件应按照本章第3款、第4款规定进行编制、密封、标记和递交，并标明“修改”字样。</w:t>
      </w:r>
    </w:p>
    <w:p w14:paraId="25292BF4">
      <w:pPr>
        <w:pStyle w:val="138"/>
        <w:wordWrap w:val="0"/>
        <w:spacing w:before="0" w:line="360" w:lineRule="auto"/>
        <w:ind w:right="339"/>
        <w:jc w:val="left"/>
        <w:outlineLvl w:val="9"/>
        <w:rPr>
          <w:rFonts w:ascii="Calibri" w:cs="宋体"/>
          <w:color w:val="auto"/>
          <w:szCs w:val="28"/>
          <w:highlight w:val="none"/>
        </w:rPr>
      </w:pPr>
      <w:r>
        <w:rPr>
          <w:rFonts w:hint="eastAsia" w:ascii="Calibri" w:cs="宋体"/>
          <w:color w:val="auto"/>
          <w:szCs w:val="28"/>
          <w:highlight w:val="none"/>
        </w:rPr>
        <w:t>5.开标</w:t>
      </w:r>
    </w:p>
    <w:p w14:paraId="5C035A4B">
      <w:pPr>
        <w:wordWrap w:val="0"/>
        <w:spacing w:line="360" w:lineRule="auto"/>
        <w:rPr>
          <w:rFonts w:ascii="宋体" w:hAnsi="宋体"/>
          <w:b/>
          <w:bCs/>
          <w:color w:val="auto"/>
          <w:szCs w:val="21"/>
          <w:highlight w:val="none"/>
        </w:rPr>
      </w:pPr>
      <w:r>
        <w:rPr>
          <w:rFonts w:hint="eastAsia" w:ascii="宋体" w:hAnsi="宋体"/>
          <w:b/>
          <w:bCs/>
          <w:color w:val="auto"/>
          <w:szCs w:val="21"/>
          <w:highlight w:val="none"/>
        </w:rPr>
        <w:t>5.1开标时间和地点</w:t>
      </w:r>
    </w:p>
    <w:p w14:paraId="458EE0B7">
      <w:pPr>
        <w:pStyle w:val="272"/>
        <w:wordWrap w:val="0"/>
        <w:ind w:firstLine="420" w:firstLineChars="200"/>
        <w:jc w:val="both"/>
        <w:rPr>
          <w:rFonts w:hAnsi="宋体"/>
          <w:color w:val="auto"/>
          <w:sz w:val="21"/>
          <w:szCs w:val="21"/>
          <w:highlight w:val="none"/>
        </w:rPr>
      </w:pPr>
      <w:r>
        <w:rPr>
          <w:rFonts w:hint="eastAsia" w:hAnsi="宋体"/>
          <w:color w:val="auto"/>
          <w:sz w:val="21"/>
          <w:szCs w:val="21"/>
          <w:highlight w:val="none"/>
        </w:rPr>
        <w:t>5.</w:t>
      </w:r>
      <w:r>
        <w:rPr>
          <w:rFonts w:hAnsi="宋体"/>
          <w:color w:val="auto"/>
          <w:sz w:val="21"/>
          <w:szCs w:val="21"/>
          <w:highlight w:val="none"/>
        </w:rPr>
        <w:t>1</w:t>
      </w:r>
      <w:r>
        <w:rPr>
          <w:rFonts w:hint="eastAsia" w:hAnsi="宋体"/>
          <w:color w:val="auto"/>
          <w:sz w:val="21"/>
          <w:szCs w:val="21"/>
          <w:highlight w:val="none"/>
        </w:rPr>
        <w:t>.</w:t>
      </w:r>
      <w:r>
        <w:rPr>
          <w:rFonts w:hAnsi="宋体"/>
          <w:color w:val="auto"/>
          <w:sz w:val="21"/>
          <w:szCs w:val="21"/>
          <w:highlight w:val="none"/>
        </w:rPr>
        <w:t>1</w:t>
      </w:r>
      <w:r>
        <w:rPr>
          <w:rFonts w:hint="eastAsia" w:hAnsi="宋体"/>
          <w:color w:val="auto"/>
          <w:sz w:val="21"/>
          <w:szCs w:val="21"/>
          <w:highlight w:val="none"/>
        </w:rPr>
        <w:t>招标人在投标人须知前附表规定的投标截止时间（开标时间）和投标人须知前附表规定的开标地点公开开标，并邀请所有投标人的法定代表人或其授权委托代理人准时参加。召开开标会议时，投标人法定代表人须</w:t>
      </w:r>
      <w:r>
        <w:rPr>
          <w:rFonts w:hint="eastAsia" w:hAnsi="宋体"/>
          <w:b/>
          <w:bCs/>
          <w:color w:val="auto"/>
          <w:sz w:val="21"/>
          <w:szCs w:val="21"/>
          <w:highlight w:val="none"/>
        </w:rPr>
        <w:t>持投标人营业执照副本复印件并加盖投标人公章的原件及法定代表人身份证明原件</w:t>
      </w:r>
      <w:r>
        <w:rPr>
          <w:rFonts w:hint="eastAsia" w:hAnsi="宋体"/>
          <w:color w:val="auto"/>
          <w:sz w:val="21"/>
          <w:szCs w:val="21"/>
          <w:highlight w:val="none"/>
        </w:rPr>
        <w:t>（格式详见第六章投标文件格式“法定代表人身份证明”）、</w:t>
      </w:r>
      <w:r>
        <w:rPr>
          <w:rFonts w:hint="eastAsia" w:hAnsi="宋体"/>
          <w:b/>
          <w:bCs/>
          <w:color w:val="auto"/>
          <w:sz w:val="21"/>
          <w:szCs w:val="21"/>
          <w:highlight w:val="none"/>
        </w:rPr>
        <w:t>本人身份证原件</w:t>
      </w:r>
      <w:r>
        <w:rPr>
          <w:rFonts w:hint="eastAsia" w:hAnsi="宋体"/>
          <w:color w:val="auto"/>
          <w:sz w:val="21"/>
          <w:szCs w:val="21"/>
          <w:highlight w:val="none"/>
        </w:rPr>
        <w:t>准时参加或授权委托代理人</w:t>
      </w:r>
      <w:r>
        <w:rPr>
          <w:rFonts w:hint="eastAsia" w:hAnsi="宋体"/>
          <w:b/>
          <w:bCs/>
          <w:color w:val="auto"/>
          <w:sz w:val="21"/>
          <w:szCs w:val="21"/>
          <w:highlight w:val="none"/>
        </w:rPr>
        <w:t>持投标人营业执照副本复印件并加盖投标人公章的原件及法定代表人身份证明原件</w:t>
      </w:r>
      <w:r>
        <w:rPr>
          <w:rFonts w:hint="eastAsia" w:hAnsi="宋体"/>
          <w:color w:val="auto"/>
          <w:sz w:val="21"/>
          <w:szCs w:val="21"/>
          <w:highlight w:val="none"/>
        </w:rPr>
        <w:t>（格式详见第六章投标文件格式“法定代表人身份证明”）、</w:t>
      </w:r>
      <w:r>
        <w:rPr>
          <w:rFonts w:hint="eastAsia" w:hAnsi="宋体"/>
          <w:b/>
          <w:bCs/>
          <w:color w:val="auto"/>
          <w:sz w:val="21"/>
          <w:szCs w:val="21"/>
          <w:highlight w:val="none"/>
        </w:rPr>
        <w:t>授权委托书原件</w:t>
      </w:r>
      <w:r>
        <w:rPr>
          <w:rFonts w:hint="eastAsia" w:hAnsi="宋体"/>
          <w:color w:val="auto"/>
          <w:sz w:val="21"/>
          <w:szCs w:val="21"/>
          <w:highlight w:val="none"/>
        </w:rPr>
        <w:t>（格式详见第六章投标文件格式“授权委托书”）</w:t>
      </w:r>
      <w:r>
        <w:rPr>
          <w:rFonts w:hint="eastAsia" w:hAnsi="宋体"/>
          <w:color w:val="auto"/>
          <w:sz w:val="21"/>
          <w:szCs w:val="21"/>
          <w:highlight w:val="none"/>
          <w:lang w:eastAsia="zh-CN"/>
        </w:rPr>
        <w:t>、</w:t>
      </w:r>
      <w:r>
        <w:rPr>
          <w:rFonts w:hint="eastAsia" w:hAnsi="宋体"/>
          <w:color w:val="auto"/>
          <w:sz w:val="21"/>
          <w:szCs w:val="21"/>
          <w:highlight w:val="none"/>
        </w:rPr>
        <w:t>授权委托代理人</w:t>
      </w:r>
      <w:r>
        <w:rPr>
          <w:rFonts w:hint="eastAsia" w:hAnsi="宋体"/>
          <w:b/>
          <w:bCs/>
          <w:color w:val="auto"/>
          <w:sz w:val="21"/>
          <w:szCs w:val="21"/>
          <w:highlight w:val="none"/>
        </w:rPr>
        <w:t>身份证原件</w:t>
      </w:r>
      <w:r>
        <w:rPr>
          <w:rFonts w:hint="eastAsia" w:hAnsi="宋体"/>
          <w:color w:val="auto"/>
          <w:sz w:val="21"/>
          <w:szCs w:val="21"/>
          <w:highlight w:val="none"/>
        </w:rPr>
        <w:t>准时参加；不符合要求的，其投标文件将予以拒绝并退还给投标人。</w:t>
      </w:r>
    </w:p>
    <w:p w14:paraId="70B214FC">
      <w:pPr>
        <w:pStyle w:val="272"/>
        <w:wordWrap w:val="0"/>
        <w:jc w:val="both"/>
        <w:rPr>
          <w:rFonts w:hAnsi="宋体"/>
          <w:color w:val="auto"/>
          <w:sz w:val="21"/>
          <w:szCs w:val="21"/>
          <w:highlight w:val="none"/>
        </w:rPr>
      </w:pPr>
      <w:r>
        <w:rPr>
          <w:rFonts w:hAnsi="宋体"/>
          <w:color w:val="auto"/>
          <w:sz w:val="21"/>
          <w:szCs w:val="21"/>
          <w:highlight w:val="none"/>
        </w:rPr>
        <w:t>5.1.2</w:t>
      </w:r>
      <w:r>
        <w:rPr>
          <w:rFonts w:hint="eastAsia" w:hAnsi="宋体"/>
          <w:color w:val="auto"/>
          <w:sz w:val="21"/>
          <w:szCs w:val="21"/>
          <w:highlight w:val="none"/>
        </w:rPr>
        <w:t>投标人对开标有异议的，应当在开标时现场提出，招标人当场作出答复，并制作记录，在规定时限内投标人未提出异议或未确认开标结果的，视同认可所有开标信息。</w:t>
      </w:r>
    </w:p>
    <w:p w14:paraId="5EDFC4DE">
      <w:pPr>
        <w:pStyle w:val="272"/>
        <w:wordWrap w:val="0"/>
        <w:ind w:firstLine="0"/>
        <w:jc w:val="both"/>
        <w:rPr>
          <w:rFonts w:hAnsi="宋体"/>
          <w:b/>
          <w:bCs/>
          <w:color w:val="auto"/>
          <w:sz w:val="21"/>
          <w:szCs w:val="21"/>
          <w:highlight w:val="none"/>
        </w:rPr>
      </w:pPr>
      <w:r>
        <w:rPr>
          <w:rFonts w:hint="eastAsia" w:hAnsi="宋体"/>
          <w:b/>
          <w:bCs/>
          <w:color w:val="auto"/>
          <w:sz w:val="21"/>
          <w:szCs w:val="21"/>
          <w:highlight w:val="none"/>
        </w:rPr>
        <w:t>5.2 投标文件有下列情形之一的，招标人不予受理</w:t>
      </w:r>
    </w:p>
    <w:p w14:paraId="01B423D7">
      <w:pPr>
        <w:pStyle w:val="272"/>
        <w:wordWrap w:val="0"/>
        <w:jc w:val="both"/>
        <w:rPr>
          <w:rFonts w:hAnsi="宋体"/>
          <w:color w:val="auto"/>
          <w:sz w:val="21"/>
          <w:szCs w:val="21"/>
          <w:highlight w:val="none"/>
        </w:rPr>
      </w:pPr>
      <w:r>
        <w:rPr>
          <w:rFonts w:hint="eastAsia" w:hAnsi="宋体"/>
          <w:color w:val="auto"/>
          <w:sz w:val="21"/>
          <w:szCs w:val="21"/>
          <w:highlight w:val="none"/>
        </w:rPr>
        <w:t>5.2.1 逾期送达的或者未送达指定地点的；</w:t>
      </w:r>
    </w:p>
    <w:p w14:paraId="354E9C1E">
      <w:pPr>
        <w:pStyle w:val="272"/>
        <w:wordWrap w:val="0"/>
        <w:jc w:val="both"/>
        <w:rPr>
          <w:rFonts w:hAnsi="宋体"/>
          <w:color w:val="auto"/>
          <w:sz w:val="21"/>
          <w:szCs w:val="21"/>
          <w:highlight w:val="none"/>
        </w:rPr>
      </w:pPr>
      <w:r>
        <w:rPr>
          <w:rFonts w:hint="eastAsia" w:hAnsi="宋体"/>
          <w:color w:val="auto"/>
          <w:sz w:val="21"/>
          <w:szCs w:val="21"/>
          <w:highlight w:val="none"/>
        </w:rPr>
        <w:t>5.2.2 未按招标文件要求密封的；</w:t>
      </w:r>
    </w:p>
    <w:p w14:paraId="03EEDFCA">
      <w:pPr>
        <w:pStyle w:val="272"/>
        <w:wordWrap w:val="0"/>
        <w:jc w:val="both"/>
        <w:rPr>
          <w:rFonts w:hAnsi="宋体"/>
          <w:color w:val="auto"/>
          <w:sz w:val="21"/>
          <w:szCs w:val="21"/>
          <w:highlight w:val="none"/>
        </w:rPr>
      </w:pPr>
      <w:r>
        <w:rPr>
          <w:rFonts w:hint="eastAsia" w:hAnsi="宋体"/>
          <w:color w:val="auto"/>
          <w:sz w:val="21"/>
          <w:szCs w:val="21"/>
          <w:highlight w:val="none"/>
        </w:rPr>
        <w:t>5.2.3 未按投标人须知5.1条要求参加开标会议的。</w:t>
      </w:r>
    </w:p>
    <w:p w14:paraId="2224E103">
      <w:pPr>
        <w:wordWrap w:val="0"/>
        <w:spacing w:line="360" w:lineRule="auto"/>
        <w:rPr>
          <w:rFonts w:ascii="宋体" w:hAnsi="宋体"/>
          <w:b/>
          <w:bCs/>
          <w:color w:val="auto"/>
          <w:szCs w:val="21"/>
          <w:highlight w:val="none"/>
        </w:rPr>
      </w:pPr>
      <w:r>
        <w:rPr>
          <w:rFonts w:hint="eastAsia" w:ascii="宋体" w:hAnsi="宋体"/>
          <w:b/>
          <w:bCs/>
          <w:color w:val="auto"/>
          <w:szCs w:val="21"/>
          <w:highlight w:val="none"/>
        </w:rPr>
        <w:t>5.3开标程序</w:t>
      </w:r>
    </w:p>
    <w:p w14:paraId="6EFD1493">
      <w:pPr>
        <w:pStyle w:val="272"/>
        <w:wordWrap w:val="0"/>
        <w:jc w:val="both"/>
        <w:rPr>
          <w:rFonts w:hAnsi="宋体"/>
          <w:color w:val="auto"/>
          <w:sz w:val="21"/>
          <w:szCs w:val="21"/>
          <w:highlight w:val="none"/>
        </w:rPr>
      </w:pPr>
      <w:r>
        <w:rPr>
          <w:rFonts w:hint="eastAsia" w:hAnsi="宋体"/>
          <w:color w:val="auto"/>
          <w:sz w:val="21"/>
          <w:szCs w:val="21"/>
          <w:highlight w:val="none"/>
        </w:rPr>
        <w:t>5.3.1 招标人按下列程序进行开标：</w:t>
      </w:r>
    </w:p>
    <w:p w14:paraId="7ECB6E3C">
      <w:pPr>
        <w:pStyle w:val="272"/>
        <w:wordWrap w:val="0"/>
        <w:jc w:val="both"/>
        <w:rPr>
          <w:rFonts w:hAnsi="宋体"/>
          <w:color w:val="auto"/>
          <w:sz w:val="21"/>
          <w:szCs w:val="21"/>
          <w:highlight w:val="none"/>
        </w:rPr>
      </w:pPr>
      <w:r>
        <w:rPr>
          <w:rFonts w:hint="eastAsia" w:hAnsi="宋体"/>
          <w:color w:val="auto"/>
          <w:sz w:val="21"/>
          <w:szCs w:val="21"/>
          <w:highlight w:val="none"/>
        </w:rPr>
        <w:t>（1）宣布开标会议开始；</w:t>
      </w:r>
    </w:p>
    <w:p w14:paraId="6F3FA30E">
      <w:pPr>
        <w:pStyle w:val="272"/>
        <w:wordWrap w:val="0"/>
        <w:jc w:val="both"/>
        <w:rPr>
          <w:rFonts w:hAnsi="宋体"/>
          <w:color w:val="auto"/>
          <w:sz w:val="21"/>
          <w:szCs w:val="21"/>
          <w:highlight w:val="none"/>
        </w:rPr>
      </w:pPr>
      <w:r>
        <w:rPr>
          <w:rFonts w:hint="eastAsia" w:hAnsi="宋体"/>
          <w:color w:val="auto"/>
          <w:sz w:val="21"/>
          <w:szCs w:val="21"/>
          <w:highlight w:val="none"/>
        </w:rPr>
        <w:t>（2）公布在投标截止时间前递交投标文件的投标人名称，并点名确认投标人是否派人到场；</w:t>
      </w:r>
    </w:p>
    <w:p w14:paraId="4290F1A7">
      <w:pPr>
        <w:pStyle w:val="272"/>
        <w:wordWrap w:val="0"/>
        <w:jc w:val="both"/>
        <w:rPr>
          <w:rFonts w:hAnsi="宋体"/>
          <w:color w:val="auto"/>
          <w:sz w:val="21"/>
          <w:szCs w:val="21"/>
          <w:highlight w:val="none"/>
        </w:rPr>
      </w:pPr>
      <w:r>
        <w:rPr>
          <w:rFonts w:hint="eastAsia" w:hAnsi="宋体"/>
          <w:color w:val="auto"/>
          <w:sz w:val="21"/>
          <w:szCs w:val="21"/>
          <w:highlight w:val="none"/>
        </w:rPr>
        <w:t>（3）宣布唱标人、记录人、招标人监督人员名单；</w:t>
      </w:r>
    </w:p>
    <w:p w14:paraId="42B518C4">
      <w:pPr>
        <w:pStyle w:val="272"/>
        <w:wordWrap w:val="0"/>
        <w:jc w:val="both"/>
        <w:rPr>
          <w:rFonts w:hAnsi="宋体"/>
          <w:color w:val="auto"/>
          <w:sz w:val="21"/>
          <w:szCs w:val="21"/>
          <w:highlight w:val="none"/>
        </w:rPr>
      </w:pPr>
      <w:r>
        <w:rPr>
          <w:rFonts w:hint="eastAsia" w:hAnsi="宋体"/>
          <w:color w:val="auto"/>
          <w:sz w:val="21"/>
          <w:szCs w:val="21"/>
          <w:highlight w:val="none"/>
        </w:rPr>
        <w:t>（4）核验各投标人代表的合法身份；</w:t>
      </w:r>
    </w:p>
    <w:p w14:paraId="4231B577">
      <w:pPr>
        <w:pStyle w:val="272"/>
        <w:wordWrap w:val="0"/>
        <w:jc w:val="both"/>
        <w:rPr>
          <w:rFonts w:hAnsi="宋体"/>
          <w:color w:val="auto"/>
          <w:sz w:val="21"/>
          <w:szCs w:val="21"/>
          <w:highlight w:val="none"/>
        </w:rPr>
      </w:pPr>
      <w:r>
        <w:rPr>
          <w:rFonts w:hint="eastAsia" w:hAnsi="宋体"/>
          <w:color w:val="auto"/>
          <w:sz w:val="21"/>
          <w:szCs w:val="21"/>
          <w:highlight w:val="none"/>
        </w:rPr>
        <w:t>（5）按照招标文件规定检查投标文件的密封及标识情况；</w:t>
      </w:r>
    </w:p>
    <w:p w14:paraId="7B0EBEE2">
      <w:pPr>
        <w:pStyle w:val="272"/>
        <w:wordWrap w:val="0"/>
        <w:jc w:val="both"/>
        <w:rPr>
          <w:rFonts w:hAnsi="宋体"/>
          <w:color w:val="auto"/>
          <w:sz w:val="21"/>
          <w:szCs w:val="21"/>
          <w:highlight w:val="none"/>
        </w:rPr>
      </w:pPr>
      <w:r>
        <w:rPr>
          <w:rFonts w:hint="eastAsia" w:hAnsi="宋体"/>
          <w:color w:val="auto"/>
          <w:sz w:val="21"/>
          <w:szCs w:val="21"/>
          <w:highlight w:val="none"/>
        </w:rPr>
        <w:t>（6）按照宣布的开标顺序当众开标，公布所有投标人名称、投标文件份数；</w:t>
      </w:r>
    </w:p>
    <w:p w14:paraId="39E3EC7C">
      <w:pPr>
        <w:pStyle w:val="272"/>
        <w:wordWrap w:val="0"/>
        <w:jc w:val="both"/>
        <w:rPr>
          <w:rFonts w:hAnsi="宋体"/>
          <w:color w:val="auto"/>
          <w:sz w:val="21"/>
          <w:szCs w:val="21"/>
          <w:highlight w:val="none"/>
        </w:rPr>
      </w:pPr>
      <w:r>
        <w:rPr>
          <w:rFonts w:hint="eastAsia" w:hAnsi="宋体"/>
          <w:color w:val="auto"/>
          <w:sz w:val="21"/>
          <w:szCs w:val="21"/>
          <w:highlight w:val="none"/>
        </w:rPr>
        <w:t>（7）对符合招标文件要求的投标人唱读其投标保证金递交情况、投标总报价、</w:t>
      </w:r>
      <w:r>
        <w:rPr>
          <w:rFonts w:hint="eastAsia" w:hAnsi="宋体"/>
          <w:color w:val="auto"/>
          <w:sz w:val="21"/>
          <w:szCs w:val="21"/>
          <w:highlight w:val="none"/>
          <w:lang w:val="en-US" w:eastAsia="zh-CN"/>
        </w:rPr>
        <w:t>服务</w:t>
      </w:r>
      <w:r>
        <w:rPr>
          <w:rFonts w:hint="eastAsia" w:hAnsi="宋体"/>
          <w:color w:val="auto"/>
          <w:sz w:val="21"/>
          <w:szCs w:val="21"/>
          <w:highlight w:val="none"/>
        </w:rPr>
        <w:t>期等内容，如符合招标文件要求的投标人不足三家的，不再唱读任何内容并退还所有投标文件；</w:t>
      </w:r>
    </w:p>
    <w:p w14:paraId="00D20113">
      <w:pPr>
        <w:pStyle w:val="272"/>
        <w:wordWrap w:val="0"/>
        <w:jc w:val="both"/>
        <w:rPr>
          <w:rFonts w:hAnsi="宋体"/>
          <w:color w:val="auto"/>
          <w:sz w:val="21"/>
          <w:szCs w:val="21"/>
          <w:highlight w:val="none"/>
        </w:rPr>
      </w:pPr>
      <w:r>
        <w:rPr>
          <w:rFonts w:hint="eastAsia" w:hAnsi="宋体"/>
          <w:color w:val="auto"/>
          <w:sz w:val="21"/>
          <w:szCs w:val="21"/>
          <w:highlight w:val="none"/>
        </w:rPr>
        <w:t>（</w:t>
      </w:r>
      <w:r>
        <w:rPr>
          <w:rFonts w:hAnsi="宋体"/>
          <w:color w:val="auto"/>
          <w:sz w:val="21"/>
          <w:szCs w:val="21"/>
          <w:highlight w:val="none"/>
        </w:rPr>
        <w:t>8</w:t>
      </w:r>
      <w:r>
        <w:rPr>
          <w:rFonts w:hint="eastAsia" w:hAnsi="宋体"/>
          <w:color w:val="auto"/>
          <w:sz w:val="21"/>
          <w:szCs w:val="21"/>
          <w:highlight w:val="none"/>
        </w:rPr>
        <w:t>）投标人法定代表人（或授权委托代理人）、招标人监督人员、唱标人、记录人等有关人员在开标记录上签字确认；</w:t>
      </w:r>
    </w:p>
    <w:p w14:paraId="7048D49E">
      <w:pPr>
        <w:pStyle w:val="272"/>
        <w:wordWrap w:val="0"/>
        <w:jc w:val="both"/>
        <w:rPr>
          <w:rFonts w:hAnsi="宋体"/>
          <w:color w:val="auto"/>
          <w:sz w:val="21"/>
          <w:szCs w:val="21"/>
          <w:highlight w:val="none"/>
        </w:rPr>
      </w:pPr>
      <w:r>
        <w:rPr>
          <w:rFonts w:hint="eastAsia" w:hAnsi="宋体"/>
          <w:color w:val="auto"/>
          <w:sz w:val="21"/>
          <w:szCs w:val="21"/>
          <w:highlight w:val="none"/>
        </w:rPr>
        <w:t>（</w:t>
      </w:r>
      <w:r>
        <w:rPr>
          <w:rFonts w:hAnsi="宋体"/>
          <w:color w:val="auto"/>
          <w:sz w:val="21"/>
          <w:szCs w:val="21"/>
          <w:highlight w:val="none"/>
        </w:rPr>
        <w:t>9</w:t>
      </w:r>
      <w:r>
        <w:rPr>
          <w:rFonts w:hint="eastAsia" w:hAnsi="宋体"/>
          <w:color w:val="auto"/>
          <w:sz w:val="21"/>
          <w:szCs w:val="21"/>
          <w:highlight w:val="none"/>
        </w:rPr>
        <w:t>）开标结束。</w:t>
      </w:r>
    </w:p>
    <w:p w14:paraId="396FEA53">
      <w:pPr>
        <w:pStyle w:val="138"/>
        <w:wordWrap w:val="0"/>
        <w:spacing w:before="0" w:line="360" w:lineRule="auto"/>
        <w:ind w:right="339"/>
        <w:jc w:val="left"/>
        <w:outlineLvl w:val="9"/>
        <w:rPr>
          <w:rFonts w:ascii="Calibri" w:cs="宋体"/>
          <w:color w:val="auto"/>
          <w:szCs w:val="28"/>
          <w:highlight w:val="none"/>
        </w:rPr>
      </w:pPr>
      <w:r>
        <w:rPr>
          <w:rFonts w:hint="eastAsia" w:ascii="Calibri" w:cs="宋体"/>
          <w:color w:val="auto"/>
          <w:szCs w:val="28"/>
          <w:highlight w:val="none"/>
        </w:rPr>
        <w:t>6.评标</w:t>
      </w:r>
    </w:p>
    <w:p w14:paraId="1C2EB445">
      <w:pPr>
        <w:wordWrap w:val="0"/>
        <w:spacing w:line="360" w:lineRule="auto"/>
        <w:rPr>
          <w:rFonts w:ascii="宋体" w:hAnsi="宋体"/>
          <w:b/>
          <w:bCs/>
          <w:color w:val="auto"/>
          <w:szCs w:val="21"/>
          <w:highlight w:val="none"/>
        </w:rPr>
      </w:pPr>
      <w:r>
        <w:rPr>
          <w:rFonts w:hint="eastAsia" w:ascii="宋体" w:hAnsi="宋体"/>
          <w:b/>
          <w:bCs/>
          <w:color w:val="auto"/>
          <w:szCs w:val="21"/>
          <w:highlight w:val="none"/>
        </w:rPr>
        <w:t>6.1 评标委员会</w:t>
      </w:r>
    </w:p>
    <w:p w14:paraId="745691C7">
      <w:pPr>
        <w:pStyle w:val="272"/>
        <w:wordWrap w:val="0"/>
        <w:jc w:val="both"/>
        <w:rPr>
          <w:rFonts w:hAnsi="宋体"/>
          <w:color w:val="auto"/>
          <w:sz w:val="21"/>
          <w:szCs w:val="21"/>
          <w:highlight w:val="none"/>
        </w:rPr>
      </w:pPr>
      <w:r>
        <w:rPr>
          <w:rFonts w:hAnsi="宋体"/>
          <w:color w:val="auto"/>
          <w:sz w:val="21"/>
          <w:szCs w:val="21"/>
          <w:highlight w:val="none"/>
        </w:rPr>
        <w:t>6.1.1 评标由招标人依法组建的评标委员会负责。评标委员会</w:t>
      </w:r>
      <w:r>
        <w:rPr>
          <w:rFonts w:hint="eastAsia" w:hAnsi="宋体"/>
          <w:color w:val="auto"/>
          <w:sz w:val="21"/>
          <w:szCs w:val="21"/>
          <w:highlight w:val="none"/>
        </w:rPr>
        <w:t>按相关规定由</w:t>
      </w:r>
      <w:r>
        <w:rPr>
          <w:rFonts w:hAnsi="宋体"/>
          <w:color w:val="auto"/>
          <w:sz w:val="21"/>
          <w:szCs w:val="21"/>
          <w:highlight w:val="none"/>
        </w:rPr>
        <w:t>5人或以上的单数组成</w:t>
      </w:r>
      <w:r>
        <w:rPr>
          <w:rFonts w:hint="eastAsia" w:hAnsi="宋体"/>
          <w:color w:val="auto"/>
          <w:sz w:val="21"/>
          <w:szCs w:val="21"/>
          <w:highlight w:val="none"/>
        </w:rPr>
        <w:t>，</w:t>
      </w:r>
      <w:r>
        <w:rPr>
          <w:rFonts w:hAnsi="宋体"/>
          <w:color w:val="auto"/>
          <w:sz w:val="21"/>
          <w:szCs w:val="21"/>
          <w:highlight w:val="none"/>
        </w:rPr>
        <w:t>其中包括专家代表及</w:t>
      </w:r>
      <w:r>
        <w:rPr>
          <w:rFonts w:hint="eastAsia" w:hAnsi="宋体"/>
          <w:color w:val="auto"/>
          <w:sz w:val="21"/>
          <w:szCs w:val="21"/>
          <w:highlight w:val="none"/>
        </w:rPr>
        <w:t>招标人代表。</w:t>
      </w:r>
    </w:p>
    <w:p w14:paraId="4DD9F39C">
      <w:pPr>
        <w:pStyle w:val="272"/>
        <w:wordWrap w:val="0"/>
        <w:jc w:val="both"/>
        <w:rPr>
          <w:rFonts w:hAnsi="宋体"/>
          <w:color w:val="auto"/>
          <w:sz w:val="21"/>
          <w:szCs w:val="21"/>
          <w:highlight w:val="none"/>
        </w:rPr>
      </w:pPr>
      <w:r>
        <w:rPr>
          <w:rFonts w:hAnsi="宋体"/>
          <w:color w:val="auto"/>
          <w:sz w:val="21"/>
          <w:szCs w:val="21"/>
          <w:highlight w:val="none"/>
        </w:rPr>
        <w:t>6.1.2 评标委员会成员有下列情形之一的，应当回避：</w:t>
      </w:r>
    </w:p>
    <w:p w14:paraId="6896307B">
      <w:pPr>
        <w:pStyle w:val="272"/>
        <w:wordWrap w:val="0"/>
        <w:jc w:val="both"/>
        <w:rPr>
          <w:rFonts w:hAnsi="宋体"/>
          <w:color w:val="auto"/>
          <w:sz w:val="21"/>
          <w:szCs w:val="21"/>
          <w:highlight w:val="none"/>
        </w:rPr>
      </w:pPr>
      <w:r>
        <w:rPr>
          <w:rFonts w:hAnsi="宋体"/>
          <w:color w:val="auto"/>
          <w:sz w:val="21"/>
          <w:szCs w:val="21"/>
          <w:highlight w:val="none"/>
        </w:rPr>
        <w:t>（1）</w:t>
      </w:r>
      <w:r>
        <w:rPr>
          <w:rFonts w:hint="eastAsia" w:hAnsi="宋体"/>
          <w:color w:val="auto"/>
          <w:sz w:val="21"/>
          <w:szCs w:val="21"/>
          <w:highlight w:val="none"/>
        </w:rPr>
        <w:t>为</w:t>
      </w:r>
      <w:r>
        <w:rPr>
          <w:rFonts w:hAnsi="宋体"/>
          <w:color w:val="auto"/>
          <w:sz w:val="21"/>
          <w:szCs w:val="21"/>
          <w:highlight w:val="none"/>
        </w:rPr>
        <w:t>投标人主要负责人近亲属的；</w:t>
      </w:r>
    </w:p>
    <w:p w14:paraId="48695BB6">
      <w:pPr>
        <w:pStyle w:val="272"/>
        <w:wordWrap w:val="0"/>
        <w:jc w:val="both"/>
        <w:rPr>
          <w:rFonts w:hAnsi="宋体"/>
          <w:color w:val="auto"/>
          <w:sz w:val="21"/>
          <w:szCs w:val="21"/>
          <w:highlight w:val="none"/>
        </w:rPr>
      </w:pPr>
      <w:r>
        <w:rPr>
          <w:rFonts w:hAnsi="宋体"/>
          <w:color w:val="auto"/>
          <w:sz w:val="21"/>
          <w:szCs w:val="21"/>
          <w:highlight w:val="none"/>
        </w:rPr>
        <w:t>（2）与投标人有经济利益关系，可能影响对投标公正评审的；</w:t>
      </w:r>
    </w:p>
    <w:p w14:paraId="44140860">
      <w:pPr>
        <w:pStyle w:val="272"/>
        <w:wordWrap w:val="0"/>
        <w:jc w:val="both"/>
        <w:rPr>
          <w:rFonts w:hAnsi="宋体"/>
          <w:color w:val="auto"/>
          <w:sz w:val="21"/>
          <w:szCs w:val="21"/>
          <w:highlight w:val="none"/>
        </w:rPr>
      </w:pPr>
      <w:r>
        <w:rPr>
          <w:rFonts w:hAnsi="宋体"/>
          <w:color w:val="auto"/>
          <w:sz w:val="21"/>
          <w:szCs w:val="21"/>
          <w:highlight w:val="none"/>
        </w:rPr>
        <w:t>（3）曾因在招标、评标以及其他与招标投标有关活动中从事违法行为而受过行政处罚或刑事处罚的；</w:t>
      </w:r>
    </w:p>
    <w:p w14:paraId="63DE81AC">
      <w:pPr>
        <w:pStyle w:val="272"/>
        <w:wordWrap w:val="0"/>
        <w:jc w:val="both"/>
        <w:rPr>
          <w:rFonts w:hAnsi="宋体"/>
          <w:color w:val="auto"/>
          <w:sz w:val="21"/>
          <w:szCs w:val="21"/>
          <w:highlight w:val="none"/>
        </w:rPr>
      </w:pPr>
      <w:r>
        <w:rPr>
          <w:rFonts w:hAnsi="宋体"/>
          <w:color w:val="auto"/>
          <w:sz w:val="21"/>
          <w:szCs w:val="21"/>
          <w:highlight w:val="none"/>
        </w:rPr>
        <w:t>（</w:t>
      </w:r>
      <w:r>
        <w:rPr>
          <w:rFonts w:hint="eastAsia" w:hAnsi="宋体"/>
          <w:color w:val="auto"/>
          <w:sz w:val="21"/>
          <w:szCs w:val="21"/>
          <w:highlight w:val="none"/>
        </w:rPr>
        <w:t>4</w:t>
      </w:r>
      <w:r>
        <w:rPr>
          <w:rFonts w:hAnsi="宋体"/>
          <w:color w:val="auto"/>
          <w:sz w:val="21"/>
          <w:szCs w:val="21"/>
          <w:highlight w:val="none"/>
        </w:rPr>
        <w:t>）与投标人有其他利害关系。</w:t>
      </w:r>
    </w:p>
    <w:p w14:paraId="00EABC66">
      <w:pPr>
        <w:pStyle w:val="272"/>
        <w:wordWrap w:val="0"/>
        <w:jc w:val="both"/>
        <w:rPr>
          <w:rFonts w:hAnsi="宋体"/>
          <w:color w:val="auto"/>
          <w:sz w:val="21"/>
          <w:szCs w:val="21"/>
          <w:highlight w:val="none"/>
        </w:rPr>
      </w:pPr>
      <w:r>
        <w:rPr>
          <w:rFonts w:hAnsi="宋体"/>
          <w:color w:val="auto"/>
          <w:sz w:val="21"/>
          <w:szCs w:val="21"/>
          <w:highlight w:val="none"/>
        </w:rPr>
        <w:t>6.1.3 评标过程中，评标委员会成员有回避事由、擅离职守或者因健康等原因不能继续评标的，招标人有权更换。被更换的评标委员会成员作出的评审结论无效，由更换后的评标委员会成员重新进行评审。</w:t>
      </w:r>
    </w:p>
    <w:p w14:paraId="3DEBA85B">
      <w:pPr>
        <w:wordWrap w:val="0"/>
        <w:spacing w:line="360" w:lineRule="auto"/>
        <w:rPr>
          <w:rFonts w:ascii="宋体" w:hAnsi="宋体"/>
          <w:b/>
          <w:bCs/>
          <w:color w:val="auto"/>
          <w:szCs w:val="21"/>
          <w:highlight w:val="none"/>
        </w:rPr>
      </w:pPr>
      <w:r>
        <w:rPr>
          <w:rFonts w:hint="eastAsia" w:ascii="宋体" w:hAnsi="宋体"/>
          <w:b/>
          <w:bCs/>
          <w:color w:val="auto"/>
          <w:szCs w:val="21"/>
          <w:highlight w:val="none"/>
        </w:rPr>
        <w:t>6.2 评标原则</w:t>
      </w:r>
    </w:p>
    <w:p w14:paraId="315D34F1">
      <w:pPr>
        <w:pStyle w:val="272"/>
        <w:wordWrap w:val="0"/>
        <w:jc w:val="both"/>
        <w:rPr>
          <w:rFonts w:hAnsi="宋体"/>
          <w:color w:val="auto"/>
          <w:sz w:val="21"/>
          <w:szCs w:val="21"/>
          <w:highlight w:val="none"/>
        </w:rPr>
      </w:pPr>
      <w:r>
        <w:rPr>
          <w:rFonts w:hAnsi="宋体"/>
          <w:color w:val="auto"/>
          <w:sz w:val="21"/>
          <w:szCs w:val="21"/>
          <w:highlight w:val="none"/>
        </w:rPr>
        <w:t>评标活动遵循公平、公正、</w:t>
      </w:r>
      <w:r>
        <w:rPr>
          <w:rFonts w:hint="eastAsia" w:hAnsi="宋体"/>
          <w:color w:val="auto"/>
          <w:sz w:val="21"/>
          <w:szCs w:val="21"/>
          <w:highlight w:val="none"/>
        </w:rPr>
        <w:t>科学和择优</w:t>
      </w:r>
      <w:r>
        <w:rPr>
          <w:rFonts w:hAnsi="宋体"/>
          <w:color w:val="auto"/>
          <w:sz w:val="21"/>
          <w:szCs w:val="21"/>
          <w:highlight w:val="none"/>
        </w:rPr>
        <w:t>的原则。</w:t>
      </w:r>
    </w:p>
    <w:p w14:paraId="3C9452EC">
      <w:pPr>
        <w:wordWrap w:val="0"/>
        <w:spacing w:line="360" w:lineRule="auto"/>
        <w:rPr>
          <w:rFonts w:ascii="宋体" w:hAnsi="宋体"/>
          <w:b/>
          <w:bCs/>
          <w:color w:val="auto"/>
          <w:szCs w:val="21"/>
          <w:highlight w:val="none"/>
        </w:rPr>
      </w:pPr>
      <w:r>
        <w:rPr>
          <w:rFonts w:hint="eastAsia" w:ascii="宋体" w:hAnsi="宋体"/>
          <w:b/>
          <w:bCs/>
          <w:color w:val="auto"/>
          <w:szCs w:val="21"/>
          <w:highlight w:val="none"/>
        </w:rPr>
        <w:t>6.3 评标</w:t>
      </w:r>
    </w:p>
    <w:p w14:paraId="7B1D6296">
      <w:pPr>
        <w:pStyle w:val="272"/>
        <w:wordWrap w:val="0"/>
        <w:jc w:val="both"/>
        <w:rPr>
          <w:rFonts w:hAnsi="宋体"/>
          <w:color w:val="auto"/>
          <w:sz w:val="21"/>
          <w:szCs w:val="21"/>
          <w:highlight w:val="none"/>
        </w:rPr>
      </w:pPr>
      <w:r>
        <w:rPr>
          <w:rFonts w:hAnsi="宋体"/>
          <w:color w:val="auto"/>
          <w:sz w:val="21"/>
          <w:szCs w:val="21"/>
          <w:highlight w:val="none"/>
        </w:rPr>
        <w:t>6.3.1评标委员会按照第三章“评标办法”规定的方法、评审因素、标准和程序对投标文件进行评审。第三章“评标办法”没有规定的方法、评审因素和标准，不作为评标依据。</w:t>
      </w:r>
    </w:p>
    <w:p w14:paraId="2F28367D">
      <w:pPr>
        <w:pStyle w:val="272"/>
        <w:wordWrap w:val="0"/>
        <w:jc w:val="both"/>
        <w:rPr>
          <w:rFonts w:hAnsi="宋体"/>
          <w:color w:val="auto"/>
          <w:sz w:val="21"/>
          <w:szCs w:val="21"/>
          <w:highlight w:val="none"/>
        </w:rPr>
      </w:pPr>
      <w:r>
        <w:rPr>
          <w:rFonts w:hAnsi="宋体"/>
          <w:color w:val="auto"/>
          <w:sz w:val="21"/>
          <w:szCs w:val="21"/>
          <w:highlight w:val="none"/>
        </w:rPr>
        <w:t>6.3.2</w:t>
      </w:r>
      <w:r>
        <w:rPr>
          <w:rFonts w:hint="eastAsia" w:hAnsi="宋体"/>
          <w:color w:val="auto"/>
          <w:sz w:val="21"/>
          <w:szCs w:val="21"/>
          <w:highlight w:val="none"/>
        </w:rPr>
        <w:t xml:space="preserve"> </w:t>
      </w:r>
      <w:r>
        <w:rPr>
          <w:rFonts w:hAnsi="宋体"/>
          <w:color w:val="auto"/>
          <w:sz w:val="21"/>
          <w:szCs w:val="21"/>
          <w:highlight w:val="none"/>
        </w:rPr>
        <w:t>评标完成后，评标委员会应当向招标人提交书面评标报告和中标候选人名单。评标委员会推荐中标候选人的人数见投标人须知前附表。</w:t>
      </w:r>
    </w:p>
    <w:p w14:paraId="354BB4B4">
      <w:pPr>
        <w:pStyle w:val="138"/>
        <w:wordWrap w:val="0"/>
        <w:spacing w:before="0" w:line="360" w:lineRule="auto"/>
        <w:ind w:right="339"/>
        <w:jc w:val="left"/>
        <w:outlineLvl w:val="9"/>
        <w:rPr>
          <w:rFonts w:ascii="Calibri" w:cs="宋体"/>
          <w:color w:val="auto"/>
          <w:szCs w:val="28"/>
          <w:highlight w:val="none"/>
        </w:rPr>
      </w:pPr>
      <w:r>
        <w:rPr>
          <w:rFonts w:hint="eastAsia" w:ascii="Calibri" w:cs="宋体"/>
          <w:color w:val="auto"/>
          <w:szCs w:val="28"/>
          <w:highlight w:val="none"/>
        </w:rPr>
        <w:t>7.合同授予</w:t>
      </w:r>
    </w:p>
    <w:p w14:paraId="781206B1">
      <w:pPr>
        <w:wordWrap w:val="0"/>
        <w:spacing w:line="360" w:lineRule="auto"/>
        <w:rPr>
          <w:rFonts w:ascii="宋体" w:hAnsi="宋体"/>
          <w:b/>
          <w:bCs/>
          <w:color w:val="auto"/>
          <w:szCs w:val="21"/>
          <w:highlight w:val="none"/>
        </w:rPr>
      </w:pPr>
      <w:r>
        <w:rPr>
          <w:rFonts w:hint="eastAsia" w:ascii="宋体" w:hAnsi="宋体"/>
          <w:b/>
          <w:bCs/>
          <w:color w:val="auto"/>
          <w:szCs w:val="21"/>
          <w:highlight w:val="none"/>
        </w:rPr>
        <w:t>7.1 结果公告</w:t>
      </w:r>
    </w:p>
    <w:p w14:paraId="268A5907">
      <w:pPr>
        <w:pStyle w:val="272"/>
        <w:wordWrap w:val="0"/>
        <w:jc w:val="both"/>
        <w:rPr>
          <w:rFonts w:hAnsi="宋体"/>
          <w:color w:val="auto"/>
          <w:sz w:val="21"/>
          <w:szCs w:val="21"/>
          <w:highlight w:val="none"/>
        </w:rPr>
      </w:pPr>
      <w:r>
        <w:rPr>
          <w:rFonts w:hAnsi="宋体"/>
          <w:color w:val="auto"/>
          <w:sz w:val="21"/>
          <w:szCs w:val="21"/>
          <w:highlight w:val="none"/>
        </w:rPr>
        <w:t>招标人在收到评标报告之日起3日内，按照投标人须知前附表规定的公</w:t>
      </w:r>
      <w:r>
        <w:rPr>
          <w:rFonts w:hint="eastAsia" w:hAnsi="宋体"/>
          <w:color w:val="auto"/>
          <w:sz w:val="21"/>
          <w:szCs w:val="21"/>
          <w:highlight w:val="none"/>
        </w:rPr>
        <w:t>告</w:t>
      </w:r>
      <w:r>
        <w:rPr>
          <w:rFonts w:hAnsi="宋体"/>
          <w:color w:val="auto"/>
          <w:sz w:val="21"/>
          <w:szCs w:val="21"/>
          <w:highlight w:val="none"/>
        </w:rPr>
        <w:t>媒介和期限</w:t>
      </w:r>
      <w:r>
        <w:rPr>
          <w:rFonts w:hint="eastAsia" w:hAnsi="宋体"/>
          <w:color w:val="auto"/>
          <w:sz w:val="21"/>
          <w:szCs w:val="21"/>
          <w:highlight w:val="none"/>
        </w:rPr>
        <w:t>发布结果公告；公告内容为中标候选人的报价、综合得分及招标人认为的其他事项。</w:t>
      </w:r>
    </w:p>
    <w:p w14:paraId="238B76B7">
      <w:pPr>
        <w:wordWrap w:val="0"/>
        <w:spacing w:line="360" w:lineRule="auto"/>
        <w:rPr>
          <w:rFonts w:ascii="宋体" w:hAnsi="宋体"/>
          <w:b/>
          <w:bCs/>
          <w:color w:val="auto"/>
          <w:szCs w:val="21"/>
          <w:highlight w:val="none"/>
        </w:rPr>
      </w:pPr>
      <w:r>
        <w:rPr>
          <w:rFonts w:hint="eastAsia" w:ascii="宋体" w:hAnsi="宋体"/>
          <w:b/>
          <w:bCs/>
          <w:color w:val="auto"/>
          <w:szCs w:val="21"/>
          <w:highlight w:val="none"/>
        </w:rPr>
        <w:t>7.2 评标结果异议</w:t>
      </w:r>
    </w:p>
    <w:p w14:paraId="462D6A5B">
      <w:pPr>
        <w:pStyle w:val="272"/>
        <w:wordWrap w:val="0"/>
        <w:jc w:val="both"/>
        <w:rPr>
          <w:rFonts w:hAnsi="宋体"/>
          <w:color w:val="auto"/>
          <w:szCs w:val="21"/>
          <w:highlight w:val="none"/>
        </w:rPr>
      </w:pPr>
      <w:r>
        <w:rPr>
          <w:rFonts w:hint="eastAsia" w:hAnsi="宋体"/>
          <w:color w:val="auto"/>
          <w:sz w:val="21"/>
          <w:szCs w:val="21"/>
          <w:highlight w:val="none"/>
        </w:rPr>
        <w:t>投标人或者其他利害关系人对评标结果有异议的，应当在结果公告规定的期限内提出；除评标结果异议外，其他投诉及异议一概不予受理。</w:t>
      </w:r>
    </w:p>
    <w:p w14:paraId="5DCD1FE5">
      <w:pPr>
        <w:wordWrap w:val="0"/>
        <w:spacing w:line="360" w:lineRule="auto"/>
        <w:rPr>
          <w:rFonts w:ascii="宋体" w:hAnsi="宋体"/>
          <w:b/>
          <w:bCs/>
          <w:color w:val="auto"/>
          <w:szCs w:val="21"/>
          <w:highlight w:val="none"/>
        </w:rPr>
      </w:pPr>
      <w:r>
        <w:rPr>
          <w:rFonts w:hint="eastAsia" w:ascii="宋体" w:hAnsi="宋体"/>
          <w:b/>
          <w:bCs/>
          <w:color w:val="auto"/>
          <w:szCs w:val="21"/>
          <w:highlight w:val="none"/>
        </w:rPr>
        <w:t>7.3 定标</w:t>
      </w:r>
    </w:p>
    <w:p w14:paraId="4E412C09">
      <w:pPr>
        <w:pStyle w:val="272"/>
        <w:wordWrap w:val="0"/>
        <w:jc w:val="both"/>
        <w:rPr>
          <w:rFonts w:hAnsi="宋体"/>
          <w:color w:val="auto"/>
          <w:sz w:val="21"/>
          <w:szCs w:val="21"/>
          <w:highlight w:val="none"/>
        </w:rPr>
      </w:pPr>
      <w:r>
        <w:rPr>
          <w:rFonts w:hint="eastAsia" w:hAnsi="宋体"/>
          <w:color w:val="auto"/>
          <w:sz w:val="21"/>
          <w:szCs w:val="21"/>
          <w:highlight w:val="none"/>
        </w:rPr>
        <w:t xml:space="preserve">7.3.1 经公告中标候选人在整个招投标过程无违法、违纪行为后，招标人原则上应在评标报告确定的中标候选人名单中按顺序确定中标人。 </w:t>
      </w:r>
    </w:p>
    <w:p w14:paraId="7D9480AF">
      <w:pPr>
        <w:pStyle w:val="272"/>
        <w:wordWrap w:val="0"/>
        <w:jc w:val="both"/>
        <w:rPr>
          <w:rFonts w:hAnsi="宋体"/>
          <w:color w:val="auto"/>
          <w:sz w:val="21"/>
          <w:szCs w:val="21"/>
          <w:highlight w:val="none"/>
        </w:rPr>
      </w:pPr>
      <w:r>
        <w:rPr>
          <w:rFonts w:hint="eastAsia" w:hAnsi="宋体"/>
          <w:color w:val="auto"/>
          <w:sz w:val="21"/>
          <w:szCs w:val="21"/>
          <w:highlight w:val="none"/>
        </w:rPr>
        <w:t>7.3.2 中标候选人放弃中标、因不可抗力不能履行合同，被查实存在影响中标结果的违法行为等情形，不符合中标条件的，招标人可以依次确定排序靠后的中标候选人为中标人或重新招标。</w:t>
      </w:r>
    </w:p>
    <w:p w14:paraId="4C863457">
      <w:pPr>
        <w:wordWrap w:val="0"/>
        <w:spacing w:line="360" w:lineRule="auto"/>
        <w:rPr>
          <w:rFonts w:ascii="宋体" w:hAnsi="宋体"/>
          <w:b/>
          <w:bCs/>
          <w:color w:val="auto"/>
          <w:szCs w:val="21"/>
          <w:highlight w:val="none"/>
        </w:rPr>
      </w:pPr>
      <w:r>
        <w:rPr>
          <w:rFonts w:hint="eastAsia" w:ascii="宋体" w:hAnsi="宋体"/>
          <w:b/>
          <w:bCs/>
          <w:color w:val="auto"/>
          <w:szCs w:val="21"/>
          <w:highlight w:val="none"/>
        </w:rPr>
        <w:t>7.4 中标通知</w:t>
      </w:r>
    </w:p>
    <w:p w14:paraId="2BD998B7">
      <w:pPr>
        <w:pStyle w:val="272"/>
        <w:wordWrap w:val="0"/>
        <w:jc w:val="both"/>
        <w:rPr>
          <w:rFonts w:hAnsi="宋体"/>
          <w:color w:val="auto"/>
          <w:sz w:val="21"/>
          <w:szCs w:val="21"/>
          <w:highlight w:val="none"/>
        </w:rPr>
      </w:pPr>
      <w:r>
        <w:rPr>
          <w:rFonts w:hAnsi="宋体"/>
          <w:color w:val="auto"/>
          <w:sz w:val="21"/>
          <w:szCs w:val="21"/>
          <w:highlight w:val="none"/>
        </w:rPr>
        <w:t>在本章第 3.3 款规定的投标有效期内，招标</w:t>
      </w:r>
      <w:r>
        <w:rPr>
          <w:rFonts w:hint="eastAsia" w:hAnsi="宋体"/>
          <w:color w:val="auto"/>
          <w:sz w:val="21"/>
          <w:szCs w:val="21"/>
          <w:highlight w:val="none"/>
        </w:rPr>
        <w:t>代理机构</w:t>
      </w:r>
      <w:r>
        <w:rPr>
          <w:rFonts w:hAnsi="宋体"/>
          <w:color w:val="auto"/>
          <w:sz w:val="21"/>
          <w:szCs w:val="21"/>
          <w:highlight w:val="none"/>
        </w:rPr>
        <w:t>向中标人发出中标通知书</w:t>
      </w:r>
      <w:r>
        <w:rPr>
          <w:rFonts w:hint="eastAsia" w:hAnsi="宋体"/>
          <w:color w:val="auto"/>
          <w:sz w:val="21"/>
          <w:szCs w:val="21"/>
          <w:highlight w:val="none"/>
        </w:rPr>
        <w:t>。</w:t>
      </w:r>
    </w:p>
    <w:p w14:paraId="0A85E7B7">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ascii="宋体" w:hAnsi="宋体"/>
          <w:b/>
          <w:bCs/>
          <w:color w:val="auto"/>
          <w:szCs w:val="21"/>
          <w:highlight w:val="none"/>
        </w:rPr>
      </w:pPr>
      <w:r>
        <w:rPr>
          <w:rFonts w:hint="eastAsia" w:ascii="宋体" w:hAnsi="宋体"/>
          <w:b/>
          <w:bCs/>
          <w:color w:val="auto"/>
          <w:szCs w:val="21"/>
          <w:highlight w:val="none"/>
        </w:rPr>
        <w:t>7.5 履约保证金</w:t>
      </w:r>
    </w:p>
    <w:p w14:paraId="3977E57B">
      <w:pPr>
        <w:pStyle w:val="272"/>
        <w:wordWrap w:val="0"/>
        <w:jc w:val="both"/>
        <w:rPr>
          <w:rFonts w:hAnsi="宋体"/>
          <w:color w:val="auto"/>
          <w:sz w:val="21"/>
          <w:szCs w:val="21"/>
          <w:highlight w:val="none"/>
        </w:rPr>
      </w:pPr>
      <w:r>
        <w:rPr>
          <w:rFonts w:hAnsi="宋体"/>
          <w:color w:val="auto"/>
          <w:sz w:val="21"/>
          <w:szCs w:val="21"/>
          <w:highlight w:val="none"/>
        </w:rPr>
        <w:t>7.</w:t>
      </w:r>
      <w:r>
        <w:rPr>
          <w:rFonts w:hint="eastAsia" w:hAnsi="宋体"/>
          <w:color w:val="auto"/>
          <w:sz w:val="21"/>
          <w:szCs w:val="21"/>
          <w:highlight w:val="none"/>
        </w:rPr>
        <w:t>5</w:t>
      </w:r>
      <w:r>
        <w:rPr>
          <w:rFonts w:hAnsi="宋体"/>
          <w:color w:val="auto"/>
          <w:sz w:val="21"/>
          <w:szCs w:val="21"/>
          <w:highlight w:val="none"/>
        </w:rPr>
        <w:t>.1</w:t>
      </w:r>
      <w:r>
        <w:rPr>
          <w:rFonts w:hint="eastAsia" w:hAnsi="宋体"/>
          <w:color w:val="auto"/>
          <w:sz w:val="21"/>
          <w:szCs w:val="21"/>
          <w:highlight w:val="none"/>
        </w:rPr>
        <w:t xml:space="preserve"> </w:t>
      </w:r>
      <w:r>
        <w:rPr>
          <w:rFonts w:hAnsi="宋体"/>
          <w:color w:val="auto"/>
          <w:sz w:val="21"/>
          <w:szCs w:val="21"/>
          <w:highlight w:val="none"/>
        </w:rPr>
        <w:t>中标人应按投标人须知前附表规定的形式、金额和招标文件第四章“合同条款及格式”规定的或者事先经过招标人书面认可的履约保证金格式向招标人提交履约保证金。除投标人须知前附表另有规定外，履约保证金为中标合同金额的</w:t>
      </w:r>
      <w:r>
        <w:rPr>
          <w:rFonts w:hint="eastAsia" w:hAnsi="宋体"/>
          <w:color w:val="auto"/>
          <w:sz w:val="21"/>
          <w:szCs w:val="21"/>
          <w:highlight w:val="none"/>
          <w:lang w:val="en-US" w:eastAsia="zh-CN"/>
        </w:rPr>
        <w:t>10</w:t>
      </w:r>
      <w:r>
        <w:rPr>
          <w:rFonts w:hAnsi="宋体"/>
          <w:color w:val="auto"/>
          <w:sz w:val="21"/>
          <w:szCs w:val="21"/>
          <w:highlight w:val="none"/>
        </w:rPr>
        <w:t>%</w:t>
      </w:r>
      <w:r>
        <w:rPr>
          <w:rFonts w:hint="eastAsia" w:hAnsi="宋体"/>
          <w:color w:val="auto"/>
          <w:sz w:val="21"/>
          <w:szCs w:val="21"/>
          <w:highlight w:val="none"/>
        </w:rPr>
        <w:t>，</w:t>
      </w:r>
      <w:r>
        <w:rPr>
          <w:rFonts w:hAnsi="宋体"/>
          <w:color w:val="auto"/>
          <w:sz w:val="21"/>
          <w:szCs w:val="21"/>
          <w:highlight w:val="none"/>
        </w:rPr>
        <w:t>具体以合同约定为准。联合体中标的，其履约保证金以联合体各方或者联合体中牵头人的名义提交。</w:t>
      </w:r>
    </w:p>
    <w:p w14:paraId="477C8D0F">
      <w:pPr>
        <w:pStyle w:val="272"/>
        <w:wordWrap w:val="0"/>
        <w:jc w:val="both"/>
        <w:rPr>
          <w:rFonts w:hAnsi="宋体"/>
          <w:color w:val="auto"/>
          <w:sz w:val="21"/>
          <w:szCs w:val="21"/>
          <w:highlight w:val="none"/>
        </w:rPr>
      </w:pPr>
      <w:r>
        <w:rPr>
          <w:rFonts w:hAnsi="宋体"/>
          <w:color w:val="auto"/>
          <w:sz w:val="21"/>
          <w:szCs w:val="21"/>
          <w:highlight w:val="none"/>
        </w:rPr>
        <w:t>7.</w:t>
      </w:r>
      <w:r>
        <w:rPr>
          <w:rFonts w:hint="eastAsia" w:hAnsi="宋体"/>
          <w:color w:val="auto"/>
          <w:sz w:val="21"/>
          <w:szCs w:val="21"/>
          <w:highlight w:val="none"/>
        </w:rPr>
        <w:t>5</w:t>
      </w:r>
      <w:r>
        <w:rPr>
          <w:rFonts w:hAnsi="宋体"/>
          <w:color w:val="auto"/>
          <w:sz w:val="21"/>
          <w:szCs w:val="21"/>
          <w:highlight w:val="none"/>
        </w:rPr>
        <w:t>.2</w:t>
      </w:r>
      <w:r>
        <w:rPr>
          <w:rFonts w:hint="eastAsia" w:hAnsi="宋体"/>
          <w:color w:val="auto"/>
          <w:sz w:val="21"/>
          <w:szCs w:val="21"/>
          <w:highlight w:val="none"/>
        </w:rPr>
        <w:t xml:space="preserve"> </w:t>
      </w:r>
      <w:r>
        <w:rPr>
          <w:rFonts w:hAnsi="宋体"/>
          <w:color w:val="auto"/>
          <w:sz w:val="21"/>
          <w:szCs w:val="21"/>
          <w:highlight w:val="none"/>
        </w:rPr>
        <w:t>中标人不能按本章第7.</w:t>
      </w:r>
      <w:r>
        <w:rPr>
          <w:rFonts w:hint="eastAsia" w:hAnsi="宋体"/>
          <w:color w:val="auto"/>
          <w:sz w:val="21"/>
          <w:szCs w:val="21"/>
          <w:highlight w:val="none"/>
        </w:rPr>
        <w:t>5</w:t>
      </w:r>
      <w:r>
        <w:rPr>
          <w:rFonts w:hAnsi="宋体"/>
          <w:color w:val="auto"/>
          <w:sz w:val="21"/>
          <w:szCs w:val="21"/>
          <w:highlight w:val="none"/>
        </w:rPr>
        <w:t>.1项要求提交履约保证金的，视为放弃中标，其投标保证金不予退还，给招标人造成的损失超过投标保证金数额的，中标人还应当对超过部分予以赔偿。</w:t>
      </w:r>
    </w:p>
    <w:p w14:paraId="23AB7D1E">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ascii="宋体" w:hAnsi="宋体"/>
          <w:b/>
          <w:bCs/>
          <w:color w:val="auto"/>
          <w:szCs w:val="21"/>
          <w:highlight w:val="none"/>
        </w:rPr>
      </w:pPr>
      <w:r>
        <w:rPr>
          <w:rFonts w:hint="eastAsia" w:ascii="宋体" w:hAnsi="宋体"/>
          <w:b/>
          <w:bCs/>
          <w:color w:val="auto"/>
          <w:szCs w:val="21"/>
          <w:highlight w:val="none"/>
        </w:rPr>
        <w:t>7.6 签订合同</w:t>
      </w:r>
    </w:p>
    <w:p w14:paraId="6C6917D0">
      <w:pPr>
        <w:pStyle w:val="272"/>
        <w:wordWrap w:val="0"/>
        <w:jc w:val="both"/>
        <w:rPr>
          <w:rFonts w:hAnsi="宋体"/>
          <w:color w:val="auto"/>
          <w:sz w:val="21"/>
          <w:szCs w:val="21"/>
          <w:highlight w:val="none"/>
        </w:rPr>
      </w:pPr>
      <w:r>
        <w:rPr>
          <w:rFonts w:hAnsi="宋体"/>
          <w:color w:val="auto"/>
          <w:sz w:val="21"/>
          <w:szCs w:val="21"/>
          <w:highlight w:val="none"/>
        </w:rPr>
        <w:t>7.</w:t>
      </w:r>
      <w:r>
        <w:rPr>
          <w:rFonts w:hint="eastAsia" w:hAnsi="宋体"/>
          <w:color w:val="auto"/>
          <w:sz w:val="21"/>
          <w:szCs w:val="21"/>
          <w:highlight w:val="none"/>
        </w:rPr>
        <w:t>6</w:t>
      </w:r>
      <w:r>
        <w:rPr>
          <w:rFonts w:hAnsi="宋体"/>
          <w:color w:val="auto"/>
          <w:sz w:val="21"/>
          <w:szCs w:val="21"/>
          <w:highlight w:val="none"/>
        </w:rPr>
        <w:t>.1 招标人</w:t>
      </w:r>
      <w:r>
        <w:rPr>
          <w:rFonts w:hint="eastAsia" w:hAnsi="宋体"/>
          <w:color w:val="auto"/>
          <w:sz w:val="21"/>
          <w:szCs w:val="21"/>
          <w:highlight w:val="none"/>
        </w:rPr>
        <w:t>和</w:t>
      </w:r>
      <w:r>
        <w:rPr>
          <w:rFonts w:hAnsi="宋体"/>
          <w:color w:val="auto"/>
          <w:sz w:val="21"/>
          <w:szCs w:val="21"/>
          <w:highlight w:val="none"/>
        </w:rPr>
        <w:t>中标人应当在中标通知书发出之日起30日内，根据招标文件和中标人的投标文件订立书面合同。中标人无正当理由拒签合同，</w:t>
      </w:r>
      <w:r>
        <w:rPr>
          <w:rFonts w:hint="eastAsia" w:hAnsi="宋体"/>
          <w:color w:val="auto"/>
          <w:sz w:val="21"/>
          <w:szCs w:val="21"/>
          <w:highlight w:val="none"/>
        </w:rPr>
        <w:t>或</w:t>
      </w:r>
      <w:r>
        <w:rPr>
          <w:rFonts w:hAnsi="宋体"/>
          <w:color w:val="auto"/>
          <w:sz w:val="21"/>
          <w:szCs w:val="21"/>
          <w:highlight w:val="none"/>
        </w:rPr>
        <w:t>在签订合同时向招标人提出附加条件，或者不按照招标文件第四章“合同条款及格式”要求提交履约保证金的，招标人取消其中标资格，其投标保证金不予退还；给招标人造成的损失超过投标保证金数额的，中标人还应当对超过部分予以赔偿。</w:t>
      </w:r>
    </w:p>
    <w:p w14:paraId="538C77AC">
      <w:pPr>
        <w:pStyle w:val="272"/>
        <w:wordWrap w:val="0"/>
        <w:jc w:val="both"/>
        <w:rPr>
          <w:rFonts w:hAnsi="宋体"/>
          <w:color w:val="auto"/>
          <w:sz w:val="21"/>
          <w:szCs w:val="21"/>
          <w:highlight w:val="none"/>
        </w:rPr>
      </w:pPr>
      <w:r>
        <w:rPr>
          <w:rFonts w:hAnsi="宋体"/>
          <w:color w:val="auto"/>
          <w:sz w:val="21"/>
          <w:szCs w:val="21"/>
          <w:highlight w:val="none"/>
        </w:rPr>
        <w:t>7.</w:t>
      </w:r>
      <w:r>
        <w:rPr>
          <w:rFonts w:hint="eastAsia" w:hAnsi="宋体"/>
          <w:color w:val="auto"/>
          <w:sz w:val="21"/>
          <w:szCs w:val="21"/>
          <w:highlight w:val="none"/>
        </w:rPr>
        <w:t>6</w:t>
      </w:r>
      <w:r>
        <w:rPr>
          <w:rFonts w:hAnsi="宋体"/>
          <w:color w:val="auto"/>
          <w:sz w:val="21"/>
          <w:szCs w:val="21"/>
          <w:highlight w:val="none"/>
        </w:rPr>
        <w:t>.2 联合体中标的，联合体各方应当共同与招标人签订合同，就中标项目向招标人承担连带责任。</w:t>
      </w:r>
    </w:p>
    <w:p w14:paraId="7213AFC7">
      <w:pPr>
        <w:pStyle w:val="272"/>
        <w:wordWrap w:val="0"/>
        <w:jc w:val="both"/>
        <w:rPr>
          <w:rFonts w:hAnsi="宋体"/>
          <w:color w:val="auto"/>
          <w:sz w:val="21"/>
          <w:szCs w:val="21"/>
          <w:highlight w:val="none"/>
        </w:rPr>
      </w:pPr>
      <w:r>
        <w:rPr>
          <w:rFonts w:hint="eastAsia" w:hAnsi="宋体"/>
          <w:color w:val="auto"/>
          <w:sz w:val="21"/>
          <w:szCs w:val="21"/>
          <w:highlight w:val="none"/>
        </w:rPr>
        <w:t>7</w:t>
      </w:r>
      <w:r>
        <w:rPr>
          <w:rFonts w:hAnsi="宋体"/>
          <w:color w:val="auto"/>
          <w:sz w:val="21"/>
          <w:szCs w:val="21"/>
          <w:highlight w:val="none"/>
        </w:rPr>
        <w:t>.6.3</w:t>
      </w:r>
      <w:r>
        <w:rPr>
          <w:rFonts w:hint="eastAsia" w:hAnsi="宋体"/>
          <w:color w:val="auto"/>
          <w:sz w:val="21"/>
          <w:szCs w:val="21"/>
          <w:highlight w:val="none"/>
        </w:rPr>
        <w:t xml:space="preserve"> 合同签订前，招标人将对中标人的报价部分明细进行价格复核，价格复核的原则如下：</w:t>
      </w:r>
    </w:p>
    <w:p w14:paraId="43353276">
      <w:pPr>
        <w:pStyle w:val="272"/>
        <w:wordWrap w:val="0"/>
        <w:ind w:firstLine="420" w:firstLineChars="200"/>
        <w:jc w:val="both"/>
        <w:rPr>
          <w:rFonts w:hAnsi="宋体"/>
          <w:color w:val="auto"/>
          <w:sz w:val="21"/>
          <w:szCs w:val="21"/>
          <w:highlight w:val="none"/>
        </w:rPr>
      </w:pPr>
      <w:r>
        <w:rPr>
          <w:rFonts w:hint="eastAsia" w:hAnsi="宋体"/>
          <w:color w:val="auto"/>
          <w:sz w:val="21"/>
          <w:szCs w:val="21"/>
          <w:highlight w:val="none"/>
        </w:rPr>
        <w:t>（1）当单价与数量的乘积与总价不一致时，以低价为准；当各分项合价的总和与投标文件“开标一览表”相应价格不一致时，以低价为准。</w:t>
      </w:r>
    </w:p>
    <w:p w14:paraId="169C45B8">
      <w:pPr>
        <w:pStyle w:val="272"/>
        <w:wordWrap w:val="0"/>
        <w:jc w:val="both"/>
        <w:rPr>
          <w:rFonts w:hAnsi="宋体"/>
          <w:color w:val="auto"/>
          <w:sz w:val="21"/>
          <w:szCs w:val="21"/>
          <w:highlight w:val="none"/>
        </w:rPr>
      </w:pPr>
      <w:r>
        <w:rPr>
          <w:rFonts w:hint="eastAsia" w:hAnsi="宋体"/>
          <w:color w:val="auto"/>
          <w:sz w:val="21"/>
          <w:szCs w:val="21"/>
          <w:highlight w:val="none"/>
        </w:rPr>
        <w:t>（2）投标报价明细存在缺漏项时，中标人应免费补齐补足。</w:t>
      </w:r>
    </w:p>
    <w:p w14:paraId="59B5E6B3">
      <w:pPr>
        <w:pStyle w:val="272"/>
        <w:wordWrap w:val="0"/>
        <w:jc w:val="both"/>
        <w:rPr>
          <w:rFonts w:hAnsi="宋体"/>
          <w:color w:val="auto"/>
          <w:sz w:val="21"/>
          <w:szCs w:val="21"/>
          <w:highlight w:val="none"/>
        </w:rPr>
      </w:pPr>
      <w:r>
        <w:rPr>
          <w:rFonts w:hint="eastAsia" w:hAnsi="宋体"/>
          <w:color w:val="auto"/>
          <w:sz w:val="21"/>
          <w:szCs w:val="21"/>
          <w:highlight w:val="none"/>
        </w:rPr>
        <w:t>（3）投标报价明细存在多余项或招标人未要求项时，无论该项报价多少，均视为免费。</w:t>
      </w:r>
    </w:p>
    <w:p w14:paraId="6C0791C0">
      <w:pPr>
        <w:pStyle w:val="272"/>
        <w:wordWrap w:val="0"/>
        <w:jc w:val="both"/>
        <w:rPr>
          <w:rFonts w:hAnsi="宋体"/>
          <w:color w:val="auto"/>
          <w:sz w:val="21"/>
          <w:szCs w:val="21"/>
          <w:highlight w:val="none"/>
        </w:rPr>
      </w:pPr>
      <w:r>
        <w:rPr>
          <w:rFonts w:hint="eastAsia" w:hAnsi="宋体"/>
          <w:color w:val="auto"/>
          <w:sz w:val="21"/>
          <w:szCs w:val="21"/>
          <w:highlight w:val="none"/>
        </w:rPr>
        <w:t>（4）税率适用错误或税金计算错误的，按照有利于招标人的原则进行调整，并以招标人的最终意见为准。</w:t>
      </w:r>
    </w:p>
    <w:p w14:paraId="2E84C737">
      <w:pPr>
        <w:pStyle w:val="272"/>
        <w:wordWrap w:val="0"/>
        <w:jc w:val="both"/>
        <w:rPr>
          <w:rFonts w:hAnsi="宋体"/>
          <w:color w:val="auto"/>
          <w:sz w:val="21"/>
          <w:szCs w:val="21"/>
          <w:highlight w:val="none"/>
        </w:rPr>
      </w:pPr>
      <w:r>
        <w:rPr>
          <w:rFonts w:hint="eastAsia" w:hAnsi="宋体"/>
          <w:color w:val="auto"/>
          <w:sz w:val="21"/>
          <w:szCs w:val="21"/>
          <w:highlight w:val="none"/>
        </w:rPr>
        <w:t>（5）如中标人不接受按以上规则确定的修正后的价格，则招标人有权将合同授予下一顺序中标候选人或依法重新组织招标。</w:t>
      </w:r>
    </w:p>
    <w:p w14:paraId="1610FFB2">
      <w:pPr>
        <w:pStyle w:val="138"/>
        <w:wordWrap w:val="0"/>
        <w:spacing w:before="0" w:line="360" w:lineRule="auto"/>
        <w:ind w:right="339"/>
        <w:jc w:val="left"/>
        <w:outlineLvl w:val="9"/>
        <w:rPr>
          <w:rFonts w:ascii="Calibri" w:cs="宋体"/>
          <w:color w:val="auto"/>
          <w:szCs w:val="28"/>
          <w:highlight w:val="none"/>
        </w:rPr>
      </w:pPr>
      <w:r>
        <w:rPr>
          <w:rFonts w:hint="eastAsia" w:ascii="Calibri" w:cs="宋体"/>
          <w:color w:val="auto"/>
          <w:szCs w:val="28"/>
          <w:highlight w:val="none"/>
        </w:rPr>
        <w:t>8.纪律和监督</w:t>
      </w:r>
    </w:p>
    <w:p w14:paraId="4D9CA727">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ascii="宋体" w:hAnsi="宋体"/>
          <w:b/>
          <w:bCs/>
          <w:color w:val="auto"/>
          <w:szCs w:val="21"/>
          <w:highlight w:val="none"/>
        </w:rPr>
      </w:pPr>
      <w:r>
        <w:rPr>
          <w:rFonts w:hint="eastAsia" w:ascii="宋体" w:hAnsi="宋体"/>
          <w:b/>
          <w:bCs/>
          <w:color w:val="auto"/>
          <w:szCs w:val="21"/>
          <w:highlight w:val="none"/>
        </w:rPr>
        <w:t>8.1 对招标人的纪律要求</w:t>
      </w:r>
    </w:p>
    <w:p w14:paraId="55C1021A">
      <w:pPr>
        <w:pStyle w:val="272"/>
        <w:wordWrap w:val="0"/>
        <w:jc w:val="both"/>
        <w:rPr>
          <w:rFonts w:hAnsi="宋体"/>
          <w:color w:val="auto"/>
          <w:sz w:val="21"/>
          <w:szCs w:val="21"/>
          <w:highlight w:val="none"/>
        </w:rPr>
      </w:pPr>
      <w:r>
        <w:rPr>
          <w:rFonts w:hAnsi="宋体"/>
          <w:color w:val="auto"/>
          <w:sz w:val="21"/>
          <w:szCs w:val="21"/>
          <w:highlight w:val="none"/>
        </w:rPr>
        <w:t>招标人不得泄露招标投标活动中应当保密的情况和资料，不得与投标人串通损害国家利益、社会公共利益或者他人合法权益。</w:t>
      </w:r>
    </w:p>
    <w:p w14:paraId="137D7FA4">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ascii="宋体" w:hAnsi="宋体"/>
          <w:b/>
          <w:bCs/>
          <w:color w:val="auto"/>
          <w:szCs w:val="21"/>
          <w:highlight w:val="none"/>
        </w:rPr>
      </w:pPr>
      <w:r>
        <w:rPr>
          <w:rFonts w:hint="eastAsia" w:ascii="宋体" w:hAnsi="宋体"/>
          <w:b/>
          <w:bCs/>
          <w:color w:val="auto"/>
          <w:szCs w:val="21"/>
          <w:highlight w:val="none"/>
        </w:rPr>
        <w:t>8.2 对投标人的纪律要求</w:t>
      </w:r>
    </w:p>
    <w:p w14:paraId="7D50CAA5">
      <w:pPr>
        <w:pStyle w:val="272"/>
        <w:wordWrap w:val="0"/>
        <w:jc w:val="both"/>
        <w:rPr>
          <w:rFonts w:hAnsi="宋体"/>
          <w:color w:val="auto"/>
          <w:sz w:val="21"/>
          <w:szCs w:val="21"/>
          <w:highlight w:val="none"/>
        </w:rPr>
      </w:pPr>
      <w:r>
        <w:rPr>
          <w:rFonts w:hAnsi="宋体"/>
          <w:color w:val="auto"/>
          <w:sz w:val="21"/>
          <w:szCs w:val="21"/>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46A5C371">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ascii="宋体" w:hAnsi="宋体"/>
          <w:b/>
          <w:bCs/>
          <w:color w:val="auto"/>
          <w:szCs w:val="21"/>
          <w:highlight w:val="none"/>
        </w:rPr>
      </w:pPr>
      <w:r>
        <w:rPr>
          <w:rFonts w:hint="eastAsia" w:ascii="宋体" w:hAnsi="宋体"/>
          <w:b/>
          <w:bCs/>
          <w:color w:val="auto"/>
          <w:szCs w:val="21"/>
          <w:highlight w:val="none"/>
        </w:rPr>
        <w:t>8.3 对评标委员会成员的纪律要求</w:t>
      </w:r>
    </w:p>
    <w:p w14:paraId="5767AE86">
      <w:pPr>
        <w:pStyle w:val="272"/>
        <w:wordWrap w:val="0"/>
        <w:ind w:firstLine="420" w:firstLineChars="200"/>
        <w:jc w:val="both"/>
        <w:rPr>
          <w:rFonts w:hAnsi="宋体"/>
          <w:color w:val="auto"/>
          <w:sz w:val="21"/>
          <w:szCs w:val="21"/>
          <w:highlight w:val="none"/>
        </w:rPr>
      </w:pPr>
      <w:r>
        <w:rPr>
          <w:rFonts w:hAnsi="宋体"/>
          <w:color w:val="auto"/>
          <w:sz w:val="21"/>
          <w:szCs w:val="21"/>
          <w:highlight w:val="none"/>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1032CADE">
      <w:pPr>
        <w:tabs>
          <w:tab w:val="left" w:pos="4040"/>
          <w:tab w:val="left" w:pos="4420"/>
          <w:tab w:val="left" w:pos="4520"/>
          <w:tab w:val="left" w:pos="4620"/>
          <w:tab w:val="left" w:pos="4980"/>
          <w:tab w:val="left" w:pos="5180"/>
          <w:tab w:val="left" w:pos="5780"/>
          <w:tab w:val="left" w:pos="6280"/>
          <w:tab w:val="left" w:pos="7420"/>
          <w:tab w:val="left" w:pos="8800"/>
        </w:tabs>
        <w:wordWrap w:val="0"/>
        <w:spacing w:line="360" w:lineRule="auto"/>
        <w:rPr>
          <w:rFonts w:ascii="宋体" w:hAnsi="宋体"/>
          <w:b/>
          <w:bCs/>
          <w:color w:val="auto"/>
          <w:szCs w:val="21"/>
          <w:highlight w:val="none"/>
        </w:rPr>
      </w:pPr>
      <w:r>
        <w:rPr>
          <w:rFonts w:hint="eastAsia" w:ascii="宋体" w:hAnsi="宋体"/>
          <w:b/>
          <w:bCs/>
          <w:color w:val="auto"/>
          <w:szCs w:val="21"/>
          <w:highlight w:val="none"/>
        </w:rPr>
        <w:t>8.4 对与评标活动有关的工作人员的纪律要求</w:t>
      </w:r>
    </w:p>
    <w:p w14:paraId="0CBFEEBB">
      <w:pPr>
        <w:pStyle w:val="272"/>
        <w:wordWrap w:val="0"/>
        <w:ind w:firstLine="420" w:firstLineChars="200"/>
        <w:jc w:val="both"/>
        <w:rPr>
          <w:rFonts w:hAnsi="宋体"/>
          <w:color w:val="auto"/>
          <w:sz w:val="21"/>
          <w:szCs w:val="21"/>
          <w:highlight w:val="none"/>
        </w:rPr>
      </w:pPr>
      <w:r>
        <w:rPr>
          <w:rFonts w:hAnsi="宋体"/>
          <w:color w:val="auto"/>
          <w:sz w:val="21"/>
          <w:szCs w:val="21"/>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3180C108">
      <w:pPr>
        <w:pStyle w:val="272"/>
        <w:wordWrap w:val="0"/>
        <w:ind w:firstLine="0"/>
        <w:jc w:val="both"/>
        <w:rPr>
          <w:rFonts w:hAnsi="宋体"/>
          <w:b/>
          <w:bCs/>
          <w:color w:val="auto"/>
          <w:sz w:val="21"/>
          <w:szCs w:val="21"/>
          <w:highlight w:val="none"/>
        </w:rPr>
      </w:pPr>
      <w:r>
        <w:rPr>
          <w:rFonts w:hAnsi="宋体"/>
          <w:b/>
          <w:bCs/>
          <w:color w:val="auto"/>
          <w:sz w:val="21"/>
          <w:szCs w:val="21"/>
          <w:highlight w:val="none"/>
        </w:rPr>
        <w:t xml:space="preserve">8.5 </w:t>
      </w:r>
      <w:r>
        <w:rPr>
          <w:rFonts w:hint="eastAsia" w:hAnsi="宋体"/>
          <w:b/>
          <w:bCs/>
          <w:color w:val="auto"/>
          <w:sz w:val="21"/>
          <w:szCs w:val="21"/>
          <w:highlight w:val="none"/>
        </w:rPr>
        <w:t>投诉</w:t>
      </w:r>
    </w:p>
    <w:p w14:paraId="4D6229B4">
      <w:pPr>
        <w:pStyle w:val="272"/>
        <w:wordWrap w:val="0"/>
        <w:ind w:firstLine="420" w:firstLineChars="200"/>
        <w:jc w:val="both"/>
        <w:rPr>
          <w:rFonts w:hint="eastAsia" w:hAnsi="宋体"/>
          <w:color w:val="auto"/>
          <w:sz w:val="21"/>
          <w:szCs w:val="21"/>
          <w:highlight w:val="none"/>
        </w:rPr>
      </w:pPr>
      <w:r>
        <w:rPr>
          <w:rFonts w:hint="eastAsia" w:hAnsi="宋体"/>
          <w:color w:val="auto"/>
          <w:sz w:val="21"/>
          <w:szCs w:val="21"/>
          <w:highlight w:val="none"/>
        </w:rPr>
        <w:t>8.5.1 投标人或者其他利害关系人认为招标投标活动不符合法律、行政法规规定的，可以自知道或者应当知道之日起10日内向</w:t>
      </w:r>
      <w:r>
        <w:rPr>
          <w:rFonts w:hint="default" w:hAnsi="宋体"/>
          <w:color w:val="auto"/>
          <w:sz w:val="21"/>
          <w:szCs w:val="21"/>
          <w:highlight w:val="none"/>
        </w:rPr>
        <w:t>长沙穗城轨道交通有限公司经营管理部</w:t>
      </w:r>
      <w:r>
        <w:rPr>
          <w:rFonts w:hint="eastAsia" w:hAnsi="宋体"/>
          <w:color w:val="auto"/>
          <w:sz w:val="21"/>
          <w:szCs w:val="21"/>
          <w:highlight w:val="none"/>
        </w:rPr>
        <w:t>投诉</w:t>
      </w:r>
      <w:r>
        <w:rPr>
          <w:rFonts w:hint="default" w:hAnsi="宋体"/>
          <w:color w:val="auto"/>
          <w:sz w:val="21"/>
          <w:szCs w:val="21"/>
          <w:highlight w:val="none"/>
        </w:rPr>
        <w:t>（联系电话：</w:t>
      </w:r>
      <w:r>
        <w:rPr>
          <w:rFonts w:ascii="Helvetica" w:hAnsi="Helvetica" w:eastAsia="Helvetica" w:cs="Helvetica"/>
          <w:i w:val="0"/>
          <w:iCs w:val="0"/>
          <w:caps w:val="0"/>
          <w:color w:val="000000"/>
          <w:spacing w:val="0"/>
          <w:sz w:val="19"/>
          <w:szCs w:val="19"/>
          <w:highlight w:val="none"/>
          <w:shd w:val="clear" w:fill="FFFFFF"/>
        </w:rPr>
        <w:t>0731-81635488</w:t>
      </w:r>
      <w:r>
        <w:rPr>
          <w:rFonts w:hint="default" w:hAnsi="宋体"/>
          <w:color w:val="auto"/>
          <w:sz w:val="21"/>
          <w:szCs w:val="21"/>
          <w:highlight w:val="none"/>
        </w:rPr>
        <w:t>）；</w:t>
      </w:r>
      <w:r>
        <w:rPr>
          <w:rFonts w:hint="eastAsia" w:hAnsi="宋体"/>
          <w:color w:val="auto"/>
          <w:sz w:val="21"/>
          <w:szCs w:val="21"/>
          <w:highlight w:val="none"/>
        </w:rPr>
        <w:t>投诉应当有明确的请求和必要的证明材料。</w:t>
      </w:r>
    </w:p>
    <w:p w14:paraId="028F1F18">
      <w:pPr>
        <w:pStyle w:val="272"/>
        <w:wordWrap w:val="0"/>
        <w:ind w:firstLine="420" w:firstLineChars="200"/>
        <w:jc w:val="both"/>
        <w:rPr>
          <w:rFonts w:hint="eastAsia" w:hAnsi="宋体"/>
          <w:color w:val="auto"/>
          <w:sz w:val="21"/>
          <w:szCs w:val="21"/>
          <w:highlight w:val="none"/>
        </w:rPr>
      </w:pPr>
      <w:r>
        <w:rPr>
          <w:rFonts w:hint="default" w:hAnsi="宋体"/>
          <w:color w:val="auto"/>
          <w:sz w:val="21"/>
          <w:szCs w:val="21"/>
          <w:highlight w:val="none"/>
        </w:rPr>
        <w:t>就本章第2.</w:t>
      </w:r>
      <w:r>
        <w:rPr>
          <w:rFonts w:hint="eastAsia" w:hAnsi="宋体"/>
          <w:color w:val="auto"/>
          <w:sz w:val="21"/>
          <w:szCs w:val="21"/>
          <w:highlight w:val="none"/>
        </w:rPr>
        <w:t>4</w:t>
      </w:r>
      <w:r>
        <w:rPr>
          <w:rFonts w:hint="default" w:hAnsi="宋体"/>
          <w:color w:val="auto"/>
          <w:sz w:val="21"/>
          <w:szCs w:val="21"/>
          <w:highlight w:val="none"/>
        </w:rPr>
        <w:t>项、第5项、第7.</w:t>
      </w:r>
      <w:r>
        <w:rPr>
          <w:rFonts w:hint="eastAsia" w:hAnsi="宋体"/>
          <w:color w:val="auto"/>
          <w:sz w:val="21"/>
          <w:szCs w:val="21"/>
          <w:highlight w:val="none"/>
        </w:rPr>
        <w:t>1</w:t>
      </w:r>
      <w:r>
        <w:rPr>
          <w:rFonts w:hint="default" w:hAnsi="宋体"/>
          <w:color w:val="auto"/>
          <w:sz w:val="21"/>
          <w:szCs w:val="21"/>
          <w:highlight w:val="none"/>
        </w:rPr>
        <w:t>项规定事项提出投诉的，应当先向招标人提出异议；</w:t>
      </w:r>
      <w:r>
        <w:rPr>
          <w:rFonts w:hint="eastAsia" w:hAnsi="宋体"/>
          <w:color w:val="auto"/>
          <w:sz w:val="21"/>
          <w:szCs w:val="21"/>
          <w:highlight w:val="none"/>
        </w:rPr>
        <w:t>异议答复期间不计算在第8.5.1项规定的期限内。</w:t>
      </w:r>
    </w:p>
    <w:p w14:paraId="47850DC5">
      <w:pPr>
        <w:pStyle w:val="138"/>
        <w:wordWrap w:val="0"/>
        <w:spacing w:before="0" w:line="360" w:lineRule="auto"/>
        <w:ind w:right="339"/>
        <w:jc w:val="left"/>
        <w:outlineLvl w:val="9"/>
        <w:rPr>
          <w:rFonts w:ascii="Calibri" w:cs="宋体"/>
          <w:color w:val="auto"/>
          <w:szCs w:val="28"/>
          <w:highlight w:val="none"/>
        </w:rPr>
      </w:pPr>
      <w:r>
        <w:rPr>
          <w:rFonts w:hint="eastAsia" w:ascii="Calibri" w:cs="宋体"/>
          <w:color w:val="auto"/>
          <w:szCs w:val="28"/>
          <w:highlight w:val="none"/>
        </w:rPr>
        <w:t>9.需要补充的其他内容</w:t>
      </w:r>
    </w:p>
    <w:p w14:paraId="01E53814">
      <w:pPr>
        <w:wordWrap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9.1项目场地服务费及招标代理服务费</w:t>
      </w:r>
    </w:p>
    <w:p w14:paraId="393276FA">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9.1.1 项目场地费由</w:t>
      </w:r>
      <w:r>
        <w:rPr>
          <w:rFonts w:hint="eastAsia" w:ascii="宋体" w:hAnsi="宋体" w:cs="宋体"/>
          <w:color w:val="auto"/>
          <w:szCs w:val="21"/>
          <w:highlight w:val="none"/>
          <w:lang w:val="en-US" w:eastAsia="zh-CN"/>
        </w:rPr>
        <w:t>各标段</w:t>
      </w:r>
      <w:r>
        <w:rPr>
          <w:rFonts w:hint="eastAsia" w:ascii="宋体" w:hAnsi="宋体" w:cs="宋体"/>
          <w:color w:val="auto"/>
          <w:szCs w:val="21"/>
          <w:highlight w:val="none"/>
        </w:rPr>
        <w:t>中标人共同承担，收费标准按照《湖南省发展和改革委员会关于我省公共资源交易服务收费的通知》（湘发改价费规〔2024〕292号）执行</w:t>
      </w:r>
      <w:r>
        <w:rPr>
          <w:rFonts w:hint="eastAsia" w:ascii="宋体" w:hAnsi="宋体" w:cs="宋体"/>
          <w:color w:val="auto"/>
          <w:szCs w:val="21"/>
          <w:highlight w:val="none"/>
          <w:lang w:eastAsia="zh-CN"/>
        </w:rPr>
        <w:t>，</w:t>
      </w:r>
      <w:r>
        <w:rPr>
          <w:rFonts w:hint="eastAsia" w:ascii="宋体" w:hAnsi="宋体" w:cs="宋体"/>
          <w:color w:val="auto"/>
          <w:szCs w:val="21"/>
          <w:highlight w:val="none"/>
        </w:rPr>
        <w:t>总费用由</w:t>
      </w:r>
      <w:r>
        <w:rPr>
          <w:rFonts w:hint="eastAsia" w:ascii="宋体" w:hAnsi="宋体" w:cs="宋体"/>
          <w:color w:val="auto"/>
          <w:szCs w:val="21"/>
          <w:highlight w:val="none"/>
          <w:lang w:val="en-US" w:eastAsia="zh-CN"/>
        </w:rPr>
        <w:t>各标段</w:t>
      </w:r>
      <w:r>
        <w:rPr>
          <w:rFonts w:hint="eastAsia" w:ascii="宋体" w:hAnsi="宋体" w:cs="宋体"/>
          <w:color w:val="auto"/>
          <w:szCs w:val="21"/>
          <w:highlight w:val="none"/>
        </w:rPr>
        <w:t>中标人平均分摊。</w:t>
      </w:r>
    </w:p>
    <w:p w14:paraId="7D197E6E">
      <w:pPr>
        <w:wordWrap w:val="0"/>
        <w:spacing w:line="360" w:lineRule="auto"/>
        <w:ind w:firstLine="420" w:firstLineChars="200"/>
        <w:rPr>
          <w:rFonts w:hint="eastAsia" w:ascii="宋体" w:hAnsi="宋体" w:cs="宋体"/>
          <w:color w:val="auto"/>
          <w:szCs w:val="21"/>
          <w:highlight w:val="none"/>
        </w:rPr>
      </w:pPr>
      <w:r>
        <w:rPr>
          <w:rFonts w:ascii="宋体" w:hAnsi="宋体" w:cs="宋体"/>
          <w:color w:val="auto"/>
          <w:szCs w:val="21"/>
          <w:highlight w:val="none"/>
        </w:rPr>
        <w:t>9</w:t>
      </w:r>
      <w:r>
        <w:rPr>
          <w:rFonts w:hint="eastAsia" w:ascii="宋体" w:hAnsi="宋体" w:cs="宋体"/>
          <w:color w:val="auto"/>
          <w:szCs w:val="21"/>
          <w:highlight w:val="none"/>
        </w:rPr>
        <w:t>.</w:t>
      </w:r>
      <w:r>
        <w:rPr>
          <w:rFonts w:ascii="宋体" w:hAnsi="宋体" w:cs="宋体"/>
          <w:color w:val="auto"/>
          <w:szCs w:val="21"/>
          <w:highlight w:val="none"/>
        </w:rPr>
        <w:t>1</w:t>
      </w:r>
      <w:r>
        <w:rPr>
          <w:rFonts w:hint="eastAsia" w:ascii="宋体" w:hAnsi="宋体" w:cs="宋体"/>
          <w:color w:val="auto"/>
          <w:szCs w:val="21"/>
          <w:highlight w:val="none"/>
        </w:rPr>
        <w:t>.</w:t>
      </w:r>
      <w:r>
        <w:rPr>
          <w:rFonts w:ascii="宋体" w:hAnsi="宋体" w:cs="宋体"/>
          <w:color w:val="auto"/>
          <w:szCs w:val="21"/>
          <w:highlight w:val="none"/>
        </w:rPr>
        <w:t>2</w:t>
      </w:r>
      <w:r>
        <w:rPr>
          <w:rFonts w:hint="eastAsia" w:ascii="宋体" w:hAnsi="宋体" w:cs="宋体"/>
          <w:color w:val="auto"/>
          <w:szCs w:val="21"/>
          <w:highlight w:val="none"/>
        </w:rPr>
        <w:t xml:space="preserve"> </w:t>
      </w:r>
      <w:r>
        <w:rPr>
          <w:rFonts w:hint="eastAsia" w:ascii="宋体" w:hAnsi="宋体" w:eastAsia="宋体" w:cs="宋体"/>
          <w:color w:val="auto"/>
          <w:szCs w:val="21"/>
          <w:highlight w:val="none"/>
        </w:rPr>
        <w:t>招标代理服务费均由中标人全额承担；以中标价为基数，按投标人须知《招标代理服务费收费 标准》（详见本须知附件）向中标人收取。</w:t>
      </w:r>
    </w:p>
    <w:p w14:paraId="7853904C">
      <w:pPr>
        <w:wordWrap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9.2其他</w:t>
      </w:r>
    </w:p>
    <w:p w14:paraId="0E82C7E5">
      <w:pPr>
        <w:pStyle w:val="272"/>
        <w:wordWrap w:val="0"/>
        <w:ind w:firstLine="420" w:firstLineChars="200"/>
        <w:jc w:val="both"/>
        <w:rPr>
          <w:rFonts w:hint="eastAsia" w:ascii="宋体" w:hAnsi="宋体" w:eastAsia="宋体" w:cs="宋体"/>
          <w:color w:val="auto"/>
          <w:sz w:val="21"/>
          <w:szCs w:val="21"/>
          <w:highlight w:val="none"/>
        </w:rPr>
      </w:pPr>
      <w:r>
        <w:rPr>
          <w:rFonts w:hint="eastAsia" w:hAnsi="宋体"/>
          <w:color w:val="auto"/>
          <w:sz w:val="21"/>
          <w:szCs w:val="21"/>
          <w:highlight w:val="none"/>
        </w:rPr>
        <w:t>9.2.1 招标人有权在投标有效期内的任何时候，对投标人提交的文件、资料等情况进行审查复核，若发现投标人在投标过程中有弄虚作假、围标串标的行为，或有不按招标文件的要求如实提供有关情况、文件、证明等资料的行为，或有所提供的有关情况、文件、证明等资料与事实不</w:t>
      </w:r>
      <w:r>
        <w:rPr>
          <w:rFonts w:hint="eastAsia" w:ascii="宋体" w:hAnsi="宋体" w:eastAsia="宋体" w:cs="宋体"/>
          <w:color w:val="auto"/>
          <w:sz w:val="21"/>
          <w:szCs w:val="21"/>
          <w:highlight w:val="none"/>
        </w:rPr>
        <w:t>符的行为，或在招标过程中存在其他违法违规行为的，按照不合格投标人处理；被列为中标候选人的，取消中标候选人资格；已中标的，取消中标资格。同时，视其情节轻重处以没收部分或全部投标保证金，且禁止参与招标人及关联公司项目投标（最多三年），并依据国家有关规定进行处理。</w:t>
      </w:r>
    </w:p>
    <w:p w14:paraId="7E7DECDA">
      <w:pPr>
        <w:pStyle w:val="272"/>
        <w:wordWrap w:val="0"/>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9.2.2 异议的提出与处理按长沙穗城轨道交通有限公司的规定执行。</w:t>
      </w:r>
    </w:p>
    <w:p w14:paraId="2718605C">
      <w:pPr>
        <w:pStyle w:val="272"/>
        <w:wordWrap w:val="0"/>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9.2.3 项目招投标期间，请各投标人随时关注潇湘交易云平台、中国招标投标公共服务平台，以便及时获得相关信息，否则招标人及招标代理机构不负任何责任。</w:t>
      </w:r>
    </w:p>
    <w:p w14:paraId="1F2D20DD">
      <w:pPr>
        <w:pStyle w:val="272"/>
        <w:wordWrap w:val="0"/>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9.2.4 中标通知发出以前，中标候选人及其相关情况发生变化，致使其达不到合格投标人资格条件的，取消其中标候选人资格，给招标人造成损失的，应承担相应损失。</w:t>
      </w:r>
    </w:p>
    <w:p w14:paraId="21DB094F">
      <w:pPr>
        <w:pStyle w:val="272"/>
        <w:wordWrap w:val="0"/>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9.2.5 投标人不允许有挂靠或转包的行为，招标人或评标委员会在任何时候发现投标人是挂靠或转包的，该投标人的投标作废标处理，招标人有权取消其投标资格并没收投标保证金，已签订合同的，终止合同，没收履约保证金，并追究该投标人的有关法律责任。</w:t>
      </w:r>
    </w:p>
    <w:p w14:paraId="2F8017F0">
      <w:pPr>
        <w:pStyle w:val="272"/>
        <w:wordWrap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9.2.6 招标文件所设置的内容、条</w:t>
      </w:r>
      <w:r>
        <w:rPr>
          <w:rFonts w:hint="eastAsia" w:ascii="宋体" w:hAnsi="宋体" w:eastAsia="宋体" w:cs="宋体"/>
          <w:color w:val="auto"/>
          <w:sz w:val="21"/>
          <w:szCs w:val="21"/>
          <w:highlight w:val="none"/>
          <w:lang w:eastAsia="zh-CN"/>
        </w:rPr>
        <w:t>款和</w:t>
      </w:r>
      <w:r>
        <w:rPr>
          <w:rFonts w:hint="eastAsia" w:ascii="宋体" w:hAnsi="宋体" w:eastAsia="宋体" w:cs="宋体"/>
          <w:color w:val="auto"/>
          <w:sz w:val="21"/>
          <w:szCs w:val="21"/>
          <w:highlight w:val="none"/>
        </w:rPr>
        <w:t>未尽事宜，均以</w:t>
      </w:r>
      <w:r>
        <w:rPr>
          <w:rFonts w:hint="eastAsia" w:ascii="宋体" w:hAnsi="宋体" w:eastAsia="宋体" w:cs="宋体"/>
          <w:color w:val="auto"/>
          <w:sz w:val="21"/>
          <w:szCs w:val="21"/>
          <w:highlight w:val="none"/>
          <w:lang w:eastAsia="zh-CN"/>
        </w:rPr>
        <w:t>法律法规</w:t>
      </w:r>
      <w:r>
        <w:rPr>
          <w:rFonts w:hint="eastAsia" w:ascii="宋体" w:hAnsi="宋体" w:eastAsia="宋体" w:cs="宋体"/>
          <w:color w:val="auto"/>
          <w:sz w:val="21"/>
          <w:szCs w:val="21"/>
          <w:highlight w:val="none"/>
        </w:rPr>
        <w:t>以及国家、省、市或行政主管部门颁布的招投标有关规定为准；</w:t>
      </w:r>
      <w:r>
        <w:rPr>
          <w:rFonts w:hint="eastAsia" w:ascii="宋体" w:hAnsi="宋体" w:eastAsia="宋体" w:cs="宋体"/>
          <w:color w:val="auto"/>
          <w:sz w:val="21"/>
          <w:szCs w:val="21"/>
          <w:highlight w:val="none"/>
          <w:lang w:eastAsia="zh-CN"/>
        </w:rPr>
        <w:t>法律法规</w:t>
      </w:r>
      <w:r>
        <w:rPr>
          <w:rFonts w:hint="eastAsia" w:ascii="宋体" w:hAnsi="宋体" w:eastAsia="宋体" w:cs="宋体"/>
          <w:color w:val="auto"/>
          <w:sz w:val="21"/>
          <w:szCs w:val="21"/>
          <w:highlight w:val="none"/>
        </w:rPr>
        <w:t>以及国家、省、市或行政主管部门未规定的，以招标人解释为准。</w:t>
      </w:r>
    </w:p>
    <w:p w14:paraId="3D21DB06">
      <w:pPr>
        <w:wordWrap w:val="0"/>
        <w:spacing w:line="360" w:lineRule="auto"/>
        <w:ind w:firstLine="482"/>
        <w:rPr>
          <w:rFonts w:hint="eastAsia" w:ascii="宋体" w:hAnsi="宋体" w:eastAsia="宋体" w:cs="宋体"/>
          <w:color w:val="auto"/>
          <w:szCs w:val="21"/>
          <w:highlight w:val="none"/>
        </w:rPr>
      </w:pPr>
      <w:r>
        <w:rPr>
          <w:rFonts w:hint="eastAsia" w:ascii="宋体" w:hAnsi="宋体" w:eastAsia="宋体" w:cs="宋体"/>
          <w:color w:val="auto"/>
          <w:szCs w:val="21"/>
          <w:highlight w:val="none"/>
        </w:rPr>
        <w:t>9.2.7 纸质招标文件获取：详见投标人须知前附表。</w:t>
      </w:r>
    </w:p>
    <w:p w14:paraId="5B3DB71D">
      <w:pPr>
        <w:wordWrap w:val="0"/>
        <w:spacing w:line="360" w:lineRule="auto"/>
        <w:rPr>
          <w:rFonts w:hint="eastAsia" w:ascii="宋体" w:hAnsi="宋体" w:eastAsia="宋体" w:cs="宋体"/>
          <w:b/>
          <w:bCs/>
          <w:color w:val="auto"/>
          <w:szCs w:val="21"/>
          <w:highlight w:val="none"/>
        </w:rPr>
      </w:pPr>
    </w:p>
    <w:p w14:paraId="4D45491D">
      <w:pPr>
        <w:wordWrap/>
        <w:spacing w:line="24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r>
    </w:p>
    <w:p w14:paraId="0F8EA2FC">
      <w:pPr>
        <w:wordWrap w:val="0"/>
        <w:spacing w:line="360" w:lineRule="auto"/>
        <w:ind w:firstLine="241" w:firstLineChars="100"/>
        <w:rPr>
          <w:rFonts w:hAnsi="宋体"/>
          <w:b/>
          <w:color w:val="auto"/>
          <w:sz w:val="24"/>
          <w:szCs w:val="24"/>
          <w:highlight w:val="none"/>
        </w:rPr>
      </w:pPr>
      <w:r>
        <w:rPr>
          <w:rFonts w:hint="eastAsia" w:ascii="宋体" w:hAnsi="宋体"/>
          <w:b/>
          <w:color w:val="auto"/>
          <w:sz w:val="24"/>
          <w:szCs w:val="24"/>
          <w:highlight w:val="none"/>
        </w:rPr>
        <w:t>附件</w:t>
      </w:r>
    </w:p>
    <w:p w14:paraId="1C352CD9">
      <w:pPr>
        <w:wordWrap w:val="0"/>
        <w:jc w:val="center"/>
        <w:rPr>
          <w:rFonts w:hAnsi="宋体"/>
          <w:b/>
          <w:color w:val="auto"/>
          <w:sz w:val="32"/>
          <w:szCs w:val="32"/>
          <w:highlight w:val="none"/>
        </w:rPr>
      </w:pPr>
      <w:r>
        <w:rPr>
          <w:rFonts w:hint="eastAsia" w:hAnsi="宋体"/>
          <w:b/>
          <w:color w:val="auto"/>
          <w:sz w:val="32"/>
          <w:szCs w:val="32"/>
          <w:highlight w:val="none"/>
        </w:rPr>
        <w:t>招标代理服务费收费标准</w:t>
      </w:r>
    </w:p>
    <w:p w14:paraId="1B192DB3">
      <w:pPr>
        <w:pStyle w:val="63"/>
        <w:wordWrap w:val="0"/>
        <w:rPr>
          <w:color w:val="auto"/>
          <w:spacing w:val="0"/>
          <w:highlight w:val="none"/>
        </w:rPr>
      </w:pPr>
    </w:p>
    <w:p w14:paraId="6D75403A">
      <w:pPr>
        <w:wordWrap w:val="0"/>
        <w:rPr>
          <w:rFonts w:hint="eastAsia" w:hAnsi="宋体"/>
          <w:b/>
          <w:color w:val="auto"/>
          <w:sz w:val="24"/>
          <w:szCs w:val="24"/>
          <w:highlight w:val="none"/>
        </w:rPr>
      </w:pPr>
      <w:r>
        <w:rPr>
          <w:rFonts w:hint="eastAsia" w:hAnsi="宋体"/>
          <w:b/>
          <w:color w:val="auto"/>
          <w:sz w:val="24"/>
          <w:szCs w:val="24"/>
          <w:highlight w:val="none"/>
        </w:rPr>
        <w:t>表1：招标代理服务收费费率计算表</w:t>
      </w:r>
    </w:p>
    <w:tbl>
      <w:tblPr>
        <w:tblStyle w:val="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94"/>
        <w:gridCol w:w="2253"/>
        <w:gridCol w:w="2253"/>
        <w:gridCol w:w="2262"/>
      </w:tblGrid>
      <w:tr w14:paraId="5D71E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1603" w:type="pct"/>
            <w:vMerge w:val="restart"/>
            <w:vAlign w:val="center"/>
          </w:tcPr>
          <w:p w14:paraId="55AB01A7">
            <w:pPr>
              <w:wordWrap w:val="0"/>
              <w:jc w:val="center"/>
              <w:rPr>
                <w:rFonts w:ascii="宋体" w:hAnsi="宋体" w:cs="宋体"/>
                <w:b/>
                <w:bCs/>
                <w:color w:val="auto"/>
                <w:szCs w:val="21"/>
                <w:highlight w:val="none"/>
              </w:rPr>
            </w:pPr>
            <w:r>
              <w:rPr>
                <w:rFonts w:hint="eastAsia" w:ascii="宋体" w:hAnsi="宋体" w:cs="宋体"/>
                <w:b/>
                <w:bCs/>
                <w:color w:val="auto"/>
                <w:szCs w:val="21"/>
                <w:highlight w:val="none"/>
              </w:rPr>
              <w:t>中标金额</w:t>
            </w:r>
          </w:p>
          <w:p w14:paraId="328710D2">
            <w:pPr>
              <w:wordWrap w:val="0"/>
              <w:jc w:val="center"/>
              <w:rPr>
                <w:rFonts w:ascii="宋体" w:hAnsi="宋体" w:cs="宋体"/>
                <w:b/>
                <w:bCs/>
                <w:color w:val="auto"/>
                <w:szCs w:val="21"/>
                <w:highlight w:val="none"/>
              </w:rPr>
            </w:pPr>
            <w:r>
              <w:rPr>
                <w:rFonts w:hint="eastAsia" w:ascii="宋体" w:hAnsi="宋体" w:cs="宋体"/>
                <w:b/>
                <w:bCs/>
                <w:color w:val="auto"/>
                <w:szCs w:val="21"/>
                <w:highlight w:val="none"/>
              </w:rPr>
              <w:t>（设中标金额为X）</w:t>
            </w:r>
          </w:p>
        </w:tc>
        <w:tc>
          <w:tcPr>
            <w:tcW w:w="3396" w:type="pct"/>
            <w:gridSpan w:val="3"/>
            <w:vAlign w:val="center"/>
          </w:tcPr>
          <w:p w14:paraId="07B183E4">
            <w:pPr>
              <w:wordWrap w:val="0"/>
              <w:adjustRightInd w:val="0"/>
              <w:snapToGrid w:val="0"/>
              <w:jc w:val="center"/>
              <w:rPr>
                <w:rFonts w:ascii="宋体" w:hAnsi="宋体" w:cs="宋体"/>
                <w:b/>
                <w:bCs/>
                <w:color w:val="auto"/>
                <w:szCs w:val="21"/>
                <w:highlight w:val="none"/>
              </w:rPr>
            </w:pPr>
            <w:r>
              <w:rPr>
                <w:rFonts w:hint="eastAsia" w:ascii="宋体" w:hAnsi="宋体" w:cs="宋体"/>
                <w:b/>
                <w:bCs/>
                <w:color w:val="auto"/>
                <w:szCs w:val="21"/>
                <w:highlight w:val="none"/>
              </w:rPr>
              <w:t>费率</w:t>
            </w:r>
          </w:p>
        </w:tc>
      </w:tr>
      <w:tr w14:paraId="62071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1603" w:type="pct"/>
            <w:vMerge w:val="continue"/>
            <w:vAlign w:val="center"/>
          </w:tcPr>
          <w:p w14:paraId="50D14E73">
            <w:pPr>
              <w:wordWrap w:val="0"/>
              <w:jc w:val="center"/>
              <w:rPr>
                <w:rFonts w:ascii="宋体" w:hAnsi="宋体" w:cs="宋体"/>
                <w:b/>
                <w:bCs/>
                <w:color w:val="auto"/>
                <w:szCs w:val="21"/>
                <w:highlight w:val="none"/>
              </w:rPr>
            </w:pPr>
          </w:p>
        </w:tc>
        <w:tc>
          <w:tcPr>
            <w:tcW w:w="1131" w:type="pct"/>
            <w:vAlign w:val="center"/>
          </w:tcPr>
          <w:p w14:paraId="51440890">
            <w:pPr>
              <w:wordWrap w:val="0"/>
              <w:jc w:val="center"/>
              <w:rPr>
                <w:rFonts w:ascii="宋体" w:hAnsi="宋体" w:cs="宋体"/>
                <w:b/>
                <w:bCs/>
                <w:color w:val="auto"/>
                <w:szCs w:val="21"/>
                <w:highlight w:val="none"/>
              </w:rPr>
            </w:pPr>
            <w:r>
              <w:rPr>
                <w:rFonts w:hint="eastAsia" w:ascii="宋体" w:hAnsi="宋体" w:cs="宋体"/>
                <w:b/>
                <w:bCs/>
                <w:color w:val="auto"/>
                <w:szCs w:val="21"/>
                <w:highlight w:val="none"/>
              </w:rPr>
              <w:t>货物采购</w:t>
            </w:r>
          </w:p>
        </w:tc>
        <w:tc>
          <w:tcPr>
            <w:tcW w:w="1131" w:type="pct"/>
            <w:vAlign w:val="center"/>
          </w:tcPr>
          <w:p w14:paraId="7652B1F0">
            <w:pPr>
              <w:wordWrap w:val="0"/>
              <w:adjustRightInd w:val="0"/>
              <w:snapToGrid w:val="0"/>
              <w:jc w:val="center"/>
              <w:rPr>
                <w:rFonts w:ascii="宋体" w:hAnsi="宋体" w:cs="宋体"/>
                <w:b/>
                <w:bCs/>
                <w:color w:val="auto"/>
                <w:szCs w:val="21"/>
                <w:highlight w:val="none"/>
              </w:rPr>
            </w:pPr>
            <w:r>
              <w:rPr>
                <w:rFonts w:hint="eastAsia" w:ascii="宋体" w:hAnsi="宋体" w:cs="宋体"/>
                <w:b/>
                <w:bCs/>
                <w:color w:val="auto"/>
                <w:szCs w:val="21"/>
                <w:highlight w:val="none"/>
              </w:rPr>
              <w:t>服务</w:t>
            </w:r>
          </w:p>
        </w:tc>
        <w:tc>
          <w:tcPr>
            <w:tcW w:w="1133" w:type="pct"/>
            <w:vAlign w:val="center"/>
          </w:tcPr>
          <w:p w14:paraId="322731B8">
            <w:pPr>
              <w:wordWrap w:val="0"/>
              <w:adjustRightInd w:val="0"/>
              <w:snapToGrid w:val="0"/>
              <w:jc w:val="center"/>
              <w:rPr>
                <w:rFonts w:ascii="宋体" w:hAnsi="宋体" w:cs="宋体"/>
                <w:b/>
                <w:bCs/>
                <w:color w:val="auto"/>
                <w:szCs w:val="21"/>
                <w:highlight w:val="none"/>
              </w:rPr>
            </w:pPr>
            <w:r>
              <w:rPr>
                <w:rFonts w:hint="eastAsia" w:ascii="宋体" w:hAnsi="宋体" w:cs="宋体"/>
                <w:b/>
                <w:bCs/>
                <w:color w:val="auto"/>
                <w:szCs w:val="21"/>
                <w:highlight w:val="none"/>
              </w:rPr>
              <w:t>工程建设</w:t>
            </w:r>
          </w:p>
        </w:tc>
      </w:tr>
      <w:tr w14:paraId="178A8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2FEDE22D">
            <w:pPr>
              <w:wordWrap w:val="0"/>
              <w:jc w:val="center"/>
              <w:rPr>
                <w:rFonts w:ascii="宋体" w:hAnsi="宋体" w:cs="宋体"/>
                <w:color w:val="auto"/>
                <w:szCs w:val="21"/>
                <w:highlight w:val="none"/>
              </w:rPr>
            </w:pPr>
            <w:r>
              <w:rPr>
                <w:rFonts w:hint="eastAsia" w:ascii="宋体" w:hAnsi="宋体" w:cs="宋体"/>
                <w:color w:val="auto"/>
                <w:szCs w:val="21"/>
                <w:highlight w:val="none"/>
              </w:rPr>
              <w:t>X≤100万元</w:t>
            </w:r>
          </w:p>
        </w:tc>
        <w:tc>
          <w:tcPr>
            <w:tcW w:w="1131" w:type="pct"/>
            <w:vAlign w:val="center"/>
          </w:tcPr>
          <w:p w14:paraId="35CD3F91">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1.5%</w:t>
            </w:r>
          </w:p>
        </w:tc>
        <w:tc>
          <w:tcPr>
            <w:tcW w:w="1131" w:type="pct"/>
            <w:vAlign w:val="center"/>
          </w:tcPr>
          <w:p w14:paraId="585F5DCA">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1.5%</w:t>
            </w:r>
          </w:p>
        </w:tc>
        <w:tc>
          <w:tcPr>
            <w:tcW w:w="1133" w:type="pct"/>
            <w:vAlign w:val="center"/>
          </w:tcPr>
          <w:p w14:paraId="5A1CE6BD">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1.0%</w:t>
            </w:r>
          </w:p>
        </w:tc>
      </w:tr>
      <w:tr w14:paraId="71809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5A6FC3F3">
            <w:pPr>
              <w:wordWrap w:val="0"/>
              <w:jc w:val="center"/>
              <w:rPr>
                <w:rFonts w:ascii="宋体" w:hAnsi="宋体" w:cs="宋体"/>
                <w:color w:val="auto"/>
                <w:szCs w:val="21"/>
                <w:highlight w:val="none"/>
              </w:rPr>
            </w:pPr>
            <w:r>
              <w:rPr>
                <w:rFonts w:hint="eastAsia" w:ascii="宋体" w:hAnsi="宋体" w:cs="宋体"/>
                <w:color w:val="auto"/>
                <w:szCs w:val="21"/>
                <w:highlight w:val="none"/>
              </w:rPr>
              <w:t>100万元＜X≤500万元</w:t>
            </w:r>
          </w:p>
        </w:tc>
        <w:tc>
          <w:tcPr>
            <w:tcW w:w="1131" w:type="pct"/>
            <w:vAlign w:val="center"/>
          </w:tcPr>
          <w:p w14:paraId="0F0DBE86">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1.1%</w:t>
            </w:r>
          </w:p>
        </w:tc>
        <w:tc>
          <w:tcPr>
            <w:tcW w:w="1131" w:type="pct"/>
            <w:vAlign w:val="center"/>
          </w:tcPr>
          <w:p w14:paraId="332A05F4">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0.8%</w:t>
            </w:r>
          </w:p>
        </w:tc>
        <w:tc>
          <w:tcPr>
            <w:tcW w:w="1133" w:type="pct"/>
            <w:vAlign w:val="center"/>
          </w:tcPr>
          <w:p w14:paraId="255492DA">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0.7%</w:t>
            </w:r>
          </w:p>
        </w:tc>
      </w:tr>
      <w:tr w14:paraId="3148A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062D78C4">
            <w:pPr>
              <w:wordWrap w:val="0"/>
              <w:adjustRightInd w:val="0"/>
              <w:snapToGrid w:val="0"/>
              <w:jc w:val="center"/>
              <w:rPr>
                <w:rFonts w:ascii="宋体" w:hAnsi="宋体" w:cs="宋体"/>
                <w:bCs/>
                <w:color w:val="auto"/>
                <w:szCs w:val="21"/>
                <w:highlight w:val="none"/>
              </w:rPr>
            </w:pPr>
            <w:r>
              <w:rPr>
                <w:rFonts w:hint="eastAsia" w:ascii="宋体" w:hAnsi="宋体" w:cs="宋体"/>
                <w:color w:val="auto"/>
                <w:szCs w:val="21"/>
                <w:highlight w:val="none"/>
              </w:rPr>
              <w:t>500万元＜X≤1000万元</w:t>
            </w:r>
          </w:p>
        </w:tc>
        <w:tc>
          <w:tcPr>
            <w:tcW w:w="1131" w:type="pct"/>
            <w:vAlign w:val="center"/>
          </w:tcPr>
          <w:p w14:paraId="5C7014D1">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0.8%</w:t>
            </w:r>
          </w:p>
        </w:tc>
        <w:tc>
          <w:tcPr>
            <w:tcW w:w="1131" w:type="pct"/>
            <w:vAlign w:val="center"/>
          </w:tcPr>
          <w:p w14:paraId="1ECB4BB7">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0.45%</w:t>
            </w:r>
          </w:p>
        </w:tc>
        <w:tc>
          <w:tcPr>
            <w:tcW w:w="1133" w:type="pct"/>
            <w:vAlign w:val="center"/>
          </w:tcPr>
          <w:p w14:paraId="6F779FD3">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0.55%</w:t>
            </w:r>
          </w:p>
        </w:tc>
      </w:tr>
      <w:tr w14:paraId="78D26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715DA29F">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1000-5000万元</w:t>
            </w:r>
          </w:p>
        </w:tc>
        <w:tc>
          <w:tcPr>
            <w:tcW w:w="1131" w:type="pct"/>
            <w:vAlign w:val="center"/>
          </w:tcPr>
          <w:p w14:paraId="3FCDD289">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0.5%</w:t>
            </w:r>
          </w:p>
        </w:tc>
        <w:tc>
          <w:tcPr>
            <w:tcW w:w="1131" w:type="pct"/>
            <w:vAlign w:val="center"/>
          </w:tcPr>
          <w:p w14:paraId="324CA134">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0.25%</w:t>
            </w:r>
          </w:p>
        </w:tc>
        <w:tc>
          <w:tcPr>
            <w:tcW w:w="1133" w:type="pct"/>
            <w:vAlign w:val="center"/>
          </w:tcPr>
          <w:p w14:paraId="3D5E751C">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0.35%</w:t>
            </w:r>
          </w:p>
        </w:tc>
      </w:tr>
      <w:tr w14:paraId="79276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3C07A4FE">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5000万元-1亿元</w:t>
            </w:r>
          </w:p>
        </w:tc>
        <w:tc>
          <w:tcPr>
            <w:tcW w:w="1131" w:type="pct"/>
            <w:vAlign w:val="center"/>
          </w:tcPr>
          <w:p w14:paraId="7A15939B">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0.25%</w:t>
            </w:r>
          </w:p>
        </w:tc>
        <w:tc>
          <w:tcPr>
            <w:tcW w:w="1131" w:type="pct"/>
            <w:vAlign w:val="center"/>
          </w:tcPr>
          <w:p w14:paraId="4CFB34BB">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0.1%</w:t>
            </w:r>
          </w:p>
        </w:tc>
        <w:tc>
          <w:tcPr>
            <w:tcW w:w="1133" w:type="pct"/>
            <w:vAlign w:val="center"/>
          </w:tcPr>
          <w:p w14:paraId="28838A71">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0.2%</w:t>
            </w:r>
          </w:p>
        </w:tc>
      </w:tr>
      <w:tr w14:paraId="0E12E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1D7CA00E">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1-5亿元</w:t>
            </w:r>
          </w:p>
        </w:tc>
        <w:tc>
          <w:tcPr>
            <w:tcW w:w="1131" w:type="pct"/>
            <w:vAlign w:val="center"/>
          </w:tcPr>
          <w:p w14:paraId="1DE69468">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0.05%</w:t>
            </w:r>
          </w:p>
        </w:tc>
        <w:tc>
          <w:tcPr>
            <w:tcW w:w="1131" w:type="pct"/>
            <w:vAlign w:val="center"/>
          </w:tcPr>
          <w:p w14:paraId="6219AE69">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0.05%</w:t>
            </w:r>
          </w:p>
        </w:tc>
        <w:tc>
          <w:tcPr>
            <w:tcW w:w="1133" w:type="pct"/>
            <w:vAlign w:val="center"/>
          </w:tcPr>
          <w:p w14:paraId="6BBC790D">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0.05%</w:t>
            </w:r>
          </w:p>
        </w:tc>
      </w:tr>
      <w:tr w14:paraId="14350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318D37FE">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5-10亿元</w:t>
            </w:r>
          </w:p>
        </w:tc>
        <w:tc>
          <w:tcPr>
            <w:tcW w:w="1131" w:type="pct"/>
            <w:vAlign w:val="center"/>
          </w:tcPr>
          <w:p w14:paraId="7163F367">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0.035%</w:t>
            </w:r>
          </w:p>
        </w:tc>
        <w:tc>
          <w:tcPr>
            <w:tcW w:w="1131" w:type="pct"/>
            <w:vAlign w:val="center"/>
          </w:tcPr>
          <w:p w14:paraId="7A23737E">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0.035%</w:t>
            </w:r>
          </w:p>
        </w:tc>
        <w:tc>
          <w:tcPr>
            <w:tcW w:w="1133" w:type="pct"/>
            <w:vAlign w:val="center"/>
          </w:tcPr>
          <w:p w14:paraId="5252FAA2">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0.035%</w:t>
            </w:r>
          </w:p>
        </w:tc>
      </w:tr>
      <w:tr w14:paraId="3AF6E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745C475C">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10-50亿元</w:t>
            </w:r>
          </w:p>
        </w:tc>
        <w:tc>
          <w:tcPr>
            <w:tcW w:w="1131" w:type="pct"/>
            <w:vAlign w:val="center"/>
          </w:tcPr>
          <w:p w14:paraId="7261CC5D">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0.008%</w:t>
            </w:r>
          </w:p>
        </w:tc>
        <w:tc>
          <w:tcPr>
            <w:tcW w:w="1131" w:type="pct"/>
            <w:vAlign w:val="center"/>
          </w:tcPr>
          <w:p w14:paraId="03614954">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0.008%</w:t>
            </w:r>
          </w:p>
        </w:tc>
        <w:tc>
          <w:tcPr>
            <w:tcW w:w="1133" w:type="pct"/>
            <w:vAlign w:val="center"/>
          </w:tcPr>
          <w:p w14:paraId="5D94D597">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0.008%</w:t>
            </w:r>
          </w:p>
        </w:tc>
      </w:tr>
      <w:tr w14:paraId="4E44D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56375FF7">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50-100亿元</w:t>
            </w:r>
          </w:p>
        </w:tc>
        <w:tc>
          <w:tcPr>
            <w:tcW w:w="1131" w:type="pct"/>
            <w:vAlign w:val="center"/>
          </w:tcPr>
          <w:p w14:paraId="0EA49BFD">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0.006%</w:t>
            </w:r>
          </w:p>
        </w:tc>
        <w:tc>
          <w:tcPr>
            <w:tcW w:w="1131" w:type="pct"/>
            <w:vAlign w:val="center"/>
          </w:tcPr>
          <w:p w14:paraId="6E76DD44">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0.006%</w:t>
            </w:r>
          </w:p>
        </w:tc>
        <w:tc>
          <w:tcPr>
            <w:tcW w:w="1133" w:type="pct"/>
            <w:vAlign w:val="center"/>
          </w:tcPr>
          <w:p w14:paraId="3DBCD9D3">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0.006%</w:t>
            </w:r>
          </w:p>
        </w:tc>
      </w:tr>
      <w:tr w14:paraId="72360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03" w:type="pct"/>
            <w:vAlign w:val="center"/>
          </w:tcPr>
          <w:p w14:paraId="7E20D493">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100亿元以上</w:t>
            </w:r>
          </w:p>
        </w:tc>
        <w:tc>
          <w:tcPr>
            <w:tcW w:w="1131" w:type="pct"/>
            <w:vAlign w:val="center"/>
          </w:tcPr>
          <w:p w14:paraId="78558D38">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0.004%</w:t>
            </w:r>
          </w:p>
        </w:tc>
        <w:tc>
          <w:tcPr>
            <w:tcW w:w="1131" w:type="pct"/>
            <w:vAlign w:val="center"/>
          </w:tcPr>
          <w:p w14:paraId="63DDFC3E">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0.004%</w:t>
            </w:r>
          </w:p>
        </w:tc>
        <w:tc>
          <w:tcPr>
            <w:tcW w:w="1133" w:type="pct"/>
            <w:vAlign w:val="center"/>
          </w:tcPr>
          <w:p w14:paraId="51CE39C4">
            <w:pPr>
              <w:wordWrap w:val="0"/>
              <w:adjustRightInd w:val="0"/>
              <w:snapToGrid w:val="0"/>
              <w:jc w:val="center"/>
              <w:rPr>
                <w:rFonts w:ascii="宋体" w:hAnsi="宋体" w:cs="宋体"/>
                <w:bCs/>
                <w:color w:val="auto"/>
                <w:szCs w:val="21"/>
                <w:highlight w:val="none"/>
              </w:rPr>
            </w:pPr>
            <w:r>
              <w:rPr>
                <w:rFonts w:hint="eastAsia" w:ascii="宋体" w:hAnsi="宋体" w:cs="宋体"/>
                <w:bCs/>
                <w:color w:val="auto"/>
                <w:szCs w:val="21"/>
                <w:highlight w:val="none"/>
              </w:rPr>
              <w:t>0.004%</w:t>
            </w:r>
          </w:p>
        </w:tc>
      </w:tr>
      <w:tr w14:paraId="7F686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8" w:hRule="exact"/>
        </w:trPr>
        <w:tc>
          <w:tcPr>
            <w:tcW w:w="5000" w:type="pct"/>
            <w:gridSpan w:val="4"/>
            <w:vAlign w:val="center"/>
          </w:tcPr>
          <w:p w14:paraId="00CB5DA0">
            <w:pPr>
              <w:tabs>
                <w:tab w:val="left" w:pos="2590"/>
              </w:tabs>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计算说明：</w:t>
            </w:r>
          </w:p>
          <w:p w14:paraId="7DB6C832">
            <w:pPr>
              <w:tabs>
                <w:tab w:val="left" w:pos="2590"/>
              </w:tabs>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招标代理服务收费按上述费率进行差额累进制计算。例如：某货物采购招标代理业务中标金额为6000万元，招标代理服务费计算如下：</w:t>
            </w:r>
          </w:p>
          <w:p w14:paraId="23C5A977">
            <w:pPr>
              <w:tabs>
                <w:tab w:val="left" w:pos="2590"/>
              </w:tabs>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1.100万元×1.5％＝1.5万元</w:t>
            </w:r>
          </w:p>
          <w:p w14:paraId="030E9FF7">
            <w:pPr>
              <w:tabs>
                <w:tab w:val="left" w:pos="2590"/>
              </w:tabs>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2.（500一100）万元×1.1％＝4.4万元</w:t>
            </w:r>
          </w:p>
          <w:p w14:paraId="08331B92">
            <w:pPr>
              <w:tabs>
                <w:tab w:val="left" w:pos="2590"/>
              </w:tabs>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3.（1000－500）万元×0.8％＝4万元</w:t>
            </w:r>
          </w:p>
          <w:p w14:paraId="2A3D3ED8">
            <w:pPr>
              <w:tabs>
                <w:tab w:val="left" w:pos="2590"/>
              </w:tabs>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4.（5000—1000）万元×0.5％＝20万元</w:t>
            </w:r>
          </w:p>
          <w:p w14:paraId="5063D7E2">
            <w:pPr>
              <w:tabs>
                <w:tab w:val="left" w:pos="2590"/>
              </w:tabs>
              <w:wordWrap w:val="0"/>
              <w:adjustRightInd w:val="0"/>
              <w:snapToGrid w:val="0"/>
              <w:rPr>
                <w:rFonts w:ascii="宋体" w:hAnsi="宋体" w:cs="宋体"/>
                <w:color w:val="auto"/>
                <w:szCs w:val="21"/>
                <w:highlight w:val="none"/>
              </w:rPr>
            </w:pPr>
            <w:r>
              <w:rPr>
                <w:rFonts w:hint="eastAsia" w:ascii="宋体" w:hAnsi="宋体" w:cs="宋体"/>
                <w:color w:val="auto"/>
                <w:szCs w:val="21"/>
                <w:highlight w:val="none"/>
              </w:rPr>
              <w:t>5.（6000—5000）万元×0.25％＝2.5万元</w:t>
            </w:r>
          </w:p>
          <w:p w14:paraId="1A8D5E18">
            <w:pPr>
              <w:wordWrap w:val="0"/>
              <w:rPr>
                <w:rFonts w:ascii="宋体" w:hAnsi="宋体" w:cs="宋体"/>
                <w:bCs/>
                <w:color w:val="auto"/>
                <w:szCs w:val="21"/>
                <w:highlight w:val="none"/>
              </w:rPr>
            </w:pPr>
            <w:r>
              <w:rPr>
                <w:rFonts w:hint="eastAsia" w:ascii="宋体" w:hAnsi="宋体" w:cs="宋体"/>
                <w:color w:val="auto"/>
                <w:szCs w:val="21"/>
                <w:highlight w:val="none"/>
              </w:rPr>
              <w:t>6.合计收费为：1.5十4.4＋4＋20＋2.5＝32.4（万元）</w:t>
            </w:r>
          </w:p>
        </w:tc>
      </w:tr>
    </w:tbl>
    <w:p w14:paraId="071B818B">
      <w:pPr>
        <w:wordWrap w:val="0"/>
        <w:rPr>
          <w:rFonts w:hint="eastAsia" w:hAnsi="宋体"/>
          <w:b/>
          <w:color w:val="auto"/>
          <w:sz w:val="24"/>
          <w:szCs w:val="24"/>
          <w:highlight w:val="none"/>
        </w:rPr>
      </w:pPr>
    </w:p>
    <w:p w14:paraId="2C52A547">
      <w:pPr>
        <w:wordWrap w:val="0"/>
        <w:spacing w:line="360" w:lineRule="auto"/>
        <w:ind w:left="360"/>
        <w:rPr>
          <w:rFonts w:hAnsi="宋体"/>
          <w:b/>
          <w:color w:val="auto"/>
          <w:sz w:val="24"/>
          <w:szCs w:val="24"/>
          <w:highlight w:val="none"/>
        </w:rPr>
      </w:pPr>
    </w:p>
    <w:p w14:paraId="5F3EB7AD">
      <w:pPr>
        <w:wordWrap w:val="0"/>
        <w:spacing w:line="360" w:lineRule="auto"/>
        <w:ind w:left="360"/>
        <w:rPr>
          <w:rFonts w:hAnsi="宋体"/>
          <w:b/>
          <w:color w:val="auto"/>
          <w:sz w:val="24"/>
          <w:szCs w:val="24"/>
          <w:highlight w:val="none"/>
        </w:rPr>
      </w:pPr>
    </w:p>
    <w:p w14:paraId="139A3AD5">
      <w:pPr>
        <w:pStyle w:val="2"/>
        <w:rPr>
          <w:rFonts w:hAnsi="宋体"/>
          <w:b/>
          <w:color w:val="auto"/>
          <w:sz w:val="24"/>
          <w:szCs w:val="24"/>
          <w:highlight w:val="none"/>
        </w:rPr>
      </w:pPr>
    </w:p>
    <w:p w14:paraId="68F3C724">
      <w:pPr>
        <w:rPr>
          <w:rFonts w:hAnsi="宋体"/>
          <w:b/>
          <w:color w:val="auto"/>
          <w:sz w:val="24"/>
          <w:szCs w:val="24"/>
          <w:highlight w:val="none"/>
        </w:rPr>
      </w:pPr>
    </w:p>
    <w:p w14:paraId="45370847">
      <w:pPr>
        <w:pStyle w:val="2"/>
        <w:rPr>
          <w:color w:val="auto"/>
          <w:highlight w:val="none"/>
        </w:rPr>
      </w:pPr>
    </w:p>
    <w:p w14:paraId="56BEBC28">
      <w:pPr>
        <w:numPr>
          <w:ilvl w:val="-1"/>
          <w:numId w:val="0"/>
        </w:numPr>
        <w:wordWrap/>
        <w:spacing w:line="240" w:lineRule="auto"/>
        <w:ind w:leftChars="0"/>
        <w:rPr>
          <w:rFonts w:hint="eastAsia" w:hAnsi="宋体"/>
          <w:b/>
          <w:color w:val="auto"/>
          <w:sz w:val="24"/>
          <w:szCs w:val="24"/>
          <w:highlight w:val="none"/>
          <w:lang w:eastAsia="zh-CN"/>
        </w:rPr>
      </w:pPr>
      <w:r>
        <w:rPr>
          <w:rFonts w:hint="eastAsia" w:hAnsi="宋体"/>
          <w:b/>
          <w:color w:val="auto"/>
          <w:sz w:val="24"/>
          <w:szCs w:val="24"/>
          <w:highlight w:val="none"/>
          <w:lang w:eastAsia="zh-CN"/>
        </w:rPr>
        <w:br w:type="page"/>
      </w:r>
    </w:p>
    <w:p w14:paraId="01FFA467">
      <w:pPr>
        <w:numPr>
          <w:ilvl w:val="0"/>
          <w:numId w:val="0"/>
        </w:numPr>
        <w:wordWrap w:val="0"/>
        <w:spacing w:line="360" w:lineRule="auto"/>
        <w:ind w:leftChars="0"/>
        <w:rPr>
          <w:rFonts w:hAnsi="宋体"/>
          <w:b/>
          <w:color w:val="auto"/>
          <w:sz w:val="24"/>
          <w:szCs w:val="24"/>
          <w:highlight w:val="none"/>
        </w:rPr>
      </w:pPr>
      <w:r>
        <w:rPr>
          <w:rFonts w:hint="eastAsia" w:hAnsi="宋体"/>
          <w:b/>
          <w:color w:val="auto"/>
          <w:sz w:val="24"/>
          <w:szCs w:val="24"/>
          <w:highlight w:val="none"/>
          <w:lang w:eastAsia="zh-CN"/>
        </w:rPr>
        <w:t>表</w:t>
      </w:r>
      <w:r>
        <w:rPr>
          <w:rFonts w:hint="eastAsia" w:hAnsi="宋体"/>
          <w:b/>
          <w:color w:val="auto"/>
          <w:sz w:val="24"/>
          <w:szCs w:val="24"/>
          <w:highlight w:val="none"/>
          <w:lang w:val="en-US" w:eastAsia="zh-CN"/>
        </w:rPr>
        <w:t>2：</w:t>
      </w:r>
      <w:r>
        <w:rPr>
          <w:rFonts w:hint="eastAsia" w:hAnsi="宋体"/>
          <w:b/>
          <w:color w:val="auto"/>
          <w:sz w:val="24"/>
          <w:szCs w:val="24"/>
          <w:highlight w:val="none"/>
        </w:rPr>
        <w:t>招标代理服务费取费标准</w:t>
      </w:r>
    </w:p>
    <w:tbl>
      <w:tblPr>
        <w:tblStyle w:val="64"/>
        <w:tblW w:w="51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9"/>
        <w:gridCol w:w="5079"/>
        <w:gridCol w:w="3427"/>
      </w:tblGrid>
      <w:tr w14:paraId="321DB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845" w:type="pct"/>
            <w:vAlign w:val="center"/>
          </w:tcPr>
          <w:p w14:paraId="2FAE9EA9">
            <w:pPr>
              <w:pStyle w:val="111"/>
              <w:wordWrap w:val="0"/>
              <w:ind w:left="113"/>
              <w:jc w:val="center"/>
              <w:rPr>
                <w:b/>
                <w:color w:val="auto"/>
                <w:sz w:val="21"/>
                <w:szCs w:val="21"/>
                <w:highlight w:val="none"/>
              </w:rPr>
            </w:pPr>
            <w:r>
              <w:rPr>
                <w:rFonts w:hint="eastAsia"/>
                <w:b/>
                <w:color w:val="auto"/>
                <w:sz w:val="21"/>
                <w:szCs w:val="21"/>
                <w:highlight w:val="none"/>
              </w:rPr>
              <w:t>类别</w:t>
            </w:r>
          </w:p>
        </w:tc>
        <w:tc>
          <w:tcPr>
            <w:tcW w:w="2481" w:type="pct"/>
            <w:vAlign w:val="center"/>
          </w:tcPr>
          <w:p w14:paraId="27444C0A">
            <w:pPr>
              <w:pStyle w:val="111"/>
              <w:wordWrap w:val="0"/>
              <w:ind w:left="113"/>
              <w:jc w:val="center"/>
              <w:rPr>
                <w:b/>
                <w:color w:val="auto"/>
                <w:sz w:val="21"/>
                <w:szCs w:val="21"/>
                <w:highlight w:val="none"/>
                <w:lang w:eastAsia="zh-CN"/>
              </w:rPr>
            </w:pPr>
            <w:r>
              <w:rPr>
                <w:rFonts w:hint="eastAsia"/>
                <w:b/>
                <w:color w:val="auto"/>
                <w:sz w:val="21"/>
                <w:szCs w:val="21"/>
                <w:highlight w:val="none"/>
                <w:lang w:eastAsia="zh-CN"/>
              </w:rPr>
              <w:t>中标金额</w:t>
            </w:r>
          </w:p>
          <w:p w14:paraId="6B3803CA">
            <w:pPr>
              <w:pStyle w:val="111"/>
              <w:wordWrap w:val="0"/>
              <w:ind w:left="113"/>
              <w:jc w:val="center"/>
              <w:rPr>
                <w:b/>
                <w:color w:val="auto"/>
                <w:sz w:val="21"/>
                <w:szCs w:val="21"/>
                <w:highlight w:val="none"/>
                <w:lang w:eastAsia="zh-CN"/>
              </w:rPr>
            </w:pPr>
            <w:r>
              <w:rPr>
                <w:rFonts w:hint="eastAsia"/>
                <w:b/>
                <w:bCs/>
                <w:color w:val="auto"/>
                <w:sz w:val="21"/>
                <w:szCs w:val="21"/>
                <w:highlight w:val="none"/>
                <w:lang w:eastAsia="zh-CN"/>
              </w:rPr>
              <w:t>（设中标金额为X）</w:t>
            </w:r>
          </w:p>
        </w:tc>
        <w:tc>
          <w:tcPr>
            <w:tcW w:w="1673" w:type="pct"/>
            <w:vAlign w:val="center"/>
          </w:tcPr>
          <w:p w14:paraId="60644353">
            <w:pPr>
              <w:pStyle w:val="111"/>
              <w:wordWrap w:val="0"/>
              <w:ind w:left="113"/>
              <w:jc w:val="center"/>
              <w:rPr>
                <w:b/>
                <w:color w:val="auto"/>
                <w:sz w:val="21"/>
                <w:szCs w:val="21"/>
                <w:highlight w:val="none"/>
              </w:rPr>
            </w:pPr>
            <w:r>
              <w:rPr>
                <w:rFonts w:hint="eastAsia"/>
                <w:b/>
                <w:color w:val="auto"/>
                <w:sz w:val="21"/>
                <w:szCs w:val="21"/>
                <w:highlight w:val="none"/>
              </w:rPr>
              <w:t>取费率</w:t>
            </w:r>
          </w:p>
        </w:tc>
      </w:tr>
      <w:tr w14:paraId="1F882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restart"/>
            <w:vAlign w:val="center"/>
          </w:tcPr>
          <w:p w14:paraId="58EDCDAE">
            <w:pPr>
              <w:pStyle w:val="111"/>
              <w:wordWrap w:val="0"/>
              <w:ind w:left="113"/>
              <w:jc w:val="center"/>
              <w:rPr>
                <w:b/>
                <w:color w:val="auto"/>
                <w:sz w:val="21"/>
                <w:szCs w:val="21"/>
                <w:highlight w:val="none"/>
              </w:rPr>
            </w:pPr>
            <w:r>
              <w:rPr>
                <w:rFonts w:hint="eastAsia"/>
                <w:b/>
                <w:color w:val="auto"/>
                <w:sz w:val="21"/>
                <w:szCs w:val="21"/>
                <w:highlight w:val="none"/>
              </w:rPr>
              <w:t>货物采购</w:t>
            </w:r>
          </w:p>
        </w:tc>
        <w:tc>
          <w:tcPr>
            <w:tcW w:w="2481" w:type="pct"/>
            <w:vAlign w:val="center"/>
          </w:tcPr>
          <w:p w14:paraId="05E67E62">
            <w:pPr>
              <w:pStyle w:val="111"/>
              <w:wordWrap w:val="0"/>
              <w:ind w:left="113"/>
              <w:jc w:val="center"/>
              <w:rPr>
                <w:color w:val="auto"/>
                <w:sz w:val="21"/>
                <w:szCs w:val="21"/>
                <w:highlight w:val="none"/>
              </w:rPr>
            </w:pPr>
            <w:r>
              <w:rPr>
                <w:rFonts w:hint="eastAsia"/>
                <w:color w:val="auto"/>
                <w:sz w:val="21"/>
                <w:szCs w:val="21"/>
                <w:highlight w:val="none"/>
              </w:rPr>
              <w:t>1000万元＜X≤2000万元</w:t>
            </w:r>
          </w:p>
        </w:tc>
        <w:tc>
          <w:tcPr>
            <w:tcW w:w="1673" w:type="pct"/>
            <w:vAlign w:val="center"/>
          </w:tcPr>
          <w:p w14:paraId="51471025">
            <w:pPr>
              <w:pStyle w:val="111"/>
              <w:wordWrap w:val="0"/>
              <w:ind w:left="113"/>
              <w:jc w:val="center"/>
              <w:rPr>
                <w:color w:val="auto"/>
                <w:sz w:val="21"/>
                <w:szCs w:val="21"/>
                <w:highlight w:val="none"/>
              </w:rPr>
            </w:pPr>
            <w:r>
              <w:rPr>
                <w:rFonts w:hint="eastAsia"/>
                <w:color w:val="auto"/>
                <w:sz w:val="21"/>
                <w:szCs w:val="21"/>
                <w:highlight w:val="none"/>
              </w:rPr>
              <w:t>80%</w:t>
            </w:r>
          </w:p>
        </w:tc>
      </w:tr>
      <w:tr w14:paraId="2142B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continue"/>
            <w:vAlign w:val="center"/>
          </w:tcPr>
          <w:p w14:paraId="36B866F8">
            <w:pPr>
              <w:widowControl/>
              <w:wordWrap w:val="0"/>
              <w:jc w:val="left"/>
              <w:rPr>
                <w:rFonts w:ascii="宋体" w:hAnsi="宋体" w:cs="宋体"/>
                <w:b/>
                <w:color w:val="auto"/>
                <w:szCs w:val="21"/>
                <w:highlight w:val="none"/>
              </w:rPr>
            </w:pPr>
          </w:p>
        </w:tc>
        <w:tc>
          <w:tcPr>
            <w:tcW w:w="2481" w:type="pct"/>
            <w:vAlign w:val="center"/>
          </w:tcPr>
          <w:p w14:paraId="2028B2BF">
            <w:pPr>
              <w:pStyle w:val="111"/>
              <w:wordWrap w:val="0"/>
              <w:ind w:left="113"/>
              <w:jc w:val="center"/>
              <w:rPr>
                <w:color w:val="auto"/>
                <w:sz w:val="21"/>
                <w:szCs w:val="21"/>
                <w:highlight w:val="none"/>
              </w:rPr>
            </w:pPr>
            <w:r>
              <w:rPr>
                <w:rFonts w:hint="eastAsia"/>
                <w:color w:val="auto"/>
                <w:sz w:val="21"/>
                <w:szCs w:val="21"/>
                <w:highlight w:val="none"/>
              </w:rPr>
              <w:t>2000万元＜X≤3000万元</w:t>
            </w:r>
          </w:p>
        </w:tc>
        <w:tc>
          <w:tcPr>
            <w:tcW w:w="1673" w:type="pct"/>
            <w:vAlign w:val="center"/>
          </w:tcPr>
          <w:p w14:paraId="7F3F1B5F">
            <w:pPr>
              <w:pStyle w:val="111"/>
              <w:wordWrap w:val="0"/>
              <w:ind w:left="113"/>
              <w:jc w:val="center"/>
              <w:rPr>
                <w:color w:val="auto"/>
                <w:sz w:val="21"/>
                <w:szCs w:val="21"/>
                <w:highlight w:val="none"/>
              </w:rPr>
            </w:pPr>
            <w:r>
              <w:rPr>
                <w:rFonts w:hint="eastAsia"/>
                <w:color w:val="auto"/>
                <w:sz w:val="21"/>
                <w:szCs w:val="21"/>
                <w:highlight w:val="none"/>
              </w:rPr>
              <w:t>75%</w:t>
            </w:r>
          </w:p>
        </w:tc>
      </w:tr>
      <w:tr w14:paraId="0A431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continue"/>
            <w:vAlign w:val="center"/>
          </w:tcPr>
          <w:p w14:paraId="719E25BA">
            <w:pPr>
              <w:widowControl/>
              <w:wordWrap w:val="0"/>
              <w:jc w:val="left"/>
              <w:rPr>
                <w:rFonts w:ascii="宋体" w:hAnsi="宋体" w:cs="宋体"/>
                <w:b/>
                <w:color w:val="auto"/>
                <w:szCs w:val="21"/>
                <w:highlight w:val="none"/>
              </w:rPr>
            </w:pPr>
          </w:p>
        </w:tc>
        <w:tc>
          <w:tcPr>
            <w:tcW w:w="2481" w:type="pct"/>
            <w:vAlign w:val="center"/>
          </w:tcPr>
          <w:p w14:paraId="6819A608">
            <w:pPr>
              <w:pStyle w:val="111"/>
              <w:wordWrap w:val="0"/>
              <w:ind w:left="113"/>
              <w:jc w:val="center"/>
              <w:rPr>
                <w:color w:val="auto"/>
                <w:sz w:val="21"/>
                <w:szCs w:val="21"/>
                <w:highlight w:val="none"/>
              </w:rPr>
            </w:pPr>
            <w:r>
              <w:rPr>
                <w:rFonts w:hint="eastAsia"/>
                <w:color w:val="auto"/>
                <w:sz w:val="21"/>
                <w:szCs w:val="21"/>
                <w:highlight w:val="none"/>
              </w:rPr>
              <w:t>3000万元＜X≤4000万元</w:t>
            </w:r>
          </w:p>
        </w:tc>
        <w:tc>
          <w:tcPr>
            <w:tcW w:w="1673" w:type="pct"/>
            <w:vAlign w:val="center"/>
          </w:tcPr>
          <w:p w14:paraId="610FC602">
            <w:pPr>
              <w:pStyle w:val="111"/>
              <w:wordWrap w:val="0"/>
              <w:ind w:left="113"/>
              <w:jc w:val="center"/>
              <w:rPr>
                <w:color w:val="auto"/>
                <w:sz w:val="21"/>
                <w:szCs w:val="21"/>
                <w:highlight w:val="none"/>
              </w:rPr>
            </w:pPr>
            <w:r>
              <w:rPr>
                <w:rFonts w:hint="eastAsia"/>
                <w:color w:val="auto"/>
                <w:sz w:val="21"/>
                <w:szCs w:val="21"/>
                <w:highlight w:val="none"/>
              </w:rPr>
              <w:t>70%</w:t>
            </w:r>
          </w:p>
        </w:tc>
      </w:tr>
      <w:tr w14:paraId="38869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continue"/>
            <w:vAlign w:val="center"/>
          </w:tcPr>
          <w:p w14:paraId="619895C1">
            <w:pPr>
              <w:widowControl/>
              <w:wordWrap w:val="0"/>
              <w:jc w:val="left"/>
              <w:rPr>
                <w:rFonts w:ascii="宋体" w:hAnsi="宋体" w:cs="宋体"/>
                <w:b/>
                <w:color w:val="auto"/>
                <w:szCs w:val="21"/>
                <w:highlight w:val="none"/>
              </w:rPr>
            </w:pPr>
          </w:p>
        </w:tc>
        <w:tc>
          <w:tcPr>
            <w:tcW w:w="2481" w:type="pct"/>
            <w:vAlign w:val="center"/>
          </w:tcPr>
          <w:p w14:paraId="70929663">
            <w:pPr>
              <w:pStyle w:val="111"/>
              <w:wordWrap w:val="0"/>
              <w:ind w:left="113"/>
              <w:jc w:val="center"/>
              <w:rPr>
                <w:color w:val="auto"/>
                <w:sz w:val="21"/>
                <w:szCs w:val="21"/>
                <w:highlight w:val="none"/>
              </w:rPr>
            </w:pPr>
            <w:r>
              <w:rPr>
                <w:rFonts w:hint="eastAsia"/>
                <w:color w:val="auto"/>
                <w:sz w:val="21"/>
                <w:szCs w:val="21"/>
                <w:highlight w:val="none"/>
              </w:rPr>
              <w:t>4000万元＜X≤5000万元</w:t>
            </w:r>
          </w:p>
        </w:tc>
        <w:tc>
          <w:tcPr>
            <w:tcW w:w="1673" w:type="pct"/>
            <w:vAlign w:val="center"/>
          </w:tcPr>
          <w:p w14:paraId="12270660">
            <w:pPr>
              <w:pStyle w:val="111"/>
              <w:wordWrap w:val="0"/>
              <w:ind w:left="113"/>
              <w:jc w:val="center"/>
              <w:rPr>
                <w:color w:val="auto"/>
                <w:sz w:val="21"/>
                <w:szCs w:val="21"/>
                <w:highlight w:val="none"/>
              </w:rPr>
            </w:pPr>
            <w:r>
              <w:rPr>
                <w:rFonts w:hint="eastAsia"/>
                <w:color w:val="auto"/>
                <w:sz w:val="21"/>
                <w:szCs w:val="21"/>
                <w:highlight w:val="none"/>
              </w:rPr>
              <w:t>65%</w:t>
            </w:r>
          </w:p>
        </w:tc>
      </w:tr>
      <w:tr w14:paraId="512D1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continue"/>
            <w:vAlign w:val="center"/>
          </w:tcPr>
          <w:p w14:paraId="74E82678">
            <w:pPr>
              <w:widowControl/>
              <w:wordWrap w:val="0"/>
              <w:jc w:val="left"/>
              <w:rPr>
                <w:rFonts w:ascii="宋体" w:hAnsi="宋体" w:cs="宋体"/>
                <w:b/>
                <w:color w:val="auto"/>
                <w:szCs w:val="21"/>
                <w:highlight w:val="none"/>
              </w:rPr>
            </w:pPr>
          </w:p>
        </w:tc>
        <w:tc>
          <w:tcPr>
            <w:tcW w:w="2481" w:type="pct"/>
            <w:vAlign w:val="center"/>
          </w:tcPr>
          <w:p w14:paraId="360EEA39">
            <w:pPr>
              <w:pStyle w:val="111"/>
              <w:wordWrap w:val="0"/>
              <w:ind w:left="113"/>
              <w:jc w:val="center"/>
              <w:rPr>
                <w:color w:val="auto"/>
                <w:sz w:val="21"/>
                <w:szCs w:val="21"/>
                <w:highlight w:val="none"/>
              </w:rPr>
            </w:pPr>
            <w:r>
              <w:rPr>
                <w:rFonts w:hint="eastAsia"/>
                <w:color w:val="auto"/>
                <w:sz w:val="21"/>
                <w:szCs w:val="21"/>
                <w:highlight w:val="none"/>
              </w:rPr>
              <w:t>5000万元＜X≤1亿元</w:t>
            </w:r>
          </w:p>
        </w:tc>
        <w:tc>
          <w:tcPr>
            <w:tcW w:w="1673" w:type="pct"/>
            <w:vAlign w:val="center"/>
          </w:tcPr>
          <w:p w14:paraId="05D0A68D">
            <w:pPr>
              <w:pStyle w:val="111"/>
              <w:wordWrap w:val="0"/>
              <w:ind w:left="113"/>
              <w:jc w:val="center"/>
              <w:rPr>
                <w:color w:val="auto"/>
                <w:sz w:val="21"/>
                <w:szCs w:val="21"/>
                <w:highlight w:val="none"/>
              </w:rPr>
            </w:pPr>
            <w:r>
              <w:rPr>
                <w:rFonts w:hint="eastAsia"/>
                <w:color w:val="auto"/>
                <w:sz w:val="21"/>
                <w:szCs w:val="21"/>
                <w:highlight w:val="none"/>
              </w:rPr>
              <w:t>60%</w:t>
            </w:r>
          </w:p>
        </w:tc>
      </w:tr>
      <w:tr w14:paraId="217C5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continue"/>
            <w:vAlign w:val="center"/>
          </w:tcPr>
          <w:p w14:paraId="7EC804A3">
            <w:pPr>
              <w:widowControl/>
              <w:wordWrap w:val="0"/>
              <w:jc w:val="left"/>
              <w:rPr>
                <w:rFonts w:ascii="宋体" w:hAnsi="宋体" w:cs="宋体"/>
                <w:b/>
                <w:color w:val="auto"/>
                <w:szCs w:val="21"/>
                <w:highlight w:val="none"/>
              </w:rPr>
            </w:pPr>
          </w:p>
        </w:tc>
        <w:tc>
          <w:tcPr>
            <w:tcW w:w="2481" w:type="pct"/>
            <w:vAlign w:val="center"/>
          </w:tcPr>
          <w:p w14:paraId="0B4E0C88">
            <w:pPr>
              <w:pStyle w:val="111"/>
              <w:wordWrap w:val="0"/>
              <w:ind w:left="113"/>
              <w:jc w:val="center"/>
              <w:rPr>
                <w:color w:val="auto"/>
                <w:sz w:val="21"/>
                <w:szCs w:val="21"/>
                <w:highlight w:val="none"/>
              </w:rPr>
            </w:pPr>
            <w:r>
              <w:rPr>
                <w:rFonts w:hint="eastAsia"/>
                <w:color w:val="auto"/>
                <w:sz w:val="21"/>
                <w:szCs w:val="21"/>
                <w:highlight w:val="none"/>
              </w:rPr>
              <w:t>X＞1亿元</w:t>
            </w:r>
          </w:p>
        </w:tc>
        <w:tc>
          <w:tcPr>
            <w:tcW w:w="1673" w:type="pct"/>
            <w:vAlign w:val="center"/>
          </w:tcPr>
          <w:p w14:paraId="28FCDFE6">
            <w:pPr>
              <w:pStyle w:val="111"/>
              <w:wordWrap w:val="0"/>
              <w:ind w:left="113"/>
              <w:jc w:val="center"/>
              <w:rPr>
                <w:color w:val="auto"/>
                <w:sz w:val="21"/>
                <w:szCs w:val="21"/>
                <w:highlight w:val="none"/>
              </w:rPr>
            </w:pPr>
            <w:r>
              <w:rPr>
                <w:rFonts w:hint="eastAsia"/>
                <w:color w:val="auto"/>
                <w:sz w:val="21"/>
                <w:szCs w:val="21"/>
                <w:highlight w:val="none"/>
              </w:rPr>
              <w:t>55%</w:t>
            </w:r>
          </w:p>
        </w:tc>
      </w:tr>
      <w:tr w14:paraId="5FD14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restart"/>
            <w:vAlign w:val="center"/>
          </w:tcPr>
          <w:p w14:paraId="3F1879D5">
            <w:pPr>
              <w:pStyle w:val="111"/>
              <w:wordWrap w:val="0"/>
              <w:ind w:left="113"/>
              <w:jc w:val="center"/>
              <w:rPr>
                <w:b/>
                <w:color w:val="auto"/>
                <w:sz w:val="21"/>
                <w:szCs w:val="21"/>
                <w:highlight w:val="none"/>
              </w:rPr>
            </w:pPr>
            <w:r>
              <w:rPr>
                <w:rFonts w:hint="eastAsia"/>
                <w:b/>
                <w:color w:val="auto"/>
                <w:sz w:val="21"/>
                <w:szCs w:val="21"/>
                <w:highlight w:val="none"/>
              </w:rPr>
              <w:t>服务</w:t>
            </w:r>
          </w:p>
        </w:tc>
        <w:tc>
          <w:tcPr>
            <w:tcW w:w="2481" w:type="pct"/>
            <w:vAlign w:val="center"/>
          </w:tcPr>
          <w:p w14:paraId="5369ECDB">
            <w:pPr>
              <w:pStyle w:val="111"/>
              <w:wordWrap w:val="0"/>
              <w:ind w:left="113"/>
              <w:jc w:val="center"/>
              <w:rPr>
                <w:color w:val="auto"/>
                <w:sz w:val="21"/>
                <w:szCs w:val="21"/>
                <w:highlight w:val="none"/>
              </w:rPr>
            </w:pPr>
            <w:r>
              <w:rPr>
                <w:rFonts w:hint="eastAsia"/>
                <w:color w:val="auto"/>
                <w:sz w:val="21"/>
                <w:szCs w:val="21"/>
                <w:highlight w:val="none"/>
              </w:rPr>
              <w:t>1000万元＜X≤2000万元</w:t>
            </w:r>
          </w:p>
        </w:tc>
        <w:tc>
          <w:tcPr>
            <w:tcW w:w="1673" w:type="pct"/>
            <w:vAlign w:val="center"/>
          </w:tcPr>
          <w:p w14:paraId="27307A44">
            <w:pPr>
              <w:pStyle w:val="111"/>
              <w:wordWrap w:val="0"/>
              <w:ind w:left="113"/>
              <w:jc w:val="center"/>
              <w:rPr>
                <w:color w:val="auto"/>
                <w:sz w:val="21"/>
                <w:szCs w:val="21"/>
                <w:highlight w:val="none"/>
              </w:rPr>
            </w:pPr>
            <w:r>
              <w:rPr>
                <w:rFonts w:hint="eastAsia"/>
                <w:color w:val="auto"/>
                <w:sz w:val="21"/>
                <w:szCs w:val="21"/>
                <w:highlight w:val="none"/>
              </w:rPr>
              <w:t>90%</w:t>
            </w:r>
          </w:p>
        </w:tc>
      </w:tr>
      <w:tr w14:paraId="41AD5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continue"/>
            <w:vAlign w:val="center"/>
          </w:tcPr>
          <w:p w14:paraId="2AE58215">
            <w:pPr>
              <w:widowControl/>
              <w:wordWrap w:val="0"/>
              <w:jc w:val="left"/>
              <w:rPr>
                <w:rFonts w:ascii="宋体" w:hAnsi="宋体" w:cs="宋体"/>
                <w:b/>
                <w:color w:val="auto"/>
                <w:szCs w:val="21"/>
                <w:highlight w:val="none"/>
              </w:rPr>
            </w:pPr>
          </w:p>
        </w:tc>
        <w:tc>
          <w:tcPr>
            <w:tcW w:w="2481" w:type="pct"/>
            <w:vAlign w:val="center"/>
          </w:tcPr>
          <w:p w14:paraId="7495A4C8">
            <w:pPr>
              <w:pStyle w:val="111"/>
              <w:wordWrap w:val="0"/>
              <w:ind w:left="113"/>
              <w:jc w:val="center"/>
              <w:rPr>
                <w:color w:val="auto"/>
                <w:sz w:val="21"/>
                <w:szCs w:val="21"/>
                <w:highlight w:val="none"/>
              </w:rPr>
            </w:pPr>
            <w:r>
              <w:rPr>
                <w:rFonts w:hint="eastAsia"/>
                <w:color w:val="auto"/>
                <w:sz w:val="21"/>
                <w:szCs w:val="21"/>
                <w:highlight w:val="none"/>
              </w:rPr>
              <w:t>2000万元＜X≤3000万元</w:t>
            </w:r>
          </w:p>
        </w:tc>
        <w:tc>
          <w:tcPr>
            <w:tcW w:w="1673" w:type="pct"/>
            <w:vAlign w:val="center"/>
          </w:tcPr>
          <w:p w14:paraId="5FA14FB8">
            <w:pPr>
              <w:pStyle w:val="111"/>
              <w:wordWrap w:val="0"/>
              <w:ind w:left="113"/>
              <w:jc w:val="center"/>
              <w:rPr>
                <w:color w:val="auto"/>
                <w:sz w:val="21"/>
                <w:szCs w:val="21"/>
                <w:highlight w:val="none"/>
              </w:rPr>
            </w:pPr>
            <w:r>
              <w:rPr>
                <w:rFonts w:hint="eastAsia"/>
                <w:color w:val="auto"/>
                <w:sz w:val="21"/>
                <w:szCs w:val="21"/>
                <w:highlight w:val="none"/>
              </w:rPr>
              <w:t>85%</w:t>
            </w:r>
          </w:p>
        </w:tc>
      </w:tr>
      <w:tr w14:paraId="00327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continue"/>
            <w:vAlign w:val="center"/>
          </w:tcPr>
          <w:p w14:paraId="62A15528">
            <w:pPr>
              <w:widowControl/>
              <w:wordWrap w:val="0"/>
              <w:jc w:val="left"/>
              <w:rPr>
                <w:rFonts w:ascii="宋体" w:hAnsi="宋体" w:cs="宋体"/>
                <w:b/>
                <w:color w:val="auto"/>
                <w:szCs w:val="21"/>
                <w:highlight w:val="none"/>
              </w:rPr>
            </w:pPr>
          </w:p>
        </w:tc>
        <w:tc>
          <w:tcPr>
            <w:tcW w:w="2481" w:type="pct"/>
            <w:vAlign w:val="center"/>
          </w:tcPr>
          <w:p w14:paraId="7AC34B0E">
            <w:pPr>
              <w:pStyle w:val="111"/>
              <w:wordWrap w:val="0"/>
              <w:ind w:left="113"/>
              <w:jc w:val="center"/>
              <w:rPr>
                <w:color w:val="auto"/>
                <w:sz w:val="21"/>
                <w:szCs w:val="21"/>
                <w:highlight w:val="none"/>
              </w:rPr>
            </w:pPr>
            <w:r>
              <w:rPr>
                <w:rFonts w:hint="eastAsia"/>
                <w:color w:val="auto"/>
                <w:sz w:val="21"/>
                <w:szCs w:val="21"/>
                <w:highlight w:val="none"/>
              </w:rPr>
              <w:t>3000万元＜X≤4000万元</w:t>
            </w:r>
          </w:p>
        </w:tc>
        <w:tc>
          <w:tcPr>
            <w:tcW w:w="1673" w:type="pct"/>
            <w:vAlign w:val="center"/>
          </w:tcPr>
          <w:p w14:paraId="58F675FC">
            <w:pPr>
              <w:pStyle w:val="111"/>
              <w:wordWrap w:val="0"/>
              <w:ind w:left="113"/>
              <w:jc w:val="center"/>
              <w:rPr>
                <w:color w:val="auto"/>
                <w:sz w:val="21"/>
                <w:szCs w:val="21"/>
                <w:highlight w:val="none"/>
              </w:rPr>
            </w:pPr>
            <w:r>
              <w:rPr>
                <w:rFonts w:hint="eastAsia"/>
                <w:color w:val="auto"/>
                <w:sz w:val="21"/>
                <w:szCs w:val="21"/>
                <w:highlight w:val="none"/>
              </w:rPr>
              <w:t>80%</w:t>
            </w:r>
          </w:p>
        </w:tc>
      </w:tr>
      <w:tr w14:paraId="0AA58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continue"/>
            <w:vAlign w:val="center"/>
          </w:tcPr>
          <w:p w14:paraId="3855C620">
            <w:pPr>
              <w:pStyle w:val="111"/>
              <w:wordWrap w:val="0"/>
              <w:ind w:left="113"/>
              <w:jc w:val="center"/>
              <w:rPr>
                <w:b/>
                <w:color w:val="auto"/>
                <w:sz w:val="21"/>
                <w:szCs w:val="21"/>
                <w:highlight w:val="none"/>
              </w:rPr>
            </w:pPr>
          </w:p>
        </w:tc>
        <w:tc>
          <w:tcPr>
            <w:tcW w:w="2481" w:type="pct"/>
            <w:vAlign w:val="center"/>
          </w:tcPr>
          <w:p w14:paraId="6ACB945F">
            <w:pPr>
              <w:pStyle w:val="111"/>
              <w:wordWrap w:val="0"/>
              <w:ind w:left="113"/>
              <w:jc w:val="center"/>
              <w:rPr>
                <w:color w:val="auto"/>
                <w:sz w:val="21"/>
                <w:szCs w:val="21"/>
                <w:highlight w:val="none"/>
              </w:rPr>
            </w:pPr>
            <w:r>
              <w:rPr>
                <w:rFonts w:hint="eastAsia"/>
                <w:color w:val="auto"/>
                <w:sz w:val="21"/>
                <w:szCs w:val="21"/>
                <w:highlight w:val="none"/>
              </w:rPr>
              <w:t>4000万元＜X≤5000万元</w:t>
            </w:r>
          </w:p>
        </w:tc>
        <w:tc>
          <w:tcPr>
            <w:tcW w:w="1673" w:type="pct"/>
            <w:vAlign w:val="center"/>
          </w:tcPr>
          <w:p w14:paraId="17626674">
            <w:pPr>
              <w:pStyle w:val="111"/>
              <w:wordWrap w:val="0"/>
              <w:ind w:left="113"/>
              <w:jc w:val="center"/>
              <w:rPr>
                <w:color w:val="auto"/>
                <w:sz w:val="21"/>
                <w:szCs w:val="21"/>
                <w:highlight w:val="none"/>
              </w:rPr>
            </w:pPr>
            <w:r>
              <w:rPr>
                <w:rFonts w:hint="eastAsia"/>
                <w:color w:val="auto"/>
                <w:sz w:val="21"/>
                <w:szCs w:val="21"/>
                <w:highlight w:val="none"/>
              </w:rPr>
              <w:t>75%</w:t>
            </w:r>
          </w:p>
        </w:tc>
      </w:tr>
      <w:tr w14:paraId="71DE6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continue"/>
            <w:vAlign w:val="center"/>
          </w:tcPr>
          <w:p w14:paraId="4849E53D">
            <w:pPr>
              <w:pStyle w:val="111"/>
              <w:wordWrap w:val="0"/>
              <w:ind w:left="113"/>
              <w:jc w:val="center"/>
              <w:rPr>
                <w:b/>
                <w:color w:val="auto"/>
                <w:sz w:val="21"/>
                <w:szCs w:val="21"/>
                <w:highlight w:val="none"/>
              </w:rPr>
            </w:pPr>
          </w:p>
        </w:tc>
        <w:tc>
          <w:tcPr>
            <w:tcW w:w="2481" w:type="pct"/>
            <w:vAlign w:val="center"/>
          </w:tcPr>
          <w:p w14:paraId="590BD98C">
            <w:pPr>
              <w:pStyle w:val="111"/>
              <w:wordWrap w:val="0"/>
              <w:ind w:left="113"/>
              <w:jc w:val="center"/>
              <w:rPr>
                <w:color w:val="auto"/>
                <w:sz w:val="21"/>
                <w:szCs w:val="21"/>
                <w:highlight w:val="none"/>
              </w:rPr>
            </w:pPr>
            <w:r>
              <w:rPr>
                <w:rFonts w:hint="eastAsia"/>
                <w:color w:val="auto"/>
                <w:sz w:val="21"/>
                <w:szCs w:val="21"/>
                <w:highlight w:val="none"/>
              </w:rPr>
              <w:t>5000万元＜X≤1亿元</w:t>
            </w:r>
          </w:p>
        </w:tc>
        <w:tc>
          <w:tcPr>
            <w:tcW w:w="1673" w:type="pct"/>
            <w:vAlign w:val="center"/>
          </w:tcPr>
          <w:p w14:paraId="1A736606">
            <w:pPr>
              <w:pStyle w:val="111"/>
              <w:wordWrap w:val="0"/>
              <w:ind w:left="113"/>
              <w:jc w:val="center"/>
              <w:rPr>
                <w:color w:val="auto"/>
                <w:sz w:val="21"/>
                <w:szCs w:val="21"/>
                <w:highlight w:val="none"/>
              </w:rPr>
            </w:pPr>
            <w:r>
              <w:rPr>
                <w:rFonts w:hint="eastAsia"/>
                <w:color w:val="auto"/>
                <w:sz w:val="21"/>
                <w:szCs w:val="21"/>
                <w:highlight w:val="none"/>
              </w:rPr>
              <w:t>70%</w:t>
            </w:r>
          </w:p>
        </w:tc>
      </w:tr>
      <w:tr w14:paraId="3CA45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continue"/>
            <w:vAlign w:val="center"/>
          </w:tcPr>
          <w:p w14:paraId="4233E2CC">
            <w:pPr>
              <w:pStyle w:val="111"/>
              <w:wordWrap w:val="0"/>
              <w:ind w:left="113"/>
              <w:jc w:val="center"/>
              <w:rPr>
                <w:b/>
                <w:color w:val="auto"/>
                <w:sz w:val="21"/>
                <w:szCs w:val="21"/>
                <w:highlight w:val="none"/>
              </w:rPr>
            </w:pPr>
          </w:p>
        </w:tc>
        <w:tc>
          <w:tcPr>
            <w:tcW w:w="2481" w:type="pct"/>
            <w:vAlign w:val="center"/>
          </w:tcPr>
          <w:p w14:paraId="3EE2A376">
            <w:pPr>
              <w:pStyle w:val="111"/>
              <w:wordWrap w:val="0"/>
              <w:ind w:left="113"/>
              <w:jc w:val="center"/>
              <w:rPr>
                <w:color w:val="auto"/>
                <w:sz w:val="21"/>
                <w:szCs w:val="21"/>
                <w:highlight w:val="none"/>
              </w:rPr>
            </w:pPr>
            <w:r>
              <w:rPr>
                <w:rFonts w:hint="eastAsia"/>
                <w:color w:val="auto"/>
                <w:sz w:val="21"/>
                <w:szCs w:val="21"/>
                <w:highlight w:val="none"/>
              </w:rPr>
              <w:t>X＞1亿元</w:t>
            </w:r>
          </w:p>
        </w:tc>
        <w:tc>
          <w:tcPr>
            <w:tcW w:w="1673" w:type="pct"/>
            <w:vAlign w:val="center"/>
          </w:tcPr>
          <w:p w14:paraId="2A34E854">
            <w:pPr>
              <w:pStyle w:val="111"/>
              <w:wordWrap w:val="0"/>
              <w:ind w:left="113"/>
              <w:jc w:val="center"/>
              <w:rPr>
                <w:color w:val="auto"/>
                <w:sz w:val="21"/>
                <w:szCs w:val="21"/>
                <w:highlight w:val="none"/>
              </w:rPr>
            </w:pPr>
            <w:r>
              <w:rPr>
                <w:rFonts w:hint="eastAsia"/>
                <w:color w:val="auto"/>
                <w:sz w:val="21"/>
                <w:szCs w:val="21"/>
                <w:highlight w:val="none"/>
              </w:rPr>
              <w:t>60%</w:t>
            </w:r>
          </w:p>
        </w:tc>
      </w:tr>
      <w:tr w14:paraId="35996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restart"/>
            <w:vAlign w:val="center"/>
          </w:tcPr>
          <w:p w14:paraId="5FD33197">
            <w:pPr>
              <w:pStyle w:val="111"/>
              <w:wordWrap w:val="0"/>
              <w:ind w:left="113"/>
              <w:jc w:val="center"/>
              <w:rPr>
                <w:b/>
                <w:color w:val="auto"/>
                <w:sz w:val="21"/>
                <w:szCs w:val="21"/>
                <w:highlight w:val="none"/>
              </w:rPr>
            </w:pPr>
            <w:r>
              <w:rPr>
                <w:rFonts w:hint="eastAsia"/>
                <w:b/>
                <w:color w:val="auto"/>
                <w:sz w:val="21"/>
                <w:szCs w:val="21"/>
                <w:highlight w:val="none"/>
              </w:rPr>
              <w:t>工程建设</w:t>
            </w:r>
          </w:p>
        </w:tc>
        <w:tc>
          <w:tcPr>
            <w:tcW w:w="2481" w:type="pct"/>
            <w:vAlign w:val="center"/>
          </w:tcPr>
          <w:p w14:paraId="55C983EB">
            <w:pPr>
              <w:pStyle w:val="111"/>
              <w:wordWrap w:val="0"/>
              <w:ind w:left="113"/>
              <w:jc w:val="center"/>
              <w:rPr>
                <w:color w:val="auto"/>
                <w:sz w:val="21"/>
                <w:szCs w:val="21"/>
                <w:highlight w:val="none"/>
              </w:rPr>
            </w:pPr>
            <w:r>
              <w:rPr>
                <w:rFonts w:hint="eastAsia"/>
                <w:color w:val="auto"/>
                <w:sz w:val="21"/>
                <w:szCs w:val="21"/>
                <w:highlight w:val="none"/>
              </w:rPr>
              <w:t>1000万元＜X≤2000万元</w:t>
            </w:r>
          </w:p>
        </w:tc>
        <w:tc>
          <w:tcPr>
            <w:tcW w:w="1673" w:type="pct"/>
            <w:vAlign w:val="center"/>
          </w:tcPr>
          <w:p w14:paraId="7DE8A8F2">
            <w:pPr>
              <w:pStyle w:val="111"/>
              <w:wordWrap w:val="0"/>
              <w:ind w:left="113"/>
              <w:jc w:val="center"/>
              <w:rPr>
                <w:color w:val="auto"/>
                <w:sz w:val="21"/>
                <w:szCs w:val="21"/>
                <w:highlight w:val="none"/>
              </w:rPr>
            </w:pPr>
            <w:r>
              <w:rPr>
                <w:rFonts w:hint="eastAsia"/>
                <w:color w:val="auto"/>
                <w:sz w:val="21"/>
                <w:szCs w:val="21"/>
                <w:highlight w:val="none"/>
              </w:rPr>
              <w:t>95%</w:t>
            </w:r>
          </w:p>
        </w:tc>
      </w:tr>
      <w:tr w14:paraId="62D9E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continue"/>
          </w:tcPr>
          <w:p w14:paraId="3AF04058">
            <w:pPr>
              <w:widowControl/>
              <w:wordWrap w:val="0"/>
              <w:jc w:val="left"/>
              <w:rPr>
                <w:rFonts w:ascii="宋体" w:hAnsi="宋体" w:cs="宋体"/>
                <w:b/>
                <w:color w:val="auto"/>
                <w:szCs w:val="21"/>
                <w:highlight w:val="none"/>
              </w:rPr>
            </w:pPr>
          </w:p>
        </w:tc>
        <w:tc>
          <w:tcPr>
            <w:tcW w:w="2481" w:type="pct"/>
            <w:vAlign w:val="center"/>
          </w:tcPr>
          <w:p w14:paraId="3FDF8E60">
            <w:pPr>
              <w:pStyle w:val="111"/>
              <w:wordWrap w:val="0"/>
              <w:ind w:left="113"/>
              <w:jc w:val="center"/>
              <w:rPr>
                <w:color w:val="auto"/>
                <w:sz w:val="21"/>
                <w:szCs w:val="21"/>
                <w:highlight w:val="none"/>
              </w:rPr>
            </w:pPr>
            <w:r>
              <w:rPr>
                <w:rFonts w:hint="eastAsia"/>
                <w:color w:val="auto"/>
                <w:sz w:val="21"/>
                <w:szCs w:val="21"/>
                <w:highlight w:val="none"/>
              </w:rPr>
              <w:t>2000万元＜X≤3000万元</w:t>
            </w:r>
          </w:p>
        </w:tc>
        <w:tc>
          <w:tcPr>
            <w:tcW w:w="1673" w:type="pct"/>
            <w:vAlign w:val="center"/>
          </w:tcPr>
          <w:p w14:paraId="1B4D8D0A">
            <w:pPr>
              <w:pStyle w:val="111"/>
              <w:wordWrap w:val="0"/>
              <w:ind w:left="113"/>
              <w:jc w:val="center"/>
              <w:rPr>
                <w:color w:val="auto"/>
                <w:sz w:val="21"/>
                <w:szCs w:val="21"/>
                <w:highlight w:val="none"/>
              </w:rPr>
            </w:pPr>
            <w:r>
              <w:rPr>
                <w:rFonts w:hint="eastAsia"/>
                <w:color w:val="auto"/>
                <w:sz w:val="21"/>
                <w:szCs w:val="21"/>
                <w:highlight w:val="none"/>
              </w:rPr>
              <w:t>90%</w:t>
            </w:r>
          </w:p>
        </w:tc>
      </w:tr>
      <w:tr w14:paraId="01638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continue"/>
          </w:tcPr>
          <w:p w14:paraId="18CB6701">
            <w:pPr>
              <w:widowControl/>
              <w:wordWrap w:val="0"/>
              <w:jc w:val="left"/>
              <w:rPr>
                <w:rFonts w:ascii="宋体" w:hAnsi="宋体" w:cs="宋体"/>
                <w:b/>
                <w:color w:val="auto"/>
                <w:szCs w:val="21"/>
                <w:highlight w:val="none"/>
              </w:rPr>
            </w:pPr>
          </w:p>
        </w:tc>
        <w:tc>
          <w:tcPr>
            <w:tcW w:w="2481" w:type="pct"/>
            <w:vAlign w:val="center"/>
          </w:tcPr>
          <w:p w14:paraId="08CC3A6E">
            <w:pPr>
              <w:pStyle w:val="111"/>
              <w:wordWrap w:val="0"/>
              <w:ind w:left="113"/>
              <w:jc w:val="center"/>
              <w:rPr>
                <w:color w:val="auto"/>
                <w:sz w:val="21"/>
                <w:szCs w:val="21"/>
                <w:highlight w:val="none"/>
              </w:rPr>
            </w:pPr>
            <w:r>
              <w:rPr>
                <w:rFonts w:hint="eastAsia"/>
                <w:color w:val="auto"/>
                <w:sz w:val="21"/>
                <w:szCs w:val="21"/>
                <w:highlight w:val="none"/>
              </w:rPr>
              <w:t>3000万元＜X≤4000万元</w:t>
            </w:r>
          </w:p>
        </w:tc>
        <w:tc>
          <w:tcPr>
            <w:tcW w:w="1673" w:type="pct"/>
            <w:vAlign w:val="center"/>
          </w:tcPr>
          <w:p w14:paraId="7226248E">
            <w:pPr>
              <w:pStyle w:val="111"/>
              <w:wordWrap w:val="0"/>
              <w:ind w:left="113"/>
              <w:jc w:val="center"/>
              <w:rPr>
                <w:color w:val="auto"/>
                <w:sz w:val="21"/>
                <w:szCs w:val="21"/>
                <w:highlight w:val="none"/>
              </w:rPr>
            </w:pPr>
            <w:r>
              <w:rPr>
                <w:rFonts w:hint="eastAsia"/>
                <w:color w:val="auto"/>
                <w:sz w:val="21"/>
                <w:szCs w:val="21"/>
                <w:highlight w:val="none"/>
              </w:rPr>
              <w:t>85%</w:t>
            </w:r>
          </w:p>
        </w:tc>
      </w:tr>
      <w:tr w14:paraId="374B9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6" w:hRule="atLeast"/>
        </w:trPr>
        <w:tc>
          <w:tcPr>
            <w:tcW w:w="845" w:type="pct"/>
            <w:vMerge w:val="continue"/>
          </w:tcPr>
          <w:p w14:paraId="12C1A9A9">
            <w:pPr>
              <w:widowControl/>
              <w:wordWrap w:val="0"/>
              <w:jc w:val="left"/>
              <w:rPr>
                <w:rFonts w:ascii="宋体" w:hAnsi="宋体" w:cs="宋体"/>
                <w:b/>
                <w:color w:val="auto"/>
                <w:szCs w:val="21"/>
                <w:highlight w:val="none"/>
              </w:rPr>
            </w:pPr>
          </w:p>
        </w:tc>
        <w:tc>
          <w:tcPr>
            <w:tcW w:w="2481" w:type="pct"/>
            <w:vAlign w:val="center"/>
          </w:tcPr>
          <w:p w14:paraId="04F7367D">
            <w:pPr>
              <w:pStyle w:val="111"/>
              <w:wordWrap w:val="0"/>
              <w:ind w:left="113"/>
              <w:jc w:val="center"/>
              <w:rPr>
                <w:color w:val="auto"/>
                <w:sz w:val="21"/>
                <w:szCs w:val="21"/>
                <w:highlight w:val="none"/>
              </w:rPr>
            </w:pPr>
            <w:r>
              <w:rPr>
                <w:rFonts w:hint="eastAsia"/>
                <w:color w:val="auto"/>
                <w:sz w:val="21"/>
                <w:szCs w:val="21"/>
                <w:highlight w:val="none"/>
              </w:rPr>
              <w:t>4000万元＜X≤5000万元</w:t>
            </w:r>
          </w:p>
        </w:tc>
        <w:tc>
          <w:tcPr>
            <w:tcW w:w="1673" w:type="pct"/>
            <w:vAlign w:val="center"/>
          </w:tcPr>
          <w:p w14:paraId="063FE1AA">
            <w:pPr>
              <w:pStyle w:val="111"/>
              <w:wordWrap w:val="0"/>
              <w:ind w:left="113"/>
              <w:jc w:val="center"/>
              <w:rPr>
                <w:color w:val="auto"/>
                <w:sz w:val="21"/>
                <w:szCs w:val="21"/>
                <w:highlight w:val="none"/>
              </w:rPr>
            </w:pPr>
            <w:r>
              <w:rPr>
                <w:rFonts w:hint="eastAsia"/>
                <w:color w:val="auto"/>
                <w:sz w:val="21"/>
                <w:szCs w:val="21"/>
                <w:highlight w:val="none"/>
              </w:rPr>
              <w:t>80%</w:t>
            </w:r>
          </w:p>
        </w:tc>
      </w:tr>
      <w:tr w14:paraId="03B36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6" w:hRule="atLeast"/>
        </w:trPr>
        <w:tc>
          <w:tcPr>
            <w:tcW w:w="845" w:type="pct"/>
            <w:vMerge w:val="continue"/>
          </w:tcPr>
          <w:p w14:paraId="5B1BCAEF">
            <w:pPr>
              <w:widowControl/>
              <w:wordWrap w:val="0"/>
              <w:jc w:val="left"/>
              <w:rPr>
                <w:rFonts w:ascii="宋体" w:hAnsi="宋体" w:cs="宋体"/>
                <w:b/>
                <w:color w:val="auto"/>
                <w:szCs w:val="21"/>
                <w:highlight w:val="none"/>
              </w:rPr>
            </w:pPr>
          </w:p>
        </w:tc>
        <w:tc>
          <w:tcPr>
            <w:tcW w:w="2481" w:type="pct"/>
            <w:vAlign w:val="center"/>
          </w:tcPr>
          <w:p w14:paraId="6187C6F2">
            <w:pPr>
              <w:pStyle w:val="111"/>
              <w:wordWrap w:val="0"/>
              <w:ind w:left="113"/>
              <w:jc w:val="center"/>
              <w:rPr>
                <w:color w:val="auto"/>
                <w:sz w:val="21"/>
                <w:szCs w:val="21"/>
                <w:highlight w:val="none"/>
              </w:rPr>
            </w:pPr>
            <w:r>
              <w:rPr>
                <w:rFonts w:hint="eastAsia"/>
                <w:color w:val="auto"/>
                <w:sz w:val="21"/>
                <w:szCs w:val="21"/>
                <w:highlight w:val="none"/>
              </w:rPr>
              <w:t>5000万元＜X＜1亿元</w:t>
            </w:r>
          </w:p>
        </w:tc>
        <w:tc>
          <w:tcPr>
            <w:tcW w:w="1673" w:type="pct"/>
            <w:vAlign w:val="center"/>
          </w:tcPr>
          <w:p w14:paraId="0DE17474">
            <w:pPr>
              <w:pStyle w:val="111"/>
              <w:wordWrap w:val="0"/>
              <w:ind w:left="113"/>
              <w:jc w:val="center"/>
              <w:rPr>
                <w:color w:val="auto"/>
                <w:sz w:val="21"/>
                <w:szCs w:val="21"/>
                <w:highlight w:val="none"/>
              </w:rPr>
            </w:pPr>
            <w:r>
              <w:rPr>
                <w:rFonts w:hint="eastAsia"/>
                <w:color w:val="auto"/>
                <w:sz w:val="21"/>
                <w:szCs w:val="21"/>
                <w:highlight w:val="none"/>
              </w:rPr>
              <w:t>75%</w:t>
            </w:r>
          </w:p>
        </w:tc>
      </w:tr>
      <w:tr w14:paraId="72A33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continue"/>
          </w:tcPr>
          <w:p w14:paraId="784E8EC2">
            <w:pPr>
              <w:widowControl/>
              <w:wordWrap w:val="0"/>
              <w:jc w:val="left"/>
              <w:rPr>
                <w:rFonts w:ascii="宋体" w:hAnsi="宋体" w:cs="宋体"/>
                <w:b/>
                <w:color w:val="auto"/>
                <w:szCs w:val="21"/>
                <w:highlight w:val="none"/>
              </w:rPr>
            </w:pPr>
          </w:p>
        </w:tc>
        <w:tc>
          <w:tcPr>
            <w:tcW w:w="2481" w:type="pct"/>
            <w:vAlign w:val="center"/>
          </w:tcPr>
          <w:p w14:paraId="7EDA11D3">
            <w:pPr>
              <w:pStyle w:val="111"/>
              <w:wordWrap w:val="0"/>
              <w:ind w:left="113"/>
              <w:jc w:val="center"/>
              <w:rPr>
                <w:color w:val="auto"/>
                <w:sz w:val="21"/>
                <w:szCs w:val="21"/>
                <w:highlight w:val="none"/>
              </w:rPr>
            </w:pPr>
            <w:r>
              <w:rPr>
                <w:rFonts w:hint="eastAsia"/>
                <w:color w:val="auto"/>
                <w:sz w:val="21"/>
                <w:szCs w:val="21"/>
                <w:highlight w:val="none"/>
              </w:rPr>
              <w:t>1亿元≤X＜5亿元</w:t>
            </w:r>
          </w:p>
        </w:tc>
        <w:tc>
          <w:tcPr>
            <w:tcW w:w="1673" w:type="pct"/>
            <w:vAlign w:val="center"/>
          </w:tcPr>
          <w:p w14:paraId="3B30CB53">
            <w:pPr>
              <w:pStyle w:val="111"/>
              <w:wordWrap w:val="0"/>
              <w:ind w:left="113"/>
              <w:jc w:val="center"/>
              <w:rPr>
                <w:color w:val="auto"/>
                <w:sz w:val="21"/>
                <w:szCs w:val="21"/>
                <w:highlight w:val="none"/>
              </w:rPr>
            </w:pPr>
            <w:r>
              <w:rPr>
                <w:rFonts w:hint="eastAsia"/>
                <w:color w:val="auto"/>
                <w:sz w:val="21"/>
                <w:szCs w:val="21"/>
                <w:highlight w:val="none"/>
              </w:rPr>
              <w:t>70%</w:t>
            </w:r>
          </w:p>
        </w:tc>
      </w:tr>
      <w:tr w14:paraId="40563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45" w:type="pct"/>
            <w:vMerge w:val="continue"/>
          </w:tcPr>
          <w:p w14:paraId="74918A40">
            <w:pPr>
              <w:widowControl/>
              <w:wordWrap w:val="0"/>
              <w:jc w:val="left"/>
              <w:rPr>
                <w:rFonts w:ascii="宋体" w:hAnsi="宋体" w:cs="宋体"/>
                <w:b/>
                <w:color w:val="auto"/>
                <w:szCs w:val="21"/>
                <w:highlight w:val="none"/>
              </w:rPr>
            </w:pPr>
          </w:p>
        </w:tc>
        <w:tc>
          <w:tcPr>
            <w:tcW w:w="2481" w:type="pct"/>
            <w:vAlign w:val="center"/>
          </w:tcPr>
          <w:p w14:paraId="191373B9">
            <w:pPr>
              <w:pStyle w:val="111"/>
              <w:wordWrap w:val="0"/>
              <w:ind w:left="113"/>
              <w:jc w:val="center"/>
              <w:rPr>
                <w:color w:val="auto"/>
                <w:sz w:val="21"/>
                <w:szCs w:val="21"/>
                <w:highlight w:val="none"/>
              </w:rPr>
            </w:pPr>
            <w:r>
              <w:rPr>
                <w:rFonts w:hint="eastAsia"/>
                <w:color w:val="auto"/>
                <w:sz w:val="21"/>
                <w:szCs w:val="21"/>
                <w:highlight w:val="none"/>
              </w:rPr>
              <w:t>X≥5亿元</w:t>
            </w:r>
          </w:p>
        </w:tc>
        <w:tc>
          <w:tcPr>
            <w:tcW w:w="1673" w:type="pct"/>
            <w:vAlign w:val="center"/>
          </w:tcPr>
          <w:p w14:paraId="08860325">
            <w:pPr>
              <w:pStyle w:val="111"/>
              <w:wordWrap w:val="0"/>
              <w:ind w:left="113"/>
              <w:jc w:val="center"/>
              <w:rPr>
                <w:color w:val="auto"/>
                <w:sz w:val="21"/>
                <w:szCs w:val="21"/>
                <w:highlight w:val="none"/>
              </w:rPr>
            </w:pPr>
            <w:r>
              <w:rPr>
                <w:rFonts w:hint="eastAsia"/>
                <w:color w:val="auto"/>
                <w:sz w:val="21"/>
                <w:szCs w:val="21"/>
                <w:highlight w:val="none"/>
              </w:rPr>
              <w:t>65%</w:t>
            </w:r>
          </w:p>
        </w:tc>
      </w:tr>
      <w:tr w14:paraId="3F18D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3326" w:type="pct"/>
            <w:gridSpan w:val="2"/>
            <w:vAlign w:val="center"/>
          </w:tcPr>
          <w:p w14:paraId="1BE60104">
            <w:pPr>
              <w:pStyle w:val="111"/>
              <w:wordWrap w:val="0"/>
              <w:ind w:left="113"/>
              <w:jc w:val="center"/>
              <w:rPr>
                <w:color w:val="auto"/>
                <w:sz w:val="21"/>
                <w:szCs w:val="21"/>
                <w:highlight w:val="none"/>
              </w:rPr>
            </w:pPr>
            <w:r>
              <w:rPr>
                <w:rFonts w:hint="eastAsia"/>
                <w:b/>
                <w:color w:val="auto"/>
                <w:sz w:val="21"/>
                <w:szCs w:val="21"/>
                <w:highlight w:val="none"/>
              </w:rPr>
              <w:t>国际招标项目</w:t>
            </w:r>
          </w:p>
        </w:tc>
        <w:tc>
          <w:tcPr>
            <w:tcW w:w="1673" w:type="pct"/>
            <w:vAlign w:val="center"/>
          </w:tcPr>
          <w:p w14:paraId="6517E47B">
            <w:pPr>
              <w:pStyle w:val="111"/>
              <w:wordWrap w:val="0"/>
              <w:ind w:left="113"/>
              <w:jc w:val="center"/>
              <w:rPr>
                <w:color w:val="auto"/>
                <w:sz w:val="21"/>
                <w:szCs w:val="21"/>
                <w:highlight w:val="none"/>
              </w:rPr>
            </w:pPr>
            <w:r>
              <w:rPr>
                <w:rFonts w:hint="eastAsia"/>
                <w:color w:val="auto"/>
                <w:sz w:val="21"/>
                <w:szCs w:val="21"/>
                <w:highlight w:val="none"/>
              </w:rPr>
              <w:t>90%</w:t>
            </w:r>
          </w:p>
        </w:tc>
      </w:tr>
      <w:tr w14:paraId="3358E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trPr>
        <w:tc>
          <w:tcPr>
            <w:tcW w:w="5000" w:type="pct"/>
            <w:gridSpan w:val="3"/>
          </w:tcPr>
          <w:p w14:paraId="0FF9518E">
            <w:pPr>
              <w:pStyle w:val="111"/>
              <w:wordWrap w:val="0"/>
              <w:rPr>
                <w:b/>
                <w:color w:val="auto"/>
                <w:sz w:val="21"/>
                <w:szCs w:val="21"/>
                <w:highlight w:val="none"/>
                <w:lang w:eastAsia="zh-CN"/>
              </w:rPr>
            </w:pPr>
            <w:r>
              <w:rPr>
                <w:rFonts w:hint="eastAsia"/>
                <w:b/>
                <w:color w:val="auto"/>
                <w:sz w:val="21"/>
                <w:szCs w:val="21"/>
                <w:highlight w:val="none"/>
                <w:lang w:eastAsia="zh-CN"/>
              </w:rPr>
              <w:t>收费说明：</w:t>
            </w:r>
          </w:p>
          <w:p w14:paraId="603A1F4B">
            <w:pPr>
              <w:pStyle w:val="111"/>
              <w:wordWrap w:val="0"/>
              <w:rPr>
                <w:color w:val="auto"/>
                <w:sz w:val="21"/>
                <w:szCs w:val="21"/>
                <w:highlight w:val="none"/>
                <w:lang w:eastAsia="zh-CN"/>
              </w:rPr>
            </w:pPr>
            <w:r>
              <w:rPr>
                <w:rFonts w:hint="eastAsia"/>
                <w:color w:val="auto"/>
                <w:sz w:val="21"/>
                <w:szCs w:val="21"/>
                <w:highlight w:val="none"/>
                <w:lang w:eastAsia="zh-CN"/>
              </w:rPr>
              <w:t>1.招标代理服务费按标段收取。</w:t>
            </w:r>
          </w:p>
          <w:p w14:paraId="6707DEE6">
            <w:pPr>
              <w:pStyle w:val="111"/>
              <w:wordWrap w:val="0"/>
              <w:rPr>
                <w:color w:val="auto"/>
                <w:sz w:val="21"/>
                <w:szCs w:val="21"/>
                <w:highlight w:val="none"/>
                <w:lang w:eastAsia="zh-CN"/>
              </w:rPr>
            </w:pPr>
            <w:r>
              <w:rPr>
                <w:rFonts w:hint="eastAsia"/>
                <w:color w:val="auto"/>
                <w:sz w:val="21"/>
                <w:szCs w:val="21"/>
                <w:highlight w:val="none"/>
                <w:lang w:eastAsia="zh-CN"/>
              </w:rPr>
              <w:t>2.招标代理服务费以中标金额为基数，按表1计算后得出招标代理服务费初始金额，初始金额再按照表2对应的取费率进行计算得出最终的招标代理服务费收费金额，由中标人向招标代理服务机构缴纳；该金额为含税金额。</w:t>
            </w:r>
          </w:p>
          <w:p w14:paraId="5608795C">
            <w:pPr>
              <w:pStyle w:val="111"/>
              <w:wordWrap w:val="0"/>
              <w:rPr>
                <w:color w:val="auto"/>
                <w:sz w:val="21"/>
                <w:szCs w:val="21"/>
                <w:highlight w:val="none"/>
                <w:lang w:eastAsia="zh-CN"/>
              </w:rPr>
            </w:pPr>
            <w:r>
              <w:rPr>
                <w:rFonts w:hint="eastAsia"/>
                <w:color w:val="auto"/>
                <w:sz w:val="21"/>
                <w:szCs w:val="21"/>
                <w:highlight w:val="none"/>
                <w:lang w:eastAsia="zh-CN"/>
              </w:rPr>
              <w:t>2.按表1、表2计算后招标代理服务费最高不超过40万元；不足2万元的，按2万元收取。</w:t>
            </w:r>
          </w:p>
        </w:tc>
      </w:tr>
    </w:tbl>
    <w:p w14:paraId="1F531DA3">
      <w:pPr>
        <w:pStyle w:val="63"/>
        <w:wordWrap w:val="0"/>
        <w:ind w:firstLine="0"/>
        <w:rPr>
          <w:color w:val="auto"/>
          <w:spacing w:val="0"/>
          <w:highlight w:val="none"/>
        </w:rPr>
      </w:pPr>
    </w:p>
    <w:p w14:paraId="1509BADA">
      <w:pPr>
        <w:pStyle w:val="3"/>
        <w:wordWrap w:val="0"/>
        <w:spacing w:line="360" w:lineRule="auto"/>
        <w:ind w:left="0" w:leftChars="0" w:right="0" w:rightChars="0" w:firstLine="0" w:firstLineChars="0"/>
        <w:jc w:val="center"/>
        <w:rPr>
          <w:rFonts w:hAnsi="黑体"/>
          <w:color w:val="auto"/>
          <w:sz w:val="44"/>
          <w:szCs w:val="44"/>
          <w:highlight w:val="none"/>
        </w:rPr>
      </w:pPr>
      <w:r>
        <w:rPr>
          <w:rFonts w:ascii="宋体" w:hAnsi="宋体"/>
          <w:b w:val="0"/>
          <w:color w:val="auto"/>
          <w:sz w:val="44"/>
          <w:szCs w:val="44"/>
          <w:highlight w:val="none"/>
        </w:rPr>
        <w:br w:type="page"/>
      </w:r>
      <w:bookmarkStart w:id="7" w:name="_Toc15979"/>
      <w:bookmarkStart w:id="8" w:name="_Toc29911"/>
      <w:bookmarkStart w:id="9" w:name="_Toc19866"/>
      <w:r>
        <w:rPr>
          <w:rFonts w:hAnsi="黑体"/>
          <w:color w:val="auto"/>
          <w:sz w:val="44"/>
          <w:szCs w:val="44"/>
          <w:highlight w:val="none"/>
        </w:rPr>
        <w:t>第三章</w:t>
      </w:r>
      <w:r>
        <w:rPr>
          <w:rFonts w:hint="eastAsia" w:hAnsi="黑体"/>
          <w:color w:val="auto"/>
          <w:sz w:val="44"/>
          <w:szCs w:val="44"/>
          <w:highlight w:val="none"/>
        </w:rPr>
        <w:t xml:space="preserve"> </w:t>
      </w:r>
      <w:r>
        <w:rPr>
          <w:rFonts w:hAnsi="黑体"/>
          <w:color w:val="auto"/>
          <w:sz w:val="44"/>
          <w:szCs w:val="44"/>
          <w:highlight w:val="none"/>
        </w:rPr>
        <w:t>评标办法</w:t>
      </w:r>
      <w:r>
        <w:rPr>
          <w:rFonts w:hint="eastAsia" w:hAnsi="黑体"/>
          <w:color w:val="auto"/>
          <w:sz w:val="44"/>
          <w:szCs w:val="44"/>
          <w:highlight w:val="none"/>
        </w:rPr>
        <w:t>（综合评估法）</w:t>
      </w:r>
      <w:bookmarkEnd w:id="7"/>
      <w:bookmarkEnd w:id="8"/>
      <w:bookmarkEnd w:id="9"/>
    </w:p>
    <w:p w14:paraId="05A4662F">
      <w:pPr>
        <w:wordWrap/>
        <w:spacing w:line="240" w:lineRule="auto"/>
        <w:jc w:val="center"/>
        <w:outlineLvl w:val="1"/>
        <w:rPr>
          <w:rFonts w:hint="eastAsia" w:ascii="黑体" w:hAnsi="黑体" w:eastAsia="黑体" w:cs="黑体"/>
          <w:b/>
          <w:bCs/>
          <w:snapToGrid/>
          <w:color w:val="auto"/>
          <w:kern w:val="2"/>
          <w:sz w:val="32"/>
          <w:szCs w:val="32"/>
          <w:highlight w:val="none"/>
          <w:lang w:eastAsia="zh-CN"/>
        </w:rPr>
      </w:pPr>
      <w:r>
        <w:rPr>
          <w:rFonts w:hint="eastAsia" w:ascii="黑体" w:hAnsi="黑体" w:eastAsia="黑体" w:cs="黑体"/>
          <w:b/>
          <w:bCs/>
          <w:snapToGrid/>
          <w:color w:val="auto"/>
          <w:kern w:val="2"/>
          <w:sz w:val="32"/>
          <w:szCs w:val="32"/>
          <w:highlight w:val="none"/>
          <w:lang w:eastAsia="zh-CN"/>
        </w:rPr>
        <w:t>一</w:t>
      </w:r>
      <w:r>
        <w:rPr>
          <w:rFonts w:hint="eastAsia" w:ascii="黑体" w:hAnsi="黑体" w:eastAsia="黑体" w:cs="黑体"/>
          <w:b/>
          <w:bCs/>
          <w:snapToGrid/>
          <w:color w:val="auto"/>
          <w:kern w:val="2"/>
          <w:sz w:val="32"/>
          <w:szCs w:val="32"/>
          <w:highlight w:val="none"/>
          <w:lang w:val="en-US" w:eastAsia="zh-CN"/>
        </w:rPr>
        <w:t>标段：食堂劳务外包</w:t>
      </w:r>
      <w:r>
        <w:rPr>
          <w:rFonts w:hint="eastAsia" w:ascii="黑体" w:hAnsi="黑体" w:eastAsia="黑体" w:cs="黑体"/>
          <w:b/>
          <w:bCs/>
          <w:snapToGrid/>
          <w:color w:val="auto"/>
          <w:kern w:val="2"/>
          <w:sz w:val="32"/>
          <w:szCs w:val="32"/>
          <w:highlight w:val="none"/>
        </w:rPr>
        <w:t>评标办法前附表</w:t>
      </w:r>
    </w:p>
    <w:tbl>
      <w:tblPr>
        <w:tblStyle w:val="64"/>
        <w:tblW w:w="49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
        <w:gridCol w:w="1077"/>
        <w:gridCol w:w="618"/>
        <w:gridCol w:w="535"/>
        <w:gridCol w:w="1551"/>
        <w:gridCol w:w="5204"/>
      </w:tblGrid>
      <w:tr w14:paraId="4963E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451" w:type="pct"/>
            <w:tcBorders>
              <w:tl2br w:val="nil"/>
              <w:tr2bl w:val="nil"/>
            </w:tcBorders>
            <w:vAlign w:val="center"/>
          </w:tcPr>
          <w:p w14:paraId="0C624A29">
            <w:pPr>
              <w:keepNext w:val="0"/>
              <w:keepLines w:val="0"/>
              <w:pageBreakBefore w:val="0"/>
              <w:kinsoku/>
              <w:wordWrap w:val="0"/>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条款号</w:t>
            </w:r>
          </w:p>
        </w:tc>
        <w:tc>
          <w:tcPr>
            <w:tcW w:w="1914" w:type="pct"/>
            <w:gridSpan w:val="4"/>
            <w:tcBorders>
              <w:tl2br w:val="nil"/>
              <w:tr2bl w:val="nil"/>
            </w:tcBorders>
            <w:vAlign w:val="center"/>
          </w:tcPr>
          <w:p w14:paraId="5EC9AA94">
            <w:pPr>
              <w:keepNext w:val="0"/>
              <w:keepLines w:val="0"/>
              <w:pageBreakBefore w:val="0"/>
              <w:kinsoku/>
              <w:wordWrap w:val="0"/>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评审因素</w:t>
            </w:r>
          </w:p>
        </w:tc>
        <w:tc>
          <w:tcPr>
            <w:tcW w:w="2634" w:type="pct"/>
            <w:tcBorders>
              <w:tl2br w:val="nil"/>
              <w:tr2bl w:val="nil"/>
            </w:tcBorders>
            <w:vAlign w:val="center"/>
          </w:tcPr>
          <w:p w14:paraId="6D648035">
            <w:pPr>
              <w:keepNext w:val="0"/>
              <w:keepLines w:val="0"/>
              <w:pageBreakBefore w:val="0"/>
              <w:kinsoku/>
              <w:wordWrap w:val="0"/>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评审标准</w:t>
            </w:r>
          </w:p>
        </w:tc>
      </w:tr>
      <w:tr w14:paraId="66351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restart"/>
            <w:tcBorders>
              <w:tl2br w:val="nil"/>
              <w:tr2bl w:val="nil"/>
            </w:tcBorders>
            <w:vAlign w:val="center"/>
          </w:tcPr>
          <w:p w14:paraId="6CF3D58B">
            <w:pPr>
              <w:keepNext w:val="0"/>
              <w:keepLines w:val="0"/>
              <w:pageBreakBefore w:val="0"/>
              <w:kinsoku/>
              <w:topLinePunct w:val="0"/>
              <w:bidi w:val="0"/>
              <w:spacing w:line="240" w:lineRule="auto"/>
              <w:jc w:val="center"/>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2.1.1</w:t>
            </w:r>
          </w:p>
        </w:tc>
        <w:tc>
          <w:tcPr>
            <w:tcW w:w="4548" w:type="pct"/>
            <w:gridSpan w:val="5"/>
            <w:tcBorders>
              <w:tl2br w:val="nil"/>
              <w:tr2bl w:val="nil"/>
            </w:tcBorders>
            <w:vAlign w:val="center"/>
          </w:tcPr>
          <w:p w14:paraId="035D4BC7">
            <w:pPr>
              <w:keepNext w:val="0"/>
              <w:keepLines w:val="0"/>
              <w:pageBreakBefore w:val="0"/>
              <w:kinsoku/>
              <w:topLinePunct w:val="0"/>
              <w:bidi w:val="0"/>
              <w:spacing w:line="240" w:lineRule="auto"/>
              <w:jc w:val="center"/>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资格评审标准</w:t>
            </w:r>
          </w:p>
        </w:tc>
      </w:tr>
      <w:tr w14:paraId="1581B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06BFC1A8">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858" w:type="pct"/>
            <w:gridSpan w:val="2"/>
            <w:vMerge w:val="restart"/>
            <w:tcBorders>
              <w:tl2br w:val="nil"/>
              <w:tr2bl w:val="nil"/>
            </w:tcBorders>
            <w:vAlign w:val="center"/>
          </w:tcPr>
          <w:p w14:paraId="26FBF8A5">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企业</w:t>
            </w:r>
          </w:p>
        </w:tc>
        <w:tc>
          <w:tcPr>
            <w:tcW w:w="1055" w:type="pct"/>
            <w:gridSpan w:val="2"/>
            <w:tcBorders>
              <w:tl2br w:val="nil"/>
              <w:tr2bl w:val="nil"/>
            </w:tcBorders>
            <w:vAlign w:val="center"/>
          </w:tcPr>
          <w:p w14:paraId="57F07370">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营业执照（或事业单位法人证书）</w:t>
            </w:r>
          </w:p>
        </w:tc>
        <w:tc>
          <w:tcPr>
            <w:tcW w:w="2634" w:type="pct"/>
            <w:vMerge w:val="restart"/>
            <w:tcBorders>
              <w:tl2br w:val="nil"/>
              <w:tr2bl w:val="nil"/>
            </w:tcBorders>
            <w:vAlign w:val="center"/>
          </w:tcPr>
          <w:p w14:paraId="6846FFDB">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符合第二章“投标人须知”第1.4.1项和第3.5项的规定。</w:t>
            </w:r>
          </w:p>
        </w:tc>
      </w:tr>
      <w:tr w14:paraId="3CAE9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10CD300B">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858" w:type="pct"/>
            <w:gridSpan w:val="2"/>
            <w:vMerge w:val="continue"/>
            <w:tcBorders>
              <w:tl2br w:val="nil"/>
              <w:tr2bl w:val="nil"/>
            </w:tcBorders>
            <w:vAlign w:val="center"/>
          </w:tcPr>
          <w:p w14:paraId="6CC0E084">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055" w:type="pct"/>
            <w:gridSpan w:val="2"/>
            <w:tcBorders>
              <w:tl2br w:val="nil"/>
              <w:tr2bl w:val="nil"/>
            </w:tcBorders>
            <w:vAlign w:val="center"/>
          </w:tcPr>
          <w:p w14:paraId="34BB76A8">
            <w:pPr>
              <w:keepNext w:val="0"/>
              <w:keepLines w:val="0"/>
              <w:pageBreakBefore w:val="0"/>
              <w:kinsoku/>
              <w:topLinePunct w:val="0"/>
              <w:bidi w:val="0"/>
              <w:spacing w:line="240" w:lineRule="auto"/>
              <w:jc w:val="center"/>
              <w:rPr>
                <w:rFonts w:hint="eastAsia" w:ascii="宋体" w:hAnsi="宋体" w:eastAsia="宋体" w:cs="宋体"/>
                <w:color w:val="auto"/>
                <w:highlight w:val="none"/>
                <w:lang w:eastAsia="zh-CN"/>
              </w:rPr>
            </w:pPr>
            <w:r>
              <w:rPr>
                <w:rFonts w:hint="eastAsia" w:ascii="宋体" w:hAnsi="宋体" w:eastAsia="宋体" w:cs="宋体"/>
                <w:color w:val="auto"/>
                <w:szCs w:val="21"/>
                <w:highlight w:val="none"/>
              </w:rPr>
              <w:t>资质证书</w:t>
            </w:r>
            <w:r>
              <w:rPr>
                <w:rFonts w:hint="eastAsia" w:ascii="宋体" w:hAnsi="宋体" w:cs="宋体"/>
                <w:color w:val="auto"/>
                <w:szCs w:val="21"/>
                <w:highlight w:val="none"/>
                <w:lang w:eastAsia="zh-CN"/>
              </w:rPr>
              <w:t>（如有）</w:t>
            </w:r>
          </w:p>
        </w:tc>
        <w:tc>
          <w:tcPr>
            <w:tcW w:w="2634" w:type="pct"/>
            <w:vMerge w:val="continue"/>
            <w:tcBorders>
              <w:tl2br w:val="nil"/>
              <w:tr2bl w:val="nil"/>
            </w:tcBorders>
            <w:vAlign w:val="center"/>
          </w:tcPr>
          <w:p w14:paraId="579DBCC7">
            <w:pPr>
              <w:keepNext w:val="0"/>
              <w:keepLines w:val="0"/>
              <w:pageBreakBefore w:val="0"/>
              <w:kinsoku/>
              <w:topLinePunct w:val="0"/>
              <w:bidi w:val="0"/>
              <w:spacing w:line="240" w:lineRule="auto"/>
              <w:rPr>
                <w:rFonts w:hint="eastAsia" w:ascii="宋体" w:hAnsi="宋体" w:eastAsia="宋体" w:cs="宋体"/>
                <w:color w:val="auto"/>
                <w:szCs w:val="21"/>
                <w:highlight w:val="none"/>
              </w:rPr>
            </w:pPr>
          </w:p>
        </w:tc>
      </w:tr>
      <w:tr w14:paraId="21141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6D8EA6BC">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858" w:type="pct"/>
            <w:gridSpan w:val="2"/>
            <w:vMerge w:val="continue"/>
            <w:tcBorders>
              <w:tl2br w:val="nil"/>
              <w:tr2bl w:val="nil"/>
            </w:tcBorders>
            <w:vAlign w:val="center"/>
          </w:tcPr>
          <w:p w14:paraId="358E7242">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055" w:type="pct"/>
            <w:gridSpan w:val="2"/>
            <w:tcBorders>
              <w:tl2br w:val="nil"/>
              <w:tr2bl w:val="nil"/>
            </w:tcBorders>
            <w:vAlign w:val="center"/>
          </w:tcPr>
          <w:p w14:paraId="27672179">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业绩要求</w:t>
            </w:r>
          </w:p>
        </w:tc>
        <w:tc>
          <w:tcPr>
            <w:tcW w:w="2634" w:type="pct"/>
            <w:vMerge w:val="continue"/>
            <w:tcBorders>
              <w:tl2br w:val="nil"/>
              <w:tr2bl w:val="nil"/>
            </w:tcBorders>
            <w:vAlign w:val="center"/>
          </w:tcPr>
          <w:p w14:paraId="14B50FB3">
            <w:pPr>
              <w:keepNext w:val="0"/>
              <w:keepLines w:val="0"/>
              <w:pageBreakBefore w:val="0"/>
              <w:kinsoku/>
              <w:topLinePunct w:val="0"/>
              <w:bidi w:val="0"/>
              <w:spacing w:line="240" w:lineRule="auto"/>
              <w:rPr>
                <w:rFonts w:hint="eastAsia" w:ascii="宋体" w:hAnsi="宋体" w:eastAsia="宋体" w:cs="宋体"/>
                <w:color w:val="auto"/>
                <w:szCs w:val="21"/>
                <w:highlight w:val="none"/>
              </w:rPr>
            </w:pPr>
          </w:p>
        </w:tc>
      </w:tr>
      <w:tr w14:paraId="6FDDB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33167857">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914" w:type="pct"/>
            <w:gridSpan w:val="4"/>
            <w:tcBorders>
              <w:tl2br w:val="nil"/>
              <w:tr2bl w:val="nil"/>
            </w:tcBorders>
            <w:vAlign w:val="center"/>
          </w:tcPr>
          <w:p w14:paraId="300F3670">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人员要求（如有）</w:t>
            </w:r>
          </w:p>
        </w:tc>
        <w:tc>
          <w:tcPr>
            <w:tcW w:w="2634" w:type="pct"/>
            <w:vMerge w:val="continue"/>
            <w:tcBorders>
              <w:tl2br w:val="nil"/>
              <w:tr2bl w:val="nil"/>
            </w:tcBorders>
            <w:vAlign w:val="center"/>
          </w:tcPr>
          <w:p w14:paraId="0101F31A">
            <w:pPr>
              <w:keepNext w:val="0"/>
              <w:keepLines w:val="0"/>
              <w:pageBreakBefore w:val="0"/>
              <w:kinsoku/>
              <w:topLinePunct w:val="0"/>
              <w:bidi w:val="0"/>
              <w:spacing w:line="240" w:lineRule="auto"/>
              <w:rPr>
                <w:rFonts w:hint="eastAsia" w:ascii="宋体" w:hAnsi="宋体" w:eastAsia="宋体" w:cs="宋体"/>
                <w:color w:val="auto"/>
                <w:szCs w:val="21"/>
                <w:highlight w:val="none"/>
              </w:rPr>
            </w:pPr>
          </w:p>
        </w:tc>
      </w:tr>
      <w:tr w14:paraId="2A820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4C87A5B5">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914" w:type="pct"/>
            <w:gridSpan w:val="4"/>
            <w:tcBorders>
              <w:tl2br w:val="nil"/>
              <w:tr2bl w:val="nil"/>
            </w:tcBorders>
            <w:vAlign w:val="center"/>
          </w:tcPr>
          <w:p w14:paraId="45EB8DD8">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法定代表人身份证明（如有）</w:t>
            </w:r>
          </w:p>
        </w:tc>
        <w:tc>
          <w:tcPr>
            <w:tcW w:w="2634" w:type="pct"/>
            <w:vMerge w:val="continue"/>
            <w:tcBorders>
              <w:tl2br w:val="nil"/>
              <w:tr2bl w:val="nil"/>
            </w:tcBorders>
            <w:vAlign w:val="center"/>
          </w:tcPr>
          <w:p w14:paraId="591A38FD">
            <w:pPr>
              <w:keepNext w:val="0"/>
              <w:keepLines w:val="0"/>
              <w:pageBreakBefore w:val="0"/>
              <w:kinsoku/>
              <w:topLinePunct w:val="0"/>
              <w:bidi w:val="0"/>
              <w:spacing w:line="240" w:lineRule="auto"/>
              <w:rPr>
                <w:rFonts w:hint="eastAsia" w:ascii="宋体" w:hAnsi="宋体" w:eastAsia="宋体" w:cs="宋体"/>
                <w:color w:val="auto"/>
                <w:szCs w:val="21"/>
                <w:highlight w:val="none"/>
              </w:rPr>
            </w:pPr>
          </w:p>
        </w:tc>
      </w:tr>
      <w:tr w14:paraId="1CC68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6D6D724D">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914" w:type="pct"/>
            <w:gridSpan w:val="4"/>
            <w:tcBorders>
              <w:tl2br w:val="nil"/>
              <w:tr2bl w:val="nil"/>
            </w:tcBorders>
            <w:vAlign w:val="center"/>
          </w:tcPr>
          <w:p w14:paraId="4BBC1EAE">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授权委托书（如有）</w:t>
            </w:r>
          </w:p>
        </w:tc>
        <w:tc>
          <w:tcPr>
            <w:tcW w:w="2634" w:type="pct"/>
            <w:vMerge w:val="continue"/>
            <w:tcBorders>
              <w:tl2br w:val="nil"/>
              <w:tr2bl w:val="nil"/>
            </w:tcBorders>
            <w:vAlign w:val="center"/>
          </w:tcPr>
          <w:p w14:paraId="2D1BAA37">
            <w:pPr>
              <w:keepNext w:val="0"/>
              <w:keepLines w:val="0"/>
              <w:pageBreakBefore w:val="0"/>
              <w:kinsoku/>
              <w:topLinePunct w:val="0"/>
              <w:bidi w:val="0"/>
              <w:spacing w:line="240" w:lineRule="auto"/>
              <w:rPr>
                <w:rFonts w:hint="eastAsia" w:ascii="宋体" w:hAnsi="宋体" w:eastAsia="宋体" w:cs="宋体"/>
                <w:color w:val="auto"/>
                <w:szCs w:val="21"/>
                <w:highlight w:val="none"/>
              </w:rPr>
            </w:pPr>
          </w:p>
        </w:tc>
      </w:tr>
      <w:tr w14:paraId="6F96E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17CFA1F2">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914" w:type="pct"/>
            <w:gridSpan w:val="4"/>
            <w:tcBorders>
              <w:tl2br w:val="nil"/>
              <w:tr2bl w:val="nil"/>
            </w:tcBorders>
            <w:vAlign w:val="center"/>
          </w:tcPr>
          <w:p w14:paraId="77507AA0">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投标保证金</w:t>
            </w:r>
          </w:p>
        </w:tc>
        <w:tc>
          <w:tcPr>
            <w:tcW w:w="2634" w:type="pct"/>
            <w:tcBorders>
              <w:tl2br w:val="nil"/>
              <w:tr2bl w:val="nil"/>
            </w:tcBorders>
            <w:vAlign w:val="center"/>
          </w:tcPr>
          <w:p w14:paraId="74ACBAE8">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符合第二章“投标人须知”第3.4.1项规定</w:t>
            </w:r>
          </w:p>
        </w:tc>
      </w:tr>
      <w:tr w14:paraId="6F922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7D8392F4">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914" w:type="pct"/>
            <w:gridSpan w:val="4"/>
            <w:tcBorders>
              <w:tl2br w:val="nil"/>
              <w:tr2bl w:val="nil"/>
            </w:tcBorders>
            <w:vAlign w:val="center"/>
          </w:tcPr>
          <w:p w14:paraId="77EF6403">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不存在禁止投标的情形</w:t>
            </w:r>
          </w:p>
        </w:tc>
        <w:tc>
          <w:tcPr>
            <w:tcW w:w="2634" w:type="pct"/>
            <w:tcBorders>
              <w:tl2br w:val="nil"/>
              <w:tr2bl w:val="nil"/>
            </w:tcBorders>
            <w:vAlign w:val="center"/>
          </w:tcPr>
          <w:p w14:paraId="29BAEC8B">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不存在第二章“投标人须知”第1.4.</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rPr>
              <w:t>项规定的任何一种情形，以投标函为准（格式见第六章“投标文件格式”一《投标函》）。</w:t>
            </w:r>
          </w:p>
          <w:p w14:paraId="16C81D00">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招标人有权对承诺函的承诺事项进行核查，如存在禁止投标的情形，将否决其投标，并按相关法律法规进行处理。</w:t>
            </w:r>
          </w:p>
        </w:tc>
      </w:tr>
      <w:tr w14:paraId="2A71B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69E15F88">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4548" w:type="pct"/>
            <w:gridSpan w:val="5"/>
            <w:tcBorders>
              <w:tl2br w:val="nil"/>
              <w:tr2bl w:val="nil"/>
            </w:tcBorders>
            <w:vAlign w:val="center"/>
          </w:tcPr>
          <w:p w14:paraId="62A8EA91">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没有发生被长沙</w:t>
            </w:r>
            <w:r>
              <w:rPr>
                <w:rFonts w:hint="eastAsia" w:ascii="宋体" w:hAnsi="宋体" w:eastAsia="宋体" w:cs="宋体"/>
                <w:color w:val="auto"/>
                <w:szCs w:val="21"/>
                <w:highlight w:val="none"/>
                <w:lang w:val="en-US" w:eastAsia="zh-CN"/>
              </w:rPr>
              <w:t>市</w:t>
            </w:r>
            <w:r>
              <w:rPr>
                <w:rFonts w:hint="eastAsia" w:ascii="宋体" w:hAnsi="宋体" w:eastAsia="宋体" w:cs="宋体"/>
                <w:color w:val="auto"/>
                <w:szCs w:val="21"/>
                <w:highlight w:val="none"/>
              </w:rPr>
              <w:t>轨道交通集团</w:t>
            </w:r>
            <w:r>
              <w:rPr>
                <w:rFonts w:hint="eastAsia" w:ascii="宋体" w:hAnsi="宋体" w:eastAsia="宋体" w:cs="宋体"/>
                <w:color w:val="auto"/>
                <w:szCs w:val="21"/>
                <w:highlight w:val="none"/>
                <w:lang w:val="en-US" w:eastAsia="zh-CN"/>
              </w:rPr>
              <w:t>有限公司</w:t>
            </w:r>
            <w:r>
              <w:rPr>
                <w:rFonts w:hint="eastAsia" w:ascii="宋体" w:hAnsi="宋体" w:eastAsia="宋体" w:cs="宋体"/>
                <w:color w:val="auto"/>
                <w:szCs w:val="21"/>
                <w:highlight w:val="none"/>
              </w:rPr>
              <w:t>或长沙穗城轨道交通有限公司函告禁止在一定期限内参与轨道项目投标的单位按函告内容执行。如有，则以招标人提供的函件内容为准。</w:t>
            </w:r>
          </w:p>
        </w:tc>
      </w:tr>
      <w:tr w14:paraId="0211E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restart"/>
            <w:tcBorders>
              <w:tl2br w:val="nil"/>
              <w:tr2bl w:val="nil"/>
            </w:tcBorders>
            <w:vAlign w:val="center"/>
          </w:tcPr>
          <w:p w14:paraId="2DB9EA40">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2.1.2</w:t>
            </w:r>
          </w:p>
        </w:tc>
        <w:tc>
          <w:tcPr>
            <w:tcW w:w="4548" w:type="pct"/>
            <w:gridSpan w:val="5"/>
            <w:tcBorders>
              <w:tl2br w:val="nil"/>
              <w:tr2bl w:val="nil"/>
            </w:tcBorders>
            <w:vAlign w:val="center"/>
          </w:tcPr>
          <w:p w14:paraId="57AAC179">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符合性评审标准</w:t>
            </w:r>
          </w:p>
        </w:tc>
      </w:tr>
      <w:tr w14:paraId="08D45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386F00C6">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914" w:type="pct"/>
            <w:gridSpan w:val="4"/>
            <w:tcBorders>
              <w:tl2br w:val="nil"/>
              <w:tr2bl w:val="nil"/>
            </w:tcBorders>
            <w:vAlign w:val="center"/>
          </w:tcPr>
          <w:p w14:paraId="3CFECF0C">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p>
        </w:tc>
        <w:tc>
          <w:tcPr>
            <w:tcW w:w="2634" w:type="pct"/>
            <w:tcBorders>
              <w:tl2br w:val="nil"/>
              <w:tr2bl w:val="nil"/>
            </w:tcBorders>
            <w:vAlign w:val="center"/>
          </w:tcPr>
          <w:p w14:paraId="7717A08B">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与营业执照（或事业单位法人证书）、资质证书一致</w:t>
            </w:r>
          </w:p>
        </w:tc>
      </w:tr>
      <w:tr w14:paraId="3BD85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6C817CF9">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914" w:type="pct"/>
            <w:gridSpan w:val="4"/>
            <w:tcBorders>
              <w:tl2br w:val="nil"/>
              <w:tr2bl w:val="nil"/>
            </w:tcBorders>
            <w:vAlign w:val="center"/>
          </w:tcPr>
          <w:p w14:paraId="66244852">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投标文件签字盖章</w:t>
            </w:r>
          </w:p>
        </w:tc>
        <w:tc>
          <w:tcPr>
            <w:tcW w:w="2634" w:type="pct"/>
            <w:tcBorders>
              <w:tl2br w:val="nil"/>
              <w:tr2bl w:val="nil"/>
            </w:tcBorders>
            <w:vAlign w:val="center"/>
          </w:tcPr>
          <w:p w14:paraId="7F2E2350">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按照第六章“投标文件格式”的要求签字及加盖投标人单位公章。</w:t>
            </w:r>
          </w:p>
        </w:tc>
      </w:tr>
      <w:tr w14:paraId="142A0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54FAC502">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914" w:type="pct"/>
            <w:gridSpan w:val="4"/>
            <w:tcBorders>
              <w:tl2br w:val="nil"/>
              <w:tr2bl w:val="nil"/>
            </w:tcBorders>
            <w:vAlign w:val="center"/>
          </w:tcPr>
          <w:p w14:paraId="1103B732">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联合体投标人</w:t>
            </w:r>
          </w:p>
        </w:tc>
        <w:tc>
          <w:tcPr>
            <w:tcW w:w="2634" w:type="pct"/>
            <w:tcBorders>
              <w:tl2br w:val="nil"/>
              <w:tr2bl w:val="nil"/>
            </w:tcBorders>
            <w:vAlign w:val="center"/>
          </w:tcPr>
          <w:p w14:paraId="6C1077D4">
            <w:pPr>
              <w:keepNext w:val="0"/>
              <w:keepLines w:val="0"/>
              <w:pageBreakBefore w:val="0"/>
              <w:kinsoku/>
              <w:topLinePunct w:val="0"/>
              <w:bidi w:val="0"/>
              <w:spacing w:line="24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本项目不接受联合体投标。</w:t>
            </w:r>
          </w:p>
        </w:tc>
      </w:tr>
      <w:tr w14:paraId="569DA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26E12CE4">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914" w:type="pct"/>
            <w:gridSpan w:val="4"/>
            <w:tcBorders>
              <w:tl2br w:val="nil"/>
              <w:tr2bl w:val="nil"/>
            </w:tcBorders>
            <w:vAlign w:val="center"/>
          </w:tcPr>
          <w:p w14:paraId="0A2E2143">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备选投标方案</w:t>
            </w:r>
          </w:p>
        </w:tc>
        <w:tc>
          <w:tcPr>
            <w:tcW w:w="2634" w:type="pct"/>
            <w:tcBorders>
              <w:tl2br w:val="nil"/>
              <w:tr2bl w:val="nil"/>
            </w:tcBorders>
            <w:vAlign w:val="center"/>
          </w:tcPr>
          <w:p w14:paraId="1B28654D">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投标人不得提交备选投标方案。</w:t>
            </w:r>
          </w:p>
        </w:tc>
      </w:tr>
      <w:tr w14:paraId="62AB8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64C05030">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914" w:type="pct"/>
            <w:gridSpan w:val="4"/>
            <w:tcBorders>
              <w:tl2br w:val="nil"/>
              <w:tr2bl w:val="nil"/>
            </w:tcBorders>
            <w:vAlign w:val="center"/>
          </w:tcPr>
          <w:p w14:paraId="67FE92A8">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w:t>
            </w:r>
          </w:p>
        </w:tc>
        <w:tc>
          <w:tcPr>
            <w:tcW w:w="2634" w:type="pct"/>
            <w:tcBorders>
              <w:tl2br w:val="nil"/>
              <w:tr2bl w:val="nil"/>
            </w:tcBorders>
            <w:vAlign w:val="center"/>
          </w:tcPr>
          <w:p w14:paraId="1530932C">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符合第二章“投标人须知”第3.2款规定</w:t>
            </w:r>
          </w:p>
        </w:tc>
      </w:tr>
      <w:tr w14:paraId="39BB1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329FD013">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914" w:type="pct"/>
            <w:gridSpan w:val="4"/>
            <w:tcBorders>
              <w:tl2br w:val="nil"/>
              <w:tr2bl w:val="nil"/>
            </w:tcBorders>
            <w:vAlign w:val="center"/>
          </w:tcPr>
          <w:p w14:paraId="58AA43D8">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投标内容</w:t>
            </w:r>
          </w:p>
        </w:tc>
        <w:tc>
          <w:tcPr>
            <w:tcW w:w="2634" w:type="pct"/>
            <w:tcBorders>
              <w:tl2br w:val="nil"/>
              <w:tr2bl w:val="nil"/>
            </w:tcBorders>
            <w:vAlign w:val="center"/>
          </w:tcPr>
          <w:p w14:paraId="797805AC">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符合第二章“投标人须知”第1.3.1项规定</w:t>
            </w:r>
          </w:p>
        </w:tc>
      </w:tr>
      <w:tr w14:paraId="5E605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18034723">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914" w:type="pct"/>
            <w:gridSpan w:val="4"/>
            <w:tcBorders>
              <w:tl2br w:val="nil"/>
              <w:tr2bl w:val="nil"/>
            </w:tcBorders>
            <w:vAlign w:val="center"/>
          </w:tcPr>
          <w:p w14:paraId="1220BA64">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服务期限</w:t>
            </w:r>
          </w:p>
        </w:tc>
        <w:tc>
          <w:tcPr>
            <w:tcW w:w="2634" w:type="pct"/>
            <w:tcBorders>
              <w:tl2br w:val="nil"/>
              <w:tr2bl w:val="nil"/>
            </w:tcBorders>
            <w:vAlign w:val="center"/>
          </w:tcPr>
          <w:p w14:paraId="560F2514">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符合第二章“投标人须知”第1.3.2项规定</w:t>
            </w:r>
          </w:p>
        </w:tc>
      </w:tr>
      <w:tr w14:paraId="566F4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4379993D">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914" w:type="pct"/>
            <w:gridSpan w:val="4"/>
            <w:tcBorders>
              <w:tl2br w:val="nil"/>
              <w:tr2bl w:val="nil"/>
            </w:tcBorders>
            <w:vAlign w:val="center"/>
          </w:tcPr>
          <w:p w14:paraId="43B05006">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投标有效期</w:t>
            </w:r>
          </w:p>
        </w:tc>
        <w:tc>
          <w:tcPr>
            <w:tcW w:w="2634" w:type="pct"/>
            <w:tcBorders>
              <w:tl2br w:val="nil"/>
              <w:tr2bl w:val="nil"/>
            </w:tcBorders>
            <w:vAlign w:val="center"/>
          </w:tcPr>
          <w:p w14:paraId="0E74FB62">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符合第二章“投标人须知”第3.3.1项规定</w:t>
            </w:r>
          </w:p>
        </w:tc>
      </w:tr>
      <w:tr w14:paraId="0DB49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2E454E76">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914" w:type="pct"/>
            <w:gridSpan w:val="4"/>
            <w:tcBorders>
              <w:tl2br w:val="nil"/>
              <w:tr2bl w:val="nil"/>
            </w:tcBorders>
            <w:vAlign w:val="center"/>
          </w:tcPr>
          <w:p w14:paraId="7313D3B5">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响应和偏差</w:t>
            </w:r>
          </w:p>
        </w:tc>
        <w:tc>
          <w:tcPr>
            <w:tcW w:w="2634" w:type="pct"/>
            <w:tcBorders>
              <w:tl2br w:val="nil"/>
              <w:tr2bl w:val="nil"/>
            </w:tcBorders>
            <w:vAlign w:val="center"/>
          </w:tcPr>
          <w:p w14:paraId="42B4E0EA">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符合第二章“投标人须知”第1.10项规定</w:t>
            </w:r>
          </w:p>
        </w:tc>
      </w:tr>
      <w:tr w14:paraId="74706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3A5DFBB3">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914" w:type="pct"/>
            <w:gridSpan w:val="4"/>
            <w:tcBorders>
              <w:tl2br w:val="nil"/>
              <w:tr2bl w:val="nil"/>
            </w:tcBorders>
            <w:vAlign w:val="center"/>
          </w:tcPr>
          <w:p w14:paraId="239C3ED1">
            <w:pPr>
              <w:keepNext w:val="0"/>
              <w:keepLines w:val="0"/>
              <w:pageBreakBefore w:val="0"/>
              <w:kinsoku/>
              <w:wordWrap w:val="0"/>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成本评审</w:t>
            </w:r>
          </w:p>
        </w:tc>
        <w:tc>
          <w:tcPr>
            <w:tcW w:w="2634" w:type="pct"/>
            <w:tcBorders>
              <w:tl2br w:val="nil"/>
              <w:tr2bl w:val="nil"/>
            </w:tcBorders>
            <w:vAlign w:val="center"/>
          </w:tcPr>
          <w:p w14:paraId="6AD1A8BD">
            <w:pPr>
              <w:keepNext w:val="0"/>
              <w:keepLines w:val="0"/>
              <w:pageBreakBefore w:val="0"/>
              <w:kinsoku/>
              <w:wordWrap w:val="0"/>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开标一览表”的“投标总报价”低于通过资格评审的所有投标人的“开标一览表”的“投标总报价”的算术平均值80%时，由评标委员会启动成本评审工作，以判别该投标人的投标报价是否低于其成本。评标委员会应当要求该投标人作出书面说明并提供相应的证明材料。投标人不能合理说明或者不能提供相应证明材料的，由评标委员会认定该投标人以低于成本报价竞标，并否决其投标。</w:t>
            </w:r>
          </w:p>
        </w:tc>
      </w:tr>
      <w:tr w14:paraId="42ABA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tcBorders>
              <w:tl2br w:val="nil"/>
              <w:tr2bl w:val="nil"/>
            </w:tcBorders>
            <w:vAlign w:val="center"/>
          </w:tcPr>
          <w:p w14:paraId="71BFE9A9">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条款号</w:t>
            </w:r>
          </w:p>
        </w:tc>
        <w:tc>
          <w:tcPr>
            <w:tcW w:w="1914" w:type="pct"/>
            <w:gridSpan w:val="4"/>
            <w:tcBorders>
              <w:tl2br w:val="nil"/>
              <w:tr2bl w:val="nil"/>
            </w:tcBorders>
            <w:vAlign w:val="center"/>
          </w:tcPr>
          <w:p w14:paraId="1A180228">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条款内容</w:t>
            </w:r>
          </w:p>
        </w:tc>
        <w:tc>
          <w:tcPr>
            <w:tcW w:w="2634" w:type="pct"/>
            <w:tcBorders>
              <w:tl2br w:val="nil"/>
              <w:tr2bl w:val="nil"/>
            </w:tcBorders>
            <w:vAlign w:val="center"/>
          </w:tcPr>
          <w:p w14:paraId="6B7583CA">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编列内容</w:t>
            </w:r>
          </w:p>
        </w:tc>
      </w:tr>
      <w:tr w14:paraId="43856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tcBorders>
              <w:tl2br w:val="nil"/>
              <w:tr2bl w:val="nil"/>
            </w:tcBorders>
            <w:vAlign w:val="center"/>
          </w:tcPr>
          <w:p w14:paraId="48F39490">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w:t>
            </w:r>
          </w:p>
        </w:tc>
        <w:tc>
          <w:tcPr>
            <w:tcW w:w="1914" w:type="pct"/>
            <w:gridSpan w:val="4"/>
            <w:tcBorders>
              <w:tl2br w:val="nil"/>
              <w:tr2bl w:val="nil"/>
            </w:tcBorders>
            <w:vAlign w:val="center"/>
          </w:tcPr>
          <w:p w14:paraId="6AEC4D39">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权重分值</w:t>
            </w:r>
          </w:p>
        </w:tc>
        <w:tc>
          <w:tcPr>
            <w:tcW w:w="2634" w:type="pct"/>
            <w:tcBorders>
              <w:tl2br w:val="nil"/>
              <w:tr2bl w:val="nil"/>
            </w:tcBorders>
            <w:vAlign w:val="center"/>
          </w:tcPr>
          <w:p w14:paraId="11F0902A">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商务部分：30分</w:t>
            </w:r>
          </w:p>
          <w:p w14:paraId="773224FA">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技术部分：40分</w:t>
            </w:r>
          </w:p>
          <w:p w14:paraId="6758C824">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报价部分：30分</w:t>
            </w:r>
          </w:p>
        </w:tc>
      </w:tr>
      <w:tr w14:paraId="2B6E9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tcBorders>
              <w:tl2br w:val="nil"/>
              <w:tr2bl w:val="nil"/>
            </w:tcBorders>
            <w:vAlign w:val="center"/>
          </w:tcPr>
          <w:p w14:paraId="39793511">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条款号</w:t>
            </w:r>
          </w:p>
        </w:tc>
        <w:tc>
          <w:tcPr>
            <w:tcW w:w="1129" w:type="pct"/>
            <w:gridSpan w:val="3"/>
            <w:tcBorders>
              <w:tl2br w:val="nil"/>
              <w:tr2bl w:val="nil"/>
            </w:tcBorders>
            <w:vAlign w:val="center"/>
          </w:tcPr>
          <w:p w14:paraId="66E61C92">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评审因素</w:t>
            </w:r>
          </w:p>
        </w:tc>
        <w:tc>
          <w:tcPr>
            <w:tcW w:w="785" w:type="pct"/>
            <w:tcBorders>
              <w:tl2br w:val="nil"/>
              <w:tr2bl w:val="nil"/>
            </w:tcBorders>
            <w:vAlign w:val="center"/>
          </w:tcPr>
          <w:p w14:paraId="39C7D408">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分值</w:t>
            </w:r>
          </w:p>
        </w:tc>
        <w:tc>
          <w:tcPr>
            <w:tcW w:w="2634" w:type="pct"/>
            <w:tcBorders>
              <w:tl2br w:val="nil"/>
              <w:tr2bl w:val="nil"/>
            </w:tcBorders>
            <w:vAlign w:val="center"/>
          </w:tcPr>
          <w:p w14:paraId="39B63838">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评审标准</w:t>
            </w:r>
          </w:p>
        </w:tc>
      </w:tr>
      <w:tr w14:paraId="1D370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restart"/>
            <w:tcBorders>
              <w:tl2br w:val="nil"/>
              <w:tr2bl w:val="nil"/>
            </w:tcBorders>
            <w:vAlign w:val="center"/>
          </w:tcPr>
          <w:p w14:paraId="4E7EAB38">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w:t>
            </w:r>
          </w:p>
          <w:p w14:paraId="25CC5E89">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（1）</w:t>
            </w:r>
          </w:p>
        </w:tc>
        <w:tc>
          <w:tcPr>
            <w:tcW w:w="4548" w:type="pct"/>
            <w:gridSpan w:val="5"/>
            <w:tcBorders>
              <w:tl2br w:val="nil"/>
              <w:tr2bl w:val="nil"/>
            </w:tcBorders>
            <w:vAlign w:val="center"/>
          </w:tcPr>
          <w:p w14:paraId="59D27A3D">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商务部分详细评分标准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30分</w:t>
            </w:r>
            <w:r>
              <w:rPr>
                <w:rFonts w:hint="eastAsia" w:ascii="宋体" w:hAnsi="宋体" w:eastAsia="宋体" w:cs="宋体"/>
                <w:color w:val="auto"/>
                <w:szCs w:val="21"/>
                <w:highlight w:val="none"/>
                <w:lang w:eastAsia="zh-CN"/>
              </w:rPr>
              <w:t>）</w:t>
            </w:r>
          </w:p>
        </w:tc>
      </w:tr>
      <w:tr w14:paraId="07074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51" w:type="pct"/>
            <w:vMerge w:val="continue"/>
            <w:tcBorders>
              <w:tl2br w:val="nil"/>
              <w:tr2bl w:val="nil"/>
            </w:tcBorders>
            <w:vAlign w:val="center"/>
          </w:tcPr>
          <w:p w14:paraId="517253E6">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1129" w:type="pct"/>
            <w:gridSpan w:val="3"/>
            <w:tcBorders>
              <w:tl2br w:val="nil"/>
              <w:tr2bl w:val="nil"/>
            </w:tcBorders>
            <w:vAlign w:val="center"/>
          </w:tcPr>
          <w:p w14:paraId="0A9FA15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响应文件的编制</w:t>
            </w:r>
          </w:p>
        </w:tc>
        <w:tc>
          <w:tcPr>
            <w:tcW w:w="785" w:type="pct"/>
            <w:tcBorders>
              <w:tl2br w:val="nil"/>
              <w:tr2bl w:val="nil"/>
            </w:tcBorders>
            <w:vAlign w:val="center"/>
          </w:tcPr>
          <w:p w14:paraId="3559B4C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2</w:t>
            </w:r>
          </w:p>
        </w:tc>
        <w:tc>
          <w:tcPr>
            <w:tcW w:w="2634" w:type="pct"/>
            <w:tcBorders>
              <w:tl2br w:val="nil"/>
              <w:tr2bl w:val="nil"/>
            </w:tcBorders>
            <w:vAlign w:val="center"/>
          </w:tcPr>
          <w:p w14:paraId="673B054F">
            <w:pPr>
              <w:keepNext w:val="0"/>
              <w:keepLines w:val="0"/>
              <w:pageBreakBefore w:val="0"/>
              <w:widowControl w:val="0"/>
              <w:tabs>
                <w:tab w:val="left" w:pos="1260"/>
              </w:tabs>
              <w:kinsoku/>
              <w:wordWrap/>
              <w:overflowPunct/>
              <w:topLinePunct w:val="0"/>
              <w:autoSpaceDE/>
              <w:autoSpaceDN/>
              <w:bidi w:val="0"/>
              <w:adjustRightInd/>
              <w:snapToGrid/>
              <w:spacing w:line="280" w:lineRule="exact"/>
              <w:textAlignment w:val="auto"/>
              <w:rPr>
                <w:rFonts w:hint="eastAsia" w:ascii="宋体" w:hAnsi="宋体" w:eastAsia="宋体" w:cs="宋体"/>
                <w:color w:val="auto"/>
                <w:szCs w:val="21"/>
                <w:highlight w:val="none"/>
              </w:rPr>
            </w:pPr>
            <w:r>
              <w:rPr>
                <w:rFonts w:hint="eastAsia" w:ascii="宋体" w:hAnsi="宋体" w:eastAsia="宋体" w:cs="宋体"/>
                <w:iCs/>
                <w:color w:val="auto"/>
                <w:sz w:val="21"/>
                <w:szCs w:val="21"/>
                <w:highlight w:val="none"/>
              </w:rPr>
              <w:t>版面是否整齐，表述是否清晰，内容是否全面、准确，是否图文并茂，是否出现格式等错误。经评标委员会集体讨论认定一致后，每出现一处</w:t>
            </w:r>
            <w:r>
              <w:rPr>
                <w:rFonts w:hint="eastAsia" w:ascii="宋体" w:hAnsi="宋体" w:eastAsia="宋体" w:cs="宋体"/>
                <w:iCs/>
                <w:color w:val="auto"/>
                <w:sz w:val="21"/>
                <w:szCs w:val="21"/>
                <w:highlight w:val="none"/>
                <w:lang w:eastAsia="zh-CN"/>
              </w:rPr>
              <w:t>问题</w:t>
            </w:r>
            <w:r>
              <w:rPr>
                <w:rFonts w:hint="eastAsia" w:ascii="宋体" w:hAnsi="宋体" w:eastAsia="宋体" w:cs="宋体"/>
                <w:iCs/>
                <w:color w:val="auto"/>
                <w:sz w:val="21"/>
                <w:szCs w:val="21"/>
                <w:highlight w:val="none"/>
              </w:rPr>
              <w:t>扣0.2分,扣完为止。</w:t>
            </w:r>
          </w:p>
        </w:tc>
      </w:tr>
      <w:tr w14:paraId="37CA9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60BEE365">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1129" w:type="pct"/>
            <w:gridSpan w:val="3"/>
            <w:tcBorders>
              <w:tl2br w:val="nil"/>
              <w:tr2bl w:val="nil"/>
            </w:tcBorders>
            <w:vAlign w:val="center"/>
          </w:tcPr>
          <w:p w14:paraId="6EFEFEB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计分业绩</w:t>
            </w:r>
          </w:p>
        </w:tc>
        <w:tc>
          <w:tcPr>
            <w:tcW w:w="785" w:type="pct"/>
            <w:tcBorders>
              <w:tl2br w:val="nil"/>
              <w:tr2bl w:val="nil"/>
            </w:tcBorders>
            <w:vAlign w:val="center"/>
          </w:tcPr>
          <w:p w14:paraId="444CD404">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12</w:t>
            </w:r>
          </w:p>
        </w:tc>
        <w:tc>
          <w:tcPr>
            <w:tcW w:w="2634" w:type="pct"/>
            <w:tcBorders>
              <w:tl2br w:val="nil"/>
              <w:tr2bl w:val="nil"/>
            </w:tcBorders>
            <w:vAlign w:val="center"/>
          </w:tcPr>
          <w:p w14:paraId="582F5236">
            <w:pPr>
              <w:keepNext w:val="0"/>
              <w:keepLines w:val="0"/>
              <w:pageBreakBefore w:val="0"/>
              <w:numPr>
                <w:ilvl w:val="12"/>
                <w:numId w:val="0"/>
              </w:numPr>
              <w:tabs>
                <w:tab w:val="left" w:pos="1260"/>
              </w:tabs>
              <w:kinsoku/>
              <w:wordWrap/>
              <w:overflowPunct/>
              <w:topLinePunct w:val="0"/>
              <w:autoSpaceDE/>
              <w:autoSpaceDN/>
              <w:bidi w:val="0"/>
              <w:adjustRightInd/>
              <w:snapToGrid/>
              <w:spacing w:line="280" w:lineRule="exact"/>
              <w:ind w:firstLine="0" w:firstLineChars="0"/>
              <w:jc w:val="left"/>
              <w:textAlignment w:val="auto"/>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lang w:eastAsia="zh-CN"/>
              </w:rPr>
              <w:t>供应商</w:t>
            </w:r>
            <w:r>
              <w:rPr>
                <w:rFonts w:hint="eastAsia" w:ascii="宋体" w:hAnsi="宋体" w:eastAsia="宋体" w:cs="宋体"/>
                <w:iCs/>
                <w:color w:val="auto"/>
                <w:sz w:val="21"/>
                <w:szCs w:val="21"/>
                <w:highlight w:val="none"/>
              </w:rPr>
              <w:t>每</w:t>
            </w:r>
            <w:r>
              <w:rPr>
                <w:rFonts w:hint="eastAsia" w:ascii="宋体" w:hAnsi="宋体" w:eastAsia="宋体" w:cs="宋体"/>
                <w:iCs/>
                <w:color w:val="auto"/>
                <w:sz w:val="21"/>
                <w:szCs w:val="21"/>
                <w:highlight w:val="none"/>
                <w:lang w:val="en-US" w:eastAsia="zh-CN"/>
              </w:rPr>
              <w:t>具备</w:t>
            </w:r>
            <w:r>
              <w:rPr>
                <w:rFonts w:hint="eastAsia" w:ascii="宋体" w:hAnsi="宋体" w:eastAsia="宋体" w:cs="宋体"/>
                <w:iCs/>
                <w:color w:val="auto"/>
                <w:sz w:val="21"/>
                <w:szCs w:val="21"/>
                <w:highlight w:val="none"/>
              </w:rPr>
              <w:t>1个计分业绩加</w:t>
            </w:r>
            <w:r>
              <w:rPr>
                <w:rFonts w:hint="eastAsia" w:ascii="宋体" w:hAnsi="宋体" w:eastAsia="宋体" w:cs="宋体"/>
                <w:iCs/>
                <w:color w:val="auto"/>
                <w:sz w:val="21"/>
                <w:szCs w:val="21"/>
                <w:highlight w:val="none"/>
                <w:lang w:val="en-US" w:eastAsia="zh-CN"/>
              </w:rPr>
              <w:t>3</w:t>
            </w:r>
            <w:r>
              <w:rPr>
                <w:rFonts w:hint="eastAsia" w:ascii="宋体" w:hAnsi="宋体" w:eastAsia="宋体" w:cs="宋体"/>
                <w:iCs/>
                <w:color w:val="auto"/>
                <w:sz w:val="21"/>
                <w:szCs w:val="21"/>
                <w:highlight w:val="none"/>
              </w:rPr>
              <w:t>分，最多加</w:t>
            </w:r>
            <w:r>
              <w:rPr>
                <w:rFonts w:hint="eastAsia" w:ascii="宋体" w:hAnsi="宋体" w:eastAsia="宋体" w:cs="宋体"/>
                <w:iCs/>
                <w:color w:val="auto"/>
                <w:sz w:val="21"/>
                <w:szCs w:val="21"/>
                <w:highlight w:val="none"/>
                <w:lang w:val="en-US" w:eastAsia="zh-CN"/>
              </w:rPr>
              <w:t>12</w:t>
            </w:r>
            <w:r>
              <w:rPr>
                <w:rFonts w:hint="eastAsia" w:ascii="宋体" w:hAnsi="宋体" w:eastAsia="宋体" w:cs="宋体"/>
                <w:iCs/>
                <w:color w:val="auto"/>
                <w:sz w:val="21"/>
                <w:szCs w:val="21"/>
                <w:highlight w:val="none"/>
              </w:rPr>
              <w:t>分。</w:t>
            </w:r>
          </w:p>
          <w:p w14:paraId="57FD1044">
            <w:pPr>
              <w:keepNext w:val="0"/>
              <w:keepLines w:val="0"/>
              <w:pageBreakBefore w:val="0"/>
              <w:widowControl/>
              <w:numPr>
                <w:ilvl w:val="0"/>
                <w:numId w:val="0"/>
              </w:numPr>
              <w:suppressLineNumbers w:val="0"/>
              <w:tabs>
                <w:tab w:val="left" w:pos="1260"/>
              </w:tabs>
              <w:kinsoku/>
              <w:wordWrap/>
              <w:overflowPunct/>
              <w:topLinePunct w:val="0"/>
              <w:autoSpaceDE/>
              <w:autoSpaceDN/>
              <w:bidi w:val="0"/>
              <w:adjustRightInd/>
              <w:snapToGrid/>
              <w:spacing w:line="280" w:lineRule="exact"/>
              <w:ind w:firstLine="0" w:firstLineChars="0"/>
              <w:jc w:val="left"/>
              <w:textAlignment w:val="auto"/>
              <w:rPr>
                <w:rFonts w:hint="eastAsia" w:ascii="宋体" w:hAnsi="宋体" w:eastAsia="宋体" w:cs="宋体"/>
                <w:iCs/>
                <w:color w:val="auto"/>
                <w:szCs w:val="21"/>
                <w:highlight w:val="none"/>
              </w:rPr>
            </w:pPr>
            <w:r>
              <w:rPr>
                <w:rFonts w:hint="eastAsia" w:ascii="宋体" w:hAnsi="宋体" w:eastAsia="宋体" w:cs="宋体"/>
                <w:b w:val="0"/>
                <w:bCs w:val="0"/>
                <w:iCs/>
                <w:color w:val="auto"/>
                <w:szCs w:val="21"/>
                <w:highlight w:val="none"/>
                <w:lang w:val="en-US" w:eastAsia="zh-CN"/>
              </w:rPr>
              <w:t>计分</w:t>
            </w:r>
            <w:r>
              <w:rPr>
                <w:rFonts w:hint="eastAsia" w:ascii="宋体" w:hAnsi="宋体" w:eastAsia="宋体" w:cs="宋体"/>
                <w:b w:val="0"/>
                <w:bCs w:val="0"/>
                <w:iCs/>
                <w:color w:val="auto"/>
                <w:szCs w:val="21"/>
                <w:highlight w:val="none"/>
              </w:rPr>
              <w:t>业绩是指：</w:t>
            </w:r>
            <w:r>
              <w:rPr>
                <w:rFonts w:hint="eastAsia" w:ascii="宋体" w:hAnsi="宋体" w:eastAsia="宋体" w:cs="宋体"/>
                <w:iCs/>
                <w:color w:val="auto"/>
                <w:szCs w:val="21"/>
                <w:highlight w:val="none"/>
              </w:rPr>
              <w:t>供应商在提交响应文件截止之日前36个月内在中国境内自行承</w:t>
            </w:r>
            <w:r>
              <w:rPr>
                <w:rFonts w:hint="eastAsia" w:ascii="宋体" w:hAnsi="宋体" w:eastAsia="宋体" w:cs="宋体"/>
                <w:iCs/>
                <w:color w:val="auto"/>
                <w:szCs w:val="21"/>
                <w:highlight w:val="none"/>
                <w:shd w:val="clear"/>
              </w:rPr>
              <w:t>担的</w:t>
            </w:r>
            <w:r>
              <w:rPr>
                <w:rFonts w:hint="eastAsia" w:ascii="宋体" w:hAnsi="宋体" w:eastAsia="宋体" w:cs="宋体"/>
                <w:iCs/>
                <w:color w:val="auto"/>
                <w:szCs w:val="21"/>
                <w:highlight w:val="none"/>
                <w:shd w:val="clear"/>
                <w:lang w:val="en-US" w:eastAsia="zh-CN"/>
              </w:rPr>
              <w:t>不少于150万元/年的</w:t>
            </w:r>
            <w:r>
              <w:rPr>
                <w:rFonts w:hint="eastAsia" w:ascii="宋体" w:hAnsi="宋体" w:eastAsia="宋体" w:cs="宋体"/>
                <w:iCs/>
                <w:color w:val="auto"/>
                <w:szCs w:val="21"/>
                <w:highlight w:val="none"/>
                <w:shd w:val="clear"/>
              </w:rPr>
              <w:t>餐饮服务</w:t>
            </w:r>
            <w:r>
              <w:rPr>
                <w:rFonts w:hint="eastAsia" w:ascii="宋体" w:hAnsi="宋体" w:eastAsia="宋体" w:cs="宋体"/>
                <w:iCs/>
                <w:color w:val="auto"/>
                <w:szCs w:val="21"/>
                <w:highlight w:val="none"/>
                <w:lang w:val="en-US" w:eastAsia="zh-CN"/>
              </w:rPr>
              <w:t>项目</w:t>
            </w:r>
            <w:r>
              <w:rPr>
                <w:rFonts w:hint="eastAsia" w:ascii="宋体" w:hAnsi="宋体" w:eastAsia="宋体" w:cs="宋体"/>
                <w:iCs/>
                <w:color w:val="auto"/>
                <w:szCs w:val="21"/>
                <w:highlight w:val="none"/>
              </w:rPr>
              <w:t>业绩。</w:t>
            </w:r>
          </w:p>
          <w:p w14:paraId="7401A896">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both"/>
              <w:textAlignment w:val="center"/>
              <w:rPr>
                <w:rFonts w:hint="eastAsia" w:ascii="宋体" w:hAnsi="宋体" w:cs="宋体"/>
                <w:color w:val="auto"/>
                <w:szCs w:val="21"/>
                <w:highlight w:val="none"/>
                <w:lang w:val="en-US" w:eastAsia="zh-CN"/>
              </w:rPr>
            </w:pPr>
          </w:p>
          <w:p w14:paraId="4D0A770C">
            <w:pPr>
              <w:pStyle w:val="2"/>
              <w:keepNext w:val="0"/>
              <w:keepLines w:val="0"/>
              <w:pageBreakBefore w:val="0"/>
              <w:widowControl w:val="0"/>
              <w:kinsoku/>
              <w:wordWrap/>
              <w:overflowPunct/>
              <w:topLinePunct w:val="0"/>
              <w:autoSpaceDE/>
              <w:autoSpaceDN/>
              <w:bidi w:val="0"/>
              <w:adjustRightInd/>
              <w:snapToGrid/>
              <w:spacing w:after="0" w:line="28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b/>
                <w:bCs/>
                <w:i w:val="0"/>
                <w:iCs w:val="0"/>
                <w:color w:val="auto"/>
                <w:kern w:val="0"/>
                <w:sz w:val="21"/>
                <w:szCs w:val="21"/>
                <w:highlight w:val="none"/>
                <w:u w:val="none"/>
                <w:lang w:val="en-US" w:eastAsia="zh-CN" w:bidi="ar"/>
              </w:rPr>
              <w:t>注：</w:t>
            </w:r>
            <w:r>
              <w:rPr>
                <w:rFonts w:hint="eastAsia" w:ascii="宋体" w:hAnsi="宋体" w:cs="宋体"/>
                <w:b/>
                <w:bCs/>
                <w:color w:val="auto"/>
                <w:kern w:val="0"/>
                <w:szCs w:val="21"/>
                <w:highlight w:val="none"/>
                <w:u w:val="none"/>
                <w:lang w:bidi="ar"/>
              </w:rPr>
              <w:t>业绩证明材料以合同为准，且须提供合同</w:t>
            </w:r>
            <w:r>
              <w:rPr>
                <w:rFonts w:hint="eastAsia" w:ascii="宋体" w:hAnsi="宋体" w:cs="宋体"/>
                <w:b/>
                <w:bCs/>
                <w:color w:val="auto"/>
                <w:kern w:val="0"/>
                <w:szCs w:val="21"/>
                <w:highlight w:val="none"/>
                <w:u w:val="none"/>
                <w:lang w:val="en-US" w:eastAsia="zh-CN" w:bidi="ar"/>
              </w:rPr>
              <w:t>复印件</w:t>
            </w:r>
            <w:r>
              <w:rPr>
                <w:rFonts w:hint="eastAsia" w:ascii="宋体" w:hAnsi="宋体" w:cs="宋体"/>
                <w:b/>
                <w:bCs/>
                <w:color w:val="auto"/>
                <w:kern w:val="0"/>
                <w:szCs w:val="21"/>
                <w:highlight w:val="none"/>
                <w:u w:val="none"/>
                <w:lang w:bidi="ar"/>
              </w:rPr>
              <w:t>；时间以合同中较晚一方签字时间为准；</w:t>
            </w:r>
            <w:r>
              <w:rPr>
                <w:rFonts w:hint="eastAsia" w:ascii="宋体" w:hAnsi="宋体" w:eastAsia="宋体" w:cs="宋体"/>
                <w:b/>
                <w:bCs/>
                <w:color w:val="auto"/>
                <w:kern w:val="0"/>
                <w:sz w:val="21"/>
                <w:szCs w:val="21"/>
                <w:highlight w:val="none"/>
                <w:u w:val="none"/>
                <w:lang w:val="en-US" w:eastAsia="zh-CN" w:bidi="ar"/>
              </w:rPr>
              <w:t>若合同中无法体现业绩相关信息时，须另外提供由业主单位出具的《业主证明》。</w:t>
            </w:r>
            <w:r>
              <w:rPr>
                <w:rFonts w:hint="eastAsia" w:ascii="宋体" w:hAnsi="宋体" w:cs="宋体"/>
                <w:b/>
                <w:bCs/>
                <w:color w:val="auto"/>
                <w:kern w:val="0"/>
                <w:szCs w:val="21"/>
                <w:highlight w:val="none"/>
                <w:u w:val="none"/>
                <w:lang w:bidi="ar"/>
              </w:rPr>
              <w:t>不接受港澳台或境外业绩，不接受联合体业绩。</w:t>
            </w:r>
          </w:p>
        </w:tc>
      </w:tr>
      <w:tr w14:paraId="45A6B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1E7D9D5E">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1129" w:type="pct"/>
            <w:gridSpan w:val="3"/>
            <w:tcBorders>
              <w:tl2br w:val="nil"/>
              <w:tr2bl w:val="nil"/>
            </w:tcBorders>
            <w:vAlign w:val="center"/>
          </w:tcPr>
          <w:p w14:paraId="77E2989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综合实力</w:t>
            </w:r>
          </w:p>
        </w:tc>
        <w:tc>
          <w:tcPr>
            <w:tcW w:w="785" w:type="pct"/>
            <w:tcBorders>
              <w:tl2br w:val="nil"/>
              <w:tr2bl w:val="nil"/>
            </w:tcBorders>
            <w:vAlign w:val="center"/>
          </w:tcPr>
          <w:p w14:paraId="2BC42580">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4</w:t>
            </w:r>
          </w:p>
        </w:tc>
        <w:tc>
          <w:tcPr>
            <w:tcW w:w="2634" w:type="pct"/>
            <w:tcBorders>
              <w:tl2br w:val="nil"/>
              <w:tr2bl w:val="nil"/>
            </w:tcBorders>
            <w:vAlign w:val="center"/>
          </w:tcPr>
          <w:p w14:paraId="3C8DA1C9">
            <w:pPr>
              <w:pStyle w:val="2"/>
              <w:keepNext w:val="0"/>
              <w:keepLines w:val="0"/>
              <w:pageBreakBefore w:val="0"/>
              <w:widowControl w:val="0"/>
              <w:kinsoku/>
              <w:wordWrap/>
              <w:overflowPunct/>
              <w:topLinePunct w:val="0"/>
              <w:autoSpaceDE/>
              <w:autoSpaceDN/>
              <w:bidi w:val="0"/>
              <w:adjustRightInd/>
              <w:snapToGrid/>
              <w:spacing w:after="0" w:line="28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(1)具备有效的质量管理体系认证ISO9001证书的，加1分。</w:t>
            </w:r>
          </w:p>
          <w:p w14:paraId="55436710">
            <w:pPr>
              <w:pStyle w:val="2"/>
              <w:keepNext w:val="0"/>
              <w:keepLines w:val="0"/>
              <w:pageBreakBefore w:val="0"/>
              <w:widowControl w:val="0"/>
              <w:kinsoku/>
              <w:wordWrap/>
              <w:overflowPunct/>
              <w:topLinePunct w:val="0"/>
              <w:autoSpaceDE/>
              <w:autoSpaceDN/>
              <w:bidi w:val="0"/>
              <w:adjustRightInd/>
              <w:snapToGrid/>
              <w:spacing w:after="0" w:line="28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(2)具备有效的食品安全管理体系认证ISO22000证书的，加1分。</w:t>
            </w:r>
          </w:p>
          <w:p w14:paraId="3A1AF4D9">
            <w:pPr>
              <w:pStyle w:val="2"/>
              <w:keepNext w:val="0"/>
              <w:keepLines w:val="0"/>
              <w:pageBreakBefore w:val="0"/>
              <w:widowControl w:val="0"/>
              <w:kinsoku/>
              <w:wordWrap/>
              <w:overflowPunct/>
              <w:topLinePunct w:val="0"/>
              <w:autoSpaceDE/>
              <w:autoSpaceDN/>
              <w:bidi w:val="0"/>
              <w:adjustRightInd/>
              <w:snapToGrid/>
              <w:spacing w:after="0" w:line="28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(3)具备有效的环境管理体系认证</w:t>
            </w:r>
            <w:r>
              <w:rPr>
                <w:highlight w:val="none"/>
              </w:rPr>
              <w:fldChar w:fldCharType="begin"/>
            </w:r>
            <w:r>
              <w:rPr>
                <w:highlight w:val="none"/>
              </w:rPr>
              <w:instrText xml:space="preserve"> HYPERLINK "https://baike.baidu.com/item/ISO14000%E7%8E%AF%E5%A2%83%E7%AE%A1%E7%90%86%E7%B3%BB%E5%88%97%E6%A0%87%E5%87%86/54390372?fromModule=lemma_inlink" \t "https://baike.baidu.com/item/_blank" </w:instrText>
            </w:r>
            <w:r>
              <w:rPr>
                <w:highlight w:val="none"/>
              </w:rPr>
              <w:fldChar w:fldCharType="separate"/>
            </w:r>
            <w:r>
              <w:rPr>
                <w:rFonts w:hint="default" w:ascii="宋体" w:hAnsi="宋体" w:eastAsia="宋体" w:cs="宋体"/>
                <w:color w:val="auto"/>
                <w:kern w:val="2"/>
                <w:sz w:val="21"/>
                <w:szCs w:val="21"/>
                <w:highlight w:val="none"/>
                <w:lang w:val="en-US" w:eastAsia="zh-CN" w:bidi="ar-SA"/>
              </w:rPr>
              <w:t>ISO14000</w:t>
            </w:r>
            <w:r>
              <w:rPr>
                <w:rFonts w:hint="default" w:ascii="宋体" w:hAnsi="宋体" w:eastAsia="宋体" w:cs="宋体"/>
                <w:color w:val="auto"/>
                <w:kern w:val="2"/>
                <w:sz w:val="21"/>
                <w:szCs w:val="21"/>
                <w:highlight w:val="none"/>
                <w:lang w:val="en-US" w:eastAsia="zh-CN" w:bidi="ar-SA"/>
              </w:rPr>
              <w:fldChar w:fldCharType="end"/>
            </w:r>
            <w:r>
              <w:rPr>
                <w:rFonts w:hint="eastAsia" w:ascii="宋体" w:hAnsi="宋体" w:eastAsia="宋体" w:cs="宋体"/>
                <w:color w:val="auto"/>
                <w:kern w:val="2"/>
                <w:sz w:val="21"/>
                <w:szCs w:val="21"/>
                <w:highlight w:val="none"/>
                <w:lang w:val="en-US" w:eastAsia="zh-CN" w:bidi="ar-SA"/>
              </w:rPr>
              <w:t>证书的，加1分。</w:t>
            </w:r>
          </w:p>
          <w:p w14:paraId="500E3313">
            <w:pPr>
              <w:pStyle w:val="2"/>
              <w:keepNext w:val="0"/>
              <w:keepLines w:val="0"/>
              <w:pageBreakBefore w:val="0"/>
              <w:widowControl w:val="0"/>
              <w:kinsoku/>
              <w:wordWrap/>
              <w:overflowPunct/>
              <w:topLinePunct w:val="0"/>
              <w:autoSpaceDE/>
              <w:autoSpaceDN/>
              <w:bidi w:val="0"/>
              <w:adjustRightInd/>
              <w:snapToGrid/>
              <w:spacing w:after="0" w:line="28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(4)具备有效的职业健康安全管理体系认证ISO45001证书的，加1分。</w:t>
            </w:r>
          </w:p>
          <w:p w14:paraId="3F61FA98">
            <w:pPr>
              <w:pStyle w:val="2"/>
              <w:keepNext w:val="0"/>
              <w:keepLines w:val="0"/>
              <w:pageBreakBefore w:val="0"/>
              <w:widowControl w:val="0"/>
              <w:kinsoku/>
              <w:wordWrap/>
              <w:overflowPunct/>
              <w:topLinePunct w:val="0"/>
              <w:autoSpaceDE/>
              <w:autoSpaceDN/>
              <w:bidi w:val="0"/>
              <w:adjustRightInd/>
              <w:snapToGrid/>
              <w:spacing w:after="0" w:line="280" w:lineRule="exact"/>
              <w:textAlignment w:val="auto"/>
              <w:rPr>
                <w:rFonts w:hint="eastAsia" w:ascii="宋体" w:hAnsi="宋体" w:eastAsia="宋体" w:cs="宋体"/>
                <w:color w:val="auto"/>
                <w:kern w:val="2"/>
                <w:sz w:val="21"/>
                <w:szCs w:val="21"/>
                <w:highlight w:val="none"/>
                <w:lang w:val="en-US" w:eastAsia="zh-CN" w:bidi="ar-SA"/>
              </w:rPr>
            </w:pPr>
          </w:p>
          <w:p w14:paraId="6EA4B841">
            <w:pPr>
              <w:pStyle w:val="2"/>
              <w:keepNext w:val="0"/>
              <w:keepLines w:val="0"/>
              <w:pageBreakBefore w:val="0"/>
              <w:widowControl w:val="0"/>
              <w:kinsoku/>
              <w:wordWrap/>
              <w:overflowPunct/>
              <w:topLinePunct w:val="0"/>
              <w:autoSpaceDE/>
              <w:autoSpaceDN/>
              <w:bidi w:val="0"/>
              <w:adjustRightInd/>
              <w:snapToGrid/>
              <w:spacing w:after="0" w:line="28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注：</w:t>
            </w:r>
            <w:r>
              <w:rPr>
                <w:rFonts w:hint="eastAsia" w:ascii="宋体" w:hAnsi="宋体" w:cs="宋体"/>
                <w:b/>
                <w:bCs/>
                <w:color w:val="auto"/>
                <w:kern w:val="0"/>
                <w:sz w:val="21"/>
                <w:szCs w:val="21"/>
                <w:highlight w:val="none"/>
                <w:u w:val="none"/>
                <w:lang w:val="en-US" w:eastAsia="zh-CN" w:bidi="ar"/>
              </w:rPr>
              <w:t>以上证书须提供原件扫描件并加盖法人公章，且证书须处于有效期内</w:t>
            </w:r>
            <w:r>
              <w:rPr>
                <w:rFonts w:hint="eastAsia" w:ascii="宋体" w:hAnsi="宋体" w:eastAsia="宋体" w:cs="宋体"/>
                <w:b/>
                <w:bCs/>
                <w:color w:val="auto"/>
                <w:kern w:val="0"/>
                <w:sz w:val="21"/>
                <w:szCs w:val="21"/>
                <w:highlight w:val="none"/>
                <w:u w:val="none"/>
                <w:lang w:val="en-US" w:eastAsia="zh-CN" w:bidi="ar"/>
              </w:rPr>
              <w:t>。</w:t>
            </w:r>
          </w:p>
        </w:tc>
      </w:tr>
      <w:tr w14:paraId="4225E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39F58AB6">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1129" w:type="pct"/>
            <w:gridSpan w:val="3"/>
            <w:tcBorders>
              <w:tl2br w:val="nil"/>
              <w:tr2bl w:val="nil"/>
            </w:tcBorders>
            <w:vAlign w:val="center"/>
          </w:tcPr>
          <w:p w14:paraId="3281FAD7">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人员配置</w:t>
            </w:r>
          </w:p>
        </w:tc>
        <w:tc>
          <w:tcPr>
            <w:tcW w:w="785" w:type="pct"/>
            <w:tcBorders>
              <w:tl2br w:val="nil"/>
              <w:tr2bl w:val="nil"/>
            </w:tcBorders>
            <w:vAlign w:val="center"/>
          </w:tcPr>
          <w:p w14:paraId="1435A2B1">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12</w:t>
            </w:r>
          </w:p>
        </w:tc>
        <w:tc>
          <w:tcPr>
            <w:tcW w:w="2634" w:type="pct"/>
            <w:tcBorders>
              <w:tl2br w:val="nil"/>
              <w:tr2bl w:val="nil"/>
            </w:tcBorders>
            <w:vAlign w:val="center"/>
          </w:tcPr>
          <w:p w14:paraId="5D9DB48C">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拟配备的团队人员完全满足《人员配备要求表》（附后）的，得</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分。其余加分项为：</w:t>
            </w:r>
          </w:p>
          <w:p w14:paraId="22FE7A3A">
            <w:pPr>
              <w:keepNext w:val="0"/>
              <w:keepLines w:val="0"/>
              <w:pageBreakBefore w:val="0"/>
              <w:widowControl w:val="0"/>
              <w:shd w:val="clear"/>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1)团队人员（不含厨师长）中，有1人具有中式烹调师高级（三级）及以上职业资格证的，</w:t>
            </w:r>
            <w:r>
              <w:rPr>
                <w:rFonts w:hint="eastAsia" w:ascii="宋体" w:hAnsi="宋体" w:cs="宋体"/>
                <w:iCs/>
                <w:color w:val="auto"/>
                <w:sz w:val="21"/>
                <w:szCs w:val="21"/>
                <w:highlight w:val="none"/>
                <w:lang w:val="en-US" w:eastAsia="zh-CN"/>
              </w:rPr>
              <w:t>计</w:t>
            </w:r>
            <w:r>
              <w:rPr>
                <w:rFonts w:hint="eastAsia" w:ascii="宋体" w:hAnsi="宋体" w:eastAsia="宋体" w:cs="宋体"/>
                <w:color w:val="auto"/>
                <w:sz w:val="21"/>
                <w:szCs w:val="21"/>
                <w:highlight w:val="none"/>
              </w:rPr>
              <w:t>2分；有2人具有中式烹调师高级（三级）及以上职业资格证的，</w:t>
            </w:r>
            <w:r>
              <w:rPr>
                <w:rFonts w:hint="eastAsia" w:ascii="宋体" w:hAnsi="宋体" w:cs="宋体"/>
                <w:iCs/>
                <w:color w:val="auto"/>
                <w:sz w:val="21"/>
                <w:szCs w:val="21"/>
                <w:highlight w:val="none"/>
                <w:lang w:val="en-US" w:eastAsia="zh-CN"/>
              </w:rPr>
              <w:t>计</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最多</w:t>
            </w:r>
            <w:r>
              <w:rPr>
                <w:rFonts w:hint="eastAsia" w:ascii="宋体" w:hAnsi="宋体" w:cs="宋体"/>
                <w:iCs/>
                <w:color w:val="auto"/>
                <w:sz w:val="21"/>
                <w:szCs w:val="21"/>
                <w:highlight w:val="none"/>
                <w:lang w:val="en-US" w:eastAsia="zh-CN"/>
              </w:rPr>
              <w:t>计</w:t>
            </w:r>
            <w:r>
              <w:rPr>
                <w:rFonts w:hint="eastAsia" w:ascii="宋体" w:hAnsi="宋体" w:eastAsia="宋体" w:cs="宋体"/>
                <w:color w:val="auto"/>
                <w:sz w:val="21"/>
                <w:szCs w:val="21"/>
                <w:highlight w:val="none"/>
                <w:lang w:val="en-US" w:eastAsia="zh-CN"/>
              </w:rPr>
              <w:t>4分。</w:t>
            </w:r>
            <w:r>
              <w:rPr>
                <w:rFonts w:hint="eastAsia" w:ascii="宋体" w:hAnsi="宋体" w:eastAsia="宋体" w:cs="宋体"/>
                <w:color w:val="auto"/>
                <w:sz w:val="21"/>
                <w:szCs w:val="21"/>
                <w:highlight w:val="none"/>
              </w:rPr>
              <w:t>同一人持有不同等级的中式烹调师资格证，按最高等级为准，不</w:t>
            </w:r>
            <w:r>
              <w:rPr>
                <w:rFonts w:hint="eastAsia" w:ascii="宋体" w:hAnsi="宋体" w:eastAsia="宋体" w:cs="宋体"/>
                <w:color w:val="auto"/>
                <w:sz w:val="21"/>
                <w:szCs w:val="21"/>
                <w:highlight w:val="none"/>
                <w:lang w:val="en-US" w:eastAsia="zh-CN"/>
              </w:rPr>
              <w:t>予</w:t>
            </w:r>
            <w:r>
              <w:rPr>
                <w:rFonts w:hint="eastAsia" w:ascii="宋体" w:hAnsi="宋体" w:eastAsia="宋体" w:cs="宋体"/>
                <w:color w:val="auto"/>
                <w:sz w:val="21"/>
                <w:szCs w:val="21"/>
                <w:highlight w:val="none"/>
              </w:rPr>
              <w:t>重复</w:t>
            </w:r>
            <w:r>
              <w:rPr>
                <w:rFonts w:hint="eastAsia" w:ascii="宋体" w:hAnsi="宋体" w:eastAsia="宋体" w:cs="宋体"/>
                <w:color w:val="auto"/>
                <w:sz w:val="21"/>
                <w:szCs w:val="21"/>
                <w:highlight w:val="none"/>
                <w:lang w:val="en-US" w:eastAsia="zh-CN"/>
              </w:rPr>
              <w:t>计</w:t>
            </w:r>
            <w:r>
              <w:rPr>
                <w:rFonts w:hint="eastAsia" w:ascii="宋体" w:hAnsi="宋体" w:eastAsia="宋体" w:cs="宋体"/>
                <w:color w:val="auto"/>
                <w:sz w:val="21"/>
                <w:szCs w:val="21"/>
                <w:highlight w:val="none"/>
              </w:rPr>
              <w:t>分。</w:t>
            </w:r>
          </w:p>
          <w:p w14:paraId="4B6AE75B">
            <w:pPr>
              <w:keepNext w:val="0"/>
              <w:keepLines w:val="0"/>
              <w:pageBreakBefore w:val="0"/>
              <w:widowControl w:val="0"/>
              <w:shd w:val="clear"/>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(2)团队人员中有1人具有营养师证书</w:t>
            </w:r>
            <w:r>
              <w:rPr>
                <w:rFonts w:hint="eastAsia" w:ascii="宋体" w:hAnsi="宋体" w:eastAsia="宋体" w:cs="宋体"/>
                <w:color w:val="auto"/>
                <w:sz w:val="21"/>
                <w:szCs w:val="21"/>
                <w:highlight w:val="none"/>
                <w:lang w:val="en-US" w:eastAsia="zh-CN"/>
              </w:rPr>
              <w:t>或</w:t>
            </w:r>
            <w:r>
              <w:rPr>
                <w:rStyle w:val="168"/>
                <w:rFonts w:hint="eastAsia" w:ascii="宋体" w:hAnsi="宋体" w:eastAsia="宋体" w:cs="宋体"/>
                <w:color w:val="auto"/>
                <w:sz w:val="21"/>
                <w:szCs w:val="21"/>
                <w:highlight w:val="none"/>
                <w:lang w:val="en-US" w:eastAsia="zh-CN" w:bidi="ar"/>
              </w:rPr>
              <w:t>消防设施操作员证书的</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加1分，最多</w:t>
            </w:r>
            <w:r>
              <w:rPr>
                <w:rFonts w:hint="eastAsia" w:ascii="宋体" w:hAnsi="宋体" w:eastAsia="宋体" w:cs="宋体"/>
                <w:color w:val="auto"/>
                <w:sz w:val="21"/>
                <w:szCs w:val="21"/>
                <w:highlight w:val="none"/>
              </w:rPr>
              <w:t>加</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786F40C4">
            <w:pPr>
              <w:keepNext w:val="0"/>
              <w:keepLines w:val="0"/>
              <w:widowControl/>
              <w:numPr>
                <w:ilvl w:val="0"/>
                <w:numId w:val="0"/>
              </w:numPr>
              <w:suppressLineNumbers w:val="0"/>
              <w:shd w:val="clear"/>
              <w:jc w:val="both"/>
              <w:textAlignment w:val="top"/>
              <w:rPr>
                <w:rFonts w:hint="eastAsia" w:ascii="宋体" w:hAnsi="宋体" w:eastAsia="宋体" w:cs="宋体"/>
                <w:b/>
                <w:bCs/>
                <w:i w:val="0"/>
                <w:iCs w:val="0"/>
                <w:caps w:val="0"/>
                <w:color w:val="auto"/>
                <w:spacing w:val="0"/>
                <w:kern w:val="0"/>
                <w:sz w:val="21"/>
                <w:szCs w:val="21"/>
                <w:highlight w:val="none"/>
                <w:shd w:val="clear" w:color="auto" w:fill="auto"/>
                <w:lang w:val="en-US" w:eastAsia="zh-CN" w:bidi="ar"/>
              </w:rPr>
            </w:pPr>
            <w:r>
              <w:rPr>
                <w:rFonts w:hint="eastAsia" w:ascii="宋体" w:hAnsi="宋体" w:eastAsia="宋体" w:cs="宋体"/>
                <w:b/>
                <w:bCs/>
                <w:i w:val="0"/>
                <w:iCs w:val="0"/>
                <w:caps w:val="0"/>
                <w:color w:val="auto"/>
                <w:spacing w:val="0"/>
                <w:kern w:val="0"/>
                <w:sz w:val="21"/>
                <w:szCs w:val="21"/>
                <w:highlight w:val="none"/>
                <w:shd w:val="clear" w:color="auto" w:fill="auto"/>
                <w:lang w:val="en-US" w:eastAsia="zh-CN" w:bidi="ar"/>
              </w:rPr>
              <w:t>注：1.投标人须提供拟配备的项目经理、厨师长近六个月</w:t>
            </w:r>
            <w:r>
              <w:rPr>
                <w:rFonts w:hint="eastAsia" w:ascii="宋体" w:hAnsi="宋体" w:cs="宋体"/>
                <w:b/>
                <w:bCs/>
                <w:i w:val="0"/>
                <w:iCs w:val="0"/>
                <w:caps w:val="0"/>
                <w:color w:val="auto"/>
                <w:spacing w:val="0"/>
                <w:kern w:val="0"/>
                <w:sz w:val="21"/>
                <w:szCs w:val="21"/>
                <w:highlight w:val="none"/>
                <w:shd w:val="clear" w:color="auto" w:fill="auto"/>
                <w:lang w:val="en-US" w:eastAsia="zh-CN" w:bidi="ar"/>
              </w:rPr>
              <w:t>内</w:t>
            </w:r>
            <w:r>
              <w:rPr>
                <w:rFonts w:hint="eastAsia" w:ascii="宋体" w:hAnsi="宋体" w:eastAsia="宋体" w:cs="宋体"/>
                <w:b/>
                <w:bCs/>
                <w:i w:val="0"/>
                <w:iCs w:val="0"/>
                <w:caps w:val="0"/>
                <w:color w:val="auto"/>
                <w:spacing w:val="0"/>
                <w:kern w:val="0"/>
                <w:sz w:val="21"/>
                <w:szCs w:val="21"/>
                <w:highlight w:val="none"/>
                <w:shd w:val="clear" w:color="auto" w:fill="auto"/>
                <w:lang w:val="en-US" w:eastAsia="zh-CN" w:bidi="ar"/>
              </w:rPr>
              <w:t>连续三个月的社保证明材料。</w:t>
            </w:r>
          </w:p>
          <w:p w14:paraId="77D75642">
            <w:pPr>
              <w:keepNext w:val="0"/>
              <w:keepLines w:val="0"/>
              <w:widowControl/>
              <w:numPr>
                <w:ilvl w:val="0"/>
                <w:numId w:val="0"/>
              </w:numPr>
              <w:suppressLineNumbers w:val="0"/>
              <w:shd w:val="clear"/>
              <w:jc w:val="both"/>
              <w:textAlignment w:val="top"/>
              <w:rPr>
                <w:rFonts w:hint="default" w:ascii="宋体" w:hAnsi="宋体" w:eastAsia="宋体" w:cs="宋体"/>
                <w:b/>
                <w:bCs/>
                <w:i w:val="0"/>
                <w:iCs w:val="0"/>
                <w:caps w:val="0"/>
                <w:color w:val="auto"/>
                <w:spacing w:val="0"/>
                <w:kern w:val="0"/>
                <w:sz w:val="21"/>
                <w:szCs w:val="21"/>
                <w:highlight w:val="none"/>
                <w:shd w:val="clear" w:color="auto" w:fill="auto"/>
                <w:lang w:val="en-US" w:eastAsia="zh-CN" w:bidi="ar"/>
              </w:rPr>
            </w:pPr>
            <w:r>
              <w:rPr>
                <w:rFonts w:hint="eastAsia" w:ascii="宋体" w:hAnsi="宋体" w:eastAsia="宋体" w:cs="宋体"/>
                <w:b/>
                <w:bCs/>
                <w:i w:val="0"/>
                <w:iCs w:val="0"/>
                <w:caps w:val="0"/>
                <w:color w:val="auto"/>
                <w:spacing w:val="0"/>
                <w:kern w:val="0"/>
                <w:sz w:val="21"/>
                <w:szCs w:val="21"/>
                <w:highlight w:val="none"/>
                <w:shd w:val="clear" w:color="auto" w:fill="auto"/>
                <w:lang w:val="en-US" w:eastAsia="zh-CN" w:bidi="ar"/>
              </w:rPr>
              <w:t>2.若出现拟配备的团队人员证照雷同情形，则该人员证照均视为无效。</w:t>
            </w:r>
          </w:p>
          <w:p w14:paraId="615E3AE7">
            <w:pPr>
              <w:keepNext w:val="0"/>
              <w:keepLines w:val="0"/>
              <w:widowControl/>
              <w:numPr>
                <w:ilvl w:val="0"/>
                <w:numId w:val="0"/>
              </w:numPr>
              <w:suppressLineNumbers w:val="0"/>
              <w:ind w:left="0" w:leftChars="0" w:firstLine="0" w:firstLineChars="0"/>
              <w:jc w:val="both"/>
              <w:textAlignment w:val="top"/>
              <w:rPr>
                <w:rFonts w:hint="eastAsia" w:ascii="宋体" w:hAnsi="宋体" w:eastAsia="宋体" w:cs="宋体"/>
                <w:color w:val="auto"/>
                <w:szCs w:val="21"/>
                <w:highlight w:val="none"/>
              </w:rPr>
            </w:pPr>
            <w:r>
              <w:rPr>
                <w:rFonts w:hint="eastAsia" w:ascii="宋体" w:hAnsi="宋体" w:eastAsia="宋体" w:cs="宋体"/>
                <w:b/>
                <w:bCs/>
                <w:i w:val="0"/>
                <w:iCs w:val="0"/>
                <w:caps w:val="0"/>
                <w:color w:val="auto"/>
                <w:spacing w:val="0"/>
                <w:kern w:val="0"/>
                <w:sz w:val="21"/>
                <w:szCs w:val="21"/>
                <w:highlight w:val="none"/>
                <w:shd w:val="clear" w:color="auto" w:fill="auto"/>
                <w:lang w:val="en-US" w:eastAsia="zh-CN" w:bidi="ar"/>
              </w:rPr>
              <w:t>3.</w:t>
            </w:r>
            <w:r>
              <w:rPr>
                <w:rFonts w:hint="eastAsia" w:ascii="宋体" w:hAnsi="宋体" w:cs="宋体"/>
                <w:b/>
                <w:bCs/>
                <w:color w:val="auto"/>
                <w:kern w:val="2"/>
                <w:sz w:val="21"/>
                <w:szCs w:val="21"/>
                <w:highlight w:val="none"/>
                <w:lang w:val="en-US" w:eastAsia="zh-CN" w:bidi="ar-SA"/>
              </w:rPr>
              <w:t>以上证书须提供原件扫描件，且须处于有效期内，</w:t>
            </w:r>
            <w:r>
              <w:rPr>
                <w:rFonts w:hint="eastAsia" w:ascii="宋体" w:hAnsi="宋体" w:eastAsia="宋体" w:cs="宋体"/>
                <w:b/>
                <w:bCs/>
                <w:i w:val="0"/>
                <w:iCs w:val="0"/>
                <w:caps w:val="0"/>
                <w:color w:val="auto"/>
                <w:spacing w:val="0"/>
                <w:kern w:val="0"/>
                <w:sz w:val="21"/>
                <w:szCs w:val="21"/>
                <w:highlight w:val="none"/>
                <w:shd w:val="clear" w:color="auto" w:fill="auto"/>
                <w:lang w:val="en-US" w:eastAsia="zh-CN" w:bidi="ar"/>
              </w:rPr>
              <w:t>须提供</w:t>
            </w:r>
            <w:r>
              <w:rPr>
                <w:rFonts w:hint="eastAsia" w:ascii="宋体" w:hAnsi="宋体" w:eastAsia="宋体" w:cs="宋体"/>
                <w:b/>
                <w:bCs/>
                <w:i w:val="0"/>
                <w:iCs w:val="0"/>
                <w:caps w:val="0"/>
                <w:color w:val="auto"/>
                <w:spacing w:val="0"/>
                <w:kern w:val="0"/>
                <w:sz w:val="21"/>
                <w:szCs w:val="21"/>
                <w:highlight w:val="none"/>
                <w:shd w:val="clear" w:color="auto" w:fill="auto"/>
                <w:lang w:bidi="ar"/>
              </w:rPr>
              <w:t>在中华人民共和国人力资源和社会保障部“技能人才评价工作网”（</w:t>
            </w:r>
            <w:r>
              <w:rPr>
                <w:rFonts w:hint="eastAsia" w:ascii="宋体" w:hAnsi="宋体" w:eastAsia="宋体" w:cs="宋体"/>
                <w:b/>
                <w:bCs/>
                <w:i w:val="0"/>
                <w:iCs w:val="0"/>
                <w:caps w:val="0"/>
                <w:color w:val="auto"/>
                <w:spacing w:val="0"/>
                <w:kern w:val="0"/>
                <w:sz w:val="21"/>
                <w:szCs w:val="21"/>
                <w:highlight w:val="none"/>
                <w:u w:val="none"/>
                <w:shd w:val="clear" w:color="auto" w:fill="auto"/>
                <w:lang w:bidi="ar"/>
              </w:rPr>
              <w:t>http://jndj.osta.org.cn/</w:t>
            </w:r>
            <w:r>
              <w:rPr>
                <w:rFonts w:hint="eastAsia" w:ascii="宋体" w:hAnsi="宋体" w:eastAsia="宋体" w:cs="宋体"/>
                <w:b/>
                <w:bCs/>
                <w:i w:val="0"/>
                <w:iCs w:val="0"/>
                <w:caps w:val="0"/>
                <w:color w:val="auto"/>
                <w:spacing w:val="0"/>
                <w:kern w:val="0"/>
                <w:sz w:val="21"/>
                <w:szCs w:val="21"/>
                <w:highlight w:val="none"/>
                <w:shd w:val="clear" w:color="auto" w:fill="auto"/>
                <w:lang w:bidi="ar"/>
              </w:rPr>
              <w:t>）查询验证</w:t>
            </w:r>
            <w:r>
              <w:rPr>
                <w:rFonts w:hint="eastAsia" w:ascii="宋体" w:hAnsi="宋体" w:eastAsia="宋体" w:cs="宋体"/>
                <w:b/>
                <w:bCs/>
                <w:i w:val="0"/>
                <w:iCs w:val="0"/>
                <w:caps w:val="0"/>
                <w:color w:val="auto"/>
                <w:spacing w:val="0"/>
                <w:kern w:val="0"/>
                <w:sz w:val="21"/>
                <w:szCs w:val="21"/>
                <w:highlight w:val="none"/>
                <w:shd w:val="clear" w:color="auto" w:fill="auto"/>
                <w:lang w:eastAsia="zh-CN" w:bidi="ar"/>
              </w:rPr>
              <w:t>，</w:t>
            </w:r>
            <w:r>
              <w:rPr>
                <w:rFonts w:hint="eastAsia" w:ascii="宋体" w:hAnsi="宋体" w:eastAsia="宋体" w:cs="宋体"/>
                <w:b/>
                <w:bCs/>
                <w:i w:val="0"/>
                <w:iCs w:val="0"/>
                <w:caps w:val="0"/>
                <w:color w:val="auto"/>
                <w:spacing w:val="0"/>
                <w:kern w:val="0"/>
                <w:sz w:val="21"/>
                <w:szCs w:val="21"/>
                <w:highlight w:val="none"/>
                <w:shd w:val="clear" w:color="auto" w:fill="auto"/>
                <w:lang w:val="en-US" w:eastAsia="zh-CN" w:bidi="ar"/>
              </w:rPr>
              <w:t>相关证书</w:t>
            </w:r>
            <w:r>
              <w:rPr>
                <w:rFonts w:hint="eastAsia" w:ascii="宋体" w:hAnsi="宋体" w:eastAsia="宋体" w:cs="宋体"/>
                <w:b/>
                <w:bCs/>
                <w:i w:val="0"/>
                <w:iCs w:val="0"/>
                <w:caps w:val="0"/>
                <w:color w:val="auto"/>
                <w:spacing w:val="0"/>
                <w:kern w:val="0"/>
                <w:sz w:val="21"/>
                <w:szCs w:val="21"/>
                <w:highlight w:val="none"/>
                <w:shd w:val="clear" w:color="auto" w:fill="auto"/>
                <w:lang w:eastAsia="zh-CN" w:bidi="ar"/>
              </w:rPr>
              <w:t>投标人</w:t>
            </w:r>
            <w:r>
              <w:rPr>
                <w:rFonts w:hint="eastAsia" w:ascii="宋体" w:hAnsi="宋体" w:eastAsia="宋体" w:cs="宋体"/>
                <w:b/>
                <w:bCs/>
                <w:i w:val="0"/>
                <w:iCs w:val="0"/>
                <w:caps w:val="0"/>
                <w:color w:val="auto"/>
                <w:spacing w:val="0"/>
                <w:kern w:val="0"/>
                <w:sz w:val="21"/>
                <w:szCs w:val="21"/>
                <w:highlight w:val="none"/>
                <w:shd w:val="clear" w:color="auto" w:fill="auto"/>
                <w:lang w:bidi="ar"/>
              </w:rPr>
              <w:t>需通过该平台进行证书信息查询，并附查询结果页面作为有效证明材料</w:t>
            </w:r>
            <w:r>
              <w:rPr>
                <w:rFonts w:hint="eastAsia" w:ascii="宋体" w:hAnsi="宋体" w:eastAsia="宋体" w:cs="宋体"/>
                <w:b/>
                <w:bCs/>
                <w:i w:val="0"/>
                <w:iCs w:val="0"/>
                <w:caps w:val="0"/>
                <w:color w:val="auto"/>
                <w:spacing w:val="0"/>
                <w:kern w:val="0"/>
                <w:sz w:val="21"/>
                <w:szCs w:val="21"/>
                <w:highlight w:val="none"/>
                <w:shd w:val="clear" w:color="auto" w:fill="auto"/>
                <w:lang w:eastAsia="zh-CN" w:bidi="ar"/>
              </w:rPr>
              <w:t>，</w:t>
            </w:r>
            <w:r>
              <w:rPr>
                <w:rFonts w:hint="eastAsia" w:ascii="宋体" w:hAnsi="宋体" w:eastAsia="宋体" w:cs="宋体"/>
                <w:b/>
                <w:bCs/>
                <w:color w:val="auto"/>
                <w:kern w:val="0"/>
                <w:sz w:val="21"/>
                <w:szCs w:val="21"/>
                <w:highlight w:val="none"/>
                <w:lang w:val="en-US" w:eastAsia="zh-CN" w:bidi="ar"/>
              </w:rPr>
              <w:t>并加盖投标人法人公章，具体以评审委员会评定为准。</w:t>
            </w:r>
          </w:p>
        </w:tc>
      </w:tr>
      <w:tr w14:paraId="08A1E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4667D31B">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1129" w:type="pct"/>
            <w:gridSpan w:val="3"/>
            <w:tcBorders>
              <w:tl2br w:val="nil"/>
              <w:tr2bl w:val="nil"/>
            </w:tcBorders>
            <w:vAlign w:val="center"/>
          </w:tcPr>
          <w:p w14:paraId="3C0D4688">
            <w:pPr>
              <w:keepNext w:val="0"/>
              <w:keepLines w:val="0"/>
              <w:pageBreakBefore w:val="0"/>
              <w:widowControl w:val="0"/>
              <w:kinsoku/>
              <w:wordWrap/>
              <w:overflowPunct/>
              <w:topLinePunct w:val="0"/>
              <w:autoSpaceDE/>
              <w:autoSpaceDN/>
              <w:bidi w:val="0"/>
              <w:adjustRightInd w:val="0"/>
              <w:snapToGrid w:val="0"/>
              <w:spacing w:line="26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合计</w:t>
            </w:r>
          </w:p>
        </w:tc>
        <w:tc>
          <w:tcPr>
            <w:tcW w:w="785" w:type="pct"/>
            <w:tcBorders>
              <w:tl2br w:val="nil"/>
              <w:tr2bl w:val="nil"/>
            </w:tcBorders>
            <w:vAlign w:val="center"/>
          </w:tcPr>
          <w:p w14:paraId="6A372349">
            <w:pPr>
              <w:keepNext w:val="0"/>
              <w:keepLines w:val="0"/>
              <w:pageBreakBefore w:val="0"/>
              <w:widowControl w:val="0"/>
              <w:kinsoku/>
              <w:wordWrap/>
              <w:overflowPunct/>
              <w:topLinePunct w:val="0"/>
              <w:autoSpaceDE/>
              <w:autoSpaceDN/>
              <w:bidi w:val="0"/>
              <w:spacing w:line="260" w:lineRule="exact"/>
              <w:jc w:val="center"/>
              <w:textAlignment w:val="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30</w:t>
            </w:r>
          </w:p>
        </w:tc>
        <w:tc>
          <w:tcPr>
            <w:tcW w:w="2634" w:type="pct"/>
            <w:tcBorders>
              <w:tl2br w:val="nil"/>
              <w:tr2bl w:val="nil"/>
            </w:tcBorders>
            <w:vAlign w:val="center"/>
          </w:tcPr>
          <w:p w14:paraId="42C44437">
            <w:pPr>
              <w:keepNext w:val="0"/>
              <w:keepLines w:val="0"/>
              <w:pageBreakBefore w:val="0"/>
              <w:widowControl w:val="0"/>
              <w:kinsoku/>
              <w:wordWrap/>
              <w:overflowPunct/>
              <w:topLinePunct w:val="0"/>
              <w:autoSpaceDE/>
              <w:autoSpaceDN/>
              <w:bidi w:val="0"/>
              <w:spacing w:line="260" w:lineRule="exact"/>
              <w:textAlignment w:val="auto"/>
              <w:rPr>
                <w:rFonts w:hint="eastAsia" w:ascii="宋体" w:hAnsi="宋体" w:eastAsia="宋体" w:cs="宋体"/>
                <w:color w:val="auto"/>
                <w:szCs w:val="21"/>
                <w:highlight w:val="none"/>
              </w:rPr>
            </w:pPr>
          </w:p>
        </w:tc>
      </w:tr>
      <w:tr w14:paraId="74899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1" w:hRule="atLeast"/>
          <w:jc w:val="center"/>
        </w:trPr>
        <w:tc>
          <w:tcPr>
            <w:tcW w:w="451" w:type="pct"/>
            <w:vMerge w:val="continue"/>
            <w:tcBorders>
              <w:tl2br w:val="nil"/>
              <w:tr2bl w:val="nil"/>
            </w:tcBorders>
            <w:vAlign w:val="center"/>
          </w:tcPr>
          <w:p w14:paraId="0A718E8D">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4548" w:type="pct"/>
            <w:gridSpan w:val="5"/>
            <w:tcBorders>
              <w:tl2br w:val="nil"/>
              <w:tr2bl w:val="nil"/>
            </w:tcBorders>
            <w:vAlign w:val="center"/>
          </w:tcPr>
          <w:p w14:paraId="2B0F1A48">
            <w:pPr>
              <w:keepNext w:val="0"/>
              <w:keepLines w:val="0"/>
              <w:pageBreakBefore w:val="0"/>
              <w:widowControl w:val="0"/>
              <w:shd w:val="clear" w:color="auto" w:fill="FFFFFF"/>
              <w:kinsoku/>
              <w:wordWrap/>
              <w:overflowPunct w:val="0"/>
              <w:topLinePunct w:val="0"/>
              <w:autoSpaceDE w:val="0"/>
              <w:autoSpaceDN w:val="0"/>
              <w:bidi w:val="0"/>
              <w:adjustRightInd w:val="0"/>
              <w:snapToGrid w:val="0"/>
              <w:spacing w:line="24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评审说明：</w:t>
            </w:r>
          </w:p>
          <w:p w14:paraId="6C7CFDD8">
            <w:pPr>
              <w:keepNext w:val="0"/>
              <w:keepLines w:val="0"/>
              <w:pageBreakBefore w:val="0"/>
              <w:kinsoku/>
              <w:topLinePunct w:val="0"/>
              <w:bidi w:val="0"/>
              <w:spacing w:line="240" w:lineRule="auto"/>
              <w:jc w:val="left"/>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w:t>
            </w:r>
            <w:r>
              <w:rPr>
                <w:rFonts w:hint="eastAsia" w:ascii="宋体" w:hAnsi="宋体" w:cs="宋体"/>
                <w:color w:val="auto"/>
                <w:szCs w:val="21"/>
                <w:highlight w:val="none"/>
              </w:rPr>
              <w:t>该项评标内容计分，由评标委员会按以上规定集体评议确定</w:t>
            </w:r>
            <w:r>
              <w:rPr>
                <w:rFonts w:hint="eastAsia" w:ascii="宋体" w:hAnsi="宋体" w:cs="宋体"/>
                <w:snapToGrid w:val="0"/>
                <w:color w:val="auto"/>
                <w:kern w:val="0"/>
                <w:szCs w:val="21"/>
                <w:highlight w:val="none"/>
              </w:rPr>
              <w:t>。</w:t>
            </w:r>
          </w:p>
          <w:p w14:paraId="270357F9">
            <w:pPr>
              <w:keepNext w:val="0"/>
              <w:keepLines w:val="0"/>
              <w:pageBreakBefore w:val="0"/>
              <w:kinsoku/>
              <w:topLinePunct w:val="0"/>
              <w:bidi w:val="0"/>
              <w:spacing w:line="24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2、本项目《人员配备要求表》如下：</w:t>
            </w:r>
          </w:p>
          <w:tbl>
            <w:tblPr>
              <w:tblStyle w:val="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3"/>
              <w:gridCol w:w="1301"/>
              <w:gridCol w:w="1450"/>
              <w:gridCol w:w="1255"/>
              <w:gridCol w:w="1458"/>
              <w:gridCol w:w="1472"/>
            </w:tblGrid>
            <w:tr w14:paraId="010C1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exact"/>
              </w:trPr>
              <w:tc>
                <w:tcPr>
                  <w:tcW w:w="1829" w:type="dxa"/>
                  <w:noWrap w:val="0"/>
                  <w:vAlign w:val="center"/>
                </w:tcPr>
                <w:p w14:paraId="27381F5C">
                  <w:pPr>
                    <w:keepNext w:val="0"/>
                    <w:keepLines w:val="0"/>
                    <w:pageBreakBefore w:val="0"/>
                    <w:widowControl/>
                    <w:suppressLineNumbers w:val="0"/>
                    <w:kinsoku/>
                    <w:topLinePunct w:val="0"/>
                    <w:bidi w:val="0"/>
                    <w:spacing w:line="240" w:lineRule="auto"/>
                    <w:jc w:val="center"/>
                    <w:textAlignment w:val="center"/>
                    <w:rPr>
                      <w:rFonts w:hint="eastAsia" w:ascii="宋体" w:hAnsi="宋体" w:eastAsia="宋体" w:cs="宋体"/>
                      <w:b/>
                      <w:bCs/>
                      <w:color w:val="auto"/>
                      <w:kern w:val="2"/>
                      <w:sz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岗位</w:t>
                  </w:r>
                </w:p>
              </w:tc>
              <w:tc>
                <w:tcPr>
                  <w:tcW w:w="1305" w:type="dxa"/>
                  <w:noWrap w:val="0"/>
                  <w:vAlign w:val="center"/>
                </w:tcPr>
                <w:p w14:paraId="203D3F43">
                  <w:pPr>
                    <w:keepNext w:val="0"/>
                    <w:keepLines w:val="0"/>
                    <w:pageBreakBefore w:val="0"/>
                    <w:widowControl/>
                    <w:suppressLineNumbers w:val="0"/>
                    <w:kinsoku/>
                    <w:topLinePunct w:val="0"/>
                    <w:bidi w:val="0"/>
                    <w:spacing w:line="240" w:lineRule="auto"/>
                    <w:jc w:val="center"/>
                    <w:textAlignment w:val="center"/>
                    <w:rPr>
                      <w:rFonts w:hint="eastAsia" w:ascii="宋体" w:hAnsi="宋体" w:eastAsia="宋体" w:cs="宋体"/>
                      <w:b/>
                      <w:bCs/>
                      <w:color w:val="auto"/>
                      <w:kern w:val="2"/>
                      <w:sz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人数</w:t>
                  </w:r>
                </w:p>
              </w:tc>
              <w:tc>
                <w:tcPr>
                  <w:tcW w:w="1455" w:type="dxa"/>
                  <w:noWrap w:val="0"/>
                  <w:vAlign w:val="center"/>
                </w:tcPr>
                <w:p w14:paraId="07EA7568">
                  <w:pPr>
                    <w:keepNext w:val="0"/>
                    <w:keepLines w:val="0"/>
                    <w:pageBreakBefore w:val="0"/>
                    <w:widowControl/>
                    <w:suppressLineNumbers w:val="0"/>
                    <w:kinsoku/>
                    <w:topLinePunct w:val="0"/>
                    <w:bidi w:val="0"/>
                    <w:spacing w:line="240" w:lineRule="auto"/>
                    <w:jc w:val="center"/>
                    <w:textAlignment w:val="center"/>
                    <w:rPr>
                      <w:rFonts w:hint="eastAsia" w:ascii="宋体" w:hAnsi="宋体" w:eastAsia="宋体" w:cs="宋体"/>
                      <w:b/>
                      <w:bCs/>
                      <w:color w:val="auto"/>
                      <w:kern w:val="2"/>
                      <w:sz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岗位</w:t>
                  </w:r>
                </w:p>
              </w:tc>
              <w:tc>
                <w:tcPr>
                  <w:tcW w:w="1259" w:type="dxa"/>
                  <w:noWrap w:val="0"/>
                  <w:vAlign w:val="center"/>
                </w:tcPr>
                <w:p w14:paraId="5E8FBA82">
                  <w:pPr>
                    <w:keepNext w:val="0"/>
                    <w:keepLines w:val="0"/>
                    <w:pageBreakBefore w:val="0"/>
                    <w:widowControl/>
                    <w:suppressLineNumbers w:val="0"/>
                    <w:kinsoku/>
                    <w:topLinePunct w:val="0"/>
                    <w:bidi w:val="0"/>
                    <w:spacing w:line="240" w:lineRule="auto"/>
                    <w:jc w:val="center"/>
                    <w:textAlignment w:val="center"/>
                    <w:rPr>
                      <w:rFonts w:hint="eastAsia" w:ascii="宋体" w:hAnsi="宋体" w:eastAsia="宋体" w:cs="宋体"/>
                      <w:b/>
                      <w:bCs/>
                      <w:color w:val="auto"/>
                      <w:kern w:val="2"/>
                      <w:sz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人数</w:t>
                  </w:r>
                </w:p>
              </w:tc>
              <w:tc>
                <w:tcPr>
                  <w:tcW w:w="1463" w:type="dxa"/>
                  <w:noWrap w:val="0"/>
                  <w:vAlign w:val="center"/>
                </w:tcPr>
                <w:p w14:paraId="10A21A18">
                  <w:pPr>
                    <w:keepNext w:val="0"/>
                    <w:keepLines w:val="0"/>
                    <w:pageBreakBefore w:val="0"/>
                    <w:widowControl/>
                    <w:suppressLineNumbers w:val="0"/>
                    <w:kinsoku/>
                    <w:topLinePunct w:val="0"/>
                    <w:bidi w:val="0"/>
                    <w:spacing w:line="240" w:lineRule="auto"/>
                    <w:jc w:val="center"/>
                    <w:textAlignment w:val="center"/>
                    <w:rPr>
                      <w:rFonts w:hint="eastAsia" w:ascii="宋体" w:hAnsi="宋体" w:eastAsia="宋体" w:cs="宋体"/>
                      <w:b/>
                      <w:bCs/>
                      <w:color w:val="auto"/>
                      <w:kern w:val="2"/>
                      <w:sz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岗位</w:t>
                  </w:r>
                </w:p>
              </w:tc>
              <w:tc>
                <w:tcPr>
                  <w:tcW w:w="1477" w:type="dxa"/>
                  <w:noWrap w:val="0"/>
                  <w:vAlign w:val="center"/>
                </w:tcPr>
                <w:p w14:paraId="258D7F15">
                  <w:pPr>
                    <w:keepNext w:val="0"/>
                    <w:keepLines w:val="0"/>
                    <w:pageBreakBefore w:val="0"/>
                    <w:widowControl/>
                    <w:suppressLineNumbers w:val="0"/>
                    <w:kinsoku/>
                    <w:topLinePunct w:val="0"/>
                    <w:bidi w:val="0"/>
                    <w:spacing w:line="240" w:lineRule="auto"/>
                    <w:jc w:val="center"/>
                    <w:textAlignment w:val="center"/>
                    <w:rPr>
                      <w:rFonts w:hint="eastAsia" w:ascii="宋体" w:hAnsi="宋体" w:eastAsia="宋体" w:cs="宋体"/>
                      <w:b/>
                      <w:bCs/>
                      <w:color w:val="auto"/>
                      <w:kern w:val="2"/>
                      <w:sz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人数</w:t>
                  </w:r>
                </w:p>
              </w:tc>
            </w:tr>
            <w:tr w14:paraId="36C71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exact"/>
              </w:trPr>
              <w:tc>
                <w:tcPr>
                  <w:tcW w:w="1829" w:type="dxa"/>
                  <w:noWrap w:val="0"/>
                  <w:vAlign w:val="center"/>
                </w:tcPr>
                <w:p w14:paraId="115E5F96">
                  <w:pPr>
                    <w:keepNext w:val="0"/>
                    <w:keepLines w:val="0"/>
                    <w:pageBreakBefore w:val="0"/>
                    <w:widowControl/>
                    <w:suppressLineNumbers w:val="0"/>
                    <w:kinsoku/>
                    <w:topLinePunct w:val="0"/>
                    <w:bidi w:val="0"/>
                    <w:spacing w:line="240" w:lineRule="auto"/>
                    <w:jc w:val="center"/>
                    <w:textAlignment w:val="top"/>
                    <w:rPr>
                      <w:rFonts w:hint="eastAsia" w:ascii="宋体" w:hAnsi="宋体" w:eastAsia="宋体" w:cs="宋体"/>
                      <w:color w:val="auto"/>
                      <w:sz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项目经理</w:t>
                  </w:r>
                </w:p>
              </w:tc>
              <w:tc>
                <w:tcPr>
                  <w:tcW w:w="1305" w:type="dxa"/>
                  <w:noWrap w:val="0"/>
                  <w:vAlign w:val="center"/>
                </w:tcPr>
                <w:p w14:paraId="67B27272">
                  <w:pPr>
                    <w:keepNext w:val="0"/>
                    <w:keepLines w:val="0"/>
                    <w:pageBreakBefore w:val="0"/>
                    <w:widowControl/>
                    <w:suppressLineNumbers w:val="0"/>
                    <w:kinsoku/>
                    <w:topLinePunct w:val="0"/>
                    <w:bidi w:val="0"/>
                    <w:spacing w:line="240" w:lineRule="auto"/>
                    <w:jc w:val="center"/>
                    <w:textAlignment w:val="top"/>
                    <w:rPr>
                      <w:rFonts w:hint="eastAsia" w:ascii="宋体" w:hAnsi="宋体" w:eastAsia="宋体" w:cs="宋体"/>
                      <w:color w:val="auto"/>
                      <w:sz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1名</w:t>
                  </w:r>
                </w:p>
              </w:tc>
              <w:tc>
                <w:tcPr>
                  <w:tcW w:w="1455" w:type="dxa"/>
                  <w:noWrap w:val="0"/>
                  <w:vAlign w:val="center"/>
                </w:tcPr>
                <w:p w14:paraId="258F9206">
                  <w:pPr>
                    <w:keepNext w:val="0"/>
                    <w:keepLines w:val="0"/>
                    <w:pageBreakBefore w:val="0"/>
                    <w:widowControl/>
                    <w:suppressLineNumbers w:val="0"/>
                    <w:kinsoku/>
                    <w:topLinePunct w:val="0"/>
                    <w:bidi w:val="0"/>
                    <w:spacing w:line="240" w:lineRule="auto"/>
                    <w:jc w:val="center"/>
                    <w:textAlignment w:val="top"/>
                    <w:rPr>
                      <w:rFonts w:hint="eastAsia" w:ascii="宋体" w:hAnsi="宋体" w:eastAsia="宋体" w:cs="宋体"/>
                      <w:color w:val="auto"/>
                      <w:kern w:val="2"/>
                      <w:sz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面点</w:t>
                  </w:r>
                </w:p>
              </w:tc>
              <w:tc>
                <w:tcPr>
                  <w:tcW w:w="1259" w:type="dxa"/>
                  <w:noWrap w:val="0"/>
                  <w:vAlign w:val="center"/>
                </w:tcPr>
                <w:p w14:paraId="4E5D00D0">
                  <w:pPr>
                    <w:keepNext w:val="0"/>
                    <w:keepLines w:val="0"/>
                    <w:pageBreakBefore w:val="0"/>
                    <w:widowControl/>
                    <w:suppressLineNumbers w:val="0"/>
                    <w:kinsoku/>
                    <w:topLinePunct w:val="0"/>
                    <w:bidi w:val="0"/>
                    <w:spacing w:line="240" w:lineRule="auto"/>
                    <w:jc w:val="center"/>
                    <w:textAlignment w:val="top"/>
                    <w:rPr>
                      <w:rFonts w:hint="eastAsia" w:ascii="宋体" w:hAnsi="宋体" w:eastAsia="宋体" w:cs="宋体"/>
                      <w:color w:val="auto"/>
                      <w:kern w:val="2"/>
                      <w:sz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1名</w:t>
                  </w:r>
                </w:p>
              </w:tc>
              <w:tc>
                <w:tcPr>
                  <w:tcW w:w="1463" w:type="dxa"/>
                  <w:noWrap w:val="0"/>
                  <w:vAlign w:val="center"/>
                </w:tcPr>
                <w:p w14:paraId="7875A8B7">
                  <w:pPr>
                    <w:keepNext w:val="0"/>
                    <w:keepLines w:val="0"/>
                    <w:pageBreakBefore w:val="0"/>
                    <w:widowControl/>
                    <w:suppressLineNumbers w:val="0"/>
                    <w:kinsoku/>
                    <w:topLinePunct w:val="0"/>
                    <w:bidi w:val="0"/>
                    <w:spacing w:line="240" w:lineRule="auto"/>
                    <w:jc w:val="center"/>
                    <w:textAlignment w:val="top"/>
                    <w:rPr>
                      <w:rFonts w:hint="eastAsia" w:ascii="宋体" w:hAnsi="宋体" w:eastAsia="宋体" w:cs="宋体"/>
                      <w:color w:val="auto"/>
                      <w:kern w:val="2"/>
                      <w:sz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送餐员</w:t>
                  </w:r>
                </w:p>
              </w:tc>
              <w:tc>
                <w:tcPr>
                  <w:tcW w:w="1477" w:type="dxa"/>
                  <w:noWrap w:val="0"/>
                  <w:vAlign w:val="center"/>
                </w:tcPr>
                <w:p w14:paraId="75A8A3C4">
                  <w:pPr>
                    <w:keepNext w:val="0"/>
                    <w:keepLines w:val="0"/>
                    <w:pageBreakBefore w:val="0"/>
                    <w:widowControl/>
                    <w:suppressLineNumbers w:val="0"/>
                    <w:kinsoku/>
                    <w:topLinePunct w:val="0"/>
                    <w:bidi w:val="0"/>
                    <w:spacing w:line="240" w:lineRule="auto"/>
                    <w:jc w:val="center"/>
                    <w:textAlignment w:val="top"/>
                    <w:rPr>
                      <w:rFonts w:hint="eastAsia" w:ascii="宋体" w:hAnsi="宋体" w:eastAsia="宋体" w:cs="宋体"/>
                      <w:color w:val="auto"/>
                      <w:kern w:val="2"/>
                      <w:sz w:val="21"/>
                      <w:highlight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2名</w:t>
                  </w:r>
                </w:p>
              </w:tc>
            </w:tr>
            <w:tr w14:paraId="3DBA6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exact"/>
              </w:trPr>
              <w:tc>
                <w:tcPr>
                  <w:tcW w:w="1829" w:type="dxa"/>
                  <w:noWrap w:val="0"/>
                  <w:vAlign w:val="center"/>
                </w:tcPr>
                <w:p w14:paraId="156AE809">
                  <w:pPr>
                    <w:keepNext w:val="0"/>
                    <w:keepLines w:val="0"/>
                    <w:pageBreakBefore w:val="0"/>
                    <w:widowControl/>
                    <w:suppressLineNumbers w:val="0"/>
                    <w:kinsoku/>
                    <w:topLinePunct w:val="0"/>
                    <w:bidi w:val="0"/>
                    <w:spacing w:line="240" w:lineRule="auto"/>
                    <w:jc w:val="center"/>
                    <w:textAlignment w:val="top"/>
                    <w:rPr>
                      <w:rFonts w:hint="eastAsia" w:ascii="宋体" w:hAnsi="宋体" w:eastAsia="宋体" w:cs="宋体"/>
                      <w:color w:val="auto"/>
                      <w:sz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厨师长</w:t>
                  </w:r>
                </w:p>
              </w:tc>
              <w:tc>
                <w:tcPr>
                  <w:tcW w:w="1305" w:type="dxa"/>
                  <w:noWrap w:val="0"/>
                  <w:vAlign w:val="center"/>
                </w:tcPr>
                <w:p w14:paraId="72355E5C">
                  <w:pPr>
                    <w:keepNext w:val="0"/>
                    <w:keepLines w:val="0"/>
                    <w:pageBreakBefore w:val="0"/>
                    <w:widowControl/>
                    <w:suppressLineNumbers w:val="0"/>
                    <w:kinsoku/>
                    <w:topLinePunct w:val="0"/>
                    <w:bidi w:val="0"/>
                    <w:spacing w:line="240" w:lineRule="auto"/>
                    <w:jc w:val="center"/>
                    <w:textAlignment w:val="top"/>
                    <w:rPr>
                      <w:rFonts w:hint="eastAsia" w:ascii="宋体" w:hAnsi="宋体" w:eastAsia="宋体" w:cs="宋体"/>
                      <w:color w:val="auto"/>
                      <w:sz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2名</w:t>
                  </w:r>
                </w:p>
              </w:tc>
              <w:tc>
                <w:tcPr>
                  <w:tcW w:w="1455" w:type="dxa"/>
                  <w:noWrap w:val="0"/>
                  <w:vAlign w:val="center"/>
                </w:tcPr>
                <w:p w14:paraId="75057AEB">
                  <w:pPr>
                    <w:keepNext w:val="0"/>
                    <w:keepLines w:val="0"/>
                    <w:pageBreakBefore w:val="0"/>
                    <w:widowControl/>
                    <w:suppressLineNumbers w:val="0"/>
                    <w:kinsoku/>
                    <w:topLinePunct w:val="0"/>
                    <w:bidi w:val="0"/>
                    <w:spacing w:line="240" w:lineRule="auto"/>
                    <w:jc w:val="center"/>
                    <w:textAlignment w:val="top"/>
                    <w:rPr>
                      <w:rFonts w:hint="eastAsia" w:ascii="宋体" w:hAnsi="宋体" w:eastAsia="宋体" w:cs="宋体"/>
                      <w:color w:val="auto"/>
                      <w:highlight w:val="none"/>
                    </w:rPr>
                  </w:pPr>
                  <w:r>
                    <w:rPr>
                      <w:rStyle w:val="212"/>
                      <w:rFonts w:hint="eastAsia" w:ascii="宋体" w:hAnsi="宋体" w:eastAsia="宋体" w:cs="宋体"/>
                      <w:color w:val="auto"/>
                      <w:sz w:val="21"/>
                      <w:szCs w:val="21"/>
                      <w:highlight w:val="none"/>
                      <w:lang w:val="en-US" w:eastAsia="zh-CN" w:bidi="ar"/>
                    </w:rPr>
                    <w:t>夜宵</w:t>
                  </w:r>
                </w:p>
              </w:tc>
              <w:tc>
                <w:tcPr>
                  <w:tcW w:w="1259" w:type="dxa"/>
                  <w:noWrap w:val="0"/>
                  <w:vAlign w:val="center"/>
                </w:tcPr>
                <w:p w14:paraId="5BD783DC">
                  <w:pPr>
                    <w:keepNext w:val="0"/>
                    <w:keepLines w:val="0"/>
                    <w:pageBreakBefore w:val="0"/>
                    <w:widowControl/>
                    <w:suppressLineNumbers w:val="0"/>
                    <w:kinsoku/>
                    <w:topLinePunct w:val="0"/>
                    <w:bidi w:val="0"/>
                    <w:spacing w:line="240" w:lineRule="auto"/>
                    <w:jc w:val="center"/>
                    <w:textAlignment w:val="top"/>
                    <w:rPr>
                      <w:rFonts w:hint="eastAsia" w:ascii="宋体" w:hAnsi="宋体" w:eastAsia="宋体" w:cs="宋体"/>
                      <w:color w:val="auto"/>
                      <w:highlight w:val="none"/>
                    </w:rPr>
                  </w:pPr>
                  <w:r>
                    <w:rPr>
                      <w:rFonts w:hint="eastAsia" w:ascii="宋体" w:hAnsi="宋体" w:eastAsia="宋体" w:cs="宋体"/>
                      <w:i w:val="0"/>
                      <w:iCs w:val="0"/>
                      <w:color w:val="auto"/>
                      <w:kern w:val="0"/>
                      <w:sz w:val="21"/>
                      <w:szCs w:val="21"/>
                      <w:highlight w:val="none"/>
                      <w:u w:val="none"/>
                      <w:lang w:val="en-US" w:eastAsia="zh-CN" w:bidi="ar"/>
                    </w:rPr>
                    <w:t>2名</w:t>
                  </w:r>
                </w:p>
              </w:tc>
              <w:tc>
                <w:tcPr>
                  <w:tcW w:w="1463" w:type="dxa"/>
                  <w:noWrap w:val="0"/>
                  <w:vAlign w:val="center"/>
                </w:tcPr>
                <w:p w14:paraId="548255C5">
                  <w:pPr>
                    <w:keepNext w:val="0"/>
                    <w:keepLines w:val="0"/>
                    <w:pageBreakBefore w:val="0"/>
                    <w:widowControl/>
                    <w:suppressLineNumbers w:val="0"/>
                    <w:kinsoku/>
                    <w:topLinePunct w:val="0"/>
                    <w:bidi w:val="0"/>
                    <w:spacing w:line="240" w:lineRule="auto"/>
                    <w:jc w:val="center"/>
                    <w:textAlignment w:val="top"/>
                    <w:rPr>
                      <w:rFonts w:hint="eastAsia" w:ascii="宋体" w:hAnsi="宋体" w:eastAsia="宋体" w:cs="宋体"/>
                      <w:color w:val="auto"/>
                      <w:highlight w:val="none"/>
                    </w:rPr>
                  </w:pPr>
                  <w:r>
                    <w:rPr>
                      <w:rFonts w:hint="eastAsia" w:ascii="宋体" w:hAnsi="宋体" w:eastAsia="宋体" w:cs="宋体"/>
                      <w:i w:val="0"/>
                      <w:iCs w:val="0"/>
                      <w:color w:val="auto"/>
                      <w:kern w:val="0"/>
                      <w:sz w:val="21"/>
                      <w:szCs w:val="21"/>
                      <w:highlight w:val="none"/>
                      <w:u w:val="none"/>
                      <w:lang w:val="en-US" w:eastAsia="zh-CN" w:bidi="ar"/>
                    </w:rPr>
                    <w:t>小卖部收银</w:t>
                  </w:r>
                </w:p>
              </w:tc>
              <w:tc>
                <w:tcPr>
                  <w:tcW w:w="1477" w:type="dxa"/>
                  <w:noWrap w:val="0"/>
                  <w:vAlign w:val="center"/>
                </w:tcPr>
                <w:p w14:paraId="4BFF7D12">
                  <w:pPr>
                    <w:keepNext w:val="0"/>
                    <w:keepLines w:val="0"/>
                    <w:pageBreakBefore w:val="0"/>
                    <w:widowControl/>
                    <w:suppressLineNumbers w:val="0"/>
                    <w:kinsoku/>
                    <w:topLinePunct w:val="0"/>
                    <w:bidi w:val="0"/>
                    <w:spacing w:line="240" w:lineRule="auto"/>
                    <w:jc w:val="center"/>
                    <w:textAlignment w:val="top"/>
                    <w:rPr>
                      <w:rFonts w:hint="eastAsia" w:ascii="宋体" w:hAnsi="宋体" w:eastAsia="宋体" w:cs="宋体"/>
                      <w:color w:val="auto"/>
                      <w:highlight w:val="none"/>
                    </w:rPr>
                  </w:pPr>
                  <w:r>
                    <w:rPr>
                      <w:rFonts w:hint="eastAsia" w:ascii="宋体" w:hAnsi="宋体" w:eastAsia="宋体" w:cs="宋体"/>
                      <w:i w:val="0"/>
                      <w:iCs w:val="0"/>
                      <w:color w:val="auto"/>
                      <w:kern w:val="0"/>
                      <w:sz w:val="21"/>
                      <w:szCs w:val="21"/>
                      <w:highlight w:val="none"/>
                      <w:u w:val="none"/>
                      <w:lang w:val="en-US" w:eastAsia="zh-CN" w:bidi="ar"/>
                    </w:rPr>
                    <w:t>1名</w:t>
                  </w:r>
                </w:p>
              </w:tc>
            </w:tr>
            <w:tr w14:paraId="6AC0D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exact"/>
              </w:trPr>
              <w:tc>
                <w:tcPr>
                  <w:tcW w:w="1829" w:type="dxa"/>
                  <w:noWrap w:val="0"/>
                  <w:vAlign w:val="center"/>
                </w:tcPr>
                <w:p w14:paraId="1BC8181D">
                  <w:pPr>
                    <w:keepNext w:val="0"/>
                    <w:keepLines w:val="0"/>
                    <w:pageBreakBefore w:val="0"/>
                    <w:widowControl/>
                    <w:suppressLineNumbers w:val="0"/>
                    <w:kinsoku/>
                    <w:topLinePunct w:val="0"/>
                    <w:bidi w:val="0"/>
                    <w:spacing w:line="240" w:lineRule="auto"/>
                    <w:jc w:val="center"/>
                    <w:textAlignment w:val="top"/>
                    <w:rPr>
                      <w:rFonts w:hint="eastAsia" w:ascii="宋体" w:hAnsi="宋体" w:eastAsia="宋体" w:cs="宋体"/>
                      <w:color w:val="auto"/>
                      <w:sz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厨师</w:t>
                  </w:r>
                </w:p>
              </w:tc>
              <w:tc>
                <w:tcPr>
                  <w:tcW w:w="1305" w:type="dxa"/>
                  <w:noWrap w:val="0"/>
                  <w:vAlign w:val="center"/>
                </w:tcPr>
                <w:p w14:paraId="1EAA038A">
                  <w:pPr>
                    <w:keepNext w:val="0"/>
                    <w:keepLines w:val="0"/>
                    <w:pageBreakBefore w:val="0"/>
                    <w:widowControl/>
                    <w:suppressLineNumbers w:val="0"/>
                    <w:kinsoku/>
                    <w:topLinePunct w:val="0"/>
                    <w:bidi w:val="0"/>
                    <w:spacing w:line="240" w:lineRule="auto"/>
                    <w:jc w:val="center"/>
                    <w:textAlignment w:val="top"/>
                    <w:rPr>
                      <w:rFonts w:hint="eastAsia" w:ascii="宋体" w:hAnsi="宋体" w:eastAsia="宋体" w:cs="宋体"/>
                      <w:color w:val="auto"/>
                      <w:sz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6名</w:t>
                  </w:r>
                </w:p>
              </w:tc>
              <w:tc>
                <w:tcPr>
                  <w:tcW w:w="1455" w:type="dxa"/>
                  <w:noWrap w:val="0"/>
                  <w:vAlign w:val="center"/>
                </w:tcPr>
                <w:p w14:paraId="504BF3E7">
                  <w:pPr>
                    <w:keepNext w:val="0"/>
                    <w:keepLines w:val="0"/>
                    <w:pageBreakBefore w:val="0"/>
                    <w:widowControl/>
                    <w:suppressLineNumbers w:val="0"/>
                    <w:kinsoku/>
                    <w:topLinePunct w:val="0"/>
                    <w:bidi w:val="0"/>
                    <w:spacing w:line="240" w:lineRule="auto"/>
                    <w:jc w:val="center"/>
                    <w:textAlignment w:val="top"/>
                    <w:rPr>
                      <w:rFonts w:hint="eastAsia" w:ascii="宋体" w:hAnsi="宋体" w:eastAsia="宋体" w:cs="宋体"/>
                      <w:color w:val="auto"/>
                      <w:highlight w:val="none"/>
                    </w:rPr>
                  </w:pPr>
                  <w:r>
                    <w:rPr>
                      <w:rFonts w:hint="eastAsia" w:ascii="宋体" w:hAnsi="宋体" w:eastAsia="宋体" w:cs="宋体"/>
                      <w:i w:val="0"/>
                      <w:iCs w:val="0"/>
                      <w:color w:val="auto"/>
                      <w:kern w:val="0"/>
                      <w:sz w:val="21"/>
                      <w:szCs w:val="21"/>
                      <w:highlight w:val="none"/>
                      <w:u w:val="none"/>
                      <w:lang w:val="en-US" w:eastAsia="zh-CN" w:bidi="ar"/>
                    </w:rPr>
                    <w:t>洗菜/洗碗工</w:t>
                  </w:r>
                </w:p>
              </w:tc>
              <w:tc>
                <w:tcPr>
                  <w:tcW w:w="1259" w:type="dxa"/>
                  <w:noWrap w:val="0"/>
                  <w:vAlign w:val="center"/>
                </w:tcPr>
                <w:p w14:paraId="00C97AB8">
                  <w:pPr>
                    <w:keepNext w:val="0"/>
                    <w:keepLines w:val="0"/>
                    <w:pageBreakBefore w:val="0"/>
                    <w:widowControl/>
                    <w:suppressLineNumbers w:val="0"/>
                    <w:kinsoku/>
                    <w:topLinePunct w:val="0"/>
                    <w:bidi w:val="0"/>
                    <w:spacing w:line="240" w:lineRule="auto"/>
                    <w:jc w:val="center"/>
                    <w:textAlignment w:val="top"/>
                    <w:rPr>
                      <w:rFonts w:hint="eastAsia" w:ascii="宋体" w:hAnsi="宋体" w:eastAsia="宋体" w:cs="宋体"/>
                      <w:color w:val="auto"/>
                      <w:highlight w:val="none"/>
                    </w:rPr>
                  </w:pPr>
                  <w:r>
                    <w:rPr>
                      <w:rFonts w:hint="eastAsia" w:ascii="宋体" w:hAnsi="宋体" w:eastAsia="宋体" w:cs="宋体"/>
                      <w:i w:val="0"/>
                      <w:iCs w:val="0"/>
                      <w:color w:val="auto"/>
                      <w:kern w:val="0"/>
                      <w:sz w:val="21"/>
                      <w:szCs w:val="21"/>
                      <w:highlight w:val="none"/>
                      <w:u w:val="none"/>
                      <w:lang w:val="en-US" w:eastAsia="zh-CN" w:bidi="ar"/>
                    </w:rPr>
                    <w:t>3名</w:t>
                  </w:r>
                </w:p>
              </w:tc>
              <w:tc>
                <w:tcPr>
                  <w:tcW w:w="1463" w:type="dxa"/>
                  <w:noWrap w:val="0"/>
                  <w:vAlign w:val="center"/>
                </w:tcPr>
                <w:p w14:paraId="2003D431">
                  <w:pPr>
                    <w:keepNext w:val="0"/>
                    <w:keepLines w:val="0"/>
                    <w:pageBreakBefore w:val="0"/>
                    <w:kinsoku/>
                    <w:topLinePunct w:val="0"/>
                    <w:bidi w:val="0"/>
                    <w:spacing w:line="240" w:lineRule="auto"/>
                    <w:jc w:val="center"/>
                    <w:rPr>
                      <w:rFonts w:hint="eastAsia" w:ascii="宋体" w:hAnsi="宋体" w:eastAsia="宋体" w:cs="宋体"/>
                      <w:color w:val="auto"/>
                      <w:highlight w:val="none"/>
                    </w:rPr>
                  </w:pPr>
                </w:p>
              </w:tc>
              <w:tc>
                <w:tcPr>
                  <w:tcW w:w="1477" w:type="dxa"/>
                  <w:noWrap w:val="0"/>
                  <w:vAlign w:val="center"/>
                </w:tcPr>
                <w:p w14:paraId="22E0DCC7">
                  <w:pPr>
                    <w:keepNext w:val="0"/>
                    <w:keepLines w:val="0"/>
                    <w:pageBreakBefore w:val="0"/>
                    <w:kinsoku/>
                    <w:topLinePunct w:val="0"/>
                    <w:bidi w:val="0"/>
                    <w:spacing w:line="240" w:lineRule="auto"/>
                    <w:jc w:val="center"/>
                    <w:rPr>
                      <w:rFonts w:hint="eastAsia" w:ascii="宋体" w:hAnsi="宋体" w:eastAsia="宋体" w:cs="宋体"/>
                      <w:color w:val="auto"/>
                      <w:highlight w:val="none"/>
                    </w:rPr>
                  </w:pPr>
                </w:p>
              </w:tc>
            </w:tr>
            <w:tr w14:paraId="2101E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exact"/>
              </w:trPr>
              <w:tc>
                <w:tcPr>
                  <w:tcW w:w="1829" w:type="dxa"/>
                  <w:noWrap w:val="0"/>
                  <w:vAlign w:val="center"/>
                </w:tcPr>
                <w:p w14:paraId="74FEECF6">
                  <w:pPr>
                    <w:keepNext w:val="0"/>
                    <w:keepLines w:val="0"/>
                    <w:pageBreakBefore w:val="0"/>
                    <w:widowControl/>
                    <w:suppressLineNumbers w:val="0"/>
                    <w:kinsoku/>
                    <w:topLinePunct w:val="0"/>
                    <w:bidi w:val="0"/>
                    <w:spacing w:line="240" w:lineRule="auto"/>
                    <w:jc w:val="center"/>
                    <w:textAlignment w:val="top"/>
                    <w:rPr>
                      <w:rFonts w:hint="eastAsia" w:ascii="宋体" w:hAnsi="宋体" w:eastAsia="宋体" w:cs="宋体"/>
                      <w:color w:val="auto"/>
                      <w:sz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杂工（切配等）</w:t>
                  </w:r>
                </w:p>
              </w:tc>
              <w:tc>
                <w:tcPr>
                  <w:tcW w:w="1305" w:type="dxa"/>
                  <w:noWrap w:val="0"/>
                  <w:vAlign w:val="center"/>
                </w:tcPr>
                <w:p w14:paraId="7291F78B">
                  <w:pPr>
                    <w:keepNext w:val="0"/>
                    <w:keepLines w:val="0"/>
                    <w:pageBreakBefore w:val="0"/>
                    <w:widowControl/>
                    <w:suppressLineNumbers w:val="0"/>
                    <w:kinsoku/>
                    <w:topLinePunct w:val="0"/>
                    <w:bidi w:val="0"/>
                    <w:spacing w:line="240" w:lineRule="auto"/>
                    <w:jc w:val="center"/>
                    <w:textAlignment w:val="top"/>
                    <w:rPr>
                      <w:rFonts w:hint="eastAsia" w:ascii="宋体" w:hAnsi="宋体" w:eastAsia="宋体" w:cs="宋体"/>
                      <w:color w:val="auto"/>
                      <w:sz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4名</w:t>
                  </w:r>
                </w:p>
              </w:tc>
              <w:tc>
                <w:tcPr>
                  <w:tcW w:w="1455" w:type="dxa"/>
                  <w:noWrap w:val="0"/>
                  <w:vAlign w:val="center"/>
                </w:tcPr>
                <w:p w14:paraId="697F9C4B">
                  <w:pPr>
                    <w:keepNext w:val="0"/>
                    <w:keepLines w:val="0"/>
                    <w:pageBreakBefore w:val="0"/>
                    <w:widowControl/>
                    <w:suppressLineNumbers w:val="0"/>
                    <w:kinsoku/>
                    <w:topLinePunct w:val="0"/>
                    <w:bidi w:val="0"/>
                    <w:spacing w:line="240" w:lineRule="auto"/>
                    <w:jc w:val="center"/>
                    <w:textAlignment w:val="top"/>
                    <w:rPr>
                      <w:rFonts w:hint="eastAsia" w:ascii="宋体" w:hAnsi="宋体" w:eastAsia="宋体" w:cs="宋体"/>
                      <w:color w:val="auto"/>
                      <w:highlight w:val="none"/>
                    </w:rPr>
                  </w:pPr>
                  <w:r>
                    <w:rPr>
                      <w:rFonts w:hint="eastAsia" w:ascii="宋体" w:hAnsi="宋体" w:eastAsia="宋体" w:cs="宋体"/>
                      <w:i w:val="0"/>
                      <w:iCs w:val="0"/>
                      <w:color w:val="auto"/>
                      <w:kern w:val="0"/>
                      <w:sz w:val="21"/>
                      <w:szCs w:val="21"/>
                      <w:highlight w:val="none"/>
                      <w:u w:val="none"/>
                      <w:lang w:val="en-US" w:eastAsia="zh-CN" w:bidi="ar"/>
                    </w:rPr>
                    <w:t>服务员</w:t>
                  </w:r>
                </w:p>
              </w:tc>
              <w:tc>
                <w:tcPr>
                  <w:tcW w:w="1259" w:type="dxa"/>
                  <w:noWrap w:val="0"/>
                  <w:vAlign w:val="center"/>
                </w:tcPr>
                <w:p w14:paraId="78232D25">
                  <w:pPr>
                    <w:keepNext w:val="0"/>
                    <w:keepLines w:val="0"/>
                    <w:pageBreakBefore w:val="0"/>
                    <w:widowControl/>
                    <w:suppressLineNumbers w:val="0"/>
                    <w:kinsoku/>
                    <w:topLinePunct w:val="0"/>
                    <w:bidi w:val="0"/>
                    <w:spacing w:line="240" w:lineRule="auto"/>
                    <w:jc w:val="center"/>
                    <w:textAlignment w:val="top"/>
                    <w:rPr>
                      <w:rFonts w:hint="eastAsia" w:ascii="宋体" w:hAnsi="宋体" w:eastAsia="宋体" w:cs="宋体"/>
                      <w:color w:val="auto"/>
                      <w:highlight w:val="none"/>
                    </w:rPr>
                  </w:pPr>
                  <w:r>
                    <w:rPr>
                      <w:rFonts w:hint="eastAsia" w:ascii="宋体" w:hAnsi="宋体" w:eastAsia="宋体" w:cs="宋体"/>
                      <w:i w:val="0"/>
                      <w:iCs w:val="0"/>
                      <w:color w:val="auto"/>
                      <w:kern w:val="0"/>
                      <w:sz w:val="21"/>
                      <w:szCs w:val="21"/>
                      <w:highlight w:val="none"/>
                      <w:u w:val="none"/>
                      <w:lang w:val="en-US" w:eastAsia="zh-CN" w:bidi="ar"/>
                    </w:rPr>
                    <w:t>4名</w:t>
                  </w:r>
                </w:p>
              </w:tc>
              <w:tc>
                <w:tcPr>
                  <w:tcW w:w="1463" w:type="dxa"/>
                  <w:noWrap w:val="0"/>
                  <w:vAlign w:val="center"/>
                </w:tcPr>
                <w:p w14:paraId="6179609A">
                  <w:pPr>
                    <w:keepNext w:val="0"/>
                    <w:keepLines w:val="0"/>
                    <w:pageBreakBefore w:val="0"/>
                    <w:kinsoku/>
                    <w:topLinePunct w:val="0"/>
                    <w:bidi w:val="0"/>
                    <w:spacing w:line="240" w:lineRule="auto"/>
                    <w:jc w:val="center"/>
                    <w:rPr>
                      <w:rFonts w:hint="eastAsia" w:ascii="宋体" w:hAnsi="宋体" w:eastAsia="宋体" w:cs="宋体"/>
                      <w:color w:val="auto"/>
                      <w:highlight w:val="none"/>
                    </w:rPr>
                  </w:pPr>
                </w:p>
              </w:tc>
              <w:tc>
                <w:tcPr>
                  <w:tcW w:w="1477" w:type="dxa"/>
                  <w:noWrap w:val="0"/>
                  <w:vAlign w:val="center"/>
                </w:tcPr>
                <w:p w14:paraId="5BCE47C3">
                  <w:pPr>
                    <w:keepNext w:val="0"/>
                    <w:keepLines w:val="0"/>
                    <w:pageBreakBefore w:val="0"/>
                    <w:kinsoku/>
                    <w:topLinePunct w:val="0"/>
                    <w:bidi w:val="0"/>
                    <w:spacing w:line="240" w:lineRule="auto"/>
                    <w:jc w:val="center"/>
                    <w:rPr>
                      <w:rFonts w:hint="eastAsia" w:ascii="宋体" w:hAnsi="宋体" w:eastAsia="宋体" w:cs="宋体"/>
                      <w:color w:val="auto"/>
                      <w:highlight w:val="none"/>
                    </w:rPr>
                  </w:pPr>
                </w:p>
              </w:tc>
            </w:tr>
            <w:tr w14:paraId="74EDE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exact"/>
              </w:trPr>
              <w:tc>
                <w:tcPr>
                  <w:tcW w:w="1829" w:type="dxa"/>
                  <w:noWrap w:val="0"/>
                  <w:vAlign w:val="center"/>
                </w:tcPr>
                <w:p w14:paraId="400FA4A9">
                  <w:pPr>
                    <w:keepNext w:val="0"/>
                    <w:keepLines w:val="0"/>
                    <w:pageBreakBefore w:val="0"/>
                    <w:widowControl/>
                    <w:suppressLineNumbers w:val="0"/>
                    <w:kinsoku/>
                    <w:topLinePunct w:val="0"/>
                    <w:bidi w:val="0"/>
                    <w:spacing w:line="240" w:lineRule="auto"/>
                    <w:jc w:val="center"/>
                    <w:textAlignment w:val="top"/>
                    <w:rPr>
                      <w:rFonts w:hint="eastAsia" w:ascii="宋体" w:hAnsi="宋体" w:eastAsia="宋体" w:cs="宋体"/>
                      <w:color w:val="auto"/>
                      <w:sz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总计</w:t>
                  </w:r>
                </w:p>
              </w:tc>
              <w:tc>
                <w:tcPr>
                  <w:tcW w:w="6959" w:type="dxa"/>
                  <w:gridSpan w:val="5"/>
                  <w:noWrap w:val="0"/>
                  <w:vAlign w:val="center"/>
                </w:tcPr>
                <w:p w14:paraId="7DA1E56C">
                  <w:pPr>
                    <w:keepNext w:val="0"/>
                    <w:keepLines w:val="0"/>
                    <w:pageBreakBefore w:val="0"/>
                    <w:widowControl/>
                    <w:suppressLineNumbers w:val="0"/>
                    <w:kinsoku/>
                    <w:topLinePunct w:val="0"/>
                    <w:bidi w:val="0"/>
                    <w:spacing w:line="240" w:lineRule="auto"/>
                    <w:jc w:val="center"/>
                    <w:textAlignment w:val="top"/>
                    <w:rPr>
                      <w:rFonts w:hint="eastAsia" w:ascii="宋体" w:hAnsi="宋体" w:eastAsia="宋体" w:cs="宋体"/>
                      <w:color w:val="auto"/>
                      <w:highlight w:val="none"/>
                    </w:rPr>
                  </w:pPr>
                  <w:r>
                    <w:rPr>
                      <w:rFonts w:hint="eastAsia" w:ascii="宋体" w:hAnsi="宋体" w:eastAsia="宋体" w:cs="宋体"/>
                      <w:i w:val="0"/>
                      <w:iCs w:val="0"/>
                      <w:color w:val="auto"/>
                      <w:kern w:val="0"/>
                      <w:sz w:val="21"/>
                      <w:szCs w:val="21"/>
                      <w:highlight w:val="none"/>
                      <w:u w:val="none"/>
                      <w:lang w:val="en-US" w:eastAsia="zh-CN" w:bidi="ar"/>
                    </w:rPr>
                    <w:t>26名</w:t>
                  </w:r>
                </w:p>
              </w:tc>
            </w:tr>
            <w:tr w14:paraId="3844B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8" w:hRule="exact"/>
              </w:trPr>
              <w:tc>
                <w:tcPr>
                  <w:tcW w:w="8788" w:type="dxa"/>
                  <w:gridSpan w:val="6"/>
                  <w:noWrap w:val="0"/>
                  <w:vAlign w:val="top"/>
                </w:tcPr>
                <w:p w14:paraId="10449B38">
                  <w:pPr>
                    <w:keepNext w:val="0"/>
                    <w:keepLines w:val="0"/>
                    <w:pageBreakBefore w:val="0"/>
                    <w:widowControl/>
                    <w:suppressLineNumbers w:val="0"/>
                    <w:kinsoku/>
                    <w:topLinePunct w:val="0"/>
                    <w:bidi w:val="0"/>
                    <w:spacing w:line="240" w:lineRule="auto"/>
                    <w:jc w:val="both"/>
                    <w:textAlignment w:val="top"/>
                    <w:rPr>
                      <w:rStyle w:val="168"/>
                      <w:rFonts w:hint="eastAsia" w:ascii="宋体" w:hAnsi="宋体" w:eastAsia="宋体" w:cs="宋体"/>
                      <w:color w:val="auto"/>
                      <w:sz w:val="21"/>
                      <w:szCs w:val="21"/>
                      <w:highlight w:val="none"/>
                      <w:lang w:val="en-US" w:eastAsia="zh-CN" w:bidi="ar"/>
                    </w:rPr>
                  </w:pPr>
                  <w:r>
                    <w:rPr>
                      <w:rStyle w:val="212"/>
                      <w:rFonts w:hint="eastAsia" w:ascii="宋体" w:hAnsi="宋体" w:eastAsia="宋体" w:cs="宋体"/>
                      <w:color w:val="auto"/>
                      <w:sz w:val="21"/>
                      <w:szCs w:val="21"/>
                      <w:highlight w:val="none"/>
                      <w:lang w:val="en-US" w:eastAsia="zh-CN" w:bidi="ar"/>
                    </w:rPr>
                    <w:t>备注：</w:t>
                  </w:r>
                  <w:r>
                    <w:rPr>
                      <w:rStyle w:val="168"/>
                      <w:rFonts w:hint="eastAsia" w:ascii="宋体" w:hAnsi="宋体" w:eastAsia="宋体" w:cs="宋体"/>
                      <w:color w:val="auto"/>
                      <w:sz w:val="21"/>
                      <w:szCs w:val="21"/>
                      <w:highlight w:val="none"/>
                      <w:lang w:val="en-US" w:eastAsia="zh-CN" w:bidi="ar"/>
                    </w:rPr>
                    <w:t>①厨师长须具有中式烹调师高级（三级）及以上职业资格证；</w:t>
                  </w:r>
                </w:p>
                <w:p w14:paraId="59FD669A">
                  <w:pPr>
                    <w:keepNext w:val="0"/>
                    <w:keepLines w:val="0"/>
                    <w:pageBreakBefore w:val="0"/>
                    <w:widowControl/>
                    <w:suppressLineNumbers w:val="0"/>
                    <w:kinsoku/>
                    <w:topLinePunct w:val="0"/>
                    <w:bidi w:val="0"/>
                    <w:spacing w:line="240" w:lineRule="auto"/>
                    <w:jc w:val="both"/>
                    <w:textAlignment w:val="top"/>
                    <w:rPr>
                      <w:rStyle w:val="168"/>
                      <w:rFonts w:hint="eastAsia" w:ascii="宋体" w:hAnsi="宋体" w:eastAsia="宋体" w:cs="宋体"/>
                      <w:color w:val="auto"/>
                      <w:sz w:val="21"/>
                      <w:szCs w:val="21"/>
                      <w:highlight w:val="none"/>
                      <w:lang w:val="en-US" w:eastAsia="zh-CN" w:bidi="ar"/>
                    </w:rPr>
                  </w:pPr>
                  <w:r>
                    <w:rPr>
                      <w:rStyle w:val="168"/>
                      <w:rFonts w:hint="eastAsia" w:ascii="宋体" w:hAnsi="宋体" w:eastAsia="宋体" w:cs="宋体"/>
                      <w:color w:val="auto"/>
                      <w:sz w:val="21"/>
                      <w:szCs w:val="21"/>
                      <w:highlight w:val="none"/>
                      <w:lang w:val="en-US" w:eastAsia="zh-CN" w:bidi="ar"/>
                    </w:rPr>
                    <w:t>②厨师须具有中式烹调师中级（四级）（含）以上职业资格证书；</w:t>
                  </w:r>
                </w:p>
                <w:p w14:paraId="29BCAB3A">
                  <w:pPr>
                    <w:keepNext w:val="0"/>
                    <w:keepLines w:val="0"/>
                    <w:pageBreakBefore w:val="0"/>
                    <w:widowControl/>
                    <w:suppressLineNumbers w:val="0"/>
                    <w:kinsoku/>
                    <w:topLinePunct w:val="0"/>
                    <w:bidi w:val="0"/>
                    <w:spacing w:line="240" w:lineRule="auto"/>
                    <w:jc w:val="both"/>
                    <w:textAlignment w:val="top"/>
                    <w:rPr>
                      <w:rStyle w:val="168"/>
                      <w:rFonts w:hint="eastAsia" w:ascii="宋体" w:hAnsi="宋体" w:eastAsia="宋体" w:cs="宋体"/>
                      <w:color w:val="auto"/>
                      <w:sz w:val="21"/>
                      <w:szCs w:val="21"/>
                      <w:highlight w:val="none"/>
                      <w:lang w:val="en-US" w:eastAsia="zh-CN" w:bidi="ar"/>
                    </w:rPr>
                  </w:pPr>
                  <w:r>
                    <w:rPr>
                      <w:rStyle w:val="168"/>
                      <w:rFonts w:hint="eastAsia" w:ascii="宋体" w:hAnsi="宋体" w:eastAsia="宋体" w:cs="宋体"/>
                      <w:color w:val="auto"/>
                      <w:sz w:val="21"/>
                      <w:szCs w:val="21"/>
                      <w:highlight w:val="none"/>
                      <w:lang w:val="en-US" w:eastAsia="zh-CN" w:bidi="ar"/>
                    </w:rPr>
                    <w:t>③面点师须具有中式面点师中级（四级）（含）以上职业资格证书。</w:t>
                  </w:r>
                </w:p>
                <w:p w14:paraId="30D12523">
                  <w:pPr>
                    <w:keepNext w:val="0"/>
                    <w:keepLines w:val="0"/>
                    <w:pageBreakBefore w:val="0"/>
                    <w:widowControl/>
                    <w:numPr>
                      <w:ilvl w:val="0"/>
                      <w:numId w:val="0"/>
                    </w:numPr>
                    <w:suppressLineNumbers w:val="0"/>
                    <w:kinsoku/>
                    <w:topLinePunct w:val="0"/>
                    <w:bidi w:val="0"/>
                    <w:spacing w:line="240" w:lineRule="auto"/>
                    <w:jc w:val="both"/>
                    <w:textAlignment w:val="top"/>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i w:val="0"/>
                      <w:iCs w:val="0"/>
                      <w:caps w:val="0"/>
                      <w:color w:val="auto"/>
                      <w:spacing w:val="0"/>
                      <w:kern w:val="0"/>
                      <w:sz w:val="21"/>
                      <w:szCs w:val="21"/>
                      <w:highlight w:val="none"/>
                      <w:shd w:val="clear" w:color="auto" w:fill="auto"/>
                      <w:lang w:val="en-US" w:eastAsia="zh-CN" w:bidi="ar"/>
                    </w:rPr>
                    <w:t>相关</w:t>
                  </w:r>
                  <w:r>
                    <w:rPr>
                      <w:rFonts w:hint="eastAsia" w:ascii="宋体" w:hAnsi="宋体" w:eastAsia="宋体" w:cs="宋体"/>
                      <w:i w:val="0"/>
                      <w:iCs w:val="0"/>
                      <w:caps w:val="0"/>
                      <w:color w:val="auto"/>
                      <w:spacing w:val="0"/>
                      <w:kern w:val="0"/>
                      <w:sz w:val="21"/>
                      <w:szCs w:val="21"/>
                      <w:highlight w:val="none"/>
                      <w:shd w:val="clear" w:color="auto" w:fill="auto"/>
                      <w:lang w:bidi="ar"/>
                    </w:rPr>
                    <w:t>证书需在中华人民共和国人力资源和社会保障部“技能人才评价工作网”（</w:t>
                  </w:r>
                  <w:r>
                    <w:rPr>
                      <w:rFonts w:hint="eastAsia" w:ascii="宋体" w:hAnsi="宋体" w:eastAsia="宋体" w:cs="宋体"/>
                      <w:i w:val="0"/>
                      <w:iCs w:val="0"/>
                      <w:caps w:val="0"/>
                      <w:color w:val="auto"/>
                      <w:spacing w:val="0"/>
                      <w:kern w:val="0"/>
                      <w:sz w:val="21"/>
                      <w:szCs w:val="21"/>
                      <w:highlight w:val="none"/>
                      <w:u w:val="none"/>
                      <w:shd w:val="clear" w:color="auto" w:fill="auto"/>
                      <w:lang w:bidi="ar"/>
                    </w:rPr>
                    <w:t>http://jndj.osta.org.cn/</w:t>
                  </w:r>
                  <w:r>
                    <w:rPr>
                      <w:rFonts w:hint="eastAsia" w:ascii="宋体" w:hAnsi="宋体" w:eastAsia="宋体" w:cs="宋体"/>
                      <w:i w:val="0"/>
                      <w:iCs w:val="0"/>
                      <w:caps w:val="0"/>
                      <w:color w:val="auto"/>
                      <w:spacing w:val="0"/>
                      <w:kern w:val="0"/>
                      <w:sz w:val="21"/>
                      <w:szCs w:val="21"/>
                      <w:highlight w:val="none"/>
                      <w:shd w:val="clear" w:color="auto" w:fill="auto"/>
                      <w:lang w:bidi="ar"/>
                    </w:rPr>
                    <w:t>）查询验证</w:t>
                  </w:r>
                  <w:r>
                    <w:rPr>
                      <w:rFonts w:hint="eastAsia" w:ascii="宋体" w:hAnsi="宋体" w:eastAsia="宋体" w:cs="宋体"/>
                      <w:i w:val="0"/>
                      <w:iCs w:val="0"/>
                      <w:caps w:val="0"/>
                      <w:color w:val="auto"/>
                      <w:spacing w:val="0"/>
                      <w:kern w:val="0"/>
                      <w:sz w:val="21"/>
                      <w:szCs w:val="21"/>
                      <w:highlight w:val="none"/>
                      <w:shd w:val="clear" w:color="auto" w:fill="auto"/>
                      <w:lang w:eastAsia="zh-CN" w:bidi="ar"/>
                    </w:rPr>
                    <w:t>，</w:t>
                  </w:r>
                  <w:r>
                    <w:rPr>
                      <w:rFonts w:hint="eastAsia" w:ascii="宋体" w:hAnsi="宋体" w:eastAsia="宋体" w:cs="宋体"/>
                      <w:i w:val="0"/>
                      <w:iCs w:val="0"/>
                      <w:caps w:val="0"/>
                      <w:color w:val="auto"/>
                      <w:spacing w:val="0"/>
                      <w:kern w:val="0"/>
                      <w:sz w:val="21"/>
                      <w:szCs w:val="21"/>
                      <w:highlight w:val="none"/>
                      <w:shd w:val="clear" w:color="auto" w:fill="auto"/>
                      <w:lang w:val="en-US" w:eastAsia="zh-CN" w:bidi="ar"/>
                    </w:rPr>
                    <w:t>相关证书</w:t>
                  </w:r>
                  <w:r>
                    <w:rPr>
                      <w:rFonts w:hint="eastAsia" w:ascii="宋体" w:hAnsi="宋体" w:eastAsia="宋体" w:cs="宋体"/>
                      <w:i w:val="0"/>
                      <w:iCs w:val="0"/>
                      <w:caps w:val="0"/>
                      <w:color w:val="auto"/>
                      <w:spacing w:val="0"/>
                      <w:kern w:val="0"/>
                      <w:sz w:val="21"/>
                      <w:szCs w:val="21"/>
                      <w:highlight w:val="none"/>
                      <w:shd w:val="clear" w:color="auto" w:fill="auto"/>
                      <w:lang w:eastAsia="zh-CN" w:bidi="ar"/>
                    </w:rPr>
                    <w:t>投标人</w:t>
                  </w:r>
                  <w:r>
                    <w:rPr>
                      <w:rFonts w:hint="eastAsia" w:ascii="宋体" w:hAnsi="宋体" w:eastAsia="宋体" w:cs="宋体"/>
                      <w:i w:val="0"/>
                      <w:iCs w:val="0"/>
                      <w:caps w:val="0"/>
                      <w:color w:val="auto"/>
                      <w:spacing w:val="0"/>
                      <w:kern w:val="0"/>
                      <w:sz w:val="21"/>
                      <w:szCs w:val="21"/>
                      <w:highlight w:val="none"/>
                      <w:shd w:val="clear" w:color="auto" w:fill="auto"/>
                      <w:lang w:bidi="ar"/>
                    </w:rPr>
                    <w:t>需通过该平台进行证书信息查询，并附查询结果页面作为有效证明材料</w:t>
                  </w:r>
                  <w:r>
                    <w:rPr>
                      <w:rFonts w:hint="eastAsia" w:ascii="宋体" w:hAnsi="宋体" w:eastAsia="宋体" w:cs="宋体"/>
                      <w:i w:val="0"/>
                      <w:iCs w:val="0"/>
                      <w:caps w:val="0"/>
                      <w:color w:val="auto"/>
                      <w:spacing w:val="0"/>
                      <w:kern w:val="0"/>
                      <w:sz w:val="21"/>
                      <w:szCs w:val="21"/>
                      <w:highlight w:val="none"/>
                      <w:shd w:val="clear" w:color="auto" w:fill="auto"/>
                      <w:lang w:eastAsia="zh-CN" w:bidi="ar"/>
                    </w:rPr>
                    <w:t>，</w:t>
                  </w:r>
                  <w:r>
                    <w:rPr>
                      <w:rFonts w:hint="eastAsia" w:ascii="宋体" w:hAnsi="宋体" w:eastAsia="宋体" w:cs="宋体"/>
                      <w:color w:val="auto"/>
                      <w:kern w:val="0"/>
                      <w:sz w:val="21"/>
                      <w:szCs w:val="21"/>
                      <w:highlight w:val="none"/>
                      <w:lang w:val="en-US" w:eastAsia="zh-CN" w:bidi="ar"/>
                    </w:rPr>
                    <w:t>并加盖投标人法人公章，具体以评标委员会评定为准。</w:t>
                  </w:r>
                </w:p>
              </w:tc>
            </w:tr>
          </w:tbl>
          <w:p w14:paraId="7A8E3C64">
            <w:pPr>
              <w:keepNext w:val="0"/>
              <w:keepLines w:val="0"/>
              <w:pageBreakBefore w:val="0"/>
              <w:kinsoku/>
              <w:topLinePunct w:val="0"/>
              <w:bidi w:val="0"/>
              <w:spacing w:line="240" w:lineRule="auto"/>
              <w:jc w:val="left"/>
              <w:rPr>
                <w:rFonts w:hint="eastAsia" w:ascii="宋体" w:hAnsi="宋体" w:eastAsia="宋体" w:cs="宋体"/>
                <w:color w:val="auto"/>
                <w:szCs w:val="21"/>
                <w:highlight w:val="none"/>
              </w:rPr>
            </w:pPr>
          </w:p>
        </w:tc>
      </w:tr>
      <w:tr w14:paraId="40E52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restart"/>
            <w:tcBorders>
              <w:tl2br w:val="nil"/>
              <w:tr2bl w:val="nil"/>
            </w:tcBorders>
            <w:vAlign w:val="center"/>
          </w:tcPr>
          <w:p w14:paraId="2D82FC1C">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w:t>
            </w:r>
          </w:p>
          <w:p w14:paraId="0D5FA66E">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（2）</w:t>
            </w:r>
          </w:p>
        </w:tc>
        <w:tc>
          <w:tcPr>
            <w:tcW w:w="1129" w:type="pct"/>
            <w:gridSpan w:val="3"/>
            <w:tcBorders>
              <w:tl2br w:val="nil"/>
              <w:tr2bl w:val="nil"/>
            </w:tcBorders>
            <w:shd w:val="clear" w:color="auto" w:fill="auto"/>
            <w:vAlign w:val="center"/>
          </w:tcPr>
          <w:p w14:paraId="415E86F5">
            <w:pPr>
              <w:keepNext w:val="0"/>
              <w:keepLines w:val="0"/>
              <w:pageBreakBefore w:val="0"/>
              <w:kinsoku/>
              <w:topLinePunct w:val="0"/>
              <w:bidi w:val="0"/>
              <w:spacing w:line="240" w:lineRule="auto"/>
              <w:jc w:val="center"/>
              <w:rPr>
                <w:rFonts w:hint="eastAsia" w:ascii="宋体" w:hAnsi="宋体" w:eastAsia="宋体" w:cs="宋体"/>
                <w:color w:val="auto"/>
                <w:szCs w:val="21"/>
                <w:highlight w:val="none"/>
                <w:u w:val="single"/>
              </w:rPr>
            </w:pPr>
            <w:r>
              <w:rPr>
                <w:rFonts w:hint="eastAsia" w:ascii="宋体" w:hAnsi="宋体" w:eastAsia="宋体" w:cs="宋体"/>
                <w:b/>
                <w:color w:val="auto"/>
                <w:szCs w:val="21"/>
                <w:highlight w:val="none"/>
              </w:rPr>
              <w:t>评审因素</w:t>
            </w:r>
          </w:p>
        </w:tc>
        <w:tc>
          <w:tcPr>
            <w:tcW w:w="785" w:type="pct"/>
            <w:tcBorders>
              <w:tl2br w:val="nil"/>
              <w:tr2bl w:val="nil"/>
            </w:tcBorders>
            <w:shd w:val="clear" w:color="auto" w:fill="auto"/>
            <w:vAlign w:val="center"/>
          </w:tcPr>
          <w:p w14:paraId="0BB835AD">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分值</w:t>
            </w:r>
          </w:p>
        </w:tc>
        <w:tc>
          <w:tcPr>
            <w:tcW w:w="2634" w:type="pct"/>
            <w:tcBorders>
              <w:tl2br w:val="nil"/>
              <w:tr2bl w:val="nil"/>
            </w:tcBorders>
            <w:shd w:val="clear" w:color="auto" w:fill="auto"/>
            <w:vAlign w:val="center"/>
          </w:tcPr>
          <w:p w14:paraId="6E9D38DB">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评审标准</w:t>
            </w:r>
          </w:p>
        </w:tc>
      </w:tr>
      <w:tr w14:paraId="7D8C1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20B1D9F0">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4548" w:type="pct"/>
            <w:gridSpan w:val="5"/>
            <w:tcBorders>
              <w:tl2br w:val="nil"/>
              <w:tr2bl w:val="nil"/>
            </w:tcBorders>
            <w:shd w:val="clear" w:color="auto" w:fill="auto"/>
            <w:vAlign w:val="center"/>
          </w:tcPr>
          <w:p w14:paraId="45D2B014">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技术部分详细评分标准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40分</w:t>
            </w:r>
            <w:r>
              <w:rPr>
                <w:rFonts w:hint="eastAsia" w:ascii="宋体" w:hAnsi="宋体" w:eastAsia="宋体" w:cs="宋体"/>
                <w:color w:val="auto"/>
                <w:szCs w:val="21"/>
                <w:highlight w:val="none"/>
                <w:lang w:eastAsia="zh-CN"/>
              </w:rPr>
              <w:t>）</w:t>
            </w:r>
          </w:p>
        </w:tc>
      </w:tr>
      <w:tr w14:paraId="79A78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45855502">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545" w:type="pct"/>
            <w:vMerge w:val="restart"/>
            <w:tcBorders>
              <w:tl2br w:val="nil"/>
              <w:tr2bl w:val="nil"/>
            </w:tcBorders>
            <w:shd w:val="clear" w:color="auto" w:fill="auto"/>
            <w:vAlign w:val="center"/>
          </w:tcPr>
          <w:p w14:paraId="15B47445">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color w:val="auto"/>
                <w:szCs w:val="21"/>
                <w:highlight w:val="none"/>
              </w:rPr>
            </w:pPr>
            <w:r>
              <w:rPr>
                <w:rFonts w:hint="eastAsia" w:ascii="宋体" w:hAnsi="宋体" w:cs="宋体"/>
                <w:color w:val="auto"/>
                <w:szCs w:val="21"/>
                <w:highlight w:val="none"/>
              </w:rPr>
              <w:t>项目实施方案</w:t>
            </w:r>
          </w:p>
        </w:tc>
        <w:tc>
          <w:tcPr>
            <w:tcW w:w="584" w:type="pct"/>
            <w:gridSpan w:val="2"/>
            <w:tcBorders>
              <w:tl2br w:val="nil"/>
              <w:tr2bl w:val="nil"/>
            </w:tcBorders>
            <w:shd w:val="clear" w:color="auto" w:fill="auto"/>
            <w:vAlign w:val="center"/>
          </w:tcPr>
          <w:p w14:paraId="1C9D69F8">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服务管理方案</w:t>
            </w:r>
          </w:p>
        </w:tc>
        <w:tc>
          <w:tcPr>
            <w:tcW w:w="785" w:type="pct"/>
            <w:tcBorders>
              <w:tl2br w:val="nil"/>
              <w:tr2bl w:val="nil"/>
            </w:tcBorders>
            <w:shd w:val="clear" w:color="auto" w:fill="auto"/>
            <w:vAlign w:val="center"/>
          </w:tcPr>
          <w:p w14:paraId="0159BACD">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8</w:t>
            </w:r>
          </w:p>
        </w:tc>
        <w:tc>
          <w:tcPr>
            <w:tcW w:w="2634" w:type="pct"/>
            <w:tcBorders>
              <w:tl2br w:val="nil"/>
              <w:tr2bl w:val="nil"/>
            </w:tcBorders>
            <w:shd w:val="clear" w:color="auto" w:fill="auto"/>
            <w:vAlign w:val="center"/>
          </w:tcPr>
          <w:p w14:paraId="0FE7A20B">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针对本项目制定可行的</w:t>
            </w:r>
            <w:r>
              <w:rPr>
                <w:rFonts w:hint="eastAsia" w:ascii="宋体" w:hAnsi="宋体" w:eastAsia="宋体" w:cs="宋体"/>
                <w:color w:val="auto"/>
                <w:sz w:val="21"/>
                <w:szCs w:val="21"/>
                <w:highlight w:val="none"/>
                <w:lang w:val="en-US" w:eastAsia="zh-CN"/>
              </w:rPr>
              <w:t>服务管理方案，包括但不限于：</w:t>
            </w:r>
          </w:p>
          <w:p w14:paraId="6A465D69">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1.项目概况及特点叙述；</w:t>
            </w:r>
          </w:p>
          <w:p w14:paraId="65AE40C5">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2.项目团队人员配置方案；</w:t>
            </w:r>
          </w:p>
          <w:p w14:paraId="037BF6BB">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.日常管理流程图：根据每个节点落实到人，责任到人；</w:t>
            </w:r>
          </w:p>
          <w:p w14:paraId="2F364628">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.人员职责与管理方案；</w:t>
            </w:r>
          </w:p>
          <w:p w14:paraId="1832E927">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.员工考核制度及奖惩制度；</w:t>
            </w:r>
          </w:p>
          <w:p w14:paraId="71A3CD0C">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.设施设备使用及维护方案；</w:t>
            </w:r>
          </w:p>
          <w:p w14:paraId="472463CE">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.节能控制措施(针对水、电、燃气、餐具及器材)；</w:t>
            </w:r>
          </w:p>
          <w:p w14:paraId="5A0B992F">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.卫生管理控制方案(食品卫生、人员卫生、环境卫生)；</w:t>
            </w:r>
          </w:p>
          <w:p w14:paraId="7C200875">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en-US" w:eastAsia="zh-CN"/>
              </w:rPr>
              <w:t>.投诉建议处理方案及整改措施；</w:t>
            </w:r>
          </w:p>
          <w:p w14:paraId="5EC465BE">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val="en-US" w:eastAsia="zh-CN"/>
              </w:rPr>
              <w:t>.食品安全保障措施、食品质量控制方案；</w:t>
            </w:r>
          </w:p>
          <w:p w14:paraId="625451EF">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.岗前培训制度(针对食品安全、消防安全、用火、用电、用气等)。</w:t>
            </w:r>
          </w:p>
          <w:p w14:paraId="2431D8D8">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default" w:ascii="宋体" w:hAnsi="宋体" w:eastAsia="宋体" w:cs="宋体"/>
                <w:color w:val="auto"/>
                <w:sz w:val="21"/>
                <w:szCs w:val="21"/>
                <w:highlight w:val="none"/>
                <w:lang w:val="en-US" w:eastAsia="zh-CN"/>
              </w:rPr>
            </w:pPr>
          </w:p>
          <w:p w14:paraId="097B81F5">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根据投标人提供</w:t>
            </w:r>
            <w:r>
              <w:rPr>
                <w:rFonts w:hint="eastAsia" w:ascii="宋体" w:hAnsi="宋体" w:cs="宋体"/>
                <w:i w:val="0"/>
                <w:iCs w:val="0"/>
                <w:color w:val="auto"/>
                <w:kern w:val="0"/>
                <w:sz w:val="21"/>
                <w:szCs w:val="21"/>
                <w:highlight w:val="none"/>
                <w:u w:val="none"/>
                <w:lang w:val="en-US" w:eastAsia="zh-CN" w:bidi="ar"/>
              </w:rPr>
              <w:t>的</w:t>
            </w:r>
            <w:r>
              <w:rPr>
                <w:rFonts w:hint="eastAsia" w:ascii="宋体" w:hAnsi="宋体" w:eastAsia="宋体" w:cs="宋体"/>
                <w:i w:val="0"/>
                <w:iCs w:val="0"/>
                <w:color w:val="auto"/>
                <w:kern w:val="0"/>
                <w:sz w:val="21"/>
                <w:szCs w:val="21"/>
                <w:highlight w:val="none"/>
                <w:u w:val="none"/>
                <w:lang w:val="en-US" w:eastAsia="zh-CN" w:bidi="ar"/>
              </w:rPr>
              <w:t>方案进行综合评分：</w:t>
            </w:r>
          </w:p>
          <w:p w14:paraId="24610CCC">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方案</w:t>
            </w:r>
            <w:r>
              <w:rPr>
                <w:rFonts w:hint="eastAsia" w:ascii="宋体" w:hAnsi="宋体" w:eastAsia="宋体" w:cs="宋体"/>
                <w:i w:val="0"/>
                <w:iCs w:val="0"/>
                <w:color w:val="auto"/>
                <w:kern w:val="0"/>
                <w:sz w:val="21"/>
                <w:szCs w:val="21"/>
                <w:highlight w:val="none"/>
                <w:u w:val="none"/>
                <w:lang w:val="en-US" w:eastAsia="zh-CN" w:bidi="ar"/>
              </w:rPr>
              <w:t>科学、合理、可行的，计7-8分；</w:t>
            </w:r>
          </w:p>
          <w:p w14:paraId="583F18F1">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方案</w:t>
            </w:r>
            <w:r>
              <w:rPr>
                <w:rFonts w:hint="eastAsia" w:ascii="宋体" w:hAnsi="宋体" w:eastAsia="宋体" w:cs="宋体"/>
                <w:i w:val="0"/>
                <w:iCs w:val="0"/>
                <w:color w:val="auto"/>
                <w:kern w:val="0"/>
                <w:sz w:val="21"/>
                <w:szCs w:val="21"/>
                <w:highlight w:val="none"/>
                <w:u w:val="none"/>
                <w:lang w:val="en-US" w:eastAsia="zh-CN" w:bidi="ar"/>
              </w:rPr>
              <w:t>较科学、较合理、较可行的，计4-6分；</w:t>
            </w:r>
          </w:p>
          <w:p w14:paraId="69B72BF2">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left"/>
              <w:textAlignment w:val="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方案</w:t>
            </w:r>
            <w:r>
              <w:rPr>
                <w:rFonts w:hint="eastAsia" w:ascii="宋体" w:hAnsi="宋体" w:eastAsia="宋体" w:cs="宋体"/>
                <w:i w:val="0"/>
                <w:iCs w:val="0"/>
                <w:color w:val="auto"/>
                <w:kern w:val="0"/>
                <w:sz w:val="21"/>
                <w:szCs w:val="21"/>
                <w:highlight w:val="none"/>
                <w:u w:val="none"/>
                <w:lang w:val="en-US" w:eastAsia="zh-CN" w:bidi="ar"/>
              </w:rPr>
              <w:t>欠科学、欠合理、欠可行的，计1-3分。</w:t>
            </w:r>
          </w:p>
        </w:tc>
      </w:tr>
      <w:tr w14:paraId="0CBB8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647DB88F">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545" w:type="pct"/>
            <w:vMerge w:val="continue"/>
            <w:tcBorders>
              <w:tl2br w:val="nil"/>
              <w:tr2bl w:val="nil"/>
            </w:tcBorders>
            <w:shd w:val="clear" w:color="auto" w:fill="auto"/>
            <w:vAlign w:val="center"/>
          </w:tcPr>
          <w:p w14:paraId="07113A5F">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color w:val="auto"/>
                <w:szCs w:val="21"/>
                <w:highlight w:val="none"/>
              </w:rPr>
            </w:pPr>
          </w:p>
        </w:tc>
        <w:tc>
          <w:tcPr>
            <w:tcW w:w="584" w:type="pct"/>
            <w:gridSpan w:val="2"/>
            <w:tcBorders>
              <w:tl2br w:val="nil"/>
              <w:tr2bl w:val="nil"/>
            </w:tcBorders>
            <w:shd w:val="clear" w:color="auto" w:fill="auto"/>
            <w:vAlign w:val="center"/>
          </w:tcPr>
          <w:p w14:paraId="3675539A">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配餐方案</w:t>
            </w:r>
          </w:p>
        </w:tc>
        <w:tc>
          <w:tcPr>
            <w:tcW w:w="785" w:type="pct"/>
            <w:tcBorders>
              <w:tl2br w:val="nil"/>
              <w:tr2bl w:val="nil"/>
            </w:tcBorders>
            <w:shd w:val="clear" w:color="auto" w:fill="auto"/>
            <w:vAlign w:val="center"/>
          </w:tcPr>
          <w:p w14:paraId="7EB04326">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8</w:t>
            </w:r>
          </w:p>
        </w:tc>
        <w:tc>
          <w:tcPr>
            <w:tcW w:w="2634" w:type="pct"/>
            <w:tcBorders>
              <w:tl2br w:val="nil"/>
              <w:tr2bl w:val="nil"/>
            </w:tcBorders>
            <w:shd w:val="clear" w:color="auto" w:fill="auto"/>
            <w:vAlign w:val="center"/>
          </w:tcPr>
          <w:p w14:paraId="53025FAC">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1.早餐：保证15个品种以上（包子、花卷、馒头、粉面、稀饭、豆浆、油条等）；粉面配菜小料不少于6种。</w:t>
            </w:r>
          </w:p>
          <w:p w14:paraId="26E10CE3">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2.中餐：</w:t>
            </w:r>
          </w:p>
          <w:p w14:paraId="46015E56">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（1）套餐标准：提供不少于4荤4素1汤1水果及米饭，3个以上品种粉面。</w:t>
            </w:r>
          </w:p>
          <w:p w14:paraId="398540CC">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（2）自助餐标准：提供不少于4荤4素1汤。</w:t>
            </w:r>
          </w:p>
          <w:p w14:paraId="68119CC8">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（3）特色餐标准：根据用餐情况提供特色菜品（冷面、牛排、杂粮、轻食等）、多种主食以及水果、饮品等。</w:t>
            </w:r>
          </w:p>
          <w:p w14:paraId="0D6D87D5">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3.晚餐：提供4荤4素1汤，主食包含米饭、包点（不少于两种，可供员工外带服务）。</w:t>
            </w:r>
          </w:p>
          <w:p w14:paraId="64EE576C">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4.早早餐与晚晚餐：提供炒粉、炒面、汤粉、汤面、水饺等餐品，粉面码子不低于3种。</w:t>
            </w:r>
          </w:p>
          <w:p w14:paraId="66572334">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5.按甲方要求制作主副食品、糕点、卤菜、半成品菜等各十个左右品种供食堂外卖。</w:t>
            </w:r>
          </w:p>
          <w:p w14:paraId="00C028BA">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投标人须提供一个月菜谱，并针对该菜谱制定科学合理的采购计划；根据菜品重复性及采购计划合理性进行综合评分。</w:t>
            </w:r>
          </w:p>
          <w:p w14:paraId="64DD294C">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left"/>
              <w:textAlignment w:val="auto"/>
              <w:rPr>
                <w:rFonts w:hint="eastAsia" w:ascii="宋体" w:hAnsi="宋体" w:eastAsia="宋体" w:cs="宋体"/>
                <w:color w:val="auto"/>
                <w:sz w:val="21"/>
                <w:szCs w:val="21"/>
                <w:highlight w:val="none"/>
                <w:lang w:val="en-US" w:eastAsia="zh-CN"/>
              </w:rPr>
            </w:pPr>
          </w:p>
          <w:p w14:paraId="6481C01E">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根据投标人提供</w:t>
            </w:r>
            <w:r>
              <w:rPr>
                <w:rFonts w:hint="eastAsia" w:ascii="宋体" w:hAnsi="宋体" w:cs="宋体"/>
                <w:i w:val="0"/>
                <w:iCs w:val="0"/>
                <w:color w:val="auto"/>
                <w:kern w:val="0"/>
                <w:sz w:val="21"/>
                <w:szCs w:val="21"/>
                <w:highlight w:val="none"/>
                <w:u w:val="none"/>
                <w:lang w:val="en-US" w:eastAsia="zh-CN" w:bidi="ar"/>
              </w:rPr>
              <w:t>的</w:t>
            </w:r>
            <w:r>
              <w:rPr>
                <w:rFonts w:hint="eastAsia" w:ascii="宋体" w:hAnsi="宋体" w:eastAsia="宋体" w:cs="宋体"/>
                <w:i w:val="0"/>
                <w:iCs w:val="0"/>
                <w:color w:val="auto"/>
                <w:kern w:val="0"/>
                <w:sz w:val="21"/>
                <w:szCs w:val="21"/>
                <w:highlight w:val="none"/>
                <w:u w:val="none"/>
                <w:lang w:val="en-US" w:eastAsia="zh-CN" w:bidi="ar"/>
              </w:rPr>
              <w:t>方案进行综合评分：</w:t>
            </w:r>
          </w:p>
          <w:p w14:paraId="1C6C7DA6">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方案</w:t>
            </w:r>
            <w:r>
              <w:rPr>
                <w:rFonts w:hint="eastAsia" w:ascii="宋体" w:hAnsi="宋体" w:eastAsia="宋体" w:cs="宋体"/>
                <w:i w:val="0"/>
                <w:iCs w:val="0"/>
                <w:color w:val="auto"/>
                <w:kern w:val="0"/>
                <w:sz w:val="21"/>
                <w:szCs w:val="21"/>
                <w:highlight w:val="none"/>
                <w:u w:val="none"/>
                <w:lang w:val="en-US" w:eastAsia="zh-CN" w:bidi="ar"/>
              </w:rPr>
              <w:t>优于用户需求的，计7-8分；</w:t>
            </w:r>
          </w:p>
          <w:p w14:paraId="1EDC6B64">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方案</w:t>
            </w:r>
            <w:r>
              <w:rPr>
                <w:rFonts w:hint="eastAsia" w:ascii="宋体" w:hAnsi="宋体" w:eastAsia="宋体" w:cs="宋体"/>
                <w:i w:val="0"/>
                <w:iCs w:val="0"/>
                <w:color w:val="auto"/>
                <w:kern w:val="0"/>
                <w:sz w:val="21"/>
                <w:szCs w:val="21"/>
                <w:highlight w:val="none"/>
                <w:u w:val="none"/>
                <w:lang w:val="en-US" w:eastAsia="zh-CN" w:bidi="ar"/>
              </w:rPr>
              <w:t>满足用户需求的，计4-6分；</w:t>
            </w:r>
          </w:p>
          <w:p w14:paraId="53AFB3A3">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left"/>
              <w:textAlignment w:val="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方案</w:t>
            </w:r>
            <w:r>
              <w:rPr>
                <w:rFonts w:hint="eastAsia" w:ascii="宋体" w:hAnsi="宋体" w:eastAsia="宋体" w:cs="宋体"/>
                <w:i w:val="0"/>
                <w:iCs w:val="0"/>
                <w:color w:val="auto"/>
                <w:kern w:val="0"/>
                <w:sz w:val="21"/>
                <w:szCs w:val="21"/>
                <w:highlight w:val="none"/>
                <w:u w:val="none"/>
                <w:lang w:val="en-US" w:eastAsia="zh-CN" w:bidi="ar"/>
              </w:rPr>
              <w:t>一般的，计1-3分。</w:t>
            </w:r>
          </w:p>
        </w:tc>
      </w:tr>
      <w:tr w14:paraId="19B77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4AC71B9F">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545" w:type="pct"/>
            <w:vMerge w:val="continue"/>
            <w:tcBorders>
              <w:tl2br w:val="nil"/>
              <w:tr2bl w:val="nil"/>
            </w:tcBorders>
            <w:shd w:val="clear" w:color="auto" w:fill="auto"/>
            <w:vAlign w:val="center"/>
          </w:tcPr>
          <w:p w14:paraId="7C8FB097">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color w:val="auto"/>
                <w:szCs w:val="21"/>
                <w:highlight w:val="none"/>
              </w:rPr>
            </w:pPr>
          </w:p>
        </w:tc>
        <w:tc>
          <w:tcPr>
            <w:tcW w:w="584" w:type="pct"/>
            <w:gridSpan w:val="2"/>
            <w:tcBorders>
              <w:tl2br w:val="nil"/>
              <w:tr2bl w:val="nil"/>
            </w:tcBorders>
            <w:shd w:val="clear" w:color="auto" w:fill="auto"/>
            <w:vAlign w:val="center"/>
          </w:tcPr>
          <w:p w14:paraId="70F6C175">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质量保障方案</w:t>
            </w:r>
          </w:p>
        </w:tc>
        <w:tc>
          <w:tcPr>
            <w:tcW w:w="785" w:type="pct"/>
            <w:tcBorders>
              <w:tl2br w:val="nil"/>
              <w:tr2bl w:val="nil"/>
            </w:tcBorders>
            <w:shd w:val="clear" w:color="auto" w:fill="auto"/>
            <w:vAlign w:val="center"/>
          </w:tcPr>
          <w:p w14:paraId="57C38DBD">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8</w:t>
            </w:r>
          </w:p>
        </w:tc>
        <w:tc>
          <w:tcPr>
            <w:tcW w:w="2634" w:type="pct"/>
            <w:tcBorders>
              <w:tl2br w:val="nil"/>
              <w:tr2bl w:val="nil"/>
            </w:tcBorders>
            <w:shd w:val="clear" w:color="auto" w:fill="auto"/>
            <w:vAlign w:val="center"/>
          </w:tcPr>
          <w:p w14:paraId="613D199B">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根据投标人针对本项目的质量管理保障制度、卫生安全保证制度、安全防范管理措施方案可行性进行综合评分。</w:t>
            </w:r>
          </w:p>
          <w:p w14:paraId="74A98115">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1.针对食材质量管理保障制度方案；</w:t>
            </w:r>
          </w:p>
          <w:p w14:paraId="120F9DA2">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2.针对卫生安全保证制度方案；</w:t>
            </w:r>
          </w:p>
          <w:p w14:paraId="7406076B">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3.针对安全防范管理措施方案；</w:t>
            </w:r>
          </w:p>
          <w:p w14:paraId="0EE7D11B">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left"/>
              <w:textAlignment w:val="auto"/>
              <w:rPr>
                <w:rFonts w:hint="eastAsia" w:ascii="宋体" w:hAnsi="宋体" w:eastAsia="宋体" w:cs="宋体"/>
                <w:color w:val="auto"/>
                <w:sz w:val="21"/>
                <w:szCs w:val="21"/>
                <w:highlight w:val="none"/>
                <w:lang w:val="en-US" w:eastAsia="zh-CN"/>
              </w:rPr>
            </w:pPr>
          </w:p>
          <w:p w14:paraId="0EEEE6D4">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根据投标人提供</w:t>
            </w:r>
            <w:r>
              <w:rPr>
                <w:rFonts w:hint="eastAsia" w:ascii="宋体" w:hAnsi="宋体" w:cs="宋体"/>
                <w:i w:val="0"/>
                <w:iCs w:val="0"/>
                <w:color w:val="auto"/>
                <w:kern w:val="0"/>
                <w:sz w:val="21"/>
                <w:szCs w:val="21"/>
                <w:highlight w:val="none"/>
                <w:u w:val="none"/>
                <w:lang w:val="en-US" w:eastAsia="zh-CN" w:bidi="ar"/>
              </w:rPr>
              <w:t>的</w:t>
            </w:r>
            <w:r>
              <w:rPr>
                <w:rFonts w:hint="eastAsia" w:ascii="宋体" w:hAnsi="宋体" w:eastAsia="宋体" w:cs="宋体"/>
                <w:i w:val="0"/>
                <w:iCs w:val="0"/>
                <w:color w:val="auto"/>
                <w:kern w:val="0"/>
                <w:sz w:val="21"/>
                <w:szCs w:val="21"/>
                <w:highlight w:val="none"/>
                <w:u w:val="none"/>
                <w:lang w:val="en-US" w:eastAsia="zh-CN" w:bidi="ar"/>
              </w:rPr>
              <w:t>方案进行综合评分：</w:t>
            </w:r>
          </w:p>
          <w:p w14:paraId="7F6002D6">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方案</w:t>
            </w:r>
            <w:r>
              <w:rPr>
                <w:rFonts w:hint="eastAsia" w:ascii="宋体" w:hAnsi="宋体" w:eastAsia="宋体" w:cs="宋体"/>
                <w:i w:val="0"/>
                <w:iCs w:val="0"/>
                <w:color w:val="auto"/>
                <w:kern w:val="0"/>
                <w:sz w:val="21"/>
                <w:szCs w:val="21"/>
                <w:highlight w:val="none"/>
                <w:u w:val="none"/>
                <w:lang w:val="en-US" w:eastAsia="zh-CN" w:bidi="ar"/>
              </w:rPr>
              <w:t>科学、合理、可行的，计7-8分；</w:t>
            </w:r>
          </w:p>
          <w:p w14:paraId="5BB8E747">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方案</w:t>
            </w:r>
            <w:r>
              <w:rPr>
                <w:rFonts w:hint="eastAsia" w:ascii="宋体" w:hAnsi="宋体" w:eastAsia="宋体" w:cs="宋体"/>
                <w:i w:val="0"/>
                <w:iCs w:val="0"/>
                <w:color w:val="auto"/>
                <w:kern w:val="0"/>
                <w:sz w:val="21"/>
                <w:szCs w:val="21"/>
                <w:highlight w:val="none"/>
                <w:u w:val="none"/>
                <w:lang w:val="en-US" w:eastAsia="zh-CN" w:bidi="ar"/>
              </w:rPr>
              <w:t>较科学、较合理、较可行的，计4-6分；</w:t>
            </w:r>
          </w:p>
          <w:p w14:paraId="6A0E1287">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方案</w:t>
            </w:r>
            <w:r>
              <w:rPr>
                <w:rFonts w:hint="eastAsia" w:ascii="宋体" w:hAnsi="宋体" w:eastAsia="宋体" w:cs="宋体"/>
                <w:i w:val="0"/>
                <w:iCs w:val="0"/>
                <w:color w:val="auto"/>
                <w:kern w:val="0"/>
                <w:sz w:val="21"/>
                <w:szCs w:val="21"/>
                <w:highlight w:val="none"/>
                <w:u w:val="none"/>
                <w:lang w:val="en-US" w:eastAsia="zh-CN" w:bidi="ar"/>
              </w:rPr>
              <w:t>欠科学、欠合理、欠可行的，计1-3分。</w:t>
            </w:r>
          </w:p>
        </w:tc>
      </w:tr>
      <w:tr w14:paraId="34FC1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5707C50F">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545" w:type="pct"/>
            <w:vMerge w:val="continue"/>
            <w:tcBorders>
              <w:tl2br w:val="nil"/>
              <w:tr2bl w:val="nil"/>
            </w:tcBorders>
            <w:shd w:val="clear" w:color="auto" w:fill="auto"/>
            <w:vAlign w:val="center"/>
          </w:tcPr>
          <w:p w14:paraId="1D740393">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color w:val="auto"/>
                <w:szCs w:val="21"/>
                <w:highlight w:val="none"/>
              </w:rPr>
            </w:pPr>
          </w:p>
        </w:tc>
        <w:tc>
          <w:tcPr>
            <w:tcW w:w="584" w:type="pct"/>
            <w:gridSpan w:val="2"/>
            <w:tcBorders>
              <w:tl2br w:val="nil"/>
              <w:tr2bl w:val="nil"/>
            </w:tcBorders>
            <w:shd w:val="clear" w:color="auto" w:fill="auto"/>
            <w:vAlign w:val="center"/>
          </w:tcPr>
          <w:p w14:paraId="2749B339">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应急预案方案</w:t>
            </w:r>
          </w:p>
        </w:tc>
        <w:tc>
          <w:tcPr>
            <w:tcW w:w="785" w:type="pct"/>
            <w:tcBorders>
              <w:tl2br w:val="nil"/>
              <w:tr2bl w:val="nil"/>
            </w:tcBorders>
            <w:shd w:val="clear" w:color="auto" w:fill="auto"/>
            <w:vAlign w:val="center"/>
          </w:tcPr>
          <w:p w14:paraId="30A1D26D">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8</w:t>
            </w:r>
          </w:p>
        </w:tc>
        <w:tc>
          <w:tcPr>
            <w:tcW w:w="2634" w:type="pct"/>
            <w:tcBorders>
              <w:tl2br w:val="nil"/>
              <w:tr2bl w:val="nil"/>
            </w:tcBorders>
            <w:shd w:val="clear" w:color="auto" w:fill="auto"/>
            <w:vAlign w:val="center"/>
          </w:tcPr>
          <w:p w14:paraId="7D055926">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根据投标人对本项目的实际情况以及本项目的要求，制定方案，应包括但不限于突发问题处理、纠纷解决、事件反馈响应等内容，评委依据方案的针对性，可行性以及完整性等方面进行综合评分。</w:t>
            </w:r>
          </w:p>
          <w:p w14:paraId="2AF0CB5D">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1.针对停水、停电、停气、恶劣天气等特殊情况下的紧急供餐措施；</w:t>
            </w:r>
          </w:p>
          <w:p w14:paraId="71B4B494">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2.针对重大活动、会议等用餐人员突增情况下的紧急供餐措施；</w:t>
            </w:r>
          </w:p>
          <w:p w14:paraId="72A859E0">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3.针对突发公共卫生事件、消防事故的应急处理措施。</w:t>
            </w:r>
          </w:p>
          <w:p w14:paraId="77AE2B44">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left"/>
              <w:textAlignment w:val="auto"/>
              <w:rPr>
                <w:rFonts w:hint="eastAsia" w:ascii="宋体" w:hAnsi="宋体" w:eastAsia="宋体" w:cs="宋体"/>
                <w:color w:val="auto"/>
                <w:sz w:val="21"/>
                <w:szCs w:val="21"/>
                <w:highlight w:val="none"/>
                <w:lang w:val="en-US" w:eastAsia="zh-CN"/>
              </w:rPr>
            </w:pPr>
          </w:p>
          <w:p w14:paraId="773A5F28">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根据投标人提供</w:t>
            </w:r>
            <w:r>
              <w:rPr>
                <w:rFonts w:hint="eastAsia" w:ascii="宋体" w:hAnsi="宋体" w:cs="宋体"/>
                <w:i w:val="0"/>
                <w:iCs w:val="0"/>
                <w:color w:val="auto"/>
                <w:kern w:val="0"/>
                <w:sz w:val="21"/>
                <w:szCs w:val="21"/>
                <w:highlight w:val="none"/>
                <w:u w:val="none"/>
                <w:lang w:val="en-US" w:eastAsia="zh-CN" w:bidi="ar"/>
              </w:rPr>
              <w:t>的</w:t>
            </w:r>
            <w:r>
              <w:rPr>
                <w:rFonts w:hint="eastAsia" w:ascii="宋体" w:hAnsi="宋体" w:eastAsia="宋体" w:cs="宋体"/>
                <w:i w:val="0"/>
                <w:iCs w:val="0"/>
                <w:color w:val="auto"/>
                <w:kern w:val="0"/>
                <w:sz w:val="21"/>
                <w:szCs w:val="21"/>
                <w:highlight w:val="none"/>
                <w:u w:val="none"/>
                <w:lang w:val="en-US" w:eastAsia="zh-CN" w:bidi="ar"/>
              </w:rPr>
              <w:t>方案进行综合评分：</w:t>
            </w:r>
          </w:p>
          <w:p w14:paraId="2DE0D1BB">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方案</w:t>
            </w:r>
            <w:r>
              <w:rPr>
                <w:rFonts w:hint="eastAsia" w:ascii="宋体" w:hAnsi="宋体" w:eastAsia="宋体" w:cs="宋体"/>
                <w:i w:val="0"/>
                <w:iCs w:val="0"/>
                <w:color w:val="auto"/>
                <w:kern w:val="0"/>
                <w:sz w:val="21"/>
                <w:szCs w:val="21"/>
                <w:highlight w:val="none"/>
                <w:u w:val="none"/>
                <w:lang w:val="en-US" w:eastAsia="zh-CN" w:bidi="ar"/>
              </w:rPr>
              <w:t>科学、合理、可行的，计7-8分；</w:t>
            </w:r>
          </w:p>
          <w:p w14:paraId="165FA5F1">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方案</w:t>
            </w:r>
            <w:r>
              <w:rPr>
                <w:rFonts w:hint="eastAsia" w:ascii="宋体" w:hAnsi="宋体" w:eastAsia="宋体" w:cs="宋体"/>
                <w:i w:val="0"/>
                <w:iCs w:val="0"/>
                <w:color w:val="auto"/>
                <w:kern w:val="0"/>
                <w:sz w:val="21"/>
                <w:szCs w:val="21"/>
                <w:highlight w:val="none"/>
                <w:u w:val="none"/>
                <w:lang w:val="en-US" w:eastAsia="zh-CN" w:bidi="ar"/>
              </w:rPr>
              <w:t>较科学、较合理、较可行的，计4-6分；</w:t>
            </w:r>
          </w:p>
          <w:p w14:paraId="219C1714">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方案</w:t>
            </w:r>
            <w:r>
              <w:rPr>
                <w:rFonts w:hint="eastAsia" w:ascii="宋体" w:hAnsi="宋体" w:eastAsia="宋体" w:cs="宋体"/>
                <w:i w:val="0"/>
                <w:iCs w:val="0"/>
                <w:color w:val="auto"/>
                <w:kern w:val="0"/>
                <w:sz w:val="21"/>
                <w:szCs w:val="21"/>
                <w:highlight w:val="none"/>
                <w:u w:val="none"/>
                <w:lang w:val="en-US" w:eastAsia="zh-CN" w:bidi="ar"/>
              </w:rPr>
              <w:t>欠科学、欠合理、欠可行的，计1-3分。</w:t>
            </w:r>
          </w:p>
        </w:tc>
      </w:tr>
      <w:tr w14:paraId="1D309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52A9575C">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545" w:type="pct"/>
            <w:vMerge w:val="continue"/>
            <w:tcBorders>
              <w:tl2br w:val="nil"/>
              <w:tr2bl w:val="nil"/>
            </w:tcBorders>
            <w:shd w:val="clear" w:color="auto" w:fill="auto"/>
            <w:vAlign w:val="center"/>
          </w:tcPr>
          <w:p w14:paraId="229DC5BC">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color w:val="auto"/>
                <w:szCs w:val="21"/>
                <w:highlight w:val="none"/>
              </w:rPr>
            </w:pPr>
          </w:p>
        </w:tc>
        <w:tc>
          <w:tcPr>
            <w:tcW w:w="584" w:type="pct"/>
            <w:gridSpan w:val="2"/>
            <w:tcBorders>
              <w:tl2br w:val="nil"/>
              <w:tr2bl w:val="nil"/>
            </w:tcBorders>
            <w:shd w:val="clear" w:color="auto" w:fill="auto"/>
            <w:vAlign w:val="center"/>
          </w:tcPr>
          <w:p w14:paraId="0D82A5DF">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库房管理方案</w:t>
            </w:r>
          </w:p>
        </w:tc>
        <w:tc>
          <w:tcPr>
            <w:tcW w:w="785" w:type="pct"/>
            <w:tcBorders>
              <w:tl2br w:val="nil"/>
              <w:tr2bl w:val="nil"/>
            </w:tcBorders>
            <w:shd w:val="clear" w:color="auto" w:fill="auto"/>
            <w:vAlign w:val="center"/>
          </w:tcPr>
          <w:p w14:paraId="2B0B1D4F">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center"/>
              <w:textAlignment w:val="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8</w:t>
            </w:r>
          </w:p>
        </w:tc>
        <w:tc>
          <w:tcPr>
            <w:tcW w:w="2634" w:type="pct"/>
            <w:tcBorders>
              <w:tl2br w:val="nil"/>
              <w:tr2bl w:val="nil"/>
            </w:tcBorders>
            <w:shd w:val="clear" w:color="auto" w:fill="auto"/>
            <w:vAlign w:val="center"/>
          </w:tcPr>
          <w:p w14:paraId="754A5C53">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根据投标人提供的库房管理方案的完整性和合理性进行综合评分；</w:t>
            </w:r>
          </w:p>
          <w:p w14:paraId="644A2A30">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1.针对库房食材存放管理；</w:t>
            </w:r>
          </w:p>
          <w:p w14:paraId="1A24345E">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2.针对库房卫生管理。</w:t>
            </w:r>
          </w:p>
          <w:p w14:paraId="774E283C">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 w:val="21"/>
                <w:szCs w:val="21"/>
                <w:highlight w:val="none"/>
                <w:lang w:val="en-US" w:eastAsia="zh-CN"/>
              </w:rPr>
            </w:pPr>
          </w:p>
          <w:p w14:paraId="7A93E263">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根据投标人提供</w:t>
            </w:r>
            <w:r>
              <w:rPr>
                <w:rFonts w:hint="eastAsia" w:ascii="宋体" w:hAnsi="宋体" w:cs="宋体"/>
                <w:i w:val="0"/>
                <w:iCs w:val="0"/>
                <w:color w:val="auto"/>
                <w:kern w:val="0"/>
                <w:sz w:val="21"/>
                <w:szCs w:val="21"/>
                <w:highlight w:val="none"/>
                <w:u w:val="none"/>
                <w:lang w:val="en-US" w:eastAsia="zh-CN" w:bidi="ar"/>
              </w:rPr>
              <w:t>的</w:t>
            </w:r>
            <w:r>
              <w:rPr>
                <w:rFonts w:hint="eastAsia" w:ascii="宋体" w:hAnsi="宋体" w:eastAsia="宋体" w:cs="宋体"/>
                <w:i w:val="0"/>
                <w:iCs w:val="0"/>
                <w:color w:val="auto"/>
                <w:kern w:val="0"/>
                <w:sz w:val="21"/>
                <w:szCs w:val="21"/>
                <w:highlight w:val="none"/>
                <w:u w:val="none"/>
                <w:lang w:val="en-US" w:eastAsia="zh-CN" w:bidi="ar"/>
              </w:rPr>
              <w:t>方案进行综合评分：</w:t>
            </w:r>
          </w:p>
          <w:p w14:paraId="265EB47B">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方案</w:t>
            </w:r>
            <w:r>
              <w:rPr>
                <w:rFonts w:hint="eastAsia" w:ascii="宋体" w:hAnsi="宋体" w:eastAsia="宋体" w:cs="宋体"/>
                <w:i w:val="0"/>
                <w:iCs w:val="0"/>
                <w:color w:val="auto"/>
                <w:kern w:val="0"/>
                <w:sz w:val="21"/>
                <w:szCs w:val="21"/>
                <w:highlight w:val="none"/>
                <w:u w:val="none"/>
                <w:lang w:val="en-US" w:eastAsia="zh-CN" w:bidi="ar"/>
              </w:rPr>
              <w:t>科学、合理、可行的，计7-8分；</w:t>
            </w:r>
          </w:p>
          <w:p w14:paraId="5C762766">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方案</w:t>
            </w:r>
            <w:r>
              <w:rPr>
                <w:rFonts w:hint="eastAsia" w:ascii="宋体" w:hAnsi="宋体" w:eastAsia="宋体" w:cs="宋体"/>
                <w:i w:val="0"/>
                <w:iCs w:val="0"/>
                <w:color w:val="auto"/>
                <w:kern w:val="0"/>
                <w:sz w:val="21"/>
                <w:szCs w:val="21"/>
                <w:highlight w:val="none"/>
                <w:u w:val="none"/>
                <w:lang w:val="en-US" w:eastAsia="zh-CN" w:bidi="ar"/>
              </w:rPr>
              <w:t>较科学、较合理、较可行的，计4-6分；</w:t>
            </w:r>
          </w:p>
          <w:p w14:paraId="0E2A0149">
            <w:pPr>
              <w:keepNext w:val="0"/>
              <w:keepLines w:val="0"/>
              <w:pageBreakBefore w:val="0"/>
              <w:widowControl w:val="0"/>
              <w:kinsoku/>
              <w:wordWrap/>
              <w:overflowPunct w:val="0"/>
              <w:topLinePunct w:val="0"/>
              <w:autoSpaceDE w:val="0"/>
              <w:autoSpaceDN w:val="0"/>
              <w:bidi w:val="0"/>
              <w:adjustRightInd w:val="0"/>
              <w:snapToGrid w:val="0"/>
              <w:spacing w:line="240" w:lineRule="auto"/>
              <w:ind w:firstLine="0" w:firstLineChars="0"/>
              <w:jc w:val="both"/>
              <w:textAlignment w:val="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方案</w:t>
            </w:r>
            <w:r>
              <w:rPr>
                <w:rFonts w:hint="eastAsia" w:ascii="宋体" w:hAnsi="宋体" w:eastAsia="宋体" w:cs="宋体"/>
                <w:i w:val="0"/>
                <w:iCs w:val="0"/>
                <w:color w:val="auto"/>
                <w:kern w:val="0"/>
                <w:sz w:val="21"/>
                <w:szCs w:val="21"/>
                <w:highlight w:val="none"/>
                <w:u w:val="none"/>
                <w:lang w:val="en-US" w:eastAsia="zh-CN" w:bidi="ar"/>
              </w:rPr>
              <w:t>欠科学、欠合理、欠可行的，计1-3分。</w:t>
            </w:r>
          </w:p>
        </w:tc>
      </w:tr>
      <w:tr w14:paraId="0F287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18392037">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1129" w:type="pct"/>
            <w:gridSpan w:val="3"/>
            <w:tcBorders>
              <w:tl2br w:val="nil"/>
              <w:tr2bl w:val="nil"/>
            </w:tcBorders>
            <w:shd w:val="clear" w:color="auto" w:fill="auto"/>
            <w:vAlign w:val="center"/>
          </w:tcPr>
          <w:p w14:paraId="613A9575">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合计</w:t>
            </w:r>
          </w:p>
        </w:tc>
        <w:tc>
          <w:tcPr>
            <w:tcW w:w="785" w:type="pct"/>
            <w:tcBorders>
              <w:tl2br w:val="nil"/>
              <w:tr2bl w:val="nil"/>
            </w:tcBorders>
            <w:shd w:val="clear" w:color="auto" w:fill="auto"/>
            <w:vAlign w:val="center"/>
          </w:tcPr>
          <w:p w14:paraId="39BDB256">
            <w:pPr>
              <w:keepNext w:val="0"/>
              <w:keepLines w:val="0"/>
              <w:pageBreakBefore w:val="0"/>
              <w:widowControl/>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40</w:t>
            </w:r>
          </w:p>
        </w:tc>
        <w:tc>
          <w:tcPr>
            <w:tcW w:w="2634" w:type="pct"/>
            <w:tcBorders>
              <w:tl2br w:val="nil"/>
              <w:tr2bl w:val="nil"/>
            </w:tcBorders>
            <w:shd w:val="clear" w:color="auto" w:fill="auto"/>
            <w:vAlign w:val="center"/>
          </w:tcPr>
          <w:p w14:paraId="77053E8C">
            <w:pPr>
              <w:keepNext w:val="0"/>
              <w:keepLines w:val="0"/>
              <w:pageBreakBefore w:val="0"/>
              <w:kinsoku/>
              <w:topLinePunct w:val="0"/>
              <w:bidi w:val="0"/>
              <w:spacing w:line="240" w:lineRule="auto"/>
              <w:jc w:val="left"/>
              <w:rPr>
                <w:rFonts w:hint="eastAsia" w:ascii="宋体" w:hAnsi="宋体" w:eastAsia="宋体" w:cs="宋体"/>
                <w:color w:val="auto"/>
                <w:szCs w:val="21"/>
                <w:highlight w:val="none"/>
              </w:rPr>
            </w:pPr>
          </w:p>
        </w:tc>
      </w:tr>
      <w:tr w14:paraId="61F74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4C6811BD">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4548" w:type="pct"/>
            <w:gridSpan w:val="5"/>
            <w:tcBorders>
              <w:tl2br w:val="nil"/>
              <w:tr2bl w:val="nil"/>
            </w:tcBorders>
            <w:shd w:val="clear" w:color="auto" w:fill="auto"/>
            <w:vAlign w:val="center"/>
          </w:tcPr>
          <w:p w14:paraId="7C551D57">
            <w:pPr>
              <w:widowControl/>
              <w:spacing w:line="240" w:lineRule="auto"/>
              <w:jc w:val="left"/>
              <w:rPr>
                <w:rFonts w:ascii="宋体" w:hAnsi="宋体" w:cs="宋体"/>
                <w:b/>
                <w:iCs/>
                <w:color w:val="auto"/>
                <w:szCs w:val="21"/>
                <w:highlight w:val="none"/>
              </w:rPr>
            </w:pPr>
            <w:r>
              <w:rPr>
                <w:rFonts w:hint="eastAsia" w:ascii="宋体" w:hAnsi="宋体" w:cs="宋体"/>
                <w:b/>
                <w:iCs/>
                <w:color w:val="auto"/>
                <w:szCs w:val="21"/>
                <w:highlight w:val="none"/>
              </w:rPr>
              <w:t>备注：</w:t>
            </w:r>
          </w:p>
          <w:p w14:paraId="020BCDCD">
            <w:pPr>
              <w:widowControl/>
              <w:spacing w:line="240" w:lineRule="auto"/>
              <w:jc w:val="left"/>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eastAsia="宋体" w:cs="宋体"/>
                <w:color w:val="auto"/>
                <w:kern w:val="2"/>
                <w:sz w:val="21"/>
                <w:szCs w:val="21"/>
                <w:highlight w:val="none"/>
                <w:lang w:val="en-US" w:eastAsia="zh-CN" w:bidi="ar-SA"/>
              </w:rPr>
              <w:t>技术部分单项得分为评标委员会成员个人评审计分的算术平均值</w:t>
            </w:r>
            <w:r>
              <w:rPr>
                <w:rFonts w:hint="eastAsia" w:ascii="宋体" w:hAnsi="宋体" w:cs="宋体"/>
                <w:color w:val="auto"/>
                <w:szCs w:val="21"/>
                <w:highlight w:val="none"/>
              </w:rPr>
              <w:t>。</w:t>
            </w:r>
          </w:p>
          <w:p w14:paraId="06C616B6">
            <w:pPr>
              <w:keepNext w:val="0"/>
              <w:keepLines w:val="0"/>
              <w:pageBreakBefore w:val="0"/>
              <w:widowControl/>
              <w:kinsoku/>
              <w:topLinePunct w:val="0"/>
              <w:bidi w:val="0"/>
              <w:spacing w:line="240" w:lineRule="auto"/>
              <w:jc w:val="left"/>
              <w:rPr>
                <w:rFonts w:hint="eastAsia" w:ascii="宋体" w:hAnsi="宋体" w:eastAsia="宋体" w:cs="宋体"/>
                <w:color w:val="auto"/>
                <w:szCs w:val="21"/>
                <w:highlight w:val="none"/>
              </w:rPr>
            </w:pPr>
            <w:r>
              <w:rPr>
                <w:rFonts w:hint="eastAsia" w:ascii="宋体" w:hAnsi="宋体" w:cs="宋体"/>
                <w:color w:val="auto"/>
                <w:szCs w:val="21"/>
                <w:highlight w:val="none"/>
              </w:rPr>
              <w:t>2.</w:t>
            </w:r>
            <w:r>
              <w:rPr>
                <w:rFonts w:hint="eastAsia" w:ascii="宋体" w:hAnsi="宋体" w:eastAsia="宋体" w:cs="宋体"/>
                <w:color w:val="auto"/>
                <w:kern w:val="2"/>
                <w:sz w:val="21"/>
                <w:szCs w:val="21"/>
                <w:highlight w:val="none"/>
                <w:lang w:val="en-US" w:eastAsia="zh-CN" w:bidi="ar-SA"/>
              </w:rPr>
              <w:t>投标文件缺失某项评审因素的，该项计零分</w:t>
            </w:r>
            <w:r>
              <w:rPr>
                <w:rFonts w:hint="eastAsia" w:ascii="宋体" w:hAnsi="宋体" w:cs="宋体"/>
                <w:color w:val="auto"/>
                <w:szCs w:val="21"/>
                <w:highlight w:val="none"/>
              </w:rPr>
              <w:t>。</w:t>
            </w:r>
          </w:p>
        </w:tc>
      </w:tr>
      <w:tr w14:paraId="33179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restart"/>
            <w:tcBorders>
              <w:tl2br w:val="nil"/>
              <w:tr2bl w:val="nil"/>
            </w:tcBorders>
            <w:vAlign w:val="center"/>
          </w:tcPr>
          <w:p w14:paraId="4030B3D5">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w:t>
            </w:r>
          </w:p>
          <w:p w14:paraId="65F202B5">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（3）</w:t>
            </w:r>
          </w:p>
        </w:tc>
        <w:tc>
          <w:tcPr>
            <w:tcW w:w="4548" w:type="pct"/>
            <w:gridSpan w:val="5"/>
            <w:tcBorders>
              <w:tl2br w:val="nil"/>
              <w:tr2bl w:val="nil"/>
            </w:tcBorders>
            <w:shd w:val="clear" w:color="auto" w:fill="auto"/>
            <w:vAlign w:val="center"/>
          </w:tcPr>
          <w:p w14:paraId="635F3428">
            <w:pPr>
              <w:keepNext w:val="0"/>
              <w:keepLines w:val="0"/>
              <w:pageBreakBefore w:val="0"/>
              <w:kinsoku/>
              <w:topLinePunct w:val="0"/>
              <w:bidi w:val="0"/>
              <w:spacing w:line="240" w:lineRule="auto"/>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报价部分详细评分标准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30分</w:t>
            </w:r>
            <w:r>
              <w:rPr>
                <w:rFonts w:hint="eastAsia" w:ascii="宋体" w:hAnsi="宋体" w:eastAsia="宋体" w:cs="宋体"/>
                <w:color w:val="auto"/>
                <w:szCs w:val="21"/>
                <w:highlight w:val="none"/>
                <w:lang w:eastAsia="zh-CN"/>
              </w:rPr>
              <w:t>）</w:t>
            </w:r>
          </w:p>
        </w:tc>
      </w:tr>
      <w:tr w14:paraId="76D20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04BAADF3">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4548" w:type="pct"/>
            <w:gridSpan w:val="5"/>
            <w:tcBorders>
              <w:tl2br w:val="nil"/>
              <w:tr2bl w:val="nil"/>
            </w:tcBorders>
            <w:shd w:val="clear" w:color="auto" w:fill="auto"/>
            <w:vAlign w:val="center"/>
          </w:tcPr>
          <w:p w14:paraId="6CD817F8">
            <w:pPr>
              <w:widowControl/>
              <w:spacing w:line="240" w:lineRule="auto"/>
              <w:jc w:val="left"/>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1.计算平均价格</w:t>
            </w:r>
          </w:p>
          <w:p w14:paraId="6C340C19">
            <w:pPr>
              <w:widowControl/>
              <w:spacing w:line="240" w:lineRule="auto"/>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1.1.计算经济评审阶段合格投标人的投标报价算术平均值，得出Pa。</w:t>
            </w:r>
          </w:p>
          <w:p w14:paraId="09F4C13A">
            <w:pPr>
              <w:widowControl/>
              <w:spacing w:line="240" w:lineRule="auto"/>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1.1.1.如合格投标人在5家及以上，则先去掉一个最高投标报价和一个最低投标报价，对剩余合格投标人的投标报价进行算术平均。</w:t>
            </w:r>
          </w:p>
          <w:p w14:paraId="3B1F2C86">
            <w:pPr>
              <w:widowControl/>
              <w:spacing w:line="240" w:lineRule="auto"/>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1.1.2.如合格投标人不足5家，则直接对所有合格投标人的投标报价进行算术平均。</w:t>
            </w:r>
          </w:p>
          <w:p w14:paraId="6CC5D484">
            <w:pPr>
              <w:widowControl/>
              <w:spacing w:line="240" w:lineRule="auto"/>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1.2.若有合格投标人的投标报价在[Pa×0.85，Pa×1.15]之外，则该投标人不参与第二轮的平均价格计算，重新计算其他投标报价在上述区间内的合格投标人的投标报价算术平均值，得出P。</w:t>
            </w:r>
          </w:p>
          <w:p w14:paraId="3224B20F">
            <w:pPr>
              <w:widowControl/>
              <w:spacing w:line="240" w:lineRule="auto"/>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1.3.若合格投标人的投标报价均在[Pa×0.85，Pa×1.15]之内，则P=Pa。</w:t>
            </w:r>
          </w:p>
          <w:p w14:paraId="15840D44">
            <w:pPr>
              <w:keepNext w:val="0"/>
              <w:keepLines w:val="0"/>
              <w:pageBreakBefore w:val="0"/>
              <w:widowControl/>
              <w:kinsoku/>
              <w:topLinePunct w:val="0"/>
              <w:bidi w:val="0"/>
              <w:spacing w:line="240" w:lineRule="auto"/>
              <w:jc w:val="left"/>
              <w:rPr>
                <w:rFonts w:hint="eastAsia" w:ascii="宋体" w:hAnsi="宋体" w:eastAsia="宋体" w:cs="宋体"/>
                <w:color w:val="auto"/>
                <w:szCs w:val="21"/>
                <w:highlight w:val="none"/>
              </w:rPr>
            </w:pPr>
            <w:r>
              <w:rPr>
                <w:rFonts w:hint="eastAsia" w:ascii="宋体" w:hAnsi="宋体" w:eastAsia="宋体" w:cs="宋体"/>
                <w:bCs/>
                <w:color w:val="auto"/>
                <w:kern w:val="2"/>
                <w:sz w:val="21"/>
                <w:szCs w:val="21"/>
                <w:highlight w:val="none"/>
                <w:lang w:val="en-US" w:eastAsia="zh-CN" w:bidi="ar-SA"/>
              </w:rPr>
              <w:t>1.4.P为最终平均价格。</w:t>
            </w:r>
          </w:p>
        </w:tc>
      </w:tr>
      <w:tr w14:paraId="0CD11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68DA3301">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4548" w:type="pct"/>
            <w:gridSpan w:val="5"/>
            <w:tcBorders>
              <w:tl2br w:val="nil"/>
              <w:tr2bl w:val="nil"/>
            </w:tcBorders>
            <w:shd w:val="clear" w:color="auto" w:fill="auto"/>
            <w:vAlign w:val="center"/>
          </w:tcPr>
          <w:p w14:paraId="411A8CFB">
            <w:pPr>
              <w:widowControl/>
              <w:spacing w:line="240" w:lineRule="auto"/>
              <w:jc w:val="left"/>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2.价格得分计算</w:t>
            </w:r>
          </w:p>
          <w:p w14:paraId="2921DB42">
            <w:pPr>
              <w:widowControl/>
              <w:spacing w:line="240" w:lineRule="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2.1.当Pn＝P时，C=30。</w:t>
            </w:r>
          </w:p>
          <w:p w14:paraId="0521C866">
            <w:pPr>
              <w:widowControl/>
              <w:spacing w:line="240" w:lineRule="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2.2.当Pn＞P，且（Pn－P）/P≤10%时，C＝30－（Pn－P）/P×30。</w:t>
            </w:r>
          </w:p>
          <w:p w14:paraId="7D1A3081">
            <w:pPr>
              <w:widowControl w:val="0"/>
              <w:spacing w:line="240" w:lineRule="auto"/>
              <w:jc w:val="both"/>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2.3.当Pn＞P，且（Pn－P）/P＞10%时，C＝30－（Pn－P）/P×2×30。</w:t>
            </w:r>
          </w:p>
          <w:p w14:paraId="30840C74">
            <w:pPr>
              <w:spacing w:line="240" w:lineRule="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2.4.当Pn＜P时，C＝30－（P－Pn）/P×0.5×30。</w:t>
            </w:r>
          </w:p>
          <w:p w14:paraId="7F5685D7">
            <w:pPr>
              <w:spacing w:line="240" w:lineRule="auto"/>
              <w:rPr>
                <w:rFonts w:hint="eastAsia" w:ascii="宋体" w:hAnsi="宋体" w:eastAsia="宋体" w:cs="宋体"/>
                <w:color w:val="auto"/>
                <w:szCs w:val="21"/>
                <w:highlight w:val="none"/>
              </w:rPr>
            </w:pPr>
            <w:r>
              <w:rPr>
                <w:rFonts w:hint="eastAsia" w:ascii="宋体" w:hAnsi="宋体" w:eastAsia="宋体" w:cs="宋体"/>
                <w:bCs/>
                <w:color w:val="auto"/>
                <w:kern w:val="2"/>
                <w:sz w:val="21"/>
                <w:szCs w:val="21"/>
                <w:highlight w:val="none"/>
                <w:lang w:val="en-US" w:eastAsia="zh-CN" w:bidi="ar-SA"/>
              </w:rPr>
              <w:t>Pn为各投标人的投标报价；C即为投标人的报价部分得分，分值最高为30分。</w:t>
            </w:r>
          </w:p>
        </w:tc>
      </w:tr>
      <w:tr w14:paraId="0C3D4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1" w:type="pct"/>
            <w:vMerge w:val="continue"/>
            <w:tcBorders>
              <w:tl2br w:val="nil"/>
              <w:tr2bl w:val="nil"/>
            </w:tcBorders>
            <w:vAlign w:val="center"/>
          </w:tcPr>
          <w:p w14:paraId="5E185CEB">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4548" w:type="pct"/>
            <w:gridSpan w:val="5"/>
            <w:tcBorders>
              <w:tl2br w:val="nil"/>
              <w:tr2bl w:val="nil"/>
            </w:tcBorders>
            <w:shd w:val="clear" w:color="auto" w:fill="auto"/>
            <w:vAlign w:val="center"/>
          </w:tcPr>
          <w:p w14:paraId="0638AB85">
            <w:pPr>
              <w:widowControl/>
              <w:spacing w:line="240" w:lineRule="auto"/>
              <w:jc w:val="left"/>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3.经济评审说明</w:t>
            </w:r>
          </w:p>
          <w:p w14:paraId="5765A3B1">
            <w:pPr>
              <w:widowControl/>
              <w:spacing w:line="240" w:lineRule="auto"/>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3.1.投标人的投标报价是指</w:t>
            </w:r>
            <w:r>
              <w:rPr>
                <w:rFonts w:hint="eastAsia" w:ascii="宋体" w:hAnsi="宋体" w:cs="宋体"/>
                <w:bCs/>
                <w:color w:val="auto"/>
                <w:kern w:val="2"/>
                <w:sz w:val="21"/>
                <w:szCs w:val="21"/>
                <w:highlight w:val="none"/>
                <w:lang w:val="en-US" w:eastAsia="zh-CN" w:bidi="ar-SA"/>
              </w:rPr>
              <w:t>投标</w:t>
            </w:r>
            <w:r>
              <w:rPr>
                <w:rFonts w:hint="eastAsia" w:ascii="宋体" w:hAnsi="宋体" w:eastAsia="宋体" w:cs="宋体"/>
                <w:bCs/>
                <w:color w:val="auto"/>
                <w:kern w:val="2"/>
                <w:sz w:val="21"/>
                <w:szCs w:val="21"/>
                <w:highlight w:val="none"/>
                <w:lang w:val="en-US" w:eastAsia="zh-CN" w:bidi="ar-SA"/>
              </w:rPr>
              <w:t>文件中的含税投标总报价。</w:t>
            </w:r>
          </w:p>
          <w:p w14:paraId="609AF991">
            <w:pPr>
              <w:widowControl/>
              <w:spacing w:line="240" w:lineRule="auto"/>
              <w:jc w:val="left"/>
              <w:rPr>
                <w:rFonts w:hint="eastAsia" w:ascii="宋体" w:hAnsi="宋体" w:eastAsia="宋体" w:cs="宋体"/>
                <w:color w:val="auto"/>
                <w:szCs w:val="21"/>
                <w:highlight w:val="none"/>
              </w:rPr>
            </w:pPr>
            <w:r>
              <w:rPr>
                <w:rFonts w:hint="eastAsia" w:ascii="宋体" w:hAnsi="宋体" w:eastAsia="宋体" w:cs="宋体"/>
                <w:bCs/>
                <w:color w:val="auto"/>
                <w:kern w:val="2"/>
                <w:sz w:val="21"/>
                <w:szCs w:val="21"/>
                <w:highlight w:val="none"/>
                <w:lang w:val="en-US" w:eastAsia="zh-CN" w:bidi="ar-SA"/>
              </w:rPr>
              <w:t>3.2.经济评审以人民币元为单位，价格部分得分保留小数点后两位，小数点后第三位“四舍五入”。</w:t>
            </w:r>
          </w:p>
        </w:tc>
      </w:tr>
    </w:tbl>
    <w:p w14:paraId="20DFB424">
      <w:pPr>
        <w:wordWrap/>
        <w:spacing w:line="240" w:lineRule="auto"/>
        <w:ind w:firstLine="0"/>
        <w:rPr>
          <w:rFonts w:hint="eastAsia" w:ascii="宋体" w:hAnsi="宋体" w:cs="宋体"/>
          <w:b/>
          <w:color w:val="auto"/>
          <w:szCs w:val="21"/>
          <w:highlight w:val="none"/>
        </w:rPr>
      </w:pPr>
      <w:r>
        <w:rPr>
          <w:rFonts w:hint="eastAsia" w:ascii="宋体" w:hAnsi="宋体" w:cs="宋体"/>
          <w:b/>
          <w:color w:val="auto"/>
          <w:szCs w:val="21"/>
          <w:highlight w:val="none"/>
        </w:rPr>
        <w:br w:type="page"/>
      </w:r>
    </w:p>
    <w:p w14:paraId="55E50CC1">
      <w:pPr>
        <w:wordWrap/>
        <w:spacing w:line="240" w:lineRule="auto"/>
        <w:jc w:val="center"/>
        <w:outlineLvl w:val="1"/>
        <w:rPr>
          <w:rFonts w:hint="eastAsia" w:ascii="黑体" w:hAnsi="黑体" w:eastAsia="黑体" w:cs="黑体"/>
          <w:b/>
          <w:bCs/>
          <w:snapToGrid/>
          <w:color w:val="auto"/>
          <w:kern w:val="2"/>
          <w:sz w:val="32"/>
          <w:szCs w:val="32"/>
          <w:highlight w:val="none"/>
          <w:lang w:eastAsia="zh-CN"/>
        </w:rPr>
      </w:pPr>
      <w:r>
        <w:rPr>
          <w:rFonts w:hint="eastAsia" w:ascii="黑体" w:hAnsi="黑体" w:eastAsia="黑体" w:cs="黑体"/>
          <w:b/>
          <w:bCs/>
          <w:snapToGrid/>
          <w:color w:val="auto"/>
          <w:kern w:val="2"/>
          <w:sz w:val="32"/>
          <w:szCs w:val="32"/>
          <w:highlight w:val="none"/>
          <w:lang w:eastAsia="zh-CN"/>
        </w:rPr>
        <w:t>二</w:t>
      </w:r>
      <w:r>
        <w:rPr>
          <w:rFonts w:hint="eastAsia" w:ascii="黑体" w:hAnsi="黑体" w:eastAsia="黑体" w:cs="黑体"/>
          <w:b/>
          <w:bCs/>
          <w:snapToGrid/>
          <w:color w:val="auto"/>
          <w:kern w:val="2"/>
          <w:sz w:val="32"/>
          <w:szCs w:val="32"/>
          <w:highlight w:val="none"/>
          <w:lang w:val="en-US" w:eastAsia="zh-CN"/>
        </w:rPr>
        <w:t>标段：食堂物资供应（干货商品类）</w:t>
      </w:r>
      <w:r>
        <w:rPr>
          <w:rFonts w:hint="eastAsia" w:ascii="黑体" w:hAnsi="黑体" w:eastAsia="黑体" w:cs="黑体"/>
          <w:b/>
          <w:bCs/>
          <w:snapToGrid/>
          <w:color w:val="auto"/>
          <w:kern w:val="2"/>
          <w:sz w:val="32"/>
          <w:szCs w:val="32"/>
          <w:highlight w:val="none"/>
        </w:rPr>
        <w:t>评标办法前附表</w:t>
      </w:r>
    </w:p>
    <w:tbl>
      <w:tblPr>
        <w:tblStyle w:val="64"/>
        <w:tblW w:w="49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0"/>
        <w:gridCol w:w="1040"/>
        <w:gridCol w:w="1468"/>
        <w:gridCol w:w="1233"/>
        <w:gridCol w:w="5223"/>
      </w:tblGrid>
      <w:tr w14:paraId="0B8E5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tcBorders>
              <w:tl2br w:val="nil"/>
              <w:tr2bl w:val="nil"/>
            </w:tcBorders>
            <w:vAlign w:val="center"/>
          </w:tcPr>
          <w:p w14:paraId="68703FE0">
            <w:pPr>
              <w:keepNext w:val="0"/>
              <w:keepLines w:val="0"/>
              <w:pageBreakBefore w:val="0"/>
              <w:kinsoku/>
              <w:wordWrap w:val="0"/>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条款号</w:t>
            </w:r>
          </w:p>
        </w:tc>
        <w:tc>
          <w:tcPr>
            <w:tcW w:w="1896" w:type="pct"/>
            <w:gridSpan w:val="3"/>
            <w:tcBorders>
              <w:tl2br w:val="nil"/>
              <w:tr2bl w:val="nil"/>
            </w:tcBorders>
            <w:vAlign w:val="center"/>
          </w:tcPr>
          <w:p w14:paraId="31801E61">
            <w:pPr>
              <w:keepNext w:val="0"/>
              <w:keepLines w:val="0"/>
              <w:pageBreakBefore w:val="0"/>
              <w:kinsoku/>
              <w:wordWrap w:val="0"/>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评审因素</w:t>
            </w:r>
          </w:p>
        </w:tc>
        <w:tc>
          <w:tcPr>
            <w:tcW w:w="2646" w:type="pct"/>
            <w:tcBorders>
              <w:tl2br w:val="nil"/>
              <w:tr2bl w:val="nil"/>
            </w:tcBorders>
            <w:vAlign w:val="center"/>
          </w:tcPr>
          <w:p w14:paraId="7EC3EC63">
            <w:pPr>
              <w:keepNext w:val="0"/>
              <w:keepLines w:val="0"/>
              <w:pageBreakBefore w:val="0"/>
              <w:kinsoku/>
              <w:wordWrap w:val="0"/>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评审标准</w:t>
            </w:r>
          </w:p>
        </w:tc>
      </w:tr>
      <w:tr w14:paraId="1A4B7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restart"/>
            <w:tcBorders>
              <w:tl2br w:val="nil"/>
              <w:tr2bl w:val="nil"/>
            </w:tcBorders>
            <w:vAlign w:val="center"/>
          </w:tcPr>
          <w:p w14:paraId="2252E992">
            <w:pPr>
              <w:keepNext w:val="0"/>
              <w:keepLines w:val="0"/>
              <w:pageBreakBefore w:val="0"/>
              <w:kinsoku/>
              <w:topLinePunct w:val="0"/>
              <w:bidi w:val="0"/>
              <w:spacing w:line="240" w:lineRule="auto"/>
              <w:jc w:val="center"/>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2.1.1</w:t>
            </w:r>
          </w:p>
        </w:tc>
        <w:tc>
          <w:tcPr>
            <w:tcW w:w="4543" w:type="pct"/>
            <w:gridSpan w:val="4"/>
            <w:tcBorders>
              <w:tl2br w:val="nil"/>
              <w:tr2bl w:val="nil"/>
            </w:tcBorders>
            <w:vAlign w:val="center"/>
          </w:tcPr>
          <w:p w14:paraId="487F6504">
            <w:pPr>
              <w:keepNext w:val="0"/>
              <w:keepLines w:val="0"/>
              <w:pageBreakBefore w:val="0"/>
              <w:kinsoku/>
              <w:topLinePunct w:val="0"/>
              <w:bidi w:val="0"/>
              <w:spacing w:line="240" w:lineRule="auto"/>
              <w:jc w:val="center"/>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资格评审标准</w:t>
            </w:r>
          </w:p>
        </w:tc>
      </w:tr>
      <w:tr w14:paraId="07A98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65674FD1">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527" w:type="pct"/>
            <w:vMerge w:val="restart"/>
            <w:tcBorders>
              <w:tl2br w:val="nil"/>
              <w:tr2bl w:val="nil"/>
            </w:tcBorders>
            <w:vAlign w:val="center"/>
          </w:tcPr>
          <w:p w14:paraId="2A141025">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企业</w:t>
            </w:r>
          </w:p>
        </w:tc>
        <w:tc>
          <w:tcPr>
            <w:tcW w:w="1368" w:type="pct"/>
            <w:gridSpan w:val="2"/>
            <w:tcBorders>
              <w:tl2br w:val="nil"/>
              <w:tr2bl w:val="nil"/>
            </w:tcBorders>
            <w:vAlign w:val="center"/>
          </w:tcPr>
          <w:p w14:paraId="090C1541">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营业执照（或事业单位法人证书）</w:t>
            </w:r>
          </w:p>
        </w:tc>
        <w:tc>
          <w:tcPr>
            <w:tcW w:w="2646" w:type="pct"/>
            <w:vMerge w:val="restart"/>
            <w:tcBorders>
              <w:tl2br w:val="nil"/>
              <w:tr2bl w:val="nil"/>
            </w:tcBorders>
            <w:vAlign w:val="center"/>
          </w:tcPr>
          <w:p w14:paraId="7A76AFC7">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符合第二章“投标人须知”第1.4.1项和第3.5项的规定。</w:t>
            </w:r>
          </w:p>
        </w:tc>
      </w:tr>
      <w:tr w14:paraId="33204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5C1A4789">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527" w:type="pct"/>
            <w:vMerge w:val="continue"/>
            <w:tcBorders>
              <w:tl2br w:val="nil"/>
              <w:tr2bl w:val="nil"/>
            </w:tcBorders>
            <w:vAlign w:val="center"/>
          </w:tcPr>
          <w:p w14:paraId="0D5BB0D3">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368" w:type="pct"/>
            <w:gridSpan w:val="2"/>
            <w:tcBorders>
              <w:tl2br w:val="nil"/>
              <w:tr2bl w:val="nil"/>
            </w:tcBorders>
            <w:vAlign w:val="center"/>
          </w:tcPr>
          <w:p w14:paraId="309E2CE1">
            <w:pPr>
              <w:keepNext w:val="0"/>
              <w:keepLines w:val="0"/>
              <w:pageBreakBefore w:val="0"/>
              <w:kinsoku/>
              <w:topLinePunct w:val="0"/>
              <w:bidi w:val="0"/>
              <w:spacing w:line="240" w:lineRule="auto"/>
              <w:jc w:val="center"/>
              <w:rPr>
                <w:rFonts w:hint="eastAsia" w:ascii="宋体" w:hAnsi="宋体" w:eastAsia="宋体" w:cs="宋体"/>
                <w:color w:val="auto"/>
                <w:highlight w:val="none"/>
                <w:lang w:eastAsia="zh-CN"/>
              </w:rPr>
            </w:pPr>
            <w:r>
              <w:rPr>
                <w:rFonts w:hint="eastAsia" w:ascii="宋体" w:hAnsi="宋体" w:eastAsia="宋体" w:cs="宋体"/>
                <w:color w:val="auto"/>
                <w:szCs w:val="21"/>
                <w:highlight w:val="none"/>
              </w:rPr>
              <w:t>资质证书</w:t>
            </w:r>
            <w:r>
              <w:rPr>
                <w:rFonts w:hint="eastAsia" w:ascii="宋体" w:hAnsi="宋体" w:cs="宋体"/>
                <w:color w:val="auto"/>
                <w:szCs w:val="21"/>
                <w:highlight w:val="none"/>
                <w:lang w:eastAsia="zh-CN"/>
              </w:rPr>
              <w:t>（如有）</w:t>
            </w:r>
          </w:p>
        </w:tc>
        <w:tc>
          <w:tcPr>
            <w:tcW w:w="2646" w:type="pct"/>
            <w:vMerge w:val="continue"/>
            <w:tcBorders>
              <w:tl2br w:val="nil"/>
              <w:tr2bl w:val="nil"/>
            </w:tcBorders>
            <w:vAlign w:val="center"/>
          </w:tcPr>
          <w:p w14:paraId="48D64480">
            <w:pPr>
              <w:keepNext w:val="0"/>
              <w:keepLines w:val="0"/>
              <w:pageBreakBefore w:val="0"/>
              <w:kinsoku/>
              <w:topLinePunct w:val="0"/>
              <w:bidi w:val="0"/>
              <w:spacing w:line="240" w:lineRule="auto"/>
              <w:rPr>
                <w:rFonts w:hint="eastAsia" w:ascii="宋体" w:hAnsi="宋体" w:eastAsia="宋体" w:cs="宋体"/>
                <w:color w:val="auto"/>
                <w:szCs w:val="21"/>
                <w:highlight w:val="none"/>
              </w:rPr>
            </w:pPr>
          </w:p>
        </w:tc>
      </w:tr>
      <w:tr w14:paraId="13B89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0D4E8F56">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527" w:type="pct"/>
            <w:vMerge w:val="continue"/>
            <w:tcBorders>
              <w:tl2br w:val="nil"/>
              <w:tr2bl w:val="nil"/>
            </w:tcBorders>
            <w:vAlign w:val="center"/>
          </w:tcPr>
          <w:p w14:paraId="389FA621">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368" w:type="pct"/>
            <w:gridSpan w:val="2"/>
            <w:tcBorders>
              <w:tl2br w:val="nil"/>
              <w:tr2bl w:val="nil"/>
            </w:tcBorders>
            <w:vAlign w:val="center"/>
          </w:tcPr>
          <w:p w14:paraId="77AF8384">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业绩要求</w:t>
            </w:r>
          </w:p>
        </w:tc>
        <w:tc>
          <w:tcPr>
            <w:tcW w:w="2646" w:type="pct"/>
            <w:vMerge w:val="continue"/>
            <w:tcBorders>
              <w:tl2br w:val="nil"/>
              <w:tr2bl w:val="nil"/>
            </w:tcBorders>
            <w:vAlign w:val="center"/>
          </w:tcPr>
          <w:p w14:paraId="7A9D63F3">
            <w:pPr>
              <w:keepNext w:val="0"/>
              <w:keepLines w:val="0"/>
              <w:pageBreakBefore w:val="0"/>
              <w:kinsoku/>
              <w:topLinePunct w:val="0"/>
              <w:bidi w:val="0"/>
              <w:spacing w:line="240" w:lineRule="auto"/>
              <w:rPr>
                <w:rFonts w:hint="eastAsia" w:ascii="宋体" w:hAnsi="宋体" w:eastAsia="宋体" w:cs="宋体"/>
                <w:color w:val="auto"/>
                <w:szCs w:val="21"/>
                <w:highlight w:val="none"/>
              </w:rPr>
            </w:pPr>
          </w:p>
        </w:tc>
      </w:tr>
      <w:tr w14:paraId="46E26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42094230">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896" w:type="pct"/>
            <w:gridSpan w:val="3"/>
            <w:tcBorders>
              <w:tl2br w:val="nil"/>
              <w:tr2bl w:val="nil"/>
            </w:tcBorders>
            <w:vAlign w:val="center"/>
          </w:tcPr>
          <w:p w14:paraId="4FF140B0">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人员要求（如有）</w:t>
            </w:r>
          </w:p>
        </w:tc>
        <w:tc>
          <w:tcPr>
            <w:tcW w:w="2646" w:type="pct"/>
            <w:vMerge w:val="continue"/>
            <w:tcBorders>
              <w:tl2br w:val="nil"/>
              <w:tr2bl w:val="nil"/>
            </w:tcBorders>
            <w:vAlign w:val="center"/>
          </w:tcPr>
          <w:p w14:paraId="35A6DE79">
            <w:pPr>
              <w:keepNext w:val="0"/>
              <w:keepLines w:val="0"/>
              <w:pageBreakBefore w:val="0"/>
              <w:kinsoku/>
              <w:topLinePunct w:val="0"/>
              <w:bidi w:val="0"/>
              <w:spacing w:line="240" w:lineRule="auto"/>
              <w:rPr>
                <w:rFonts w:hint="eastAsia" w:ascii="宋体" w:hAnsi="宋体" w:eastAsia="宋体" w:cs="宋体"/>
                <w:color w:val="auto"/>
                <w:szCs w:val="21"/>
                <w:highlight w:val="none"/>
              </w:rPr>
            </w:pPr>
          </w:p>
        </w:tc>
      </w:tr>
      <w:tr w14:paraId="53666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7ED86FB1">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896" w:type="pct"/>
            <w:gridSpan w:val="3"/>
            <w:tcBorders>
              <w:tl2br w:val="nil"/>
              <w:tr2bl w:val="nil"/>
            </w:tcBorders>
            <w:vAlign w:val="center"/>
          </w:tcPr>
          <w:p w14:paraId="0B388976">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法定代表人身份证明（如有）</w:t>
            </w:r>
          </w:p>
        </w:tc>
        <w:tc>
          <w:tcPr>
            <w:tcW w:w="2646" w:type="pct"/>
            <w:vMerge w:val="continue"/>
            <w:tcBorders>
              <w:tl2br w:val="nil"/>
              <w:tr2bl w:val="nil"/>
            </w:tcBorders>
            <w:vAlign w:val="center"/>
          </w:tcPr>
          <w:p w14:paraId="407BC984">
            <w:pPr>
              <w:keepNext w:val="0"/>
              <w:keepLines w:val="0"/>
              <w:pageBreakBefore w:val="0"/>
              <w:kinsoku/>
              <w:topLinePunct w:val="0"/>
              <w:bidi w:val="0"/>
              <w:spacing w:line="240" w:lineRule="auto"/>
              <w:rPr>
                <w:rFonts w:hint="eastAsia" w:ascii="宋体" w:hAnsi="宋体" w:eastAsia="宋体" w:cs="宋体"/>
                <w:color w:val="auto"/>
                <w:szCs w:val="21"/>
                <w:highlight w:val="none"/>
              </w:rPr>
            </w:pPr>
          </w:p>
        </w:tc>
      </w:tr>
      <w:tr w14:paraId="756A5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5AFBC228">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896" w:type="pct"/>
            <w:gridSpan w:val="3"/>
            <w:tcBorders>
              <w:tl2br w:val="nil"/>
              <w:tr2bl w:val="nil"/>
            </w:tcBorders>
            <w:vAlign w:val="center"/>
          </w:tcPr>
          <w:p w14:paraId="5735D95F">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授权委托书（如有）</w:t>
            </w:r>
          </w:p>
        </w:tc>
        <w:tc>
          <w:tcPr>
            <w:tcW w:w="2646" w:type="pct"/>
            <w:vMerge w:val="continue"/>
            <w:tcBorders>
              <w:tl2br w:val="nil"/>
              <w:tr2bl w:val="nil"/>
            </w:tcBorders>
            <w:vAlign w:val="center"/>
          </w:tcPr>
          <w:p w14:paraId="543B998F">
            <w:pPr>
              <w:keepNext w:val="0"/>
              <w:keepLines w:val="0"/>
              <w:pageBreakBefore w:val="0"/>
              <w:kinsoku/>
              <w:topLinePunct w:val="0"/>
              <w:bidi w:val="0"/>
              <w:spacing w:line="240" w:lineRule="auto"/>
              <w:rPr>
                <w:rFonts w:hint="eastAsia" w:ascii="宋体" w:hAnsi="宋体" w:eastAsia="宋体" w:cs="宋体"/>
                <w:color w:val="auto"/>
                <w:szCs w:val="21"/>
                <w:highlight w:val="none"/>
              </w:rPr>
            </w:pPr>
          </w:p>
        </w:tc>
      </w:tr>
      <w:tr w14:paraId="5B034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297AB4CD">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896" w:type="pct"/>
            <w:gridSpan w:val="3"/>
            <w:tcBorders>
              <w:tl2br w:val="nil"/>
              <w:tr2bl w:val="nil"/>
            </w:tcBorders>
            <w:vAlign w:val="center"/>
          </w:tcPr>
          <w:p w14:paraId="234ACA7C">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投标保证金</w:t>
            </w:r>
          </w:p>
        </w:tc>
        <w:tc>
          <w:tcPr>
            <w:tcW w:w="2646" w:type="pct"/>
            <w:tcBorders>
              <w:tl2br w:val="nil"/>
              <w:tr2bl w:val="nil"/>
            </w:tcBorders>
            <w:vAlign w:val="center"/>
          </w:tcPr>
          <w:p w14:paraId="0C8DA00E">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符合第二章“投标人须知”第3.4.1项规定</w:t>
            </w:r>
          </w:p>
        </w:tc>
      </w:tr>
      <w:tr w14:paraId="7AF33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4EA0C319">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896" w:type="pct"/>
            <w:gridSpan w:val="3"/>
            <w:tcBorders>
              <w:tl2br w:val="nil"/>
              <w:tr2bl w:val="nil"/>
            </w:tcBorders>
            <w:vAlign w:val="center"/>
          </w:tcPr>
          <w:p w14:paraId="5CF7AD21">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不存在禁止投标的情形</w:t>
            </w:r>
          </w:p>
        </w:tc>
        <w:tc>
          <w:tcPr>
            <w:tcW w:w="2646" w:type="pct"/>
            <w:tcBorders>
              <w:tl2br w:val="nil"/>
              <w:tr2bl w:val="nil"/>
            </w:tcBorders>
            <w:vAlign w:val="center"/>
          </w:tcPr>
          <w:p w14:paraId="3E02A0D2">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不存在第二章“投标人须知”第1.4.</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rPr>
              <w:t>项规定的任何一种情形，以投标函为准（格式见第六章“投标文件格式”一《投标函》）。</w:t>
            </w:r>
          </w:p>
          <w:p w14:paraId="08385999">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招标人有权对承诺函的承诺事项进行核查，如存在禁止投标的情形，将否决其投标，并按相关法律法规进行处理。</w:t>
            </w:r>
          </w:p>
        </w:tc>
      </w:tr>
      <w:tr w14:paraId="6E854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21BD900A">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4543" w:type="pct"/>
            <w:gridSpan w:val="4"/>
            <w:tcBorders>
              <w:tl2br w:val="nil"/>
              <w:tr2bl w:val="nil"/>
            </w:tcBorders>
            <w:vAlign w:val="center"/>
          </w:tcPr>
          <w:p w14:paraId="6C25F9F7">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没有发生被长沙</w:t>
            </w:r>
            <w:r>
              <w:rPr>
                <w:rFonts w:hint="eastAsia" w:ascii="宋体" w:hAnsi="宋体" w:eastAsia="宋体" w:cs="宋体"/>
                <w:color w:val="auto"/>
                <w:szCs w:val="21"/>
                <w:highlight w:val="none"/>
                <w:lang w:val="en-US" w:eastAsia="zh-CN"/>
              </w:rPr>
              <w:t>市</w:t>
            </w:r>
            <w:r>
              <w:rPr>
                <w:rFonts w:hint="eastAsia" w:ascii="宋体" w:hAnsi="宋体" w:eastAsia="宋体" w:cs="宋体"/>
                <w:color w:val="auto"/>
                <w:szCs w:val="21"/>
                <w:highlight w:val="none"/>
              </w:rPr>
              <w:t>轨道交通集团</w:t>
            </w:r>
            <w:r>
              <w:rPr>
                <w:rFonts w:hint="eastAsia" w:ascii="宋体" w:hAnsi="宋体" w:eastAsia="宋体" w:cs="宋体"/>
                <w:color w:val="auto"/>
                <w:szCs w:val="21"/>
                <w:highlight w:val="none"/>
                <w:lang w:val="en-US" w:eastAsia="zh-CN"/>
              </w:rPr>
              <w:t>有限公司</w:t>
            </w:r>
            <w:r>
              <w:rPr>
                <w:rFonts w:hint="eastAsia" w:ascii="宋体" w:hAnsi="宋体" w:eastAsia="宋体" w:cs="宋体"/>
                <w:color w:val="auto"/>
                <w:szCs w:val="21"/>
                <w:highlight w:val="none"/>
              </w:rPr>
              <w:t>或长沙穗城轨道交通有限公司函告禁止在一定期限内参与轨道项目投标的单位按函告内容执行。如有，则以招标人提供的函件内容为准。</w:t>
            </w:r>
          </w:p>
        </w:tc>
      </w:tr>
      <w:tr w14:paraId="36609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restart"/>
            <w:tcBorders>
              <w:tl2br w:val="nil"/>
              <w:tr2bl w:val="nil"/>
            </w:tcBorders>
            <w:vAlign w:val="center"/>
          </w:tcPr>
          <w:p w14:paraId="56C31EE0">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2.1.2</w:t>
            </w:r>
          </w:p>
        </w:tc>
        <w:tc>
          <w:tcPr>
            <w:tcW w:w="4543" w:type="pct"/>
            <w:gridSpan w:val="4"/>
            <w:tcBorders>
              <w:tl2br w:val="nil"/>
              <w:tr2bl w:val="nil"/>
            </w:tcBorders>
            <w:vAlign w:val="center"/>
          </w:tcPr>
          <w:p w14:paraId="70B6FA0E">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符合性评审标准</w:t>
            </w:r>
          </w:p>
        </w:tc>
      </w:tr>
      <w:tr w14:paraId="22C07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18A0C6C5">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896" w:type="pct"/>
            <w:gridSpan w:val="3"/>
            <w:tcBorders>
              <w:tl2br w:val="nil"/>
              <w:tr2bl w:val="nil"/>
            </w:tcBorders>
            <w:vAlign w:val="center"/>
          </w:tcPr>
          <w:p w14:paraId="7124A58C">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p>
        </w:tc>
        <w:tc>
          <w:tcPr>
            <w:tcW w:w="2646" w:type="pct"/>
            <w:tcBorders>
              <w:tl2br w:val="nil"/>
              <w:tr2bl w:val="nil"/>
            </w:tcBorders>
            <w:vAlign w:val="center"/>
          </w:tcPr>
          <w:p w14:paraId="1809C198">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与营业执照（或事业单位法人证书）、资质证书一致</w:t>
            </w:r>
          </w:p>
        </w:tc>
      </w:tr>
      <w:tr w14:paraId="43E4C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233266F6">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896" w:type="pct"/>
            <w:gridSpan w:val="3"/>
            <w:tcBorders>
              <w:tl2br w:val="nil"/>
              <w:tr2bl w:val="nil"/>
            </w:tcBorders>
            <w:vAlign w:val="center"/>
          </w:tcPr>
          <w:p w14:paraId="3A319155">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投标文件签字盖章</w:t>
            </w:r>
          </w:p>
        </w:tc>
        <w:tc>
          <w:tcPr>
            <w:tcW w:w="2646" w:type="pct"/>
            <w:tcBorders>
              <w:tl2br w:val="nil"/>
              <w:tr2bl w:val="nil"/>
            </w:tcBorders>
            <w:vAlign w:val="center"/>
          </w:tcPr>
          <w:p w14:paraId="00E16553">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按照第六章“投标文件格式”的要求签字及加盖投标人单位公章。</w:t>
            </w:r>
          </w:p>
        </w:tc>
      </w:tr>
      <w:tr w14:paraId="4ED7E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4F7A63CC">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896" w:type="pct"/>
            <w:gridSpan w:val="3"/>
            <w:tcBorders>
              <w:tl2br w:val="nil"/>
              <w:tr2bl w:val="nil"/>
            </w:tcBorders>
            <w:vAlign w:val="center"/>
          </w:tcPr>
          <w:p w14:paraId="1CC19A2E">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联合体投标人</w:t>
            </w:r>
          </w:p>
        </w:tc>
        <w:tc>
          <w:tcPr>
            <w:tcW w:w="2646" w:type="pct"/>
            <w:tcBorders>
              <w:tl2br w:val="nil"/>
              <w:tr2bl w:val="nil"/>
            </w:tcBorders>
            <w:vAlign w:val="center"/>
          </w:tcPr>
          <w:p w14:paraId="6C99B4BC">
            <w:pPr>
              <w:keepNext w:val="0"/>
              <w:keepLines w:val="0"/>
              <w:pageBreakBefore w:val="0"/>
              <w:kinsoku/>
              <w:topLinePunct w:val="0"/>
              <w:bidi w:val="0"/>
              <w:spacing w:line="24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本项目不接受联合体投标。</w:t>
            </w:r>
          </w:p>
        </w:tc>
      </w:tr>
      <w:tr w14:paraId="4CFEA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5A1DB426">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896" w:type="pct"/>
            <w:gridSpan w:val="3"/>
            <w:tcBorders>
              <w:tl2br w:val="nil"/>
              <w:tr2bl w:val="nil"/>
            </w:tcBorders>
            <w:vAlign w:val="center"/>
          </w:tcPr>
          <w:p w14:paraId="23A372AA">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备选投标方案</w:t>
            </w:r>
          </w:p>
        </w:tc>
        <w:tc>
          <w:tcPr>
            <w:tcW w:w="2646" w:type="pct"/>
            <w:tcBorders>
              <w:tl2br w:val="nil"/>
              <w:tr2bl w:val="nil"/>
            </w:tcBorders>
            <w:vAlign w:val="center"/>
          </w:tcPr>
          <w:p w14:paraId="72C10FDD">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投标人不得提交备选投标方案。</w:t>
            </w:r>
          </w:p>
        </w:tc>
      </w:tr>
      <w:tr w14:paraId="248FC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0FBCD2F0">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896" w:type="pct"/>
            <w:gridSpan w:val="3"/>
            <w:tcBorders>
              <w:tl2br w:val="nil"/>
              <w:tr2bl w:val="nil"/>
            </w:tcBorders>
            <w:vAlign w:val="center"/>
          </w:tcPr>
          <w:p w14:paraId="68DC15A5">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w:t>
            </w:r>
          </w:p>
        </w:tc>
        <w:tc>
          <w:tcPr>
            <w:tcW w:w="2646" w:type="pct"/>
            <w:tcBorders>
              <w:tl2br w:val="nil"/>
              <w:tr2bl w:val="nil"/>
            </w:tcBorders>
            <w:vAlign w:val="center"/>
          </w:tcPr>
          <w:p w14:paraId="11B94369">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符合第二章“投标人须知”第3.2款规定</w:t>
            </w:r>
          </w:p>
        </w:tc>
      </w:tr>
      <w:tr w14:paraId="0DC2B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788C7084">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896" w:type="pct"/>
            <w:gridSpan w:val="3"/>
            <w:tcBorders>
              <w:tl2br w:val="nil"/>
              <w:tr2bl w:val="nil"/>
            </w:tcBorders>
            <w:vAlign w:val="center"/>
          </w:tcPr>
          <w:p w14:paraId="562060AE">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投标内容</w:t>
            </w:r>
          </w:p>
        </w:tc>
        <w:tc>
          <w:tcPr>
            <w:tcW w:w="2646" w:type="pct"/>
            <w:tcBorders>
              <w:tl2br w:val="nil"/>
              <w:tr2bl w:val="nil"/>
            </w:tcBorders>
            <w:vAlign w:val="center"/>
          </w:tcPr>
          <w:p w14:paraId="35459EED">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符合第二章“投标人须知”第1.3.1项规定</w:t>
            </w:r>
          </w:p>
        </w:tc>
      </w:tr>
      <w:tr w14:paraId="7EDB1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238D0041">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896" w:type="pct"/>
            <w:gridSpan w:val="3"/>
            <w:tcBorders>
              <w:tl2br w:val="nil"/>
              <w:tr2bl w:val="nil"/>
            </w:tcBorders>
            <w:vAlign w:val="center"/>
          </w:tcPr>
          <w:p w14:paraId="2BA499E5">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服务期限</w:t>
            </w:r>
          </w:p>
        </w:tc>
        <w:tc>
          <w:tcPr>
            <w:tcW w:w="2646" w:type="pct"/>
            <w:tcBorders>
              <w:tl2br w:val="nil"/>
              <w:tr2bl w:val="nil"/>
            </w:tcBorders>
            <w:vAlign w:val="center"/>
          </w:tcPr>
          <w:p w14:paraId="6329312D">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符合第二章“投标人须知”第1.3.2项规定</w:t>
            </w:r>
          </w:p>
        </w:tc>
      </w:tr>
      <w:tr w14:paraId="497D2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60FC7569">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896" w:type="pct"/>
            <w:gridSpan w:val="3"/>
            <w:tcBorders>
              <w:tl2br w:val="nil"/>
              <w:tr2bl w:val="nil"/>
            </w:tcBorders>
            <w:vAlign w:val="center"/>
          </w:tcPr>
          <w:p w14:paraId="79431C7E">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投标有效期</w:t>
            </w:r>
          </w:p>
        </w:tc>
        <w:tc>
          <w:tcPr>
            <w:tcW w:w="2646" w:type="pct"/>
            <w:tcBorders>
              <w:tl2br w:val="nil"/>
              <w:tr2bl w:val="nil"/>
            </w:tcBorders>
            <w:vAlign w:val="center"/>
          </w:tcPr>
          <w:p w14:paraId="562ED110">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符合第二章“投标人须知”第3.3.1项规定</w:t>
            </w:r>
          </w:p>
        </w:tc>
      </w:tr>
      <w:tr w14:paraId="1F8F0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0A918532">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896" w:type="pct"/>
            <w:gridSpan w:val="3"/>
            <w:tcBorders>
              <w:tl2br w:val="nil"/>
              <w:tr2bl w:val="nil"/>
            </w:tcBorders>
            <w:vAlign w:val="center"/>
          </w:tcPr>
          <w:p w14:paraId="71E75C57">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响应和偏差</w:t>
            </w:r>
          </w:p>
        </w:tc>
        <w:tc>
          <w:tcPr>
            <w:tcW w:w="2646" w:type="pct"/>
            <w:tcBorders>
              <w:tl2br w:val="nil"/>
              <w:tr2bl w:val="nil"/>
            </w:tcBorders>
            <w:vAlign w:val="center"/>
          </w:tcPr>
          <w:p w14:paraId="377D38AB">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符合第二章“投标人须知”第1.10项规定</w:t>
            </w:r>
          </w:p>
        </w:tc>
      </w:tr>
      <w:tr w14:paraId="1F0AC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717DECFE">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896" w:type="pct"/>
            <w:gridSpan w:val="3"/>
            <w:tcBorders>
              <w:tl2br w:val="nil"/>
              <w:tr2bl w:val="nil"/>
            </w:tcBorders>
            <w:vAlign w:val="center"/>
          </w:tcPr>
          <w:p w14:paraId="2F707E8E">
            <w:pPr>
              <w:keepNext w:val="0"/>
              <w:keepLines w:val="0"/>
              <w:pageBreakBefore w:val="0"/>
              <w:kinsoku/>
              <w:wordWrap w:val="0"/>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成本评审</w:t>
            </w:r>
          </w:p>
        </w:tc>
        <w:tc>
          <w:tcPr>
            <w:tcW w:w="2646" w:type="pct"/>
            <w:tcBorders>
              <w:tl2br w:val="nil"/>
              <w:tr2bl w:val="nil"/>
            </w:tcBorders>
            <w:vAlign w:val="center"/>
          </w:tcPr>
          <w:p w14:paraId="65E449FC">
            <w:pPr>
              <w:keepNext w:val="0"/>
              <w:keepLines w:val="0"/>
              <w:pageBreakBefore w:val="0"/>
              <w:kinsoku/>
              <w:wordWrap w:val="0"/>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投标人“开标一览表”的“</w:t>
            </w:r>
            <w:r>
              <w:rPr>
                <w:rFonts w:hint="eastAsia" w:ascii="宋体" w:hAnsi="宋体" w:eastAsia="宋体" w:cs="宋体"/>
                <w:b w:val="0"/>
                <w:bCs w:val="0"/>
                <w:snapToGrid w:val="0"/>
                <w:color w:val="auto"/>
                <w:kern w:val="0"/>
                <w:sz w:val="21"/>
                <w:szCs w:val="21"/>
                <w:highlight w:val="none"/>
                <w:lang w:val="en-US" w:eastAsia="zh-CN" w:bidi="ar"/>
              </w:rPr>
              <w:t>1-优惠率</w:t>
            </w:r>
            <w:r>
              <w:rPr>
                <w:rFonts w:hint="eastAsia" w:ascii="宋体" w:hAnsi="宋体" w:eastAsia="宋体" w:cs="宋体"/>
                <w:color w:val="auto"/>
                <w:szCs w:val="21"/>
                <w:highlight w:val="none"/>
              </w:rPr>
              <w:t>”低于通过资格评审的所有投标人的“开标一览表”的“</w:t>
            </w:r>
            <w:r>
              <w:rPr>
                <w:rFonts w:hint="eastAsia" w:ascii="宋体" w:hAnsi="宋体" w:eastAsia="宋体" w:cs="宋体"/>
                <w:b w:val="0"/>
                <w:bCs w:val="0"/>
                <w:snapToGrid w:val="0"/>
                <w:color w:val="auto"/>
                <w:kern w:val="0"/>
                <w:sz w:val="21"/>
                <w:szCs w:val="21"/>
                <w:highlight w:val="none"/>
                <w:lang w:val="en-US" w:eastAsia="zh-CN" w:bidi="ar"/>
              </w:rPr>
              <w:t>1-优惠率</w:t>
            </w:r>
            <w:r>
              <w:rPr>
                <w:rFonts w:hint="eastAsia" w:ascii="宋体" w:hAnsi="宋体" w:eastAsia="宋体" w:cs="宋体"/>
                <w:color w:val="auto"/>
                <w:szCs w:val="21"/>
                <w:highlight w:val="none"/>
              </w:rPr>
              <w:t>”的算术平均值80%时，由评标委员会启动成本评审工作，以判别该投标人的投标报价是否低于其成本。评标委员会应当要求该投标人作出书面说明并提供相应的证明材料。投标人不能合理说明或者不能提供相应证明材料的，由评标委员会认定该投标人以低于成本报价竞标，并否决其投标。</w:t>
            </w:r>
          </w:p>
        </w:tc>
      </w:tr>
      <w:tr w14:paraId="38412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tcBorders>
              <w:tl2br w:val="nil"/>
              <w:tr2bl w:val="nil"/>
            </w:tcBorders>
            <w:vAlign w:val="center"/>
          </w:tcPr>
          <w:p w14:paraId="2009706D">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条款号</w:t>
            </w:r>
          </w:p>
        </w:tc>
        <w:tc>
          <w:tcPr>
            <w:tcW w:w="1896" w:type="pct"/>
            <w:gridSpan w:val="3"/>
            <w:tcBorders>
              <w:tl2br w:val="nil"/>
              <w:tr2bl w:val="nil"/>
            </w:tcBorders>
            <w:vAlign w:val="center"/>
          </w:tcPr>
          <w:p w14:paraId="27AB28C9">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条款内容</w:t>
            </w:r>
          </w:p>
        </w:tc>
        <w:tc>
          <w:tcPr>
            <w:tcW w:w="2646" w:type="pct"/>
            <w:tcBorders>
              <w:tl2br w:val="nil"/>
              <w:tr2bl w:val="nil"/>
            </w:tcBorders>
            <w:vAlign w:val="center"/>
          </w:tcPr>
          <w:p w14:paraId="0C06E0A2">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编列内容</w:t>
            </w:r>
          </w:p>
        </w:tc>
      </w:tr>
      <w:tr w14:paraId="05ADE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tcBorders>
              <w:tl2br w:val="nil"/>
              <w:tr2bl w:val="nil"/>
            </w:tcBorders>
            <w:vAlign w:val="center"/>
          </w:tcPr>
          <w:p w14:paraId="0A2D073C">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w:t>
            </w:r>
          </w:p>
        </w:tc>
        <w:tc>
          <w:tcPr>
            <w:tcW w:w="1896" w:type="pct"/>
            <w:gridSpan w:val="3"/>
            <w:tcBorders>
              <w:tl2br w:val="nil"/>
              <w:tr2bl w:val="nil"/>
            </w:tcBorders>
            <w:vAlign w:val="center"/>
          </w:tcPr>
          <w:p w14:paraId="12477078">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权重分值</w:t>
            </w:r>
          </w:p>
        </w:tc>
        <w:tc>
          <w:tcPr>
            <w:tcW w:w="2646" w:type="pct"/>
            <w:tcBorders>
              <w:tl2br w:val="nil"/>
              <w:tr2bl w:val="nil"/>
            </w:tcBorders>
            <w:vAlign w:val="center"/>
          </w:tcPr>
          <w:p w14:paraId="7F3E9E67">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商务部分：30分</w:t>
            </w:r>
          </w:p>
          <w:p w14:paraId="539EBB90">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技术部分：40分</w:t>
            </w:r>
          </w:p>
          <w:p w14:paraId="533FBAF7">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报价部分：30分</w:t>
            </w:r>
          </w:p>
        </w:tc>
      </w:tr>
      <w:tr w14:paraId="7C680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tcBorders>
              <w:tl2br w:val="nil"/>
              <w:tr2bl w:val="nil"/>
            </w:tcBorders>
            <w:vAlign w:val="center"/>
          </w:tcPr>
          <w:p w14:paraId="0641F8C3">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条款号</w:t>
            </w:r>
          </w:p>
        </w:tc>
        <w:tc>
          <w:tcPr>
            <w:tcW w:w="1271" w:type="pct"/>
            <w:gridSpan w:val="2"/>
            <w:tcBorders>
              <w:tl2br w:val="nil"/>
              <w:tr2bl w:val="nil"/>
            </w:tcBorders>
            <w:vAlign w:val="center"/>
          </w:tcPr>
          <w:p w14:paraId="00C85F9B">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评审因素</w:t>
            </w:r>
          </w:p>
        </w:tc>
        <w:tc>
          <w:tcPr>
            <w:tcW w:w="624" w:type="pct"/>
            <w:tcBorders>
              <w:tl2br w:val="nil"/>
              <w:tr2bl w:val="nil"/>
            </w:tcBorders>
            <w:vAlign w:val="center"/>
          </w:tcPr>
          <w:p w14:paraId="13F20E0A">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分值</w:t>
            </w:r>
          </w:p>
        </w:tc>
        <w:tc>
          <w:tcPr>
            <w:tcW w:w="2646" w:type="pct"/>
            <w:tcBorders>
              <w:tl2br w:val="nil"/>
              <w:tr2bl w:val="nil"/>
            </w:tcBorders>
            <w:vAlign w:val="center"/>
          </w:tcPr>
          <w:p w14:paraId="0F3C065D">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评审标准</w:t>
            </w:r>
          </w:p>
        </w:tc>
      </w:tr>
      <w:tr w14:paraId="00B23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restart"/>
            <w:tcBorders>
              <w:tl2br w:val="nil"/>
              <w:tr2bl w:val="nil"/>
            </w:tcBorders>
            <w:vAlign w:val="center"/>
          </w:tcPr>
          <w:p w14:paraId="6A30F734">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w:t>
            </w:r>
          </w:p>
          <w:p w14:paraId="4E351426">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（1）</w:t>
            </w:r>
          </w:p>
        </w:tc>
        <w:tc>
          <w:tcPr>
            <w:tcW w:w="4543" w:type="pct"/>
            <w:gridSpan w:val="4"/>
            <w:tcBorders>
              <w:tl2br w:val="nil"/>
              <w:tr2bl w:val="nil"/>
            </w:tcBorders>
            <w:vAlign w:val="center"/>
          </w:tcPr>
          <w:p w14:paraId="38622FB5">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商务部分详细评分标准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30分</w:t>
            </w:r>
            <w:r>
              <w:rPr>
                <w:rFonts w:hint="eastAsia" w:ascii="宋体" w:hAnsi="宋体" w:eastAsia="宋体" w:cs="宋体"/>
                <w:color w:val="auto"/>
                <w:szCs w:val="21"/>
                <w:highlight w:val="none"/>
                <w:lang w:eastAsia="zh-CN"/>
              </w:rPr>
              <w:t>）</w:t>
            </w:r>
          </w:p>
        </w:tc>
      </w:tr>
      <w:tr w14:paraId="5D4F4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23CFF2A3">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1271" w:type="pct"/>
            <w:gridSpan w:val="2"/>
            <w:tcBorders>
              <w:tl2br w:val="nil"/>
              <w:tr2bl w:val="nil"/>
            </w:tcBorders>
            <w:vAlign w:val="center"/>
          </w:tcPr>
          <w:p w14:paraId="6D135F07">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投标文件的编制</w:t>
            </w:r>
          </w:p>
        </w:tc>
        <w:tc>
          <w:tcPr>
            <w:tcW w:w="624" w:type="pct"/>
            <w:tcBorders>
              <w:tl2br w:val="nil"/>
              <w:tr2bl w:val="nil"/>
            </w:tcBorders>
            <w:vAlign w:val="center"/>
          </w:tcPr>
          <w:p w14:paraId="337A4A83">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2646" w:type="pct"/>
            <w:tcBorders>
              <w:tl2br w:val="nil"/>
              <w:tr2bl w:val="nil"/>
            </w:tcBorders>
            <w:vAlign w:val="center"/>
          </w:tcPr>
          <w:p w14:paraId="77FDBC64">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both"/>
              <w:textAlignment w:val="center"/>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版面是否整齐，表述是否清晰，内容是否全面、准确，是否图文并茂，是否出现格式等错误。经评标委员会集体讨论认定一致后，每出现一处问题扣0.2分,扣完为止。</w:t>
            </w:r>
          </w:p>
        </w:tc>
      </w:tr>
      <w:tr w14:paraId="7755B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4EDBD9D3">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1271" w:type="pct"/>
            <w:gridSpan w:val="2"/>
            <w:tcBorders>
              <w:tl2br w:val="nil"/>
              <w:tr2bl w:val="nil"/>
            </w:tcBorders>
            <w:vAlign w:val="center"/>
          </w:tcPr>
          <w:p w14:paraId="5A56364B">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计分业绩</w:t>
            </w:r>
          </w:p>
        </w:tc>
        <w:tc>
          <w:tcPr>
            <w:tcW w:w="624" w:type="pct"/>
            <w:tcBorders>
              <w:tl2br w:val="nil"/>
              <w:tr2bl w:val="nil"/>
            </w:tcBorders>
            <w:vAlign w:val="center"/>
          </w:tcPr>
          <w:p w14:paraId="71D7BF3E">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2646" w:type="pct"/>
            <w:tcBorders>
              <w:tl2br w:val="nil"/>
              <w:tr2bl w:val="nil"/>
            </w:tcBorders>
            <w:vAlign w:val="center"/>
          </w:tcPr>
          <w:p w14:paraId="0A0F66D8">
            <w:pPr>
              <w:keepNext w:val="0"/>
              <w:keepLines w:val="0"/>
              <w:pageBreakBefore w:val="0"/>
              <w:numPr>
                <w:ilvl w:val="-1"/>
                <w:numId w:val="0"/>
              </w:numPr>
              <w:tabs>
                <w:tab w:val="left" w:pos="1260"/>
              </w:tabs>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lang w:val="en-US" w:eastAsia="zh-CN"/>
              </w:rPr>
              <w:t>投</w:t>
            </w:r>
            <w:r>
              <w:rPr>
                <w:rFonts w:hint="eastAsia" w:ascii="宋体" w:hAnsi="宋体" w:eastAsia="宋体" w:cs="宋体"/>
                <w:iCs/>
                <w:color w:val="auto"/>
                <w:sz w:val="21"/>
                <w:szCs w:val="21"/>
                <w:highlight w:val="none"/>
                <w:lang w:eastAsia="zh-CN"/>
              </w:rPr>
              <w:t>标人</w:t>
            </w:r>
            <w:r>
              <w:rPr>
                <w:rFonts w:hint="eastAsia" w:ascii="宋体" w:hAnsi="宋体" w:eastAsia="宋体" w:cs="宋体"/>
                <w:iCs/>
                <w:color w:val="auto"/>
                <w:sz w:val="21"/>
                <w:szCs w:val="21"/>
                <w:highlight w:val="none"/>
              </w:rPr>
              <w:t>每</w:t>
            </w:r>
            <w:r>
              <w:rPr>
                <w:rFonts w:hint="eastAsia" w:ascii="宋体" w:hAnsi="宋体" w:eastAsia="宋体" w:cs="宋体"/>
                <w:iCs/>
                <w:color w:val="auto"/>
                <w:sz w:val="21"/>
                <w:szCs w:val="21"/>
                <w:highlight w:val="none"/>
                <w:lang w:val="en-US" w:eastAsia="zh-CN"/>
              </w:rPr>
              <w:t>具备</w:t>
            </w:r>
            <w:r>
              <w:rPr>
                <w:rFonts w:hint="eastAsia" w:ascii="宋体" w:hAnsi="宋体" w:eastAsia="宋体" w:cs="宋体"/>
                <w:iCs/>
                <w:color w:val="auto"/>
                <w:sz w:val="21"/>
                <w:szCs w:val="21"/>
                <w:highlight w:val="none"/>
              </w:rPr>
              <w:t>1个计分业绩</w:t>
            </w:r>
            <w:r>
              <w:rPr>
                <w:rFonts w:hint="eastAsia" w:ascii="宋体" w:hAnsi="宋体" w:cs="宋体"/>
                <w:iCs/>
                <w:color w:val="auto"/>
                <w:sz w:val="21"/>
                <w:szCs w:val="21"/>
                <w:highlight w:val="none"/>
                <w:lang w:val="en-US" w:eastAsia="zh-CN"/>
              </w:rPr>
              <w:t>计</w:t>
            </w:r>
            <w:r>
              <w:rPr>
                <w:rFonts w:hint="eastAsia" w:ascii="宋体" w:hAnsi="宋体" w:eastAsia="宋体" w:cs="宋体"/>
                <w:iCs/>
                <w:color w:val="auto"/>
                <w:sz w:val="21"/>
                <w:szCs w:val="21"/>
                <w:highlight w:val="none"/>
                <w:lang w:val="en-US" w:eastAsia="zh-CN"/>
              </w:rPr>
              <w:t>3</w:t>
            </w:r>
            <w:r>
              <w:rPr>
                <w:rFonts w:hint="eastAsia" w:ascii="宋体" w:hAnsi="宋体" w:eastAsia="宋体" w:cs="宋体"/>
                <w:iCs/>
                <w:color w:val="auto"/>
                <w:sz w:val="21"/>
                <w:szCs w:val="21"/>
                <w:highlight w:val="none"/>
              </w:rPr>
              <w:t>分，</w:t>
            </w:r>
            <w:r>
              <w:rPr>
                <w:rFonts w:hint="eastAsia" w:ascii="宋体" w:hAnsi="宋体" w:cs="宋体"/>
                <w:color w:val="auto"/>
                <w:kern w:val="0"/>
                <w:szCs w:val="21"/>
                <w:highlight w:val="none"/>
                <w:u w:val="none"/>
                <w:lang w:bidi="ar"/>
              </w:rPr>
              <w:t>本项最高</w:t>
            </w:r>
            <w:r>
              <w:rPr>
                <w:rFonts w:hint="eastAsia" w:ascii="宋体" w:hAnsi="宋体" w:cs="宋体"/>
                <w:color w:val="auto"/>
                <w:kern w:val="0"/>
                <w:szCs w:val="21"/>
                <w:highlight w:val="none"/>
                <w:u w:val="none"/>
                <w:lang w:val="en-US" w:eastAsia="zh-CN" w:bidi="ar"/>
              </w:rPr>
              <w:t>计12</w:t>
            </w:r>
            <w:r>
              <w:rPr>
                <w:rFonts w:hint="eastAsia" w:ascii="宋体" w:hAnsi="宋体" w:cs="宋体"/>
                <w:color w:val="auto"/>
                <w:kern w:val="0"/>
                <w:szCs w:val="21"/>
                <w:highlight w:val="none"/>
                <w:u w:val="none"/>
                <w:lang w:bidi="ar"/>
              </w:rPr>
              <w:t>分</w:t>
            </w:r>
            <w:r>
              <w:rPr>
                <w:rFonts w:hint="eastAsia" w:ascii="宋体" w:hAnsi="宋体" w:eastAsia="宋体" w:cs="宋体"/>
                <w:iCs/>
                <w:color w:val="auto"/>
                <w:sz w:val="21"/>
                <w:szCs w:val="21"/>
                <w:highlight w:val="none"/>
              </w:rPr>
              <w:t>。</w:t>
            </w:r>
          </w:p>
          <w:p w14:paraId="270A597E">
            <w:pPr>
              <w:spacing w:line="240" w:lineRule="auto"/>
              <w:rPr>
                <w:b/>
                <w:bCs/>
                <w:color w:val="auto"/>
                <w:highlight w:val="none"/>
              </w:rPr>
            </w:pPr>
            <w:r>
              <w:rPr>
                <w:rFonts w:hint="eastAsia" w:ascii="宋体" w:hAnsi="宋体" w:cs="宋体"/>
                <w:b/>
                <w:bCs/>
                <w:color w:val="auto"/>
                <w:kern w:val="0"/>
                <w:szCs w:val="21"/>
                <w:highlight w:val="none"/>
                <w:u w:val="none"/>
                <w:lang w:val="en-US" w:eastAsia="zh-CN" w:bidi="ar"/>
              </w:rPr>
              <w:t>计分</w:t>
            </w:r>
            <w:r>
              <w:rPr>
                <w:rFonts w:hint="eastAsia" w:ascii="宋体" w:hAnsi="宋体" w:eastAsia="宋体" w:cs="宋体"/>
                <w:b/>
                <w:bCs/>
                <w:color w:val="auto"/>
                <w:kern w:val="0"/>
                <w:szCs w:val="21"/>
                <w:highlight w:val="none"/>
                <w:u w:val="none"/>
                <w:lang w:bidi="ar"/>
              </w:rPr>
              <w:t>业绩是指：</w:t>
            </w:r>
          </w:p>
          <w:p w14:paraId="4E617DE3">
            <w:pPr>
              <w:wordWrap/>
              <w:overflowPunct w:val="0"/>
              <w:autoSpaceDE w:val="0"/>
              <w:autoSpaceDN w:val="0"/>
              <w:adjustRightInd w:val="0"/>
              <w:snapToGrid w:val="0"/>
              <w:spacing w:line="240" w:lineRule="auto"/>
              <w:ind w:firstLine="0" w:firstLineChars="0"/>
              <w:textAlignment w:val="center"/>
              <w:rPr>
                <w:rFonts w:hint="eastAsia" w:ascii="宋体" w:hAnsi="宋体" w:cs="宋体"/>
                <w:color w:val="auto"/>
                <w:kern w:val="0"/>
                <w:szCs w:val="21"/>
                <w:highlight w:val="none"/>
                <w:u w:val="none"/>
                <w:lang w:bidi="ar"/>
              </w:rPr>
            </w:pPr>
            <w:r>
              <w:rPr>
                <w:rFonts w:hint="eastAsia" w:ascii="宋体" w:hAnsi="宋体" w:cs="宋体"/>
                <w:color w:val="auto"/>
                <w:kern w:val="0"/>
                <w:szCs w:val="21"/>
                <w:highlight w:val="none"/>
                <w:u w:val="none"/>
                <w:lang w:bidi="ar"/>
              </w:rPr>
              <w:t>投标人在投标文件截止之日前36个月内承担过</w:t>
            </w:r>
            <w:r>
              <w:rPr>
                <w:rFonts w:hint="eastAsia" w:ascii="宋体" w:hAnsi="宋体" w:eastAsia="宋体" w:cs="宋体"/>
                <w:color w:val="auto"/>
                <w:spacing w:val="0"/>
                <w:kern w:val="0"/>
                <w:sz w:val="21"/>
                <w:szCs w:val="21"/>
                <w:highlight w:val="none"/>
                <w:u w:val="none"/>
                <w:lang w:val="en-US" w:eastAsia="zh-CN" w:bidi="ar"/>
              </w:rPr>
              <w:t>3</w:t>
            </w:r>
            <w:r>
              <w:rPr>
                <w:rFonts w:hint="eastAsia" w:ascii="宋体" w:hAnsi="宋体" w:cs="宋体"/>
                <w:color w:val="auto"/>
                <w:spacing w:val="0"/>
                <w:kern w:val="0"/>
                <w:sz w:val="21"/>
                <w:szCs w:val="21"/>
                <w:highlight w:val="none"/>
                <w:u w:val="none"/>
                <w:lang w:val="en-US" w:eastAsia="zh-CN" w:bidi="ar"/>
              </w:rPr>
              <w:t>0</w:t>
            </w:r>
            <w:r>
              <w:rPr>
                <w:rFonts w:hint="eastAsia" w:ascii="宋体" w:hAnsi="宋体" w:eastAsia="宋体" w:cs="宋体"/>
                <w:color w:val="auto"/>
                <w:spacing w:val="0"/>
                <w:kern w:val="0"/>
                <w:sz w:val="21"/>
                <w:szCs w:val="21"/>
                <w:highlight w:val="none"/>
                <w:u w:val="none"/>
                <w:lang w:val="en-US" w:eastAsia="zh-CN" w:bidi="ar"/>
              </w:rPr>
              <w:t>0</w:t>
            </w:r>
            <w:r>
              <w:rPr>
                <w:rFonts w:hint="eastAsia" w:ascii="宋体" w:hAnsi="宋体" w:eastAsia="宋体" w:cs="宋体"/>
                <w:color w:val="auto"/>
                <w:spacing w:val="0"/>
                <w:kern w:val="0"/>
                <w:sz w:val="21"/>
                <w:szCs w:val="21"/>
                <w:highlight w:val="none"/>
                <w:u w:val="none"/>
                <w:lang w:bidi="ar"/>
              </w:rPr>
              <w:t>万元/年（含）以上的</w:t>
            </w:r>
            <w:r>
              <w:rPr>
                <w:rFonts w:hint="eastAsia" w:ascii="宋体" w:hAnsi="宋体" w:cs="宋体"/>
                <w:color w:val="auto"/>
                <w:spacing w:val="0"/>
                <w:kern w:val="0"/>
                <w:sz w:val="21"/>
                <w:szCs w:val="21"/>
                <w:highlight w:val="none"/>
                <w:u w:val="none"/>
                <w:lang w:val="en-US" w:eastAsia="zh-CN" w:bidi="ar"/>
              </w:rPr>
              <w:t>干货商品类</w:t>
            </w:r>
            <w:r>
              <w:rPr>
                <w:rFonts w:hint="eastAsia" w:ascii="宋体" w:hAnsi="宋体" w:eastAsia="宋体" w:cs="宋体"/>
                <w:color w:val="auto"/>
                <w:spacing w:val="0"/>
                <w:kern w:val="0"/>
                <w:sz w:val="21"/>
                <w:szCs w:val="21"/>
                <w:highlight w:val="none"/>
                <w:u w:val="none"/>
                <w:lang w:bidi="ar"/>
              </w:rPr>
              <w:t>供货项目业绩</w:t>
            </w:r>
            <w:r>
              <w:rPr>
                <w:rFonts w:hint="eastAsia" w:ascii="宋体" w:hAnsi="宋体" w:cs="宋体"/>
                <w:color w:val="auto"/>
                <w:kern w:val="0"/>
                <w:szCs w:val="21"/>
                <w:highlight w:val="none"/>
                <w:u w:val="none"/>
                <w:lang w:bidi="ar"/>
              </w:rPr>
              <w:t>。</w:t>
            </w:r>
          </w:p>
          <w:p w14:paraId="76B5F00F">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p>
          <w:p w14:paraId="131D2866">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both"/>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cs="宋体"/>
                <w:b/>
                <w:bCs/>
                <w:i w:val="0"/>
                <w:iCs w:val="0"/>
                <w:color w:val="auto"/>
                <w:kern w:val="0"/>
                <w:sz w:val="21"/>
                <w:szCs w:val="21"/>
                <w:highlight w:val="none"/>
                <w:u w:val="none"/>
                <w:lang w:val="en-US" w:eastAsia="zh-CN" w:bidi="ar"/>
              </w:rPr>
              <w:t>注：</w:t>
            </w:r>
            <w:r>
              <w:rPr>
                <w:rFonts w:hint="eastAsia" w:ascii="宋体" w:hAnsi="宋体" w:cs="宋体"/>
                <w:b/>
                <w:bCs/>
                <w:color w:val="auto"/>
                <w:kern w:val="0"/>
                <w:szCs w:val="21"/>
                <w:highlight w:val="none"/>
                <w:u w:val="none"/>
                <w:lang w:bidi="ar"/>
              </w:rPr>
              <w:t>业绩证明材料以合同为准，且须提供合同</w:t>
            </w:r>
            <w:r>
              <w:rPr>
                <w:rFonts w:hint="eastAsia" w:ascii="宋体" w:hAnsi="宋体" w:cs="宋体"/>
                <w:b/>
                <w:bCs/>
                <w:color w:val="auto"/>
                <w:kern w:val="0"/>
                <w:szCs w:val="21"/>
                <w:highlight w:val="none"/>
                <w:u w:val="none"/>
                <w:lang w:val="en-US" w:eastAsia="zh-CN" w:bidi="ar"/>
              </w:rPr>
              <w:t>复印件</w:t>
            </w:r>
            <w:r>
              <w:rPr>
                <w:rFonts w:hint="eastAsia" w:ascii="宋体" w:hAnsi="宋体" w:cs="宋体"/>
                <w:b/>
                <w:bCs/>
                <w:color w:val="auto"/>
                <w:kern w:val="0"/>
                <w:szCs w:val="21"/>
                <w:highlight w:val="none"/>
                <w:u w:val="none"/>
                <w:lang w:bidi="ar"/>
              </w:rPr>
              <w:t>；时间以合同中较晚一方签字时间为准；</w:t>
            </w:r>
            <w:r>
              <w:rPr>
                <w:rFonts w:hint="eastAsia" w:ascii="宋体" w:hAnsi="宋体" w:eastAsia="宋体" w:cs="宋体"/>
                <w:b/>
                <w:bCs/>
                <w:color w:val="auto"/>
                <w:kern w:val="0"/>
                <w:sz w:val="21"/>
                <w:szCs w:val="21"/>
                <w:highlight w:val="none"/>
                <w:u w:val="none"/>
                <w:lang w:val="en-US" w:eastAsia="zh-CN" w:bidi="ar"/>
              </w:rPr>
              <w:t>若合同中无法体现业绩相关信息时，须另外提供由业主单位出具的《业主证明》。</w:t>
            </w:r>
            <w:r>
              <w:rPr>
                <w:rFonts w:hint="eastAsia" w:ascii="宋体" w:hAnsi="宋体" w:cs="宋体"/>
                <w:b/>
                <w:bCs/>
                <w:color w:val="auto"/>
                <w:kern w:val="0"/>
                <w:szCs w:val="21"/>
                <w:highlight w:val="none"/>
                <w:u w:val="none"/>
                <w:lang w:bidi="ar"/>
              </w:rPr>
              <w:t>不接受港澳台或境外业绩，不接受联合体业绩。</w:t>
            </w:r>
          </w:p>
        </w:tc>
      </w:tr>
      <w:tr w14:paraId="16E7A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2E6AD918">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1271" w:type="pct"/>
            <w:gridSpan w:val="2"/>
            <w:tcBorders>
              <w:tl2br w:val="nil"/>
              <w:tr2bl w:val="nil"/>
            </w:tcBorders>
            <w:vAlign w:val="center"/>
          </w:tcPr>
          <w:p w14:paraId="6F76C76A">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综合实力</w:t>
            </w:r>
          </w:p>
        </w:tc>
        <w:tc>
          <w:tcPr>
            <w:tcW w:w="624" w:type="pct"/>
            <w:tcBorders>
              <w:tl2br w:val="nil"/>
              <w:tr2bl w:val="nil"/>
            </w:tcBorders>
            <w:vAlign w:val="center"/>
          </w:tcPr>
          <w:p w14:paraId="5ACD7809">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Cs w:val="21"/>
                <w:highlight w:val="none"/>
              </w:rPr>
            </w:pPr>
            <w:r>
              <w:rPr>
                <w:rFonts w:hint="eastAsia" w:ascii="宋体" w:hAnsi="宋体" w:cs="宋体"/>
                <w:i w:val="0"/>
                <w:iCs w:val="0"/>
                <w:color w:val="auto"/>
                <w:kern w:val="0"/>
                <w:sz w:val="21"/>
                <w:szCs w:val="21"/>
                <w:highlight w:val="none"/>
                <w:u w:val="none"/>
                <w:lang w:val="en-US" w:eastAsia="zh-CN" w:bidi="ar"/>
              </w:rPr>
              <w:t>4</w:t>
            </w:r>
          </w:p>
        </w:tc>
        <w:tc>
          <w:tcPr>
            <w:tcW w:w="2646" w:type="pct"/>
            <w:tcBorders>
              <w:tl2br w:val="nil"/>
              <w:tr2bl w:val="nil"/>
            </w:tcBorders>
            <w:vAlign w:val="center"/>
          </w:tcPr>
          <w:p w14:paraId="392ABF27">
            <w:pPr>
              <w:pStyle w:val="2"/>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(1)具备有效的质量管理体系认证ISO9001证书的，</w:t>
            </w:r>
            <w:r>
              <w:rPr>
                <w:rFonts w:hint="eastAsia" w:ascii="宋体" w:hAnsi="宋体" w:cs="宋体"/>
                <w:color w:val="auto"/>
                <w:kern w:val="2"/>
                <w:sz w:val="21"/>
                <w:szCs w:val="21"/>
                <w:highlight w:val="none"/>
                <w:lang w:val="en-US" w:eastAsia="zh-CN" w:bidi="ar-SA"/>
              </w:rPr>
              <w:t>计1</w:t>
            </w:r>
            <w:r>
              <w:rPr>
                <w:rFonts w:hint="eastAsia" w:ascii="宋体" w:hAnsi="宋体" w:eastAsia="宋体" w:cs="宋体"/>
                <w:color w:val="auto"/>
                <w:kern w:val="2"/>
                <w:sz w:val="21"/>
                <w:szCs w:val="21"/>
                <w:highlight w:val="none"/>
                <w:lang w:val="en-US" w:eastAsia="zh-CN" w:bidi="ar-SA"/>
              </w:rPr>
              <w:t>分。</w:t>
            </w:r>
          </w:p>
          <w:p w14:paraId="2955D801">
            <w:pPr>
              <w:pStyle w:val="2"/>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(2)具备有效的食品安全管理体系认证ISO22000证书的，</w:t>
            </w:r>
            <w:r>
              <w:rPr>
                <w:rFonts w:hint="eastAsia" w:ascii="宋体" w:hAnsi="宋体" w:cs="宋体"/>
                <w:color w:val="auto"/>
                <w:kern w:val="2"/>
                <w:sz w:val="21"/>
                <w:szCs w:val="21"/>
                <w:highlight w:val="none"/>
                <w:lang w:val="en-US" w:eastAsia="zh-CN" w:bidi="ar-SA"/>
              </w:rPr>
              <w:t>计1</w:t>
            </w:r>
            <w:r>
              <w:rPr>
                <w:rFonts w:hint="eastAsia" w:ascii="宋体" w:hAnsi="宋体" w:eastAsia="宋体" w:cs="宋体"/>
                <w:color w:val="auto"/>
                <w:kern w:val="2"/>
                <w:sz w:val="21"/>
                <w:szCs w:val="21"/>
                <w:highlight w:val="none"/>
                <w:lang w:val="en-US" w:eastAsia="zh-CN" w:bidi="ar-SA"/>
              </w:rPr>
              <w:t>分。</w:t>
            </w:r>
          </w:p>
          <w:p w14:paraId="04A878F3">
            <w:pPr>
              <w:pStyle w:val="2"/>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(3)具备有效的环境管理体系认证</w:t>
            </w:r>
            <w:r>
              <w:rPr>
                <w:rFonts w:hint="eastAsia" w:ascii="宋体" w:hAnsi="宋体" w:eastAsia="宋体" w:cs="宋体"/>
                <w:color w:val="auto"/>
                <w:kern w:val="2"/>
                <w:sz w:val="21"/>
                <w:szCs w:val="21"/>
                <w:highlight w:val="none"/>
                <w:lang w:val="en-US" w:eastAsia="zh-CN" w:bidi="ar-SA"/>
              </w:rPr>
              <w:fldChar w:fldCharType="begin"/>
            </w:r>
            <w:r>
              <w:rPr>
                <w:rFonts w:hint="eastAsia" w:ascii="宋体" w:hAnsi="宋体" w:eastAsia="宋体" w:cs="宋体"/>
                <w:color w:val="auto"/>
                <w:kern w:val="2"/>
                <w:sz w:val="21"/>
                <w:szCs w:val="21"/>
                <w:highlight w:val="none"/>
                <w:lang w:val="en-US" w:eastAsia="zh-CN" w:bidi="ar-SA"/>
              </w:rPr>
              <w:instrText xml:space="preserve"> HYPERLINK "https://baike.baidu.com/item/ISO14000%E7%8E%AF%E5%A2%83%E7%AE%A1%E7%90%86%E7%B3%BB%E5%88%97%E6%A0%87%E5%87%86/54390372?fromModule=lemma_inlink" \t "https://baike.baidu.com/item/_blank" </w:instrText>
            </w:r>
            <w:r>
              <w:rPr>
                <w:rFonts w:hint="eastAsia" w:ascii="宋体" w:hAnsi="宋体" w:eastAsia="宋体" w:cs="宋体"/>
                <w:color w:val="auto"/>
                <w:kern w:val="2"/>
                <w:sz w:val="21"/>
                <w:szCs w:val="21"/>
                <w:highlight w:val="none"/>
                <w:lang w:val="en-US" w:eastAsia="zh-CN" w:bidi="ar-SA"/>
              </w:rPr>
              <w:fldChar w:fldCharType="separate"/>
            </w:r>
            <w:r>
              <w:rPr>
                <w:rFonts w:hint="default" w:ascii="宋体" w:hAnsi="宋体" w:eastAsia="宋体" w:cs="宋体"/>
                <w:color w:val="auto"/>
                <w:kern w:val="2"/>
                <w:sz w:val="21"/>
                <w:szCs w:val="21"/>
                <w:highlight w:val="none"/>
                <w:lang w:val="en-US" w:eastAsia="zh-CN" w:bidi="ar-SA"/>
              </w:rPr>
              <w:t>ISO14000</w:t>
            </w:r>
            <w:r>
              <w:rPr>
                <w:rFonts w:hint="default" w:ascii="宋体" w:hAnsi="宋体" w:eastAsia="宋体" w:cs="宋体"/>
                <w:color w:val="auto"/>
                <w:kern w:val="2"/>
                <w:sz w:val="21"/>
                <w:szCs w:val="21"/>
                <w:highlight w:val="none"/>
                <w:lang w:val="en-US" w:eastAsia="zh-CN" w:bidi="ar-SA"/>
              </w:rPr>
              <w:fldChar w:fldCharType="end"/>
            </w:r>
            <w:r>
              <w:rPr>
                <w:rFonts w:hint="eastAsia" w:ascii="宋体" w:hAnsi="宋体" w:eastAsia="宋体" w:cs="宋体"/>
                <w:color w:val="auto"/>
                <w:kern w:val="2"/>
                <w:sz w:val="21"/>
                <w:szCs w:val="21"/>
                <w:highlight w:val="none"/>
                <w:lang w:val="en-US" w:eastAsia="zh-CN" w:bidi="ar-SA"/>
              </w:rPr>
              <w:t>证书的，</w:t>
            </w:r>
            <w:r>
              <w:rPr>
                <w:rFonts w:hint="eastAsia" w:ascii="宋体" w:hAnsi="宋体" w:cs="宋体"/>
                <w:color w:val="auto"/>
                <w:kern w:val="2"/>
                <w:sz w:val="21"/>
                <w:szCs w:val="21"/>
                <w:highlight w:val="none"/>
                <w:lang w:val="en-US" w:eastAsia="zh-CN" w:bidi="ar-SA"/>
              </w:rPr>
              <w:t>计1</w:t>
            </w:r>
            <w:r>
              <w:rPr>
                <w:rFonts w:hint="eastAsia" w:ascii="宋体" w:hAnsi="宋体" w:eastAsia="宋体" w:cs="宋体"/>
                <w:color w:val="auto"/>
                <w:kern w:val="2"/>
                <w:sz w:val="21"/>
                <w:szCs w:val="21"/>
                <w:highlight w:val="none"/>
                <w:lang w:val="en-US" w:eastAsia="zh-CN" w:bidi="ar-SA"/>
              </w:rPr>
              <w:t>分。</w:t>
            </w:r>
          </w:p>
          <w:p w14:paraId="29C8480E">
            <w:pPr>
              <w:pStyle w:val="2"/>
              <w:keepNext w:val="0"/>
              <w:keepLines w:val="0"/>
              <w:pageBreakBefore w:val="0"/>
              <w:widowControl w:val="0"/>
              <w:kinsoku/>
              <w:wordWrap/>
              <w:overflowPunct/>
              <w:topLinePunct w:val="0"/>
              <w:autoSpaceDE/>
              <w:autoSpaceDN/>
              <w:bidi w:val="0"/>
              <w:adjustRightInd/>
              <w:snapToGrid/>
              <w:spacing w:after="0" w:line="28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(4)具备有效的职业健康安全管理体系认证ISO45001证书的，加1分。</w:t>
            </w:r>
          </w:p>
          <w:p w14:paraId="33B6E28A">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both"/>
              <w:textAlignment w:val="center"/>
              <w:rPr>
                <w:rFonts w:hint="eastAsia" w:ascii="宋体" w:hAnsi="宋体" w:eastAsia="宋体" w:cs="宋体"/>
                <w:b/>
                <w:bCs/>
                <w:color w:val="auto"/>
                <w:kern w:val="2"/>
                <w:sz w:val="21"/>
                <w:szCs w:val="21"/>
                <w:highlight w:val="none"/>
                <w:lang w:val="en-US" w:eastAsia="zh-CN" w:bidi="ar-SA"/>
              </w:rPr>
            </w:pPr>
          </w:p>
          <w:p w14:paraId="1AE55517">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both"/>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0"/>
                <w:sz w:val="21"/>
                <w:szCs w:val="21"/>
                <w:highlight w:val="none"/>
                <w:u w:val="none"/>
                <w:lang w:val="en-US" w:eastAsia="zh-CN" w:bidi="ar"/>
              </w:rPr>
              <w:t>注：以上证书须提供原件扫描件并加盖投标人法人公章，且证书须处于有效期内。</w:t>
            </w:r>
          </w:p>
        </w:tc>
      </w:tr>
      <w:tr w14:paraId="3AA41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33BB3989">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527" w:type="pct"/>
            <w:vMerge w:val="restart"/>
            <w:tcBorders>
              <w:tl2br w:val="nil"/>
              <w:tr2bl w:val="nil"/>
            </w:tcBorders>
            <w:vAlign w:val="center"/>
          </w:tcPr>
          <w:p w14:paraId="02975AC0">
            <w:pPr>
              <w:adjustRightInd w:val="0"/>
              <w:snapToGrid w:val="0"/>
              <w:spacing w:line="240" w:lineRule="auto"/>
              <w:jc w:val="center"/>
              <w:rPr>
                <w:rFonts w:hint="eastAsia" w:ascii="宋体" w:hAnsi="宋体" w:eastAsia="宋体" w:cs="宋体"/>
                <w:color w:val="auto"/>
                <w:szCs w:val="21"/>
                <w:highlight w:val="none"/>
              </w:rPr>
            </w:pPr>
            <w:r>
              <w:rPr>
                <w:rFonts w:hint="eastAsia"/>
                <w:color w:val="auto"/>
                <w:spacing w:val="-1"/>
                <w:highlight w:val="none"/>
              </w:rPr>
              <w:t>售后服务保障</w:t>
            </w:r>
          </w:p>
        </w:tc>
        <w:tc>
          <w:tcPr>
            <w:tcW w:w="744" w:type="pct"/>
            <w:tcBorders>
              <w:tl2br w:val="nil"/>
              <w:tr2bl w:val="nil"/>
            </w:tcBorders>
            <w:vAlign w:val="center"/>
          </w:tcPr>
          <w:p w14:paraId="21D9FD22">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紧急送货能力</w:t>
            </w:r>
          </w:p>
        </w:tc>
        <w:tc>
          <w:tcPr>
            <w:tcW w:w="624" w:type="pct"/>
            <w:tcBorders>
              <w:tl2br w:val="nil"/>
              <w:tr2bl w:val="nil"/>
            </w:tcBorders>
            <w:vAlign w:val="center"/>
          </w:tcPr>
          <w:p w14:paraId="713B688B">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2646" w:type="pct"/>
            <w:tcBorders>
              <w:tl2br w:val="nil"/>
              <w:tr2bl w:val="nil"/>
            </w:tcBorders>
            <w:vAlign w:val="center"/>
          </w:tcPr>
          <w:p w14:paraId="71298557">
            <w:pPr>
              <w:spacing w:line="240" w:lineRule="auto"/>
              <w:rPr>
                <w:color w:val="auto"/>
                <w:highlight w:val="none"/>
              </w:rPr>
            </w:pPr>
            <w:r>
              <w:rPr>
                <w:rFonts w:hint="eastAsia" w:ascii="宋体" w:hAnsi="宋体" w:eastAsia="宋体" w:cs="宋体"/>
                <w:i w:val="0"/>
                <w:iCs w:val="0"/>
                <w:color w:val="auto"/>
                <w:kern w:val="0"/>
                <w:sz w:val="21"/>
                <w:szCs w:val="21"/>
                <w:highlight w:val="none"/>
                <w:u w:val="none"/>
                <w:lang w:val="en-US" w:eastAsia="zh-CN" w:bidi="ar"/>
              </w:rPr>
              <w:t>投标人在紧急需求或更换货物时，投标人</w:t>
            </w:r>
            <w:r>
              <w:rPr>
                <w:rFonts w:hint="eastAsia" w:ascii="宋体" w:hAnsi="宋体" w:cs="宋体"/>
                <w:i w:val="0"/>
                <w:iCs w:val="0"/>
                <w:color w:val="auto"/>
                <w:kern w:val="0"/>
                <w:sz w:val="21"/>
                <w:szCs w:val="21"/>
                <w:highlight w:val="none"/>
                <w:u w:val="none"/>
                <w:lang w:val="en-US" w:eastAsia="zh-CN" w:bidi="ar"/>
              </w:rPr>
              <w:t>承诺</w:t>
            </w:r>
            <w:r>
              <w:rPr>
                <w:rFonts w:hint="eastAsia" w:ascii="宋体" w:hAnsi="宋体" w:eastAsia="宋体" w:cs="宋体"/>
                <w:i w:val="0"/>
                <w:iCs w:val="0"/>
                <w:color w:val="auto"/>
                <w:kern w:val="0"/>
                <w:sz w:val="21"/>
                <w:szCs w:val="21"/>
                <w:highlight w:val="none"/>
                <w:u w:val="none"/>
                <w:lang w:val="en-US" w:eastAsia="zh-CN" w:bidi="ar"/>
              </w:rPr>
              <w:t>能在1小时内送达的计2分，投标人</w:t>
            </w:r>
            <w:r>
              <w:rPr>
                <w:rFonts w:hint="eastAsia" w:ascii="宋体" w:hAnsi="宋体" w:cs="宋体"/>
                <w:i w:val="0"/>
                <w:iCs w:val="0"/>
                <w:color w:val="auto"/>
                <w:kern w:val="0"/>
                <w:sz w:val="21"/>
                <w:szCs w:val="21"/>
                <w:highlight w:val="none"/>
                <w:u w:val="none"/>
                <w:lang w:val="en-US" w:eastAsia="zh-CN" w:bidi="ar"/>
              </w:rPr>
              <w:t>承诺</w:t>
            </w:r>
            <w:r>
              <w:rPr>
                <w:rFonts w:hint="eastAsia" w:ascii="宋体" w:hAnsi="宋体" w:eastAsia="宋体" w:cs="宋体"/>
                <w:i w:val="0"/>
                <w:iCs w:val="0"/>
                <w:color w:val="auto"/>
                <w:kern w:val="0"/>
                <w:sz w:val="21"/>
                <w:szCs w:val="21"/>
                <w:highlight w:val="none"/>
                <w:u w:val="none"/>
                <w:lang w:val="en-US" w:eastAsia="zh-CN" w:bidi="ar"/>
              </w:rPr>
              <w:t>在2小时内送达的计1分</w:t>
            </w:r>
            <w:r>
              <w:rPr>
                <w:rFonts w:hint="eastAsia" w:ascii="宋体" w:hAnsi="宋体" w:cs="宋体"/>
                <w:i w:val="0"/>
                <w:iCs w:val="0"/>
                <w:color w:val="auto"/>
                <w:kern w:val="0"/>
                <w:sz w:val="21"/>
                <w:szCs w:val="21"/>
                <w:highlight w:val="none"/>
                <w:u w:val="none"/>
                <w:lang w:val="en-US" w:eastAsia="zh-CN" w:bidi="ar"/>
              </w:rPr>
              <w:t>。</w:t>
            </w:r>
          </w:p>
          <w:p w14:paraId="2C275022">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p>
          <w:p w14:paraId="3E8F4346">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both"/>
              <w:textAlignment w:val="center"/>
              <w:rPr>
                <w:rFonts w:hint="eastAsia" w:ascii="宋体" w:hAnsi="宋体" w:eastAsia="宋体" w:cs="宋体"/>
                <w:color w:val="auto"/>
                <w:szCs w:val="21"/>
                <w:highlight w:val="none"/>
              </w:rPr>
            </w:pPr>
            <w:r>
              <w:rPr>
                <w:rFonts w:hint="eastAsia" w:ascii="宋体" w:hAnsi="宋体" w:cs="宋体"/>
                <w:b/>
                <w:bCs/>
                <w:strike w:val="0"/>
                <w:dstrike w:val="0"/>
                <w:color w:val="auto"/>
                <w:szCs w:val="21"/>
                <w:highlight w:val="none"/>
                <w:lang w:val="en-US" w:eastAsia="zh-CN"/>
              </w:rPr>
              <w:t>注：投标人须提供加盖公章的承诺书。</w:t>
            </w:r>
          </w:p>
        </w:tc>
      </w:tr>
      <w:tr w14:paraId="70EA1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10474875">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527" w:type="pct"/>
            <w:vMerge w:val="continue"/>
            <w:tcBorders>
              <w:tl2br w:val="nil"/>
              <w:tr2bl w:val="nil"/>
            </w:tcBorders>
            <w:vAlign w:val="center"/>
          </w:tcPr>
          <w:p w14:paraId="13557DC3">
            <w:pPr>
              <w:adjustRightInd w:val="0"/>
              <w:snapToGrid w:val="0"/>
              <w:spacing w:line="240" w:lineRule="auto"/>
              <w:jc w:val="center"/>
              <w:rPr>
                <w:rFonts w:hint="eastAsia" w:ascii="宋体" w:hAnsi="宋体" w:eastAsia="宋体" w:cs="宋体"/>
                <w:color w:val="auto"/>
                <w:sz w:val="21"/>
                <w:szCs w:val="21"/>
                <w:highlight w:val="none"/>
              </w:rPr>
            </w:pPr>
          </w:p>
        </w:tc>
        <w:tc>
          <w:tcPr>
            <w:tcW w:w="744" w:type="pct"/>
            <w:tcBorders>
              <w:tl2br w:val="nil"/>
              <w:tr2bl w:val="nil"/>
            </w:tcBorders>
            <w:vAlign w:val="center"/>
          </w:tcPr>
          <w:p w14:paraId="2B05CF6A">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食品安全责任险</w:t>
            </w:r>
          </w:p>
        </w:tc>
        <w:tc>
          <w:tcPr>
            <w:tcW w:w="624" w:type="pct"/>
            <w:tcBorders>
              <w:tl2br w:val="nil"/>
              <w:tr2bl w:val="nil"/>
            </w:tcBorders>
            <w:vAlign w:val="center"/>
          </w:tcPr>
          <w:p w14:paraId="6AAAC2CB">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3</w:t>
            </w:r>
          </w:p>
        </w:tc>
        <w:tc>
          <w:tcPr>
            <w:tcW w:w="2646" w:type="pct"/>
            <w:tcBorders>
              <w:tl2br w:val="nil"/>
              <w:tr2bl w:val="nil"/>
            </w:tcBorders>
            <w:vAlign w:val="center"/>
          </w:tcPr>
          <w:p w14:paraId="4959C8C6">
            <w:pPr>
              <w:spacing w:line="240" w:lineRule="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根据投标人购买的食品安全责任险情况进行评审：</w:t>
            </w:r>
          </w:p>
          <w:p w14:paraId="3853CCA0">
            <w:pPr>
              <w:spacing w:line="240" w:lineRule="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投标人购买的食品安全责任险保额在1000万元(含）以上的，计3分；</w:t>
            </w:r>
          </w:p>
          <w:p w14:paraId="4AE2652E">
            <w:pPr>
              <w:spacing w:line="240" w:lineRule="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投标人购买的食品安全责任险保额在500万元（含）-1000万元（不含）的，计2分；</w:t>
            </w:r>
          </w:p>
          <w:p w14:paraId="4D0E1044">
            <w:pPr>
              <w:spacing w:line="240" w:lineRule="auto"/>
              <w:rPr>
                <w:color w:val="auto"/>
                <w:highlight w:val="none"/>
              </w:rPr>
            </w:pPr>
            <w:r>
              <w:rPr>
                <w:rFonts w:hint="eastAsia" w:ascii="宋体" w:hAnsi="宋体" w:eastAsia="宋体" w:cs="宋体"/>
                <w:i w:val="0"/>
                <w:iCs w:val="0"/>
                <w:color w:val="auto"/>
                <w:kern w:val="0"/>
                <w:sz w:val="21"/>
                <w:szCs w:val="21"/>
                <w:highlight w:val="none"/>
                <w:u w:val="none"/>
                <w:lang w:val="en-US" w:eastAsia="zh-CN" w:bidi="ar"/>
              </w:rPr>
              <w:t>投标人购买的食品安全责任险保额在500万元（不含）以下的，计1分。</w:t>
            </w:r>
          </w:p>
          <w:p w14:paraId="73902F40">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both"/>
              <w:textAlignment w:val="center"/>
              <w:rPr>
                <w:rFonts w:hint="eastAsia" w:ascii="宋体" w:hAnsi="宋体" w:eastAsia="宋体" w:cs="宋体"/>
                <w:b/>
                <w:bCs/>
                <w:i w:val="0"/>
                <w:iCs w:val="0"/>
                <w:color w:val="auto"/>
                <w:kern w:val="0"/>
                <w:sz w:val="21"/>
                <w:szCs w:val="21"/>
                <w:highlight w:val="none"/>
                <w:u w:val="none"/>
                <w:lang w:val="en-US" w:eastAsia="zh-CN" w:bidi="ar"/>
              </w:rPr>
            </w:pPr>
          </w:p>
          <w:p w14:paraId="29323601">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both"/>
              <w:textAlignment w:val="center"/>
              <w:rPr>
                <w:rFonts w:hint="eastAsia" w:ascii="宋体" w:hAnsi="宋体" w:eastAsia="宋体" w:cs="宋体"/>
                <w:b/>
                <w:bCs/>
                <w:i w:val="0"/>
                <w:iCs w:val="0"/>
                <w:caps w:val="0"/>
                <w:color w:val="auto"/>
                <w:spacing w:val="0"/>
                <w:kern w:val="0"/>
                <w:sz w:val="21"/>
                <w:szCs w:val="21"/>
                <w:highlight w:val="none"/>
                <w:shd w:val="clear" w:color="auto" w:fill="auto"/>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注：</w:t>
            </w:r>
            <w:r>
              <w:rPr>
                <w:b/>
                <w:bCs/>
                <w:color w:val="auto"/>
                <w:spacing w:val="-1"/>
                <w:highlight w:val="none"/>
              </w:rPr>
              <w:t>投标人</w:t>
            </w:r>
            <w:r>
              <w:rPr>
                <w:rFonts w:hint="eastAsia" w:ascii="宋体" w:hAnsi="宋体" w:eastAsia="宋体" w:cs="宋体"/>
                <w:b/>
                <w:bCs/>
                <w:i w:val="0"/>
                <w:iCs w:val="0"/>
                <w:color w:val="auto"/>
                <w:kern w:val="0"/>
                <w:sz w:val="21"/>
                <w:szCs w:val="21"/>
                <w:highlight w:val="none"/>
                <w:u w:val="none"/>
                <w:lang w:val="en-US" w:eastAsia="zh-CN" w:bidi="ar"/>
              </w:rPr>
              <w:t>须提供相应</w:t>
            </w:r>
            <w:r>
              <w:rPr>
                <w:rFonts w:hint="eastAsia" w:ascii="宋体" w:hAnsi="宋体" w:cs="宋体"/>
                <w:b/>
                <w:bCs/>
                <w:i w:val="0"/>
                <w:iCs w:val="0"/>
                <w:color w:val="auto"/>
                <w:kern w:val="0"/>
                <w:sz w:val="21"/>
                <w:szCs w:val="21"/>
                <w:highlight w:val="none"/>
                <w:u w:val="none"/>
                <w:lang w:val="en-US" w:eastAsia="zh-CN" w:bidi="ar"/>
              </w:rPr>
              <w:t>有效</w:t>
            </w:r>
            <w:r>
              <w:rPr>
                <w:rFonts w:hint="eastAsia" w:ascii="宋体" w:hAnsi="宋体" w:eastAsia="宋体" w:cs="宋体"/>
                <w:b/>
                <w:bCs/>
                <w:i w:val="0"/>
                <w:iCs w:val="0"/>
                <w:color w:val="auto"/>
                <w:kern w:val="0"/>
                <w:sz w:val="21"/>
                <w:szCs w:val="21"/>
                <w:highlight w:val="none"/>
                <w:u w:val="none"/>
                <w:lang w:val="en-US" w:eastAsia="zh-CN" w:bidi="ar"/>
              </w:rPr>
              <w:t>保险保单及相关证明资料复印件</w:t>
            </w:r>
            <w:r>
              <w:rPr>
                <w:rFonts w:hint="eastAsia" w:ascii="宋体" w:hAnsi="宋体" w:eastAsia="宋体" w:cs="宋体"/>
                <w:b/>
                <w:bCs/>
                <w:color w:val="auto"/>
                <w:kern w:val="0"/>
                <w:sz w:val="21"/>
                <w:szCs w:val="21"/>
                <w:highlight w:val="none"/>
                <w:u w:val="none"/>
                <w:lang w:val="en-US" w:eastAsia="zh-CN" w:bidi="ar"/>
              </w:rPr>
              <w:t>并加盖投标人法人公章</w:t>
            </w:r>
            <w:r>
              <w:rPr>
                <w:rFonts w:hint="eastAsia" w:ascii="宋体" w:hAnsi="宋体" w:eastAsia="宋体" w:cs="宋体"/>
                <w:b/>
                <w:bCs/>
                <w:i w:val="0"/>
                <w:iCs w:val="0"/>
                <w:color w:val="auto"/>
                <w:kern w:val="0"/>
                <w:sz w:val="21"/>
                <w:szCs w:val="21"/>
                <w:highlight w:val="none"/>
                <w:u w:val="none"/>
                <w:lang w:val="en-US" w:eastAsia="zh-CN" w:bidi="ar"/>
              </w:rPr>
              <w:t>。</w:t>
            </w:r>
          </w:p>
        </w:tc>
      </w:tr>
      <w:tr w14:paraId="5A4D8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130165C2">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1271" w:type="pct"/>
            <w:gridSpan w:val="2"/>
            <w:tcBorders>
              <w:tl2br w:val="nil"/>
              <w:tr2bl w:val="nil"/>
            </w:tcBorders>
            <w:vAlign w:val="center"/>
          </w:tcPr>
          <w:p w14:paraId="11EE3FEF">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配送能力</w:t>
            </w:r>
          </w:p>
        </w:tc>
        <w:tc>
          <w:tcPr>
            <w:tcW w:w="624" w:type="pct"/>
            <w:tcBorders>
              <w:tl2br w:val="nil"/>
              <w:tr2bl w:val="nil"/>
            </w:tcBorders>
            <w:vAlign w:val="center"/>
          </w:tcPr>
          <w:p w14:paraId="072495FA">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3</w:t>
            </w:r>
          </w:p>
        </w:tc>
        <w:tc>
          <w:tcPr>
            <w:tcW w:w="2646" w:type="pct"/>
            <w:tcBorders>
              <w:tl2br w:val="nil"/>
              <w:tr2bl w:val="nil"/>
            </w:tcBorders>
            <w:vAlign w:val="center"/>
          </w:tcPr>
          <w:p w14:paraId="69D20B3A">
            <w:pPr>
              <w:numPr>
                <w:ilvl w:val="0"/>
                <w:numId w:val="0"/>
              </w:numPr>
              <w:spacing w:line="240" w:lineRule="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投标人自有/租赁货物（冷链）配送车辆且配备专职配送人员，并承诺为本项目提供配送服务的，</w:t>
            </w:r>
            <w:r>
              <w:rPr>
                <w:rFonts w:hint="eastAsia" w:ascii="宋体" w:hAnsi="宋体" w:cs="宋体"/>
                <w:i w:val="0"/>
                <w:iCs w:val="0"/>
                <w:color w:val="auto"/>
                <w:kern w:val="0"/>
                <w:sz w:val="21"/>
                <w:szCs w:val="21"/>
                <w:highlight w:val="none"/>
                <w:u w:val="none"/>
                <w:lang w:val="en-US" w:eastAsia="zh-CN" w:bidi="ar"/>
              </w:rPr>
              <w:t>计</w:t>
            </w:r>
            <w:r>
              <w:rPr>
                <w:rFonts w:hint="eastAsia" w:ascii="宋体" w:hAnsi="宋体" w:eastAsia="宋体" w:cs="宋体"/>
                <w:i w:val="0"/>
                <w:iCs w:val="0"/>
                <w:color w:val="auto"/>
                <w:kern w:val="0"/>
                <w:sz w:val="21"/>
                <w:szCs w:val="21"/>
                <w:highlight w:val="none"/>
                <w:u w:val="none"/>
                <w:lang w:val="en-US" w:eastAsia="zh-CN" w:bidi="ar"/>
              </w:rPr>
              <w:t>1.5分。</w:t>
            </w:r>
          </w:p>
          <w:p w14:paraId="77D96F34">
            <w:pPr>
              <w:numPr>
                <w:ilvl w:val="0"/>
                <w:numId w:val="0"/>
              </w:numPr>
              <w:spacing w:line="240" w:lineRule="auto"/>
              <w:rPr>
                <w:color w:val="auto"/>
                <w:highlight w:val="none"/>
              </w:rPr>
            </w:pPr>
            <w:r>
              <w:rPr>
                <w:rFonts w:hint="eastAsia" w:ascii="宋体" w:hAnsi="宋体"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投标人自有/租赁货物（非冷链）配送车辆且配备专职配送人员，并承诺为本项目提供配送服务的，</w:t>
            </w:r>
            <w:r>
              <w:rPr>
                <w:rFonts w:hint="eastAsia" w:ascii="宋体" w:hAnsi="宋体" w:cs="宋体"/>
                <w:i w:val="0"/>
                <w:iCs w:val="0"/>
                <w:color w:val="auto"/>
                <w:kern w:val="0"/>
                <w:sz w:val="21"/>
                <w:szCs w:val="21"/>
                <w:highlight w:val="none"/>
                <w:u w:val="none"/>
                <w:lang w:val="en-US" w:eastAsia="zh-CN" w:bidi="ar"/>
              </w:rPr>
              <w:t>计</w:t>
            </w:r>
            <w:r>
              <w:rPr>
                <w:rFonts w:hint="eastAsia" w:ascii="宋体" w:hAnsi="宋体" w:eastAsia="宋体" w:cs="宋体"/>
                <w:i w:val="0"/>
                <w:iCs w:val="0"/>
                <w:color w:val="auto"/>
                <w:kern w:val="0"/>
                <w:sz w:val="21"/>
                <w:szCs w:val="21"/>
                <w:highlight w:val="none"/>
                <w:u w:val="none"/>
                <w:lang w:val="en-US" w:eastAsia="zh-CN" w:bidi="ar"/>
              </w:rPr>
              <w:t>1.5分。</w:t>
            </w:r>
          </w:p>
          <w:p w14:paraId="40AED8A3">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both"/>
              <w:textAlignment w:val="center"/>
              <w:rPr>
                <w:rFonts w:hint="eastAsia" w:ascii="宋体" w:hAnsi="宋体" w:eastAsia="宋体" w:cs="宋体"/>
                <w:b/>
                <w:bCs/>
                <w:i w:val="0"/>
                <w:iCs w:val="0"/>
                <w:color w:val="auto"/>
                <w:kern w:val="0"/>
                <w:sz w:val="21"/>
                <w:szCs w:val="21"/>
                <w:highlight w:val="none"/>
                <w:u w:val="none"/>
                <w:lang w:val="en-US" w:eastAsia="zh-CN" w:bidi="ar"/>
              </w:rPr>
            </w:pPr>
          </w:p>
          <w:p w14:paraId="2E48EAC8">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both"/>
              <w:textAlignment w:val="center"/>
              <w:rPr>
                <w:rFonts w:hint="eastAsia" w:ascii="宋体" w:hAnsi="宋体" w:eastAsia="宋体" w:cs="宋体"/>
                <w:b/>
                <w:bCs/>
                <w:i w:val="0"/>
                <w:iCs w:val="0"/>
                <w:caps w:val="0"/>
                <w:color w:val="auto"/>
                <w:spacing w:val="0"/>
                <w:kern w:val="0"/>
                <w:sz w:val="21"/>
                <w:szCs w:val="21"/>
                <w:highlight w:val="none"/>
                <w:shd w:val="clear" w:color="auto" w:fill="auto"/>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注：运输车辆须为经过年检合格的车辆。</w:t>
            </w:r>
            <w:r>
              <w:rPr>
                <w:rFonts w:hint="eastAsia" w:ascii="宋体" w:hAnsi="宋体" w:cs="宋体"/>
                <w:b/>
                <w:bCs/>
                <w:strike w:val="0"/>
                <w:dstrike w:val="0"/>
                <w:color w:val="auto"/>
                <w:szCs w:val="21"/>
                <w:highlight w:val="none"/>
                <w:lang w:val="en-US" w:eastAsia="zh-CN"/>
              </w:rPr>
              <w:t>投标人须提供加盖公章的承诺书。</w:t>
            </w:r>
            <w:r>
              <w:rPr>
                <w:rFonts w:hint="eastAsia" w:ascii="宋体" w:hAnsi="宋体" w:eastAsia="宋体" w:cs="宋体"/>
                <w:b/>
                <w:bCs/>
                <w:i w:val="0"/>
                <w:iCs w:val="0"/>
                <w:color w:val="auto"/>
                <w:kern w:val="0"/>
                <w:sz w:val="21"/>
                <w:szCs w:val="21"/>
                <w:highlight w:val="none"/>
                <w:u w:val="none"/>
                <w:lang w:val="en-US" w:eastAsia="zh-CN" w:bidi="ar"/>
              </w:rPr>
              <w:t>以及提供车辆年检证明材料复印件</w:t>
            </w:r>
            <w:r>
              <w:rPr>
                <w:rFonts w:hint="eastAsia" w:ascii="宋体" w:hAnsi="宋体" w:eastAsia="宋体" w:cs="宋体"/>
                <w:b/>
                <w:bCs/>
                <w:color w:val="auto"/>
                <w:kern w:val="0"/>
                <w:sz w:val="21"/>
                <w:szCs w:val="21"/>
                <w:highlight w:val="none"/>
                <w:u w:val="none"/>
                <w:lang w:val="en-US" w:eastAsia="zh-CN" w:bidi="ar"/>
              </w:rPr>
              <w:t>并加盖投标人法人公章</w:t>
            </w:r>
            <w:r>
              <w:rPr>
                <w:rFonts w:hint="eastAsia" w:ascii="宋体" w:hAnsi="宋体" w:eastAsia="宋体" w:cs="宋体"/>
                <w:b/>
                <w:bCs/>
                <w:i w:val="0"/>
                <w:iCs w:val="0"/>
                <w:color w:val="auto"/>
                <w:kern w:val="0"/>
                <w:sz w:val="21"/>
                <w:szCs w:val="21"/>
                <w:highlight w:val="none"/>
                <w:u w:val="none"/>
                <w:lang w:val="en-US" w:eastAsia="zh-CN" w:bidi="ar"/>
              </w:rPr>
              <w:t>。</w:t>
            </w:r>
          </w:p>
        </w:tc>
      </w:tr>
      <w:tr w14:paraId="5E8F9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2FBB9E30">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527" w:type="pct"/>
            <w:vMerge w:val="restart"/>
            <w:tcBorders>
              <w:tl2br w:val="nil"/>
              <w:tr2bl w:val="nil"/>
            </w:tcBorders>
            <w:vAlign w:val="center"/>
          </w:tcPr>
          <w:p w14:paraId="1108BCD2">
            <w:pPr>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仓储能力</w:t>
            </w:r>
          </w:p>
        </w:tc>
        <w:tc>
          <w:tcPr>
            <w:tcW w:w="744" w:type="pct"/>
            <w:tcBorders>
              <w:tl2br w:val="nil"/>
              <w:tr2bl w:val="nil"/>
            </w:tcBorders>
            <w:vAlign w:val="center"/>
          </w:tcPr>
          <w:p w14:paraId="382DCAA3">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冷库或保鲜库</w:t>
            </w:r>
          </w:p>
        </w:tc>
        <w:tc>
          <w:tcPr>
            <w:tcW w:w="624" w:type="pct"/>
            <w:tcBorders>
              <w:tl2br w:val="nil"/>
              <w:tr2bl w:val="nil"/>
            </w:tcBorders>
            <w:vAlign w:val="center"/>
          </w:tcPr>
          <w:p w14:paraId="0A999B5C">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2</w:t>
            </w:r>
          </w:p>
        </w:tc>
        <w:tc>
          <w:tcPr>
            <w:tcW w:w="2646" w:type="pct"/>
            <w:tcBorders>
              <w:tl2br w:val="nil"/>
              <w:tr2bl w:val="nil"/>
            </w:tcBorders>
            <w:vAlign w:val="center"/>
          </w:tcPr>
          <w:p w14:paraId="571DB6ED">
            <w:pPr>
              <w:spacing w:line="240" w:lineRule="auto"/>
              <w:rPr>
                <w:color w:val="auto"/>
                <w:highlight w:val="none"/>
              </w:rPr>
            </w:pPr>
            <w:r>
              <w:rPr>
                <w:rFonts w:hint="eastAsia" w:ascii="宋体" w:hAnsi="宋体" w:eastAsia="宋体" w:cs="宋体"/>
                <w:i w:val="0"/>
                <w:iCs w:val="0"/>
                <w:color w:val="auto"/>
                <w:kern w:val="0"/>
                <w:sz w:val="21"/>
                <w:szCs w:val="21"/>
                <w:highlight w:val="none"/>
                <w:u w:val="none"/>
                <w:lang w:val="en-US" w:eastAsia="zh-CN" w:bidi="ar"/>
              </w:rPr>
              <w:t>投标人自有/租赁冷库或保鲜库面积在1000㎡（含）以上的，计2分；投标人自有/租赁冷库或保鲜库面积在500㎡（含）-1000㎡（不含）的，计1分。</w:t>
            </w:r>
          </w:p>
          <w:p w14:paraId="08163711">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both"/>
              <w:textAlignment w:val="center"/>
              <w:rPr>
                <w:color w:val="auto"/>
                <w:spacing w:val="-2"/>
                <w:highlight w:val="none"/>
              </w:rPr>
            </w:pPr>
          </w:p>
          <w:p w14:paraId="61854A09">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both"/>
              <w:textAlignment w:val="center"/>
              <w:rPr>
                <w:rFonts w:hint="eastAsia" w:ascii="宋体" w:hAnsi="宋体" w:eastAsia="宋体" w:cs="宋体"/>
                <w:b/>
                <w:bCs/>
                <w:i w:val="0"/>
                <w:iCs w:val="0"/>
                <w:caps w:val="0"/>
                <w:color w:val="auto"/>
                <w:spacing w:val="0"/>
                <w:kern w:val="0"/>
                <w:sz w:val="21"/>
                <w:szCs w:val="21"/>
                <w:highlight w:val="none"/>
                <w:shd w:val="clear" w:color="auto" w:fill="auto"/>
                <w:lang w:val="en-US" w:eastAsia="zh-CN" w:bidi="ar"/>
              </w:rPr>
            </w:pPr>
            <w:r>
              <w:rPr>
                <w:b/>
                <w:bCs/>
                <w:color w:val="auto"/>
                <w:spacing w:val="-2"/>
                <w:highlight w:val="none"/>
              </w:rPr>
              <w:t>注：冷库或保鲜库须为本单位在</w:t>
            </w:r>
            <w:r>
              <w:rPr>
                <w:rFonts w:hint="eastAsia"/>
                <w:b/>
                <w:bCs/>
                <w:color w:val="auto"/>
                <w:spacing w:val="-2"/>
                <w:highlight w:val="none"/>
                <w:lang w:val="en-US" w:eastAsia="zh-CN"/>
              </w:rPr>
              <w:t>湖南省</w:t>
            </w:r>
            <w:r>
              <w:rPr>
                <w:b/>
                <w:bCs/>
                <w:color w:val="auto"/>
                <w:spacing w:val="-2"/>
                <w:highlight w:val="none"/>
              </w:rPr>
              <w:t>内</w:t>
            </w:r>
            <w:r>
              <w:rPr>
                <w:b/>
                <w:bCs/>
                <w:color w:val="auto"/>
                <w:spacing w:val="-1"/>
                <w:highlight w:val="none"/>
              </w:rPr>
              <w:t>的自有</w:t>
            </w:r>
            <w:r>
              <w:rPr>
                <w:rFonts w:hint="eastAsia"/>
                <w:b/>
                <w:bCs/>
                <w:color w:val="auto"/>
                <w:spacing w:val="-1"/>
                <w:highlight w:val="none"/>
                <w:lang w:val="en-US" w:eastAsia="zh-CN"/>
              </w:rPr>
              <w:t>/</w:t>
            </w:r>
            <w:r>
              <w:rPr>
                <w:rFonts w:hint="eastAsia" w:ascii="宋体" w:hAnsi="宋体" w:eastAsia="宋体" w:cs="宋体"/>
                <w:b/>
                <w:bCs/>
                <w:i w:val="0"/>
                <w:iCs w:val="0"/>
                <w:color w:val="auto"/>
                <w:kern w:val="0"/>
                <w:sz w:val="21"/>
                <w:szCs w:val="21"/>
                <w:highlight w:val="none"/>
                <w:u w:val="none"/>
                <w:lang w:val="en-US" w:eastAsia="zh-CN" w:bidi="ar"/>
              </w:rPr>
              <w:t>租赁</w:t>
            </w:r>
            <w:r>
              <w:rPr>
                <w:b/>
                <w:bCs/>
                <w:color w:val="auto"/>
                <w:spacing w:val="-1"/>
                <w:highlight w:val="none"/>
              </w:rPr>
              <w:t>仓库，投标人须提供冷库或保鲜库产权证明文件复印件</w:t>
            </w:r>
            <w:r>
              <w:rPr>
                <w:rFonts w:hint="eastAsia"/>
                <w:b/>
                <w:bCs/>
                <w:color w:val="auto"/>
                <w:spacing w:val="-1"/>
                <w:highlight w:val="none"/>
                <w:lang w:val="en-US" w:eastAsia="zh-CN"/>
              </w:rPr>
              <w:t>/近一年的租赁支付记录</w:t>
            </w:r>
            <w:r>
              <w:rPr>
                <w:rFonts w:hint="eastAsia" w:ascii="宋体" w:hAnsi="宋体" w:eastAsia="宋体" w:cs="宋体"/>
                <w:b/>
                <w:bCs/>
                <w:color w:val="auto"/>
                <w:kern w:val="0"/>
                <w:sz w:val="21"/>
                <w:szCs w:val="21"/>
                <w:highlight w:val="none"/>
                <w:u w:val="none"/>
                <w:lang w:val="en-US" w:eastAsia="zh-CN" w:bidi="ar"/>
              </w:rPr>
              <w:t>并加盖投标人法人公章</w:t>
            </w:r>
            <w:r>
              <w:rPr>
                <w:b/>
                <w:bCs/>
                <w:color w:val="auto"/>
                <w:spacing w:val="-1"/>
                <w:highlight w:val="none"/>
              </w:rPr>
              <w:t>。</w:t>
            </w:r>
          </w:p>
        </w:tc>
      </w:tr>
      <w:tr w14:paraId="51DC5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302D3161">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527" w:type="pct"/>
            <w:vMerge w:val="continue"/>
            <w:tcBorders>
              <w:tl2br w:val="nil"/>
              <w:tr2bl w:val="nil"/>
            </w:tcBorders>
            <w:vAlign w:val="center"/>
          </w:tcPr>
          <w:p w14:paraId="2EBBAB32">
            <w:pPr>
              <w:adjustRightInd w:val="0"/>
              <w:snapToGrid w:val="0"/>
              <w:spacing w:line="240" w:lineRule="auto"/>
              <w:jc w:val="center"/>
              <w:rPr>
                <w:rFonts w:hint="eastAsia" w:ascii="宋体" w:hAnsi="宋体" w:eastAsia="宋体" w:cs="宋体"/>
                <w:color w:val="auto"/>
                <w:sz w:val="21"/>
                <w:szCs w:val="21"/>
                <w:highlight w:val="none"/>
              </w:rPr>
            </w:pPr>
          </w:p>
        </w:tc>
        <w:tc>
          <w:tcPr>
            <w:tcW w:w="744" w:type="pct"/>
            <w:tcBorders>
              <w:tl2br w:val="nil"/>
              <w:tr2bl w:val="nil"/>
            </w:tcBorders>
            <w:vAlign w:val="center"/>
          </w:tcPr>
          <w:p w14:paraId="6794EE47">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存储仓库（非冷库、保鲜库）</w:t>
            </w:r>
          </w:p>
        </w:tc>
        <w:tc>
          <w:tcPr>
            <w:tcW w:w="624" w:type="pct"/>
            <w:tcBorders>
              <w:tl2br w:val="nil"/>
              <w:tr2bl w:val="nil"/>
            </w:tcBorders>
            <w:vAlign w:val="center"/>
          </w:tcPr>
          <w:p w14:paraId="0ED70333">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2</w:t>
            </w:r>
          </w:p>
        </w:tc>
        <w:tc>
          <w:tcPr>
            <w:tcW w:w="2646" w:type="pct"/>
            <w:tcBorders>
              <w:tl2br w:val="nil"/>
              <w:tr2bl w:val="nil"/>
            </w:tcBorders>
            <w:vAlign w:val="center"/>
          </w:tcPr>
          <w:p w14:paraId="767CC418">
            <w:pPr>
              <w:spacing w:line="240" w:lineRule="auto"/>
              <w:rPr>
                <w:color w:val="auto"/>
                <w:highlight w:val="none"/>
              </w:rPr>
            </w:pPr>
            <w:r>
              <w:rPr>
                <w:rFonts w:hint="eastAsia" w:ascii="宋体" w:hAnsi="宋体" w:eastAsia="宋体" w:cs="宋体"/>
                <w:i w:val="0"/>
                <w:iCs w:val="0"/>
                <w:color w:val="auto"/>
                <w:kern w:val="0"/>
                <w:sz w:val="21"/>
                <w:szCs w:val="21"/>
                <w:highlight w:val="none"/>
                <w:u w:val="none"/>
                <w:lang w:val="en-US" w:eastAsia="zh-CN" w:bidi="ar"/>
              </w:rPr>
              <w:t>投标人自有/租赁存储仓库（非冷库、非保鲜库）面积在1000㎡（含）以上的，计2分；投标人自有/租赁存储仓库（非冷库、非保鲜库）面积在500㎡（含）-1000㎡（不含）的，计1分。</w:t>
            </w:r>
          </w:p>
          <w:p w14:paraId="066BE6C1">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both"/>
              <w:textAlignment w:val="center"/>
              <w:rPr>
                <w:color w:val="auto"/>
                <w:spacing w:val="-2"/>
                <w:highlight w:val="none"/>
              </w:rPr>
            </w:pPr>
          </w:p>
          <w:p w14:paraId="3EFB6CF6">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both"/>
              <w:textAlignment w:val="center"/>
              <w:rPr>
                <w:rFonts w:hint="eastAsia" w:ascii="宋体" w:hAnsi="宋体" w:eastAsia="宋体" w:cs="宋体"/>
                <w:b/>
                <w:bCs/>
                <w:i w:val="0"/>
                <w:iCs w:val="0"/>
                <w:caps w:val="0"/>
                <w:color w:val="auto"/>
                <w:spacing w:val="0"/>
                <w:kern w:val="0"/>
                <w:sz w:val="21"/>
                <w:szCs w:val="21"/>
                <w:highlight w:val="none"/>
                <w:shd w:val="clear" w:color="auto" w:fill="auto"/>
                <w:lang w:val="en-US" w:eastAsia="zh-CN" w:bidi="ar"/>
              </w:rPr>
            </w:pPr>
            <w:r>
              <w:rPr>
                <w:b/>
                <w:bCs/>
                <w:color w:val="auto"/>
                <w:spacing w:val="-2"/>
                <w:highlight w:val="none"/>
              </w:rPr>
              <w:t>注：</w:t>
            </w:r>
            <w:r>
              <w:rPr>
                <w:rFonts w:hint="eastAsia" w:ascii="宋体" w:hAnsi="宋体" w:eastAsia="宋体" w:cs="宋体"/>
                <w:b/>
                <w:bCs/>
                <w:i w:val="0"/>
                <w:iCs w:val="0"/>
                <w:color w:val="auto"/>
                <w:kern w:val="0"/>
                <w:sz w:val="21"/>
                <w:szCs w:val="21"/>
                <w:highlight w:val="none"/>
                <w:u w:val="none"/>
                <w:lang w:val="en-US" w:eastAsia="zh-CN" w:bidi="ar"/>
              </w:rPr>
              <w:t>存储仓库（非冷库、保鲜库）</w:t>
            </w:r>
            <w:r>
              <w:rPr>
                <w:b/>
                <w:bCs/>
                <w:color w:val="auto"/>
                <w:spacing w:val="-2"/>
                <w:highlight w:val="none"/>
              </w:rPr>
              <w:t>须为本单位在</w:t>
            </w:r>
            <w:r>
              <w:rPr>
                <w:rFonts w:hint="eastAsia"/>
                <w:b/>
                <w:bCs/>
                <w:color w:val="auto"/>
                <w:spacing w:val="-2"/>
                <w:highlight w:val="none"/>
                <w:lang w:val="en-US" w:eastAsia="zh-CN"/>
              </w:rPr>
              <w:t>湖南省</w:t>
            </w:r>
            <w:r>
              <w:rPr>
                <w:b/>
                <w:bCs/>
                <w:color w:val="auto"/>
                <w:spacing w:val="-2"/>
                <w:highlight w:val="none"/>
              </w:rPr>
              <w:t>内</w:t>
            </w:r>
            <w:r>
              <w:rPr>
                <w:b/>
                <w:bCs/>
                <w:color w:val="auto"/>
                <w:spacing w:val="-1"/>
                <w:highlight w:val="none"/>
              </w:rPr>
              <w:t>的自有</w:t>
            </w:r>
            <w:r>
              <w:rPr>
                <w:rFonts w:hint="eastAsia"/>
                <w:b/>
                <w:bCs/>
                <w:color w:val="auto"/>
                <w:spacing w:val="-1"/>
                <w:highlight w:val="none"/>
                <w:lang w:val="en-US" w:eastAsia="zh-CN"/>
              </w:rPr>
              <w:t>/</w:t>
            </w:r>
            <w:r>
              <w:rPr>
                <w:rFonts w:hint="eastAsia" w:ascii="宋体" w:hAnsi="宋体" w:eastAsia="宋体" w:cs="宋体"/>
                <w:b/>
                <w:bCs/>
                <w:i w:val="0"/>
                <w:iCs w:val="0"/>
                <w:color w:val="auto"/>
                <w:kern w:val="0"/>
                <w:sz w:val="21"/>
                <w:szCs w:val="21"/>
                <w:highlight w:val="none"/>
                <w:u w:val="none"/>
                <w:lang w:val="en-US" w:eastAsia="zh-CN" w:bidi="ar"/>
              </w:rPr>
              <w:t>租赁</w:t>
            </w:r>
            <w:r>
              <w:rPr>
                <w:b/>
                <w:bCs/>
                <w:color w:val="auto"/>
                <w:spacing w:val="-1"/>
                <w:highlight w:val="none"/>
              </w:rPr>
              <w:t>仓库，投标人须提供</w:t>
            </w:r>
            <w:r>
              <w:rPr>
                <w:rFonts w:hint="eastAsia" w:ascii="宋体" w:hAnsi="宋体" w:eastAsia="宋体" w:cs="宋体"/>
                <w:b/>
                <w:bCs/>
                <w:i w:val="0"/>
                <w:iCs w:val="0"/>
                <w:color w:val="auto"/>
                <w:kern w:val="0"/>
                <w:sz w:val="21"/>
                <w:szCs w:val="21"/>
                <w:highlight w:val="none"/>
                <w:u w:val="none"/>
                <w:lang w:val="en-US" w:eastAsia="zh-CN" w:bidi="ar"/>
              </w:rPr>
              <w:t>存储仓库（非冷库、保鲜库）</w:t>
            </w:r>
            <w:r>
              <w:rPr>
                <w:b/>
                <w:bCs/>
                <w:color w:val="auto"/>
                <w:spacing w:val="-1"/>
                <w:highlight w:val="none"/>
              </w:rPr>
              <w:t>产权证明文件复印件</w:t>
            </w:r>
            <w:r>
              <w:rPr>
                <w:rFonts w:hint="eastAsia"/>
                <w:b/>
                <w:bCs/>
                <w:color w:val="auto"/>
                <w:spacing w:val="-1"/>
                <w:highlight w:val="none"/>
                <w:lang w:val="en-US" w:eastAsia="zh-CN"/>
              </w:rPr>
              <w:t>/近一年的租赁支付记录</w:t>
            </w:r>
            <w:r>
              <w:rPr>
                <w:rFonts w:hint="eastAsia" w:ascii="宋体" w:hAnsi="宋体" w:eastAsia="宋体" w:cs="宋体"/>
                <w:b/>
                <w:bCs/>
                <w:color w:val="auto"/>
                <w:kern w:val="0"/>
                <w:sz w:val="21"/>
                <w:szCs w:val="21"/>
                <w:highlight w:val="none"/>
                <w:u w:val="none"/>
                <w:lang w:val="en-US" w:eastAsia="zh-CN" w:bidi="ar"/>
              </w:rPr>
              <w:t>并加盖投标人法人公章</w:t>
            </w:r>
            <w:r>
              <w:rPr>
                <w:b/>
                <w:bCs/>
                <w:color w:val="auto"/>
                <w:spacing w:val="-1"/>
                <w:highlight w:val="none"/>
              </w:rPr>
              <w:t>。</w:t>
            </w:r>
          </w:p>
        </w:tc>
      </w:tr>
      <w:tr w14:paraId="2B9F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21F9FF29">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1271" w:type="pct"/>
            <w:gridSpan w:val="2"/>
            <w:tcBorders>
              <w:tl2br w:val="nil"/>
              <w:tr2bl w:val="nil"/>
            </w:tcBorders>
            <w:vAlign w:val="center"/>
          </w:tcPr>
          <w:p w14:paraId="372F4604">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合计</w:t>
            </w:r>
          </w:p>
        </w:tc>
        <w:tc>
          <w:tcPr>
            <w:tcW w:w="624" w:type="pct"/>
            <w:tcBorders>
              <w:tl2br w:val="nil"/>
              <w:tr2bl w:val="nil"/>
            </w:tcBorders>
            <w:vAlign w:val="center"/>
          </w:tcPr>
          <w:p w14:paraId="066D6401">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30</w:t>
            </w:r>
          </w:p>
        </w:tc>
        <w:tc>
          <w:tcPr>
            <w:tcW w:w="2646" w:type="pct"/>
            <w:tcBorders>
              <w:tl2br w:val="nil"/>
              <w:tr2bl w:val="nil"/>
            </w:tcBorders>
            <w:vAlign w:val="center"/>
          </w:tcPr>
          <w:p w14:paraId="6ED88A43">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r>
      <w:tr w14:paraId="267A9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2944F5E6">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4543" w:type="pct"/>
            <w:gridSpan w:val="4"/>
            <w:tcBorders>
              <w:tl2br w:val="nil"/>
              <w:tr2bl w:val="nil"/>
            </w:tcBorders>
            <w:vAlign w:val="center"/>
          </w:tcPr>
          <w:p w14:paraId="65C404A5">
            <w:pPr>
              <w:keepNext w:val="0"/>
              <w:keepLines w:val="0"/>
              <w:pageBreakBefore w:val="0"/>
              <w:kinsoku/>
              <w:topLinePunct w:val="0"/>
              <w:bidi w:val="0"/>
              <w:spacing w:line="240" w:lineRule="auto"/>
              <w:jc w:val="left"/>
              <w:rPr>
                <w:rFonts w:hint="eastAsia" w:ascii="宋体" w:hAnsi="宋体" w:eastAsia="宋体" w:cs="宋体"/>
                <w:color w:val="auto"/>
                <w:szCs w:val="21"/>
                <w:highlight w:val="none"/>
              </w:rPr>
            </w:pPr>
            <w:r>
              <w:rPr>
                <w:rFonts w:hint="eastAsia" w:ascii="宋体" w:hAnsi="宋体" w:cs="宋体"/>
                <w:b/>
                <w:color w:val="auto"/>
                <w:szCs w:val="21"/>
                <w:highlight w:val="none"/>
              </w:rPr>
              <w:t>评审说明：</w:t>
            </w:r>
            <w:r>
              <w:rPr>
                <w:rFonts w:ascii="宋体" w:hAnsi="宋体" w:cs="宋体"/>
                <w:color w:val="auto"/>
                <w:szCs w:val="21"/>
                <w:highlight w:val="none"/>
              </w:rPr>
              <w:t>该项评标内容计分，由评标委员会按以上规定集体评议确</w:t>
            </w:r>
            <w:r>
              <w:rPr>
                <w:rFonts w:hint="eastAsia" w:ascii="宋体" w:hAnsi="宋体" w:cs="宋体"/>
                <w:color w:val="auto"/>
                <w:szCs w:val="21"/>
                <w:highlight w:val="none"/>
              </w:rPr>
              <w:t>定</w:t>
            </w:r>
            <w:r>
              <w:rPr>
                <w:rFonts w:hint="eastAsia" w:ascii="宋体" w:hAnsi="宋体" w:cs="宋体"/>
                <w:snapToGrid w:val="0"/>
                <w:color w:val="auto"/>
                <w:kern w:val="0"/>
                <w:szCs w:val="21"/>
                <w:highlight w:val="none"/>
              </w:rPr>
              <w:t>。</w:t>
            </w:r>
          </w:p>
        </w:tc>
      </w:tr>
      <w:tr w14:paraId="62986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restart"/>
            <w:tcBorders>
              <w:tl2br w:val="nil"/>
              <w:tr2bl w:val="nil"/>
            </w:tcBorders>
            <w:vAlign w:val="center"/>
          </w:tcPr>
          <w:p w14:paraId="4DDD4128">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w:t>
            </w:r>
          </w:p>
          <w:p w14:paraId="3386C464">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（2）</w:t>
            </w:r>
          </w:p>
        </w:tc>
        <w:tc>
          <w:tcPr>
            <w:tcW w:w="1271" w:type="pct"/>
            <w:gridSpan w:val="2"/>
            <w:tcBorders>
              <w:tl2br w:val="nil"/>
              <w:tr2bl w:val="nil"/>
            </w:tcBorders>
            <w:shd w:val="clear" w:color="auto" w:fill="auto"/>
            <w:vAlign w:val="center"/>
          </w:tcPr>
          <w:p w14:paraId="46FE6500">
            <w:pPr>
              <w:keepNext w:val="0"/>
              <w:keepLines w:val="0"/>
              <w:pageBreakBefore w:val="0"/>
              <w:kinsoku/>
              <w:topLinePunct w:val="0"/>
              <w:bidi w:val="0"/>
              <w:spacing w:line="240" w:lineRule="auto"/>
              <w:jc w:val="center"/>
              <w:rPr>
                <w:rFonts w:hint="eastAsia" w:ascii="宋体" w:hAnsi="宋体" w:eastAsia="宋体" w:cs="宋体"/>
                <w:color w:val="auto"/>
                <w:szCs w:val="21"/>
                <w:highlight w:val="none"/>
                <w:u w:val="single"/>
              </w:rPr>
            </w:pPr>
            <w:r>
              <w:rPr>
                <w:rFonts w:hint="eastAsia" w:ascii="宋体" w:hAnsi="宋体" w:eastAsia="宋体" w:cs="宋体"/>
                <w:b/>
                <w:color w:val="auto"/>
                <w:szCs w:val="21"/>
                <w:highlight w:val="none"/>
              </w:rPr>
              <w:t>评审因素</w:t>
            </w:r>
          </w:p>
        </w:tc>
        <w:tc>
          <w:tcPr>
            <w:tcW w:w="624" w:type="pct"/>
            <w:tcBorders>
              <w:tl2br w:val="nil"/>
              <w:tr2bl w:val="nil"/>
            </w:tcBorders>
            <w:shd w:val="clear" w:color="auto" w:fill="auto"/>
            <w:vAlign w:val="center"/>
          </w:tcPr>
          <w:p w14:paraId="2AF8AC77">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分值</w:t>
            </w:r>
          </w:p>
        </w:tc>
        <w:tc>
          <w:tcPr>
            <w:tcW w:w="2646" w:type="pct"/>
            <w:tcBorders>
              <w:tl2br w:val="nil"/>
              <w:tr2bl w:val="nil"/>
            </w:tcBorders>
            <w:shd w:val="clear" w:color="auto" w:fill="auto"/>
            <w:vAlign w:val="center"/>
          </w:tcPr>
          <w:p w14:paraId="2D8672FC">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评审标准</w:t>
            </w:r>
          </w:p>
        </w:tc>
      </w:tr>
      <w:tr w14:paraId="1E801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1361A074">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4543" w:type="pct"/>
            <w:gridSpan w:val="4"/>
            <w:tcBorders>
              <w:tl2br w:val="nil"/>
              <w:tr2bl w:val="nil"/>
            </w:tcBorders>
            <w:shd w:val="clear" w:color="auto" w:fill="auto"/>
            <w:vAlign w:val="center"/>
          </w:tcPr>
          <w:p w14:paraId="4BE1CE35">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技术部分详细评分标准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40分</w:t>
            </w:r>
            <w:r>
              <w:rPr>
                <w:rFonts w:hint="eastAsia" w:ascii="宋体" w:hAnsi="宋体" w:eastAsia="宋体" w:cs="宋体"/>
                <w:color w:val="auto"/>
                <w:szCs w:val="21"/>
                <w:highlight w:val="none"/>
                <w:lang w:eastAsia="zh-CN"/>
              </w:rPr>
              <w:t>）</w:t>
            </w:r>
          </w:p>
        </w:tc>
      </w:tr>
      <w:tr w14:paraId="3ED49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774D38CA">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527" w:type="pct"/>
            <w:vMerge w:val="restart"/>
            <w:tcBorders>
              <w:tl2br w:val="nil"/>
              <w:tr2bl w:val="nil"/>
            </w:tcBorders>
            <w:shd w:val="clear" w:color="auto" w:fill="auto"/>
            <w:vAlign w:val="center"/>
          </w:tcPr>
          <w:p w14:paraId="01E2888B">
            <w:pPr>
              <w:widowControl/>
              <w:spacing w:line="240" w:lineRule="auto"/>
              <w:jc w:val="center"/>
              <w:rPr>
                <w:rFonts w:hint="eastAsia" w:ascii="宋体" w:hAnsi="宋体" w:eastAsia="宋体" w:cs="宋体"/>
                <w:color w:val="auto"/>
                <w:szCs w:val="21"/>
                <w:highlight w:val="none"/>
              </w:rPr>
            </w:pPr>
            <w:r>
              <w:rPr>
                <w:rFonts w:hint="eastAsia" w:ascii="宋体" w:hAnsi="宋体" w:cs="宋体"/>
                <w:color w:val="auto"/>
                <w:szCs w:val="21"/>
                <w:highlight w:val="none"/>
              </w:rPr>
              <w:t>项目实施方案</w:t>
            </w:r>
          </w:p>
        </w:tc>
        <w:tc>
          <w:tcPr>
            <w:tcW w:w="744" w:type="pct"/>
            <w:tcBorders>
              <w:tl2br w:val="nil"/>
              <w:tr2bl w:val="nil"/>
            </w:tcBorders>
            <w:shd w:val="clear" w:color="auto" w:fill="auto"/>
            <w:vAlign w:val="center"/>
          </w:tcPr>
          <w:p w14:paraId="69B34504">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leftChars="0"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总体供货方案</w:t>
            </w:r>
          </w:p>
        </w:tc>
        <w:tc>
          <w:tcPr>
            <w:tcW w:w="624" w:type="pct"/>
            <w:tcBorders>
              <w:tl2br w:val="nil"/>
              <w:tr2bl w:val="nil"/>
            </w:tcBorders>
            <w:shd w:val="clear" w:color="auto" w:fill="auto"/>
            <w:vAlign w:val="center"/>
          </w:tcPr>
          <w:p w14:paraId="3E04ACA0">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2646" w:type="pct"/>
            <w:tcBorders>
              <w:tl2br w:val="nil"/>
              <w:tr2bl w:val="nil"/>
            </w:tcBorders>
            <w:shd w:val="clear" w:color="auto" w:fill="auto"/>
            <w:vAlign w:val="center"/>
          </w:tcPr>
          <w:p w14:paraId="4F16F91B">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投标人针对本项目提供总体供货方案，方案包括但不限于：</w:t>
            </w:r>
          </w:p>
          <w:p w14:paraId="16F26948">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firstLine="0" w:firstLineChars="0"/>
              <w:jc w:val="both"/>
              <w:textAlignment w:val="center"/>
              <w:rPr>
                <w:color w:val="auto"/>
                <w:highlight w:val="none"/>
              </w:rPr>
            </w:pPr>
            <w:r>
              <w:rPr>
                <w:rFonts w:hint="eastAsia" w:ascii="宋体" w:hAnsi="宋体" w:eastAsia="宋体" w:cs="宋体"/>
                <w:i w:val="0"/>
                <w:iCs w:val="0"/>
                <w:color w:val="auto"/>
                <w:kern w:val="0"/>
                <w:sz w:val="21"/>
                <w:szCs w:val="21"/>
                <w:highlight w:val="none"/>
                <w:u w:val="none"/>
                <w:lang w:val="en-US" w:eastAsia="zh-CN" w:bidi="ar"/>
              </w:rPr>
              <w:t>1.分拣流程：①采购进来的货物是否按照非定量简易包装的食材和定量预包装的食材进行区分；②根据货物实际特点是否进行额外的坚固包装使其防水、防潮、防腐、防锈、防震、防霉等；</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2.人员及工作安排：①人员岗位是否落实到位且安排合理；②具体工作职责及相应责任是否划分明确；</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3.配送计划及时间：①根据采购人的采购计划是否到各个流程节点落实到位②时间节点是否安排合理且符合采购人采购需求实际要求；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4.服务响应时间：①是否符合采购需求要求或优于采购需求要求；②是否有专门工作人员负责该项工作流程</w:t>
            </w:r>
            <w:r>
              <w:rPr>
                <w:rFonts w:hint="eastAsia" w:ascii="宋体" w:hAnsi="宋体" w:cs="宋体"/>
                <w:i w:val="0"/>
                <w:iCs w:val="0"/>
                <w:color w:val="auto"/>
                <w:kern w:val="0"/>
                <w:sz w:val="21"/>
                <w:szCs w:val="21"/>
                <w:highlight w:val="none"/>
                <w:u w:val="none"/>
                <w:lang w:val="en-US" w:eastAsia="zh-CN" w:bidi="ar"/>
              </w:rPr>
              <w:t>。</w:t>
            </w:r>
          </w:p>
          <w:p w14:paraId="6E0D1731">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firstLine="0" w:firstLineChars="0"/>
              <w:jc w:val="both"/>
              <w:textAlignment w:val="center"/>
              <w:rPr>
                <w:rFonts w:hint="eastAsia" w:ascii="宋体" w:hAnsi="宋体" w:cs="宋体"/>
                <w:i w:val="0"/>
                <w:iCs w:val="0"/>
                <w:color w:val="auto"/>
                <w:kern w:val="0"/>
                <w:sz w:val="21"/>
                <w:szCs w:val="21"/>
                <w:highlight w:val="none"/>
                <w:u w:val="none"/>
                <w:lang w:val="en-US" w:eastAsia="zh-CN" w:bidi="ar"/>
              </w:rPr>
            </w:pPr>
          </w:p>
          <w:p w14:paraId="0B799884">
            <w:pPr>
              <w:keepNext w:val="0"/>
              <w:keepLines w:val="0"/>
              <w:widowControl w:val="0"/>
              <w:suppressLineNumbers w:val="0"/>
              <w:overflowPunct w:val="0"/>
              <w:autoSpaceDE w:val="0"/>
              <w:autoSpaceDN w:val="0"/>
              <w:adjustRightInd w:val="0"/>
              <w:snapToGrid w:val="0"/>
              <w:spacing w:line="240" w:lineRule="auto"/>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根据投标人提供</w:t>
            </w:r>
            <w:r>
              <w:rPr>
                <w:rFonts w:hint="eastAsia" w:ascii="宋体" w:hAnsi="宋体" w:cs="宋体"/>
                <w:i w:val="0"/>
                <w:iCs w:val="0"/>
                <w:color w:val="auto"/>
                <w:kern w:val="0"/>
                <w:sz w:val="21"/>
                <w:szCs w:val="21"/>
                <w:highlight w:val="none"/>
                <w:u w:val="none"/>
                <w:lang w:val="en-US" w:eastAsia="zh-CN" w:bidi="ar"/>
              </w:rPr>
              <w:t>的</w:t>
            </w:r>
            <w:r>
              <w:rPr>
                <w:rFonts w:hint="eastAsia" w:ascii="宋体" w:hAnsi="宋体" w:eastAsia="宋体" w:cs="宋体"/>
                <w:i w:val="0"/>
                <w:iCs w:val="0"/>
                <w:color w:val="auto"/>
                <w:kern w:val="0"/>
                <w:sz w:val="21"/>
                <w:szCs w:val="21"/>
                <w:highlight w:val="none"/>
                <w:u w:val="none"/>
                <w:lang w:val="en-US" w:eastAsia="zh-CN" w:bidi="ar"/>
              </w:rPr>
              <w:t>方案进行综合评分：</w:t>
            </w:r>
          </w:p>
          <w:p w14:paraId="443C1C81">
            <w:pPr>
              <w:keepNext w:val="0"/>
              <w:keepLines w:val="0"/>
              <w:widowControl w:val="0"/>
              <w:suppressLineNumbers w:val="0"/>
              <w:overflowPunct w:val="0"/>
              <w:autoSpaceDE w:val="0"/>
              <w:autoSpaceDN w:val="0"/>
              <w:adjustRightInd w:val="0"/>
              <w:snapToGrid w:val="0"/>
              <w:spacing w:line="240" w:lineRule="auto"/>
              <w:jc w:val="both"/>
              <w:textAlignment w:val="center"/>
              <w:rPr>
                <w:rFonts w:hint="eastAsia" w:ascii="宋体" w:hAnsi="宋体" w:eastAsia="宋体" w:cs="宋体"/>
                <w:color w:val="auto"/>
                <w:kern w:val="0"/>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方案</w:t>
            </w:r>
            <w:r>
              <w:rPr>
                <w:rFonts w:hint="eastAsia" w:ascii="宋体" w:hAnsi="宋体" w:eastAsia="宋体" w:cs="宋体"/>
                <w:color w:val="auto"/>
                <w:kern w:val="0"/>
                <w:sz w:val="21"/>
                <w:szCs w:val="21"/>
                <w:highlight w:val="none"/>
                <w:u w:val="none"/>
                <w:lang w:val="en-US" w:eastAsia="zh-CN" w:bidi="ar"/>
              </w:rPr>
              <w:t>科学、合理、可行的，计</w:t>
            </w:r>
            <w:r>
              <w:rPr>
                <w:rFonts w:hint="eastAsia" w:ascii="宋体" w:hAnsi="宋体" w:cs="宋体"/>
                <w:color w:val="auto"/>
                <w:kern w:val="0"/>
                <w:sz w:val="21"/>
                <w:szCs w:val="21"/>
                <w:highlight w:val="none"/>
                <w:u w:val="none"/>
                <w:lang w:val="en-US" w:eastAsia="zh-CN" w:bidi="ar"/>
              </w:rPr>
              <w:t>7-8</w:t>
            </w:r>
            <w:r>
              <w:rPr>
                <w:rFonts w:hint="eastAsia" w:ascii="宋体" w:hAnsi="宋体" w:eastAsia="宋体" w:cs="宋体"/>
                <w:color w:val="auto"/>
                <w:kern w:val="0"/>
                <w:sz w:val="21"/>
                <w:szCs w:val="21"/>
                <w:highlight w:val="none"/>
                <w:u w:val="none"/>
                <w:lang w:val="en-US" w:eastAsia="zh-CN" w:bidi="ar"/>
              </w:rPr>
              <w:t>分；</w:t>
            </w:r>
          </w:p>
          <w:p w14:paraId="3ACC33AB">
            <w:pPr>
              <w:keepNext w:val="0"/>
              <w:keepLines w:val="0"/>
              <w:widowControl w:val="0"/>
              <w:suppressLineNumbers w:val="0"/>
              <w:overflowPunct w:val="0"/>
              <w:autoSpaceDE w:val="0"/>
              <w:autoSpaceDN w:val="0"/>
              <w:adjustRightInd w:val="0"/>
              <w:snapToGrid w:val="0"/>
              <w:spacing w:line="240" w:lineRule="auto"/>
              <w:jc w:val="both"/>
              <w:textAlignment w:val="center"/>
              <w:rPr>
                <w:rFonts w:hint="eastAsia" w:ascii="宋体" w:hAnsi="宋体" w:eastAsia="宋体" w:cs="宋体"/>
                <w:color w:val="auto"/>
                <w:kern w:val="0"/>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方案</w:t>
            </w:r>
            <w:r>
              <w:rPr>
                <w:rFonts w:hint="eastAsia" w:ascii="宋体" w:hAnsi="宋体" w:eastAsia="宋体" w:cs="宋体"/>
                <w:color w:val="auto"/>
                <w:kern w:val="0"/>
                <w:sz w:val="21"/>
                <w:szCs w:val="21"/>
                <w:highlight w:val="none"/>
                <w:u w:val="none"/>
                <w:lang w:val="en-US" w:eastAsia="zh-CN" w:bidi="ar"/>
              </w:rPr>
              <w:t>较科学、较合理、较可行的，计</w:t>
            </w:r>
            <w:r>
              <w:rPr>
                <w:rFonts w:hint="eastAsia" w:ascii="宋体" w:hAnsi="宋体" w:cs="宋体"/>
                <w:color w:val="auto"/>
                <w:kern w:val="0"/>
                <w:sz w:val="21"/>
                <w:szCs w:val="21"/>
                <w:highlight w:val="none"/>
                <w:u w:val="none"/>
                <w:lang w:val="en-US" w:eastAsia="zh-CN" w:bidi="ar"/>
              </w:rPr>
              <w:t>4-6</w:t>
            </w:r>
            <w:r>
              <w:rPr>
                <w:rFonts w:hint="eastAsia" w:ascii="宋体" w:hAnsi="宋体" w:eastAsia="宋体" w:cs="宋体"/>
                <w:color w:val="auto"/>
                <w:kern w:val="0"/>
                <w:sz w:val="21"/>
                <w:szCs w:val="21"/>
                <w:highlight w:val="none"/>
                <w:u w:val="none"/>
                <w:lang w:val="en-US" w:eastAsia="zh-CN" w:bidi="ar"/>
              </w:rPr>
              <w:t>分；</w:t>
            </w:r>
          </w:p>
          <w:p w14:paraId="27F78533">
            <w:pPr>
              <w:spacing w:line="240" w:lineRule="auto"/>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方案</w:t>
            </w:r>
            <w:r>
              <w:rPr>
                <w:rFonts w:hint="eastAsia" w:ascii="宋体" w:hAnsi="宋体" w:eastAsia="宋体" w:cs="宋体"/>
                <w:color w:val="auto"/>
                <w:kern w:val="0"/>
                <w:sz w:val="21"/>
                <w:szCs w:val="21"/>
                <w:highlight w:val="none"/>
                <w:u w:val="none"/>
                <w:lang w:val="en-US" w:eastAsia="zh-CN" w:bidi="ar"/>
              </w:rPr>
              <w:t>欠科学、欠合理、欠可行的，计</w:t>
            </w:r>
            <w:r>
              <w:rPr>
                <w:rFonts w:hint="eastAsia" w:ascii="宋体" w:hAnsi="宋体" w:cs="宋体"/>
                <w:color w:val="auto"/>
                <w:kern w:val="0"/>
                <w:sz w:val="21"/>
                <w:szCs w:val="21"/>
                <w:highlight w:val="none"/>
                <w:u w:val="none"/>
                <w:lang w:val="en-US" w:eastAsia="zh-CN" w:bidi="ar"/>
              </w:rPr>
              <w:t>1-3</w:t>
            </w:r>
            <w:r>
              <w:rPr>
                <w:rFonts w:hint="eastAsia" w:ascii="宋体" w:hAnsi="宋体" w:eastAsia="宋体" w:cs="宋体"/>
                <w:color w:val="auto"/>
                <w:kern w:val="0"/>
                <w:sz w:val="21"/>
                <w:szCs w:val="21"/>
                <w:highlight w:val="none"/>
                <w:u w:val="none"/>
                <w:lang w:val="en-US" w:eastAsia="zh-CN" w:bidi="ar"/>
              </w:rPr>
              <w:t>分。</w:t>
            </w:r>
          </w:p>
        </w:tc>
      </w:tr>
      <w:tr w14:paraId="0F4EA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02E6915F">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527" w:type="pct"/>
            <w:vMerge w:val="continue"/>
            <w:tcBorders>
              <w:tl2br w:val="nil"/>
              <w:tr2bl w:val="nil"/>
            </w:tcBorders>
            <w:shd w:val="clear" w:color="auto" w:fill="auto"/>
            <w:vAlign w:val="center"/>
          </w:tcPr>
          <w:p w14:paraId="4A786112">
            <w:pPr>
              <w:widowControl/>
              <w:spacing w:line="240" w:lineRule="auto"/>
              <w:jc w:val="center"/>
              <w:rPr>
                <w:rFonts w:hint="eastAsia" w:ascii="宋体" w:hAnsi="宋体" w:eastAsia="宋体" w:cs="宋体"/>
                <w:color w:val="auto"/>
                <w:szCs w:val="21"/>
                <w:highlight w:val="none"/>
              </w:rPr>
            </w:pPr>
          </w:p>
        </w:tc>
        <w:tc>
          <w:tcPr>
            <w:tcW w:w="744" w:type="pct"/>
            <w:tcBorders>
              <w:tl2br w:val="nil"/>
              <w:tr2bl w:val="nil"/>
            </w:tcBorders>
            <w:shd w:val="clear" w:color="auto" w:fill="auto"/>
            <w:vAlign w:val="center"/>
          </w:tcPr>
          <w:p w14:paraId="76057F24">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leftChars="0"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产品质量保障方案</w:t>
            </w:r>
          </w:p>
        </w:tc>
        <w:tc>
          <w:tcPr>
            <w:tcW w:w="624" w:type="pct"/>
            <w:tcBorders>
              <w:tl2br w:val="nil"/>
              <w:tr2bl w:val="nil"/>
            </w:tcBorders>
            <w:shd w:val="clear" w:color="auto" w:fill="auto"/>
            <w:vAlign w:val="center"/>
          </w:tcPr>
          <w:p w14:paraId="1C8E1530">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2646" w:type="pct"/>
            <w:tcBorders>
              <w:tl2br w:val="nil"/>
              <w:tr2bl w:val="nil"/>
            </w:tcBorders>
            <w:shd w:val="clear" w:color="auto" w:fill="auto"/>
            <w:vAlign w:val="center"/>
          </w:tcPr>
          <w:p w14:paraId="69F64F56">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投标人针对本项目提供产品质量保障方案，方案包括但不限于：</w:t>
            </w:r>
          </w:p>
          <w:p w14:paraId="4E795CCC">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食材选材有否有标准及具体把控措施；</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短时间需要存放在采购人食堂的原材料安全保障是否合理规范；</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3</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保质期比较久的食材是否有规范化的保管、储存及采购流程。</w:t>
            </w:r>
          </w:p>
          <w:p w14:paraId="65D40649">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p>
          <w:p w14:paraId="5F42E9F9">
            <w:pPr>
              <w:keepNext w:val="0"/>
              <w:keepLines w:val="0"/>
              <w:widowControl w:val="0"/>
              <w:suppressLineNumbers w:val="0"/>
              <w:overflowPunct w:val="0"/>
              <w:autoSpaceDE w:val="0"/>
              <w:autoSpaceDN w:val="0"/>
              <w:adjustRightInd w:val="0"/>
              <w:snapToGrid w:val="0"/>
              <w:spacing w:line="240" w:lineRule="auto"/>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根据投标人提供</w:t>
            </w:r>
            <w:r>
              <w:rPr>
                <w:rFonts w:hint="eastAsia" w:ascii="宋体" w:hAnsi="宋体" w:cs="宋体"/>
                <w:i w:val="0"/>
                <w:iCs w:val="0"/>
                <w:color w:val="auto"/>
                <w:kern w:val="0"/>
                <w:sz w:val="21"/>
                <w:szCs w:val="21"/>
                <w:highlight w:val="none"/>
                <w:u w:val="none"/>
                <w:lang w:val="en-US" w:eastAsia="zh-CN" w:bidi="ar"/>
              </w:rPr>
              <w:t>的</w:t>
            </w:r>
            <w:r>
              <w:rPr>
                <w:rFonts w:hint="eastAsia" w:ascii="宋体" w:hAnsi="宋体" w:eastAsia="宋体" w:cs="宋体"/>
                <w:i w:val="0"/>
                <w:iCs w:val="0"/>
                <w:color w:val="auto"/>
                <w:kern w:val="0"/>
                <w:sz w:val="21"/>
                <w:szCs w:val="21"/>
                <w:highlight w:val="none"/>
                <w:u w:val="none"/>
                <w:lang w:val="en-US" w:eastAsia="zh-CN" w:bidi="ar"/>
              </w:rPr>
              <w:t>方案进行综合评分：</w:t>
            </w:r>
          </w:p>
          <w:p w14:paraId="6CB38499">
            <w:pPr>
              <w:keepNext w:val="0"/>
              <w:keepLines w:val="0"/>
              <w:widowControl w:val="0"/>
              <w:suppressLineNumbers w:val="0"/>
              <w:overflowPunct w:val="0"/>
              <w:autoSpaceDE w:val="0"/>
              <w:autoSpaceDN w:val="0"/>
              <w:adjustRightInd w:val="0"/>
              <w:snapToGrid w:val="0"/>
              <w:spacing w:line="240" w:lineRule="auto"/>
              <w:jc w:val="both"/>
              <w:textAlignment w:val="center"/>
              <w:rPr>
                <w:rFonts w:hint="eastAsia" w:ascii="宋体" w:hAnsi="宋体" w:eastAsia="宋体" w:cs="宋体"/>
                <w:color w:val="auto"/>
                <w:kern w:val="0"/>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方案</w:t>
            </w:r>
            <w:r>
              <w:rPr>
                <w:rFonts w:hint="eastAsia" w:ascii="宋体" w:hAnsi="宋体" w:eastAsia="宋体" w:cs="宋体"/>
                <w:color w:val="auto"/>
                <w:kern w:val="0"/>
                <w:sz w:val="21"/>
                <w:szCs w:val="21"/>
                <w:highlight w:val="none"/>
                <w:u w:val="none"/>
                <w:lang w:val="en-US" w:eastAsia="zh-CN" w:bidi="ar"/>
              </w:rPr>
              <w:t>科学、合理、可行的，计</w:t>
            </w:r>
            <w:r>
              <w:rPr>
                <w:rFonts w:hint="eastAsia" w:ascii="宋体" w:hAnsi="宋体" w:cs="宋体"/>
                <w:color w:val="auto"/>
                <w:kern w:val="0"/>
                <w:sz w:val="21"/>
                <w:szCs w:val="21"/>
                <w:highlight w:val="none"/>
                <w:u w:val="none"/>
                <w:lang w:val="en-US" w:eastAsia="zh-CN" w:bidi="ar"/>
              </w:rPr>
              <w:t>7-8</w:t>
            </w:r>
            <w:r>
              <w:rPr>
                <w:rFonts w:hint="eastAsia" w:ascii="宋体" w:hAnsi="宋体" w:eastAsia="宋体" w:cs="宋体"/>
                <w:color w:val="auto"/>
                <w:kern w:val="0"/>
                <w:sz w:val="21"/>
                <w:szCs w:val="21"/>
                <w:highlight w:val="none"/>
                <w:u w:val="none"/>
                <w:lang w:val="en-US" w:eastAsia="zh-CN" w:bidi="ar"/>
              </w:rPr>
              <w:t>分；</w:t>
            </w:r>
          </w:p>
          <w:p w14:paraId="0BC15AF4">
            <w:pPr>
              <w:keepNext w:val="0"/>
              <w:keepLines w:val="0"/>
              <w:widowControl w:val="0"/>
              <w:suppressLineNumbers w:val="0"/>
              <w:overflowPunct w:val="0"/>
              <w:autoSpaceDE w:val="0"/>
              <w:autoSpaceDN w:val="0"/>
              <w:adjustRightInd w:val="0"/>
              <w:snapToGrid w:val="0"/>
              <w:spacing w:line="240" w:lineRule="auto"/>
              <w:jc w:val="both"/>
              <w:textAlignment w:val="center"/>
              <w:rPr>
                <w:rFonts w:hint="eastAsia" w:ascii="宋体" w:hAnsi="宋体" w:eastAsia="宋体" w:cs="宋体"/>
                <w:color w:val="auto"/>
                <w:kern w:val="0"/>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方案</w:t>
            </w:r>
            <w:r>
              <w:rPr>
                <w:rFonts w:hint="eastAsia" w:ascii="宋体" w:hAnsi="宋体" w:eastAsia="宋体" w:cs="宋体"/>
                <w:color w:val="auto"/>
                <w:kern w:val="0"/>
                <w:sz w:val="21"/>
                <w:szCs w:val="21"/>
                <w:highlight w:val="none"/>
                <w:u w:val="none"/>
                <w:lang w:val="en-US" w:eastAsia="zh-CN" w:bidi="ar"/>
              </w:rPr>
              <w:t>较科学、较合理、较可行的，计</w:t>
            </w:r>
            <w:r>
              <w:rPr>
                <w:rFonts w:hint="eastAsia" w:ascii="宋体" w:hAnsi="宋体" w:cs="宋体"/>
                <w:color w:val="auto"/>
                <w:kern w:val="0"/>
                <w:sz w:val="21"/>
                <w:szCs w:val="21"/>
                <w:highlight w:val="none"/>
                <w:u w:val="none"/>
                <w:lang w:val="en-US" w:eastAsia="zh-CN" w:bidi="ar"/>
              </w:rPr>
              <w:t>4-6</w:t>
            </w:r>
            <w:r>
              <w:rPr>
                <w:rFonts w:hint="eastAsia" w:ascii="宋体" w:hAnsi="宋体" w:eastAsia="宋体" w:cs="宋体"/>
                <w:color w:val="auto"/>
                <w:kern w:val="0"/>
                <w:sz w:val="21"/>
                <w:szCs w:val="21"/>
                <w:highlight w:val="none"/>
                <w:u w:val="none"/>
                <w:lang w:val="en-US" w:eastAsia="zh-CN" w:bidi="ar"/>
              </w:rPr>
              <w:t>分；</w:t>
            </w:r>
          </w:p>
          <w:p w14:paraId="4F6E13A9">
            <w:pPr>
              <w:spacing w:line="240" w:lineRule="auto"/>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方案</w:t>
            </w:r>
            <w:r>
              <w:rPr>
                <w:rFonts w:hint="eastAsia" w:ascii="宋体" w:hAnsi="宋体" w:eastAsia="宋体" w:cs="宋体"/>
                <w:color w:val="auto"/>
                <w:kern w:val="0"/>
                <w:sz w:val="21"/>
                <w:szCs w:val="21"/>
                <w:highlight w:val="none"/>
                <w:u w:val="none"/>
                <w:lang w:val="en-US" w:eastAsia="zh-CN" w:bidi="ar"/>
              </w:rPr>
              <w:t>欠科学、欠合理、欠可行的，计</w:t>
            </w:r>
            <w:r>
              <w:rPr>
                <w:rFonts w:hint="eastAsia" w:ascii="宋体" w:hAnsi="宋体" w:cs="宋体"/>
                <w:color w:val="auto"/>
                <w:kern w:val="0"/>
                <w:sz w:val="21"/>
                <w:szCs w:val="21"/>
                <w:highlight w:val="none"/>
                <w:u w:val="none"/>
                <w:lang w:val="en-US" w:eastAsia="zh-CN" w:bidi="ar"/>
              </w:rPr>
              <w:t>1-3</w:t>
            </w:r>
            <w:r>
              <w:rPr>
                <w:rFonts w:hint="eastAsia" w:ascii="宋体" w:hAnsi="宋体" w:eastAsia="宋体" w:cs="宋体"/>
                <w:color w:val="auto"/>
                <w:kern w:val="0"/>
                <w:sz w:val="21"/>
                <w:szCs w:val="21"/>
                <w:highlight w:val="none"/>
                <w:u w:val="none"/>
                <w:lang w:val="en-US" w:eastAsia="zh-CN" w:bidi="ar"/>
              </w:rPr>
              <w:t>分。</w:t>
            </w:r>
          </w:p>
        </w:tc>
      </w:tr>
      <w:tr w14:paraId="17F32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64D84C8D">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527" w:type="pct"/>
            <w:vMerge w:val="continue"/>
            <w:tcBorders>
              <w:tl2br w:val="nil"/>
              <w:tr2bl w:val="nil"/>
            </w:tcBorders>
            <w:shd w:val="clear" w:color="auto" w:fill="auto"/>
            <w:vAlign w:val="center"/>
          </w:tcPr>
          <w:p w14:paraId="49A2B8A3">
            <w:pPr>
              <w:widowControl/>
              <w:spacing w:line="240" w:lineRule="auto"/>
              <w:jc w:val="center"/>
              <w:rPr>
                <w:rFonts w:hint="eastAsia" w:ascii="宋体" w:hAnsi="宋体" w:eastAsia="宋体" w:cs="宋体"/>
                <w:color w:val="auto"/>
                <w:szCs w:val="21"/>
                <w:highlight w:val="none"/>
              </w:rPr>
            </w:pPr>
          </w:p>
        </w:tc>
        <w:tc>
          <w:tcPr>
            <w:tcW w:w="744" w:type="pct"/>
            <w:tcBorders>
              <w:tl2br w:val="nil"/>
              <w:tr2bl w:val="nil"/>
            </w:tcBorders>
            <w:shd w:val="clear" w:color="auto" w:fill="auto"/>
            <w:vAlign w:val="center"/>
          </w:tcPr>
          <w:p w14:paraId="4D80E050">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leftChars="0"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安全保障方案</w:t>
            </w:r>
          </w:p>
        </w:tc>
        <w:tc>
          <w:tcPr>
            <w:tcW w:w="624" w:type="pct"/>
            <w:tcBorders>
              <w:tl2br w:val="nil"/>
              <w:tr2bl w:val="nil"/>
            </w:tcBorders>
            <w:shd w:val="clear" w:color="auto" w:fill="auto"/>
            <w:vAlign w:val="center"/>
          </w:tcPr>
          <w:p w14:paraId="3A7AB6DB">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2646" w:type="pct"/>
            <w:tcBorders>
              <w:tl2br w:val="nil"/>
              <w:tr2bl w:val="nil"/>
            </w:tcBorders>
            <w:shd w:val="clear" w:color="auto" w:fill="auto"/>
            <w:vAlign w:val="center"/>
          </w:tcPr>
          <w:p w14:paraId="4E8611F5">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投标人针对本项目提供安全保障方案，方案包括但不限于：</w:t>
            </w:r>
          </w:p>
          <w:p w14:paraId="44DEC0E5">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食品安全保障方案（至少包含食品安全控制、环境</w:t>
            </w:r>
            <w:r>
              <w:rPr>
                <w:rFonts w:hint="default" w:ascii="宋体" w:hAnsi="宋体" w:eastAsia="宋体" w:cs="宋体"/>
                <w:i w:val="0"/>
                <w:iCs w:val="0"/>
                <w:color w:val="auto"/>
                <w:kern w:val="0"/>
                <w:sz w:val="21"/>
                <w:szCs w:val="21"/>
                <w:highlight w:val="none"/>
                <w:u w:val="none"/>
                <w:lang w:val="en-US" w:eastAsia="zh-CN" w:bidi="ar"/>
              </w:rPr>
              <w:t>卫生控制、食品安全应急服务、服务质量控制方案等）,方案全面、完善有针对性、措施合理、贴合本项目实际情况</w:t>
            </w:r>
            <w:r>
              <w:rPr>
                <w:rFonts w:hint="eastAsia" w:ascii="宋体" w:hAnsi="宋体" w:cs="宋体"/>
                <w:i w:val="0"/>
                <w:iCs w:val="0"/>
                <w:color w:val="auto"/>
                <w:kern w:val="0"/>
                <w:sz w:val="21"/>
                <w:szCs w:val="21"/>
                <w:highlight w:val="none"/>
                <w:u w:val="none"/>
                <w:lang w:val="en-US" w:eastAsia="zh-CN" w:bidi="ar"/>
              </w:rPr>
              <w:t>。</w:t>
            </w:r>
          </w:p>
          <w:p w14:paraId="198ABC67">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firstLine="0" w:firstLineChars="0"/>
              <w:jc w:val="both"/>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w:t>
            </w:r>
            <w:r>
              <w:rPr>
                <w:rFonts w:hint="default" w:ascii="宋体" w:hAnsi="宋体" w:eastAsia="宋体" w:cs="宋体"/>
                <w:i w:val="0"/>
                <w:iCs w:val="0"/>
                <w:color w:val="auto"/>
                <w:kern w:val="0"/>
                <w:sz w:val="21"/>
                <w:szCs w:val="21"/>
                <w:highlight w:val="none"/>
                <w:u w:val="none"/>
                <w:lang w:val="en-US" w:eastAsia="zh-CN" w:bidi="ar"/>
              </w:rPr>
              <w:t>卫生安全管理方案（至少包含食品卫生、人员卫生、环境卫生等），方案全面、完善有针对性、措施合理、贴合本项目实际情况且具有可行性。</w:t>
            </w:r>
          </w:p>
          <w:p w14:paraId="0FFB59E5">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firstLine="0" w:firstLineChars="0"/>
              <w:jc w:val="both"/>
              <w:textAlignment w:val="center"/>
              <w:rPr>
                <w:rFonts w:hint="default" w:ascii="宋体" w:hAnsi="宋体" w:eastAsia="宋体" w:cs="宋体"/>
                <w:i w:val="0"/>
                <w:iCs w:val="0"/>
                <w:color w:val="auto"/>
                <w:kern w:val="0"/>
                <w:sz w:val="21"/>
                <w:szCs w:val="21"/>
                <w:highlight w:val="none"/>
                <w:u w:val="none"/>
                <w:lang w:val="en-US" w:eastAsia="zh-CN" w:bidi="ar"/>
              </w:rPr>
            </w:pPr>
          </w:p>
          <w:p w14:paraId="27F7BCE1">
            <w:pPr>
              <w:keepNext w:val="0"/>
              <w:keepLines w:val="0"/>
              <w:widowControl w:val="0"/>
              <w:suppressLineNumbers w:val="0"/>
              <w:overflowPunct w:val="0"/>
              <w:autoSpaceDE w:val="0"/>
              <w:autoSpaceDN w:val="0"/>
              <w:adjustRightInd w:val="0"/>
              <w:snapToGrid w:val="0"/>
              <w:spacing w:line="240" w:lineRule="auto"/>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根据投标人提供</w:t>
            </w:r>
            <w:r>
              <w:rPr>
                <w:rFonts w:hint="eastAsia" w:ascii="宋体" w:hAnsi="宋体" w:cs="宋体"/>
                <w:i w:val="0"/>
                <w:iCs w:val="0"/>
                <w:color w:val="auto"/>
                <w:kern w:val="0"/>
                <w:sz w:val="21"/>
                <w:szCs w:val="21"/>
                <w:highlight w:val="none"/>
                <w:u w:val="none"/>
                <w:lang w:val="en-US" w:eastAsia="zh-CN" w:bidi="ar"/>
              </w:rPr>
              <w:t>的</w:t>
            </w:r>
            <w:r>
              <w:rPr>
                <w:rFonts w:hint="eastAsia" w:ascii="宋体" w:hAnsi="宋体" w:eastAsia="宋体" w:cs="宋体"/>
                <w:i w:val="0"/>
                <w:iCs w:val="0"/>
                <w:color w:val="auto"/>
                <w:kern w:val="0"/>
                <w:sz w:val="21"/>
                <w:szCs w:val="21"/>
                <w:highlight w:val="none"/>
                <w:u w:val="none"/>
                <w:lang w:val="en-US" w:eastAsia="zh-CN" w:bidi="ar"/>
              </w:rPr>
              <w:t>方案进行综合评分：</w:t>
            </w:r>
          </w:p>
          <w:p w14:paraId="7E9E4A48">
            <w:pPr>
              <w:keepNext w:val="0"/>
              <w:keepLines w:val="0"/>
              <w:widowControl w:val="0"/>
              <w:suppressLineNumbers w:val="0"/>
              <w:overflowPunct w:val="0"/>
              <w:autoSpaceDE w:val="0"/>
              <w:autoSpaceDN w:val="0"/>
              <w:adjustRightInd w:val="0"/>
              <w:snapToGrid w:val="0"/>
              <w:spacing w:line="240" w:lineRule="auto"/>
              <w:jc w:val="both"/>
              <w:textAlignment w:val="center"/>
              <w:rPr>
                <w:rFonts w:hint="eastAsia" w:ascii="宋体" w:hAnsi="宋体" w:eastAsia="宋体" w:cs="宋体"/>
                <w:color w:val="auto"/>
                <w:kern w:val="0"/>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方案</w:t>
            </w:r>
            <w:r>
              <w:rPr>
                <w:rFonts w:hint="eastAsia" w:ascii="宋体" w:hAnsi="宋体" w:eastAsia="宋体" w:cs="宋体"/>
                <w:color w:val="auto"/>
                <w:kern w:val="0"/>
                <w:sz w:val="21"/>
                <w:szCs w:val="21"/>
                <w:highlight w:val="none"/>
                <w:u w:val="none"/>
                <w:lang w:val="en-US" w:eastAsia="zh-CN" w:bidi="ar"/>
              </w:rPr>
              <w:t>科学、合理、可行的，计</w:t>
            </w:r>
            <w:r>
              <w:rPr>
                <w:rFonts w:hint="eastAsia" w:ascii="宋体" w:hAnsi="宋体" w:cs="宋体"/>
                <w:color w:val="auto"/>
                <w:kern w:val="0"/>
                <w:sz w:val="21"/>
                <w:szCs w:val="21"/>
                <w:highlight w:val="none"/>
                <w:u w:val="none"/>
                <w:lang w:val="en-US" w:eastAsia="zh-CN" w:bidi="ar"/>
              </w:rPr>
              <w:t>7-8</w:t>
            </w:r>
            <w:r>
              <w:rPr>
                <w:rFonts w:hint="eastAsia" w:ascii="宋体" w:hAnsi="宋体" w:eastAsia="宋体" w:cs="宋体"/>
                <w:color w:val="auto"/>
                <w:kern w:val="0"/>
                <w:sz w:val="21"/>
                <w:szCs w:val="21"/>
                <w:highlight w:val="none"/>
                <w:u w:val="none"/>
                <w:lang w:val="en-US" w:eastAsia="zh-CN" w:bidi="ar"/>
              </w:rPr>
              <w:t>分；</w:t>
            </w:r>
          </w:p>
          <w:p w14:paraId="51FE4A24">
            <w:pPr>
              <w:keepNext w:val="0"/>
              <w:keepLines w:val="0"/>
              <w:widowControl w:val="0"/>
              <w:suppressLineNumbers w:val="0"/>
              <w:overflowPunct w:val="0"/>
              <w:autoSpaceDE w:val="0"/>
              <w:autoSpaceDN w:val="0"/>
              <w:adjustRightInd w:val="0"/>
              <w:snapToGrid w:val="0"/>
              <w:spacing w:line="240" w:lineRule="auto"/>
              <w:jc w:val="both"/>
              <w:textAlignment w:val="center"/>
              <w:rPr>
                <w:rFonts w:hint="eastAsia" w:ascii="宋体" w:hAnsi="宋体" w:eastAsia="宋体" w:cs="宋体"/>
                <w:color w:val="auto"/>
                <w:kern w:val="0"/>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方案</w:t>
            </w:r>
            <w:r>
              <w:rPr>
                <w:rFonts w:hint="eastAsia" w:ascii="宋体" w:hAnsi="宋体" w:eastAsia="宋体" w:cs="宋体"/>
                <w:color w:val="auto"/>
                <w:kern w:val="0"/>
                <w:sz w:val="21"/>
                <w:szCs w:val="21"/>
                <w:highlight w:val="none"/>
                <w:u w:val="none"/>
                <w:lang w:val="en-US" w:eastAsia="zh-CN" w:bidi="ar"/>
              </w:rPr>
              <w:t>较科学、较合理、较可行的，计</w:t>
            </w:r>
            <w:r>
              <w:rPr>
                <w:rFonts w:hint="eastAsia" w:ascii="宋体" w:hAnsi="宋体" w:cs="宋体"/>
                <w:color w:val="auto"/>
                <w:kern w:val="0"/>
                <w:sz w:val="21"/>
                <w:szCs w:val="21"/>
                <w:highlight w:val="none"/>
                <w:u w:val="none"/>
                <w:lang w:val="en-US" w:eastAsia="zh-CN" w:bidi="ar"/>
              </w:rPr>
              <w:t>4-6</w:t>
            </w:r>
            <w:r>
              <w:rPr>
                <w:rFonts w:hint="eastAsia" w:ascii="宋体" w:hAnsi="宋体" w:eastAsia="宋体" w:cs="宋体"/>
                <w:color w:val="auto"/>
                <w:kern w:val="0"/>
                <w:sz w:val="21"/>
                <w:szCs w:val="21"/>
                <w:highlight w:val="none"/>
                <w:u w:val="none"/>
                <w:lang w:val="en-US" w:eastAsia="zh-CN" w:bidi="ar"/>
              </w:rPr>
              <w:t>分；</w:t>
            </w:r>
          </w:p>
          <w:p w14:paraId="239503CA">
            <w:pPr>
              <w:spacing w:line="240" w:lineRule="auto"/>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方案</w:t>
            </w:r>
            <w:r>
              <w:rPr>
                <w:rFonts w:hint="eastAsia" w:ascii="宋体" w:hAnsi="宋体" w:eastAsia="宋体" w:cs="宋体"/>
                <w:color w:val="auto"/>
                <w:kern w:val="0"/>
                <w:sz w:val="21"/>
                <w:szCs w:val="21"/>
                <w:highlight w:val="none"/>
                <w:u w:val="none"/>
                <w:lang w:val="en-US" w:eastAsia="zh-CN" w:bidi="ar"/>
              </w:rPr>
              <w:t>欠科学、欠合理、欠可行的，计</w:t>
            </w:r>
            <w:r>
              <w:rPr>
                <w:rFonts w:hint="eastAsia" w:ascii="宋体" w:hAnsi="宋体" w:cs="宋体"/>
                <w:color w:val="auto"/>
                <w:kern w:val="0"/>
                <w:sz w:val="21"/>
                <w:szCs w:val="21"/>
                <w:highlight w:val="none"/>
                <w:u w:val="none"/>
                <w:lang w:val="en-US" w:eastAsia="zh-CN" w:bidi="ar"/>
              </w:rPr>
              <w:t>1-3</w:t>
            </w:r>
            <w:r>
              <w:rPr>
                <w:rFonts w:hint="eastAsia" w:ascii="宋体" w:hAnsi="宋体" w:eastAsia="宋体" w:cs="宋体"/>
                <w:color w:val="auto"/>
                <w:kern w:val="0"/>
                <w:sz w:val="21"/>
                <w:szCs w:val="21"/>
                <w:highlight w:val="none"/>
                <w:u w:val="none"/>
                <w:lang w:val="en-US" w:eastAsia="zh-CN" w:bidi="ar"/>
              </w:rPr>
              <w:t>分。</w:t>
            </w:r>
          </w:p>
        </w:tc>
      </w:tr>
      <w:tr w14:paraId="4F91C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01CB273E">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527" w:type="pct"/>
            <w:vMerge w:val="continue"/>
            <w:tcBorders>
              <w:tl2br w:val="nil"/>
              <w:tr2bl w:val="nil"/>
            </w:tcBorders>
            <w:shd w:val="clear" w:color="auto" w:fill="auto"/>
            <w:vAlign w:val="center"/>
          </w:tcPr>
          <w:p w14:paraId="019D7317">
            <w:pPr>
              <w:widowControl/>
              <w:spacing w:line="240" w:lineRule="auto"/>
              <w:jc w:val="center"/>
              <w:rPr>
                <w:rFonts w:hint="eastAsia" w:ascii="宋体" w:hAnsi="宋体" w:eastAsia="宋体" w:cs="宋体"/>
                <w:color w:val="auto"/>
                <w:szCs w:val="21"/>
                <w:highlight w:val="none"/>
              </w:rPr>
            </w:pPr>
          </w:p>
        </w:tc>
        <w:tc>
          <w:tcPr>
            <w:tcW w:w="744" w:type="pct"/>
            <w:tcBorders>
              <w:tl2br w:val="nil"/>
              <w:tr2bl w:val="nil"/>
            </w:tcBorders>
            <w:shd w:val="clear" w:color="auto" w:fill="auto"/>
            <w:vAlign w:val="center"/>
          </w:tcPr>
          <w:p w14:paraId="02EE2170">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leftChars="0"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售后服务方案</w:t>
            </w:r>
          </w:p>
        </w:tc>
        <w:tc>
          <w:tcPr>
            <w:tcW w:w="624" w:type="pct"/>
            <w:tcBorders>
              <w:tl2br w:val="nil"/>
              <w:tr2bl w:val="nil"/>
            </w:tcBorders>
            <w:shd w:val="clear" w:color="auto" w:fill="auto"/>
            <w:vAlign w:val="center"/>
          </w:tcPr>
          <w:p w14:paraId="5C1A8BF4">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2646" w:type="pct"/>
            <w:tcBorders>
              <w:tl2br w:val="nil"/>
              <w:tr2bl w:val="nil"/>
            </w:tcBorders>
            <w:shd w:val="clear" w:color="auto" w:fill="auto"/>
            <w:vAlign w:val="center"/>
          </w:tcPr>
          <w:p w14:paraId="1124D1BC">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投标人针对本项目提供售后服务方案，方案包括但不限于：</w:t>
            </w:r>
          </w:p>
          <w:p w14:paraId="11FFB238">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1.整体售后服务计划：售后服务全流程、物资安排措施、质量把控及时间节点。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2.售后服务团队：人员岗位、各岗位职责。</w:t>
            </w:r>
          </w:p>
          <w:p w14:paraId="3C52E4F1">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p>
          <w:p w14:paraId="2D64FE37">
            <w:pPr>
              <w:keepNext w:val="0"/>
              <w:keepLines w:val="0"/>
              <w:widowControl w:val="0"/>
              <w:suppressLineNumbers w:val="0"/>
              <w:overflowPunct w:val="0"/>
              <w:autoSpaceDE w:val="0"/>
              <w:autoSpaceDN w:val="0"/>
              <w:adjustRightInd w:val="0"/>
              <w:snapToGrid w:val="0"/>
              <w:spacing w:line="240" w:lineRule="auto"/>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根据投标人提供</w:t>
            </w:r>
            <w:r>
              <w:rPr>
                <w:rFonts w:hint="eastAsia" w:ascii="宋体" w:hAnsi="宋体" w:cs="宋体"/>
                <w:i w:val="0"/>
                <w:iCs w:val="0"/>
                <w:color w:val="auto"/>
                <w:kern w:val="0"/>
                <w:sz w:val="21"/>
                <w:szCs w:val="21"/>
                <w:highlight w:val="none"/>
                <w:u w:val="none"/>
                <w:lang w:val="en-US" w:eastAsia="zh-CN" w:bidi="ar"/>
              </w:rPr>
              <w:t>的</w:t>
            </w:r>
            <w:r>
              <w:rPr>
                <w:rFonts w:hint="eastAsia" w:ascii="宋体" w:hAnsi="宋体" w:eastAsia="宋体" w:cs="宋体"/>
                <w:i w:val="0"/>
                <w:iCs w:val="0"/>
                <w:color w:val="auto"/>
                <w:kern w:val="0"/>
                <w:sz w:val="21"/>
                <w:szCs w:val="21"/>
                <w:highlight w:val="none"/>
                <w:u w:val="none"/>
                <w:lang w:val="en-US" w:eastAsia="zh-CN" w:bidi="ar"/>
              </w:rPr>
              <w:t>方案进行综合评分：</w:t>
            </w:r>
          </w:p>
          <w:p w14:paraId="56963C17">
            <w:pPr>
              <w:keepNext w:val="0"/>
              <w:keepLines w:val="0"/>
              <w:widowControl w:val="0"/>
              <w:suppressLineNumbers w:val="0"/>
              <w:overflowPunct w:val="0"/>
              <w:autoSpaceDE w:val="0"/>
              <w:autoSpaceDN w:val="0"/>
              <w:adjustRightInd w:val="0"/>
              <w:snapToGrid w:val="0"/>
              <w:spacing w:line="240" w:lineRule="auto"/>
              <w:jc w:val="both"/>
              <w:textAlignment w:val="center"/>
              <w:rPr>
                <w:rFonts w:hint="eastAsia" w:ascii="宋体" w:hAnsi="宋体" w:eastAsia="宋体" w:cs="宋体"/>
                <w:color w:val="auto"/>
                <w:kern w:val="0"/>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方案</w:t>
            </w:r>
            <w:r>
              <w:rPr>
                <w:rFonts w:hint="eastAsia" w:ascii="宋体" w:hAnsi="宋体" w:eastAsia="宋体" w:cs="宋体"/>
                <w:color w:val="auto"/>
                <w:kern w:val="0"/>
                <w:sz w:val="21"/>
                <w:szCs w:val="21"/>
                <w:highlight w:val="none"/>
                <w:u w:val="none"/>
                <w:lang w:val="en-US" w:eastAsia="zh-CN" w:bidi="ar"/>
              </w:rPr>
              <w:t>科学、合理、可行的，计</w:t>
            </w:r>
            <w:r>
              <w:rPr>
                <w:rFonts w:hint="eastAsia" w:ascii="宋体" w:hAnsi="宋体" w:cs="宋体"/>
                <w:color w:val="auto"/>
                <w:kern w:val="0"/>
                <w:sz w:val="21"/>
                <w:szCs w:val="21"/>
                <w:highlight w:val="none"/>
                <w:u w:val="none"/>
                <w:lang w:val="en-US" w:eastAsia="zh-CN" w:bidi="ar"/>
              </w:rPr>
              <w:t>7-8</w:t>
            </w:r>
            <w:r>
              <w:rPr>
                <w:rFonts w:hint="eastAsia" w:ascii="宋体" w:hAnsi="宋体" w:eastAsia="宋体" w:cs="宋体"/>
                <w:color w:val="auto"/>
                <w:kern w:val="0"/>
                <w:sz w:val="21"/>
                <w:szCs w:val="21"/>
                <w:highlight w:val="none"/>
                <w:u w:val="none"/>
                <w:lang w:val="en-US" w:eastAsia="zh-CN" w:bidi="ar"/>
              </w:rPr>
              <w:t>分；</w:t>
            </w:r>
          </w:p>
          <w:p w14:paraId="2D17E428">
            <w:pPr>
              <w:keepNext w:val="0"/>
              <w:keepLines w:val="0"/>
              <w:widowControl w:val="0"/>
              <w:suppressLineNumbers w:val="0"/>
              <w:overflowPunct w:val="0"/>
              <w:autoSpaceDE w:val="0"/>
              <w:autoSpaceDN w:val="0"/>
              <w:adjustRightInd w:val="0"/>
              <w:snapToGrid w:val="0"/>
              <w:spacing w:line="240" w:lineRule="auto"/>
              <w:jc w:val="both"/>
              <w:textAlignment w:val="center"/>
              <w:rPr>
                <w:rFonts w:hint="eastAsia" w:ascii="宋体" w:hAnsi="宋体" w:eastAsia="宋体" w:cs="宋体"/>
                <w:color w:val="auto"/>
                <w:kern w:val="0"/>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方案</w:t>
            </w:r>
            <w:r>
              <w:rPr>
                <w:rFonts w:hint="eastAsia" w:ascii="宋体" w:hAnsi="宋体" w:eastAsia="宋体" w:cs="宋体"/>
                <w:color w:val="auto"/>
                <w:kern w:val="0"/>
                <w:sz w:val="21"/>
                <w:szCs w:val="21"/>
                <w:highlight w:val="none"/>
                <w:u w:val="none"/>
                <w:lang w:val="en-US" w:eastAsia="zh-CN" w:bidi="ar"/>
              </w:rPr>
              <w:t>较科学、较合理、较可行的，计</w:t>
            </w:r>
            <w:r>
              <w:rPr>
                <w:rFonts w:hint="eastAsia" w:ascii="宋体" w:hAnsi="宋体" w:cs="宋体"/>
                <w:color w:val="auto"/>
                <w:kern w:val="0"/>
                <w:sz w:val="21"/>
                <w:szCs w:val="21"/>
                <w:highlight w:val="none"/>
                <w:u w:val="none"/>
                <w:lang w:val="en-US" w:eastAsia="zh-CN" w:bidi="ar"/>
              </w:rPr>
              <w:t>4-6</w:t>
            </w:r>
            <w:r>
              <w:rPr>
                <w:rFonts w:hint="eastAsia" w:ascii="宋体" w:hAnsi="宋体" w:eastAsia="宋体" w:cs="宋体"/>
                <w:color w:val="auto"/>
                <w:kern w:val="0"/>
                <w:sz w:val="21"/>
                <w:szCs w:val="21"/>
                <w:highlight w:val="none"/>
                <w:u w:val="none"/>
                <w:lang w:val="en-US" w:eastAsia="zh-CN" w:bidi="ar"/>
              </w:rPr>
              <w:t>分；</w:t>
            </w:r>
          </w:p>
          <w:p w14:paraId="53F28358">
            <w:pPr>
              <w:spacing w:line="240" w:lineRule="auto"/>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方案</w:t>
            </w:r>
            <w:r>
              <w:rPr>
                <w:rFonts w:hint="eastAsia" w:ascii="宋体" w:hAnsi="宋体" w:eastAsia="宋体" w:cs="宋体"/>
                <w:color w:val="auto"/>
                <w:kern w:val="0"/>
                <w:sz w:val="21"/>
                <w:szCs w:val="21"/>
                <w:highlight w:val="none"/>
                <w:u w:val="none"/>
                <w:lang w:val="en-US" w:eastAsia="zh-CN" w:bidi="ar"/>
              </w:rPr>
              <w:t>欠科学、欠合理、欠可行的，计</w:t>
            </w:r>
            <w:r>
              <w:rPr>
                <w:rFonts w:hint="eastAsia" w:ascii="宋体" w:hAnsi="宋体" w:cs="宋体"/>
                <w:color w:val="auto"/>
                <w:kern w:val="0"/>
                <w:sz w:val="21"/>
                <w:szCs w:val="21"/>
                <w:highlight w:val="none"/>
                <w:u w:val="none"/>
                <w:lang w:val="en-US" w:eastAsia="zh-CN" w:bidi="ar"/>
              </w:rPr>
              <w:t>1-3</w:t>
            </w:r>
            <w:r>
              <w:rPr>
                <w:rFonts w:hint="eastAsia" w:ascii="宋体" w:hAnsi="宋体" w:eastAsia="宋体" w:cs="宋体"/>
                <w:color w:val="auto"/>
                <w:kern w:val="0"/>
                <w:sz w:val="21"/>
                <w:szCs w:val="21"/>
                <w:highlight w:val="none"/>
                <w:u w:val="none"/>
                <w:lang w:val="en-US" w:eastAsia="zh-CN" w:bidi="ar"/>
              </w:rPr>
              <w:t>分。</w:t>
            </w:r>
          </w:p>
        </w:tc>
      </w:tr>
      <w:tr w14:paraId="3AC43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4002B3E9">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527" w:type="pct"/>
            <w:vMerge w:val="continue"/>
            <w:tcBorders>
              <w:tl2br w:val="nil"/>
              <w:tr2bl w:val="nil"/>
            </w:tcBorders>
            <w:shd w:val="clear" w:color="auto" w:fill="auto"/>
            <w:vAlign w:val="center"/>
          </w:tcPr>
          <w:p w14:paraId="6F5903F8">
            <w:pPr>
              <w:widowControl/>
              <w:spacing w:line="240" w:lineRule="auto"/>
              <w:jc w:val="center"/>
              <w:rPr>
                <w:rFonts w:hint="eastAsia" w:ascii="宋体" w:hAnsi="宋体" w:eastAsia="宋体" w:cs="宋体"/>
                <w:color w:val="auto"/>
                <w:szCs w:val="21"/>
                <w:highlight w:val="none"/>
              </w:rPr>
            </w:pPr>
          </w:p>
        </w:tc>
        <w:tc>
          <w:tcPr>
            <w:tcW w:w="744" w:type="pct"/>
            <w:tcBorders>
              <w:tl2br w:val="nil"/>
              <w:tr2bl w:val="nil"/>
            </w:tcBorders>
            <w:shd w:val="clear" w:color="auto" w:fill="auto"/>
            <w:vAlign w:val="center"/>
          </w:tcPr>
          <w:p w14:paraId="1733BED1">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leftChars="0"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应急预案</w:t>
            </w:r>
          </w:p>
        </w:tc>
        <w:tc>
          <w:tcPr>
            <w:tcW w:w="624" w:type="pct"/>
            <w:tcBorders>
              <w:tl2br w:val="nil"/>
              <w:tr2bl w:val="nil"/>
            </w:tcBorders>
            <w:shd w:val="clear" w:color="auto" w:fill="auto"/>
            <w:vAlign w:val="center"/>
          </w:tcPr>
          <w:p w14:paraId="374C5D10">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2646" w:type="pct"/>
            <w:tcBorders>
              <w:tl2br w:val="nil"/>
              <w:tr2bl w:val="nil"/>
            </w:tcBorders>
            <w:shd w:val="clear" w:color="auto" w:fill="auto"/>
            <w:vAlign w:val="center"/>
          </w:tcPr>
          <w:p w14:paraId="77E1416B">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投标人针对本项目提供特殊情况应急预案，方案包括但不限于：</w:t>
            </w:r>
          </w:p>
          <w:p w14:paraId="297792E4">
            <w:pPr>
              <w:keepNext w:val="0"/>
              <w:keepLines w:val="0"/>
              <w:pageBreakBefore w:val="0"/>
              <w:widowControl w:val="0"/>
              <w:numPr>
                <w:ilvl w:val="0"/>
                <w:numId w:val="0"/>
              </w:numPr>
              <w:suppressLineNumbers w:val="0"/>
              <w:kinsoku/>
              <w:wordWrap/>
              <w:overflowPunct w:val="0"/>
              <w:topLinePunct w:val="0"/>
              <w:autoSpaceDE w:val="0"/>
              <w:autoSpaceDN w:val="0"/>
              <w:bidi w:val="0"/>
              <w:adjustRightInd w:val="0"/>
              <w:snapToGrid w:val="0"/>
              <w:spacing w:line="240" w:lineRule="auto"/>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紧急供货预案：①各类紧急事件应对计划；②应急保障。</w:t>
            </w:r>
          </w:p>
          <w:p w14:paraId="27564304">
            <w:pPr>
              <w:keepNext w:val="0"/>
              <w:keepLines w:val="0"/>
              <w:pageBreakBefore w:val="0"/>
              <w:widowControl w:val="0"/>
              <w:numPr>
                <w:ilvl w:val="0"/>
                <w:numId w:val="0"/>
              </w:numPr>
              <w:suppressLineNumbers w:val="0"/>
              <w:kinsoku/>
              <w:wordWrap/>
              <w:overflowPunct w:val="0"/>
              <w:topLinePunct w:val="0"/>
              <w:autoSpaceDE w:val="0"/>
              <w:autoSpaceDN w:val="0"/>
              <w:bidi w:val="0"/>
              <w:adjustRightInd w:val="0"/>
              <w:snapToGrid w:val="0"/>
              <w:spacing w:line="240" w:lineRule="auto"/>
              <w:ind w:left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车辆安全事故预案：①事件应对计划；②应急保障。</w:t>
            </w:r>
          </w:p>
          <w:p w14:paraId="5676446E">
            <w:pPr>
              <w:keepNext w:val="0"/>
              <w:keepLines w:val="0"/>
              <w:pageBreakBefore w:val="0"/>
              <w:widowControl w:val="0"/>
              <w:numPr>
                <w:ilvl w:val="0"/>
                <w:numId w:val="0"/>
              </w:numPr>
              <w:suppressLineNumbers w:val="0"/>
              <w:kinsoku/>
              <w:wordWrap/>
              <w:overflowPunct w:val="0"/>
              <w:topLinePunct w:val="0"/>
              <w:autoSpaceDE w:val="0"/>
              <w:autoSpaceDN w:val="0"/>
              <w:bidi w:val="0"/>
              <w:adjustRightInd w:val="0"/>
              <w:snapToGrid w:val="0"/>
              <w:spacing w:line="240" w:lineRule="auto"/>
              <w:ind w:left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3.配送人员特殊情况预案：①各类紧急事件应对计划；②应急保障。</w:t>
            </w:r>
          </w:p>
          <w:p w14:paraId="4A870D5D">
            <w:pPr>
              <w:keepNext w:val="0"/>
              <w:keepLines w:val="0"/>
              <w:pageBreakBefore w:val="0"/>
              <w:widowControl w:val="0"/>
              <w:numPr>
                <w:ilvl w:val="0"/>
                <w:numId w:val="0"/>
              </w:numPr>
              <w:suppressLineNumbers w:val="0"/>
              <w:kinsoku/>
              <w:wordWrap/>
              <w:overflowPunct w:val="0"/>
              <w:topLinePunct w:val="0"/>
              <w:autoSpaceDE w:val="0"/>
              <w:autoSpaceDN w:val="0"/>
              <w:bidi w:val="0"/>
              <w:adjustRightInd w:val="0"/>
              <w:snapToGrid w:val="0"/>
              <w:spacing w:line="240" w:lineRule="auto"/>
              <w:ind w:left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4.食品安全事故预案：①事件应对计划；②预防处置措施。</w:t>
            </w:r>
          </w:p>
          <w:p w14:paraId="48387C9A">
            <w:pPr>
              <w:keepNext w:val="0"/>
              <w:keepLines w:val="0"/>
              <w:pageBreakBefore w:val="0"/>
              <w:widowControl w:val="0"/>
              <w:numPr>
                <w:ilvl w:val="0"/>
                <w:numId w:val="0"/>
              </w:numPr>
              <w:suppressLineNumbers w:val="0"/>
              <w:kinsoku/>
              <w:wordWrap/>
              <w:overflowPunct w:val="0"/>
              <w:topLinePunct w:val="0"/>
              <w:autoSpaceDE w:val="0"/>
              <w:autoSpaceDN w:val="0"/>
              <w:bidi w:val="0"/>
              <w:adjustRightInd w:val="0"/>
              <w:snapToGrid w:val="0"/>
              <w:spacing w:line="240" w:lineRule="auto"/>
              <w:ind w:left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5.出现产品质量问题退换货流程：①退换货落实到人员，责任落实到位；②退换货如何保证采购人食堂正常运转。</w:t>
            </w:r>
          </w:p>
          <w:p w14:paraId="5DA69505">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p>
          <w:p w14:paraId="32E705A2">
            <w:pPr>
              <w:keepNext w:val="0"/>
              <w:keepLines w:val="0"/>
              <w:widowControl w:val="0"/>
              <w:suppressLineNumbers w:val="0"/>
              <w:overflowPunct w:val="0"/>
              <w:autoSpaceDE w:val="0"/>
              <w:autoSpaceDN w:val="0"/>
              <w:adjustRightInd w:val="0"/>
              <w:snapToGrid w:val="0"/>
              <w:spacing w:line="240" w:lineRule="auto"/>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根据投标人提供</w:t>
            </w:r>
            <w:r>
              <w:rPr>
                <w:rFonts w:hint="eastAsia" w:ascii="宋体" w:hAnsi="宋体" w:cs="宋体"/>
                <w:i w:val="0"/>
                <w:iCs w:val="0"/>
                <w:color w:val="auto"/>
                <w:kern w:val="0"/>
                <w:sz w:val="21"/>
                <w:szCs w:val="21"/>
                <w:highlight w:val="none"/>
                <w:u w:val="none"/>
                <w:lang w:val="en-US" w:eastAsia="zh-CN" w:bidi="ar"/>
              </w:rPr>
              <w:t>的</w:t>
            </w:r>
            <w:r>
              <w:rPr>
                <w:rFonts w:hint="eastAsia" w:ascii="宋体" w:hAnsi="宋体" w:eastAsia="宋体" w:cs="宋体"/>
                <w:i w:val="0"/>
                <w:iCs w:val="0"/>
                <w:color w:val="auto"/>
                <w:kern w:val="0"/>
                <w:sz w:val="21"/>
                <w:szCs w:val="21"/>
                <w:highlight w:val="none"/>
                <w:u w:val="none"/>
                <w:lang w:val="en-US" w:eastAsia="zh-CN" w:bidi="ar"/>
              </w:rPr>
              <w:t>方案进行综合评分：</w:t>
            </w:r>
          </w:p>
          <w:p w14:paraId="55906B3B">
            <w:pPr>
              <w:keepNext w:val="0"/>
              <w:keepLines w:val="0"/>
              <w:widowControl w:val="0"/>
              <w:suppressLineNumbers w:val="0"/>
              <w:overflowPunct w:val="0"/>
              <w:autoSpaceDE w:val="0"/>
              <w:autoSpaceDN w:val="0"/>
              <w:adjustRightInd w:val="0"/>
              <w:snapToGrid w:val="0"/>
              <w:spacing w:line="240" w:lineRule="auto"/>
              <w:jc w:val="both"/>
              <w:textAlignment w:val="center"/>
              <w:rPr>
                <w:rFonts w:hint="eastAsia" w:ascii="宋体" w:hAnsi="宋体" w:eastAsia="宋体" w:cs="宋体"/>
                <w:color w:val="auto"/>
                <w:kern w:val="0"/>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方案</w:t>
            </w:r>
            <w:r>
              <w:rPr>
                <w:rFonts w:hint="eastAsia" w:ascii="宋体" w:hAnsi="宋体" w:eastAsia="宋体" w:cs="宋体"/>
                <w:color w:val="auto"/>
                <w:kern w:val="0"/>
                <w:sz w:val="21"/>
                <w:szCs w:val="21"/>
                <w:highlight w:val="none"/>
                <w:u w:val="none"/>
                <w:lang w:val="en-US" w:eastAsia="zh-CN" w:bidi="ar"/>
              </w:rPr>
              <w:t>科学、合理、可行的，计</w:t>
            </w:r>
            <w:r>
              <w:rPr>
                <w:rFonts w:hint="eastAsia" w:ascii="宋体" w:hAnsi="宋体" w:cs="宋体"/>
                <w:color w:val="auto"/>
                <w:kern w:val="0"/>
                <w:sz w:val="21"/>
                <w:szCs w:val="21"/>
                <w:highlight w:val="none"/>
                <w:u w:val="none"/>
                <w:lang w:val="en-US" w:eastAsia="zh-CN" w:bidi="ar"/>
              </w:rPr>
              <w:t>7-8</w:t>
            </w:r>
            <w:r>
              <w:rPr>
                <w:rFonts w:hint="eastAsia" w:ascii="宋体" w:hAnsi="宋体" w:eastAsia="宋体" w:cs="宋体"/>
                <w:color w:val="auto"/>
                <w:kern w:val="0"/>
                <w:sz w:val="21"/>
                <w:szCs w:val="21"/>
                <w:highlight w:val="none"/>
                <w:u w:val="none"/>
                <w:lang w:val="en-US" w:eastAsia="zh-CN" w:bidi="ar"/>
              </w:rPr>
              <w:t>分；</w:t>
            </w:r>
          </w:p>
          <w:p w14:paraId="4E7C9FE6">
            <w:pPr>
              <w:keepNext w:val="0"/>
              <w:keepLines w:val="0"/>
              <w:widowControl w:val="0"/>
              <w:suppressLineNumbers w:val="0"/>
              <w:overflowPunct w:val="0"/>
              <w:autoSpaceDE w:val="0"/>
              <w:autoSpaceDN w:val="0"/>
              <w:adjustRightInd w:val="0"/>
              <w:snapToGrid w:val="0"/>
              <w:spacing w:line="240" w:lineRule="auto"/>
              <w:jc w:val="both"/>
              <w:textAlignment w:val="center"/>
              <w:rPr>
                <w:rFonts w:hint="eastAsia" w:ascii="宋体" w:hAnsi="宋体" w:eastAsia="宋体" w:cs="宋体"/>
                <w:color w:val="auto"/>
                <w:kern w:val="0"/>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方案</w:t>
            </w:r>
            <w:r>
              <w:rPr>
                <w:rFonts w:hint="eastAsia" w:ascii="宋体" w:hAnsi="宋体" w:eastAsia="宋体" w:cs="宋体"/>
                <w:color w:val="auto"/>
                <w:kern w:val="0"/>
                <w:sz w:val="21"/>
                <w:szCs w:val="21"/>
                <w:highlight w:val="none"/>
                <w:u w:val="none"/>
                <w:lang w:val="en-US" w:eastAsia="zh-CN" w:bidi="ar"/>
              </w:rPr>
              <w:t>较科学、较合理、较可行的，计</w:t>
            </w:r>
            <w:r>
              <w:rPr>
                <w:rFonts w:hint="eastAsia" w:ascii="宋体" w:hAnsi="宋体" w:cs="宋体"/>
                <w:color w:val="auto"/>
                <w:kern w:val="0"/>
                <w:sz w:val="21"/>
                <w:szCs w:val="21"/>
                <w:highlight w:val="none"/>
                <w:u w:val="none"/>
                <w:lang w:val="en-US" w:eastAsia="zh-CN" w:bidi="ar"/>
              </w:rPr>
              <w:t>4-6</w:t>
            </w:r>
            <w:r>
              <w:rPr>
                <w:rFonts w:hint="eastAsia" w:ascii="宋体" w:hAnsi="宋体" w:eastAsia="宋体" w:cs="宋体"/>
                <w:color w:val="auto"/>
                <w:kern w:val="0"/>
                <w:sz w:val="21"/>
                <w:szCs w:val="21"/>
                <w:highlight w:val="none"/>
                <w:u w:val="none"/>
                <w:lang w:val="en-US" w:eastAsia="zh-CN" w:bidi="ar"/>
              </w:rPr>
              <w:t>分；</w:t>
            </w:r>
          </w:p>
          <w:p w14:paraId="4E7223CE">
            <w:pPr>
              <w:spacing w:line="240" w:lineRule="auto"/>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方案</w:t>
            </w:r>
            <w:r>
              <w:rPr>
                <w:rFonts w:hint="eastAsia" w:ascii="宋体" w:hAnsi="宋体" w:eastAsia="宋体" w:cs="宋体"/>
                <w:color w:val="auto"/>
                <w:kern w:val="0"/>
                <w:sz w:val="21"/>
                <w:szCs w:val="21"/>
                <w:highlight w:val="none"/>
                <w:u w:val="none"/>
                <w:lang w:val="en-US" w:eastAsia="zh-CN" w:bidi="ar"/>
              </w:rPr>
              <w:t>欠科学、欠合理、欠可行的，计</w:t>
            </w:r>
            <w:r>
              <w:rPr>
                <w:rFonts w:hint="eastAsia" w:ascii="宋体" w:hAnsi="宋体" w:cs="宋体"/>
                <w:color w:val="auto"/>
                <w:kern w:val="0"/>
                <w:sz w:val="21"/>
                <w:szCs w:val="21"/>
                <w:highlight w:val="none"/>
                <w:u w:val="none"/>
                <w:lang w:val="en-US" w:eastAsia="zh-CN" w:bidi="ar"/>
              </w:rPr>
              <w:t>1-3</w:t>
            </w:r>
            <w:r>
              <w:rPr>
                <w:rFonts w:hint="eastAsia" w:ascii="宋体" w:hAnsi="宋体" w:eastAsia="宋体" w:cs="宋体"/>
                <w:color w:val="auto"/>
                <w:kern w:val="0"/>
                <w:sz w:val="21"/>
                <w:szCs w:val="21"/>
                <w:highlight w:val="none"/>
                <w:u w:val="none"/>
                <w:lang w:val="en-US" w:eastAsia="zh-CN" w:bidi="ar"/>
              </w:rPr>
              <w:t>分。</w:t>
            </w:r>
          </w:p>
        </w:tc>
      </w:tr>
      <w:tr w14:paraId="7595E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7874F5DF">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1271" w:type="pct"/>
            <w:gridSpan w:val="2"/>
            <w:tcBorders>
              <w:tl2br w:val="nil"/>
              <w:tr2bl w:val="nil"/>
            </w:tcBorders>
            <w:shd w:val="clear" w:color="auto" w:fill="auto"/>
            <w:vAlign w:val="center"/>
          </w:tcPr>
          <w:p w14:paraId="70222CA0">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合计</w:t>
            </w:r>
          </w:p>
        </w:tc>
        <w:tc>
          <w:tcPr>
            <w:tcW w:w="624" w:type="pct"/>
            <w:tcBorders>
              <w:tl2br w:val="nil"/>
              <w:tr2bl w:val="nil"/>
            </w:tcBorders>
            <w:shd w:val="clear" w:color="auto" w:fill="auto"/>
            <w:vAlign w:val="center"/>
          </w:tcPr>
          <w:p w14:paraId="4A181406">
            <w:pPr>
              <w:keepNext w:val="0"/>
              <w:keepLines w:val="0"/>
              <w:pageBreakBefore w:val="0"/>
              <w:widowControl/>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40</w:t>
            </w:r>
          </w:p>
        </w:tc>
        <w:tc>
          <w:tcPr>
            <w:tcW w:w="2646" w:type="pct"/>
            <w:tcBorders>
              <w:tl2br w:val="nil"/>
              <w:tr2bl w:val="nil"/>
            </w:tcBorders>
            <w:shd w:val="clear" w:color="auto" w:fill="auto"/>
            <w:vAlign w:val="center"/>
          </w:tcPr>
          <w:p w14:paraId="08D96EC7">
            <w:pPr>
              <w:keepNext w:val="0"/>
              <w:keepLines w:val="0"/>
              <w:pageBreakBefore w:val="0"/>
              <w:kinsoku/>
              <w:topLinePunct w:val="0"/>
              <w:bidi w:val="0"/>
              <w:spacing w:line="240" w:lineRule="auto"/>
              <w:jc w:val="left"/>
              <w:rPr>
                <w:rFonts w:hint="eastAsia" w:ascii="宋体" w:hAnsi="宋体" w:eastAsia="宋体" w:cs="宋体"/>
                <w:color w:val="auto"/>
                <w:szCs w:val="21"/>
                <w:highlight w:val="none"/>
              </w:rPr>
            </w:pPr>
          </w:p>
        </w:tc>
      </w:tr>
      <w:tr w14:paraId="18FC1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3990DD81">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4543" w:type="pct"/>
            <w:gridSpan w:val="4"/>
            <w:tcBorders>
              <w:tl2br w:val="nil"/>
              <w:tr2bl w:val="nil"/>
            </w:tcBorders>
            <w:shd w:val="clear" w:color="auto" w:fill="auto"/>
            <w:vAlign w:val="center"/>
          </w:tcPr>
          <w:p w14:paraId="677EF862">
            <w:pPr>
              <w:widowControl/>
              <w:spacing w:line="240" w:lineRule="auto"/>
              <w:jc w:val="left"/>
              <w:rPr>
                <w:rFonts w:ascii="宋体" w:hAnsi="宋体" w:cs="宋体"/>
                <w:b/>
                <w:iCs/>
                <w:color w:val="auto"/>
                <w:szCs w:val="21"/>
                <w:highlight w:val="none"/>
              </w:rPr>
            </w:pPr>
            <w:r>
              <w:rPr>
                <w:rFonts w:hint="eastAsia" w:ascii="宋体" w:hAnsi="宋体" w:cs="宋体"/>
                <w:b/>
                <w:iCs/>
                <w:color w:val="auto"/>
                <w:szCs w:val="21"/>
                <w:highlight w:val="none"/>
              </w:rPr>
              <w:t>备注：</w:t>
            </w:r>
          </w:p>
          <w:p w14:paraId="7F8EB2BF">
            <w:pPr>
              <w:widowControl/>
              <w:spacing w:line="240" w:lineRule="auto"/>
              <w:jc w:val="left"/>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eastAsia="宋体" w:cs="宋体"/>
                <w:color w:val="auto"/>
                <w:kern w:val="2"/>
                <w:sz w:val="21"/>
                <w:szCs w:val="21"/>
                <w:highlight w:val="none"/>
                <w:lang w:val="en-US" w:eastAsia="zh-CN" w:bidi="ar-SA"/>
              </w:rPr>
              <w:t>技术部分单项得分为评标委员会成员个人评审计分的算术平均值</w:t>
            </w:r>
            <w:r>
              <w:rPr>
                <w:rFonts w:hint="eastAsia" w:ascii="宋体" w:hAnsi="宋体" w:cs="宋体"/>
                <w:color w:val="auto"/>
                <w:szCs w:val="21"/>
                <w:highlight w:val="none"/>
              </w:rPr>
              <w:t>。</w:t>
            </w:r>
          </w:p>
          <w:p w14:paraId="1D2CD549">
            <w:pPr>
              <w:keepNext w:val="0"/>
              <w:keepLines w:val="0"/>
              <w:pageBreakBefore w:val="0"/>
              <w:widowControl/>
              <w:kinsoku/>
              <w:topLinePunct w:val="0"/>
              <w:bidi w:val="0"/>
              <w:spacing w:line="240" w:lineRule="auto"/>
              <w:jc w:val="left"/>
              <w:rPr>
                <w:rFonts w:hint="eastAsia" w:ascii="宋体" w:hAnsi="宋体" w:eastAsia="宋体" w:cs="宋体"/>
                <w:color w:val="auto"/>
                <w:szCs w:val="21"/>
                <w:highlight w:val="none"/>
              </w:rPr>
            </w:pPr>
            <w:r>
              <w:rPr>
                <w:rFonts w:hint="eastAsia" w:ascii="宋体" w:hAnsi="宋体" w:cs="宋体"/>
                <w:color w:val="auto"/>
                <w:szCs w:val="21"/>
                <w:highlight w:val="none"/>
              </w:rPr>
              <w:t>2.</w:t>
            </w:r>
            <w:r>
              <w:rPr>
                <w:rFonts w:hint="eastAsia" w:ascii="宋体" w:hAnsi="宋体" w:eastAsia="宋体" w:cs="宋体"/>
                <w:color w:val="auto"/>
                <w:kern w:val="2"/>
                <w:sz w:val="21"/>
                <w:szCs w:val="21"/>
                <w:highlight w:val="none"/>
                <w:lang w:val="en-US" w:eastAsia="zh-CN" w:bidi="ar-SA"/>
              </w:rPr>
              <w:t>投标文件缺失某项评审因素的，该项计零分</w:t>
            </w:r>
            <w:r>
              <w:rPr>
                <w:rFonts w:hint="eastAsia" w:ascii="宋体" w:hAnsi="宋体" w:cs="宋体"/>
                <w:color w:val="auto"/>
                <w:szCs w:val="21"/>
                <w:highlight w:val="none"/>
              </w:rPr>
              <w:t>。</w:t>
            </w:r>
          </w:p>
        </w:tc>
      </w:tr>
      <w:tr w14:paraId="58909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restart"/>
            <w:tcBorders>
              <w:tl2br w:val="nil"/>
              <w:tr2bl w:val="nil"/>
            </w:tcBorders>
            <w:vAlign w:val="center"/>
          </w:tcPr>
          <w:p w14:paraId="3721C523">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w:t>
            </w:r>
          </w:p>
          <w:p w14:paraId="544502B7">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（3）</w:t>
            </w:r>
          </w:p>
        </w:tc>
        <w:tc>
          <w:tcPr>
            <w:tcW w:w="4543" w:type="pct"/>
            <w:gridSpan w:val="4"/>
            <w:tcBorders>
              <w:tl2br w:val="nil"/>
              <w:tr2bl w:val="nil"/>
            </w:tcBorders>
            <w:shd w:val="clear" w:color="auto" w:fill="auto"/>
            <w:vAlign w:val="center"/>
          </w:tcPr>
          <w:p w14:paraId="4A8508F3">
            <w:pPr>
              <w:keepNext w:val="0"/>
              <w:keepLines w:val="0"/>
              <w:pageBreakBefore w:val="0"/>
              <w:kinsoku/>
              <w:topLinePunct w:val="0"/>
              <w:bidi w:val="0"/>
              <w:spacing w:line="240" w:lineRule="auto"/>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报价部分详细评分标准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30分</w:t>
            </w:r>
            <w:r>
              <w:rPr>
                <w:rFonts w:hint="eastAsia" w:ascii="宋体" w:hAnsi="宋体" w:eastAsia="宋体" w:cs="宋体"/>
                <w:color w:val="auto"/>
                <w:szCs w:val="21"/>
                <w:highlight w:val="none"/>
                <w:lang w:eastAsia="zh-CN"/>
              </w:rPr>
              <w:t>）</w:t>
            </w:r>
          </w:p>
        </w:tc>
      </w:tr>
      <w:tr w14:paraId="6FF54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242BF223">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4543" w:type="pct"/>
            <w:gridSpan w:val="4"/>
            <w:tcBorders>
              <w:tl2br w:val="nil"/>
              <w:tr2bl w:val="nil"/>
            </w:tcBorders>
            <w:shd w:val="clear" w:color="auto" w:fill="auto"/>
            <w:vAlign w:val="center"/>
          </w:tcPr>
          <w:p w14:paraId="6D431299">
            <w:pPr>
              <w:widowControl/>
              <w:spacing w:line="240" w:lineRule="auto"/>
              <w:jc w:val="left"/>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1.计算平均价格</w:t>
            </w:r>
          </w:p>
          <w:p w14:paraId="53CDA7BB">
            <w:pPr>
              <w:widowControl/>
              <w:spacing w:line="240" w:lineRule="auto"/>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1.1.计算经济评审阶段合格</w:t>
            </w:r>
            <w:r>
              <w:rPr>
                <w:rFonts w:hint="eastAsia" w:ascii="宋体" w:hAnsi="宋体" w:cs="宋体"/>
                <w:bCs/>
                <w:color w:val="auto"/>
                <w:kern w:val="2"/>
                <w:sz w:val="21"/>
                <w:szCs w:val="21"/>
                <w:highlight w:val="none"/>
                <w:lang w:val="en-US" w:eastAsia="zh-CN" w:bidi="ar-SA"/>
              </w:rPr>
              <w:t>投标人</w:t>
            </w:r>
            <w:r>
              <w:rPr>
                <w:rFonts w:hint="eastAsia" w:ascii="宋体" w:hAnsi="宋体" w:eastAsia="宋体" w:cs="宋体"/>
                <w:bCs/>
                <w:color w:val="auto"/>
                <w:kern w:val="2"/>
                <w:sz w:val="21"/>
                <w:szCs w:val="21"/>
                <w:highlight w:val="none"/>
                <w:lang w:val="en-US" w:eastAsia="zh-CN" w:bidi="ar-SA"/>
              </w:rPr>
              <w:t>的</w:t>
            </w:r>
            <w:r>
              <w:rPr>
                <w:rFonts w:hint="eastAsia" w:ascii="宋体" w:hAnsi="宋体" w:cs="宋体"/>
                <w:bCs/>
                <w:color w:val="auto"/>
                <w:kern w:val="2"/>
                <w:sz w:val="21"/>
                <w:szCs w:val="21"/>
                <w:highlight w:val="none"/>
                <w:lang w:val="en-US" w:eastAsia="zh-CN" w:bidi="ar-SA"/>
              </w:rPr>
              <w:t>投标报价</w:t>
            </w:r>
            <w:r>
              <w:rPr>
                <w:rFonts w:hint="eastAsia" w:ascii="宋体" w:hAnsi="宋体" w:eastAsia="宋体" w:cs="宋体"/>
                <w:bCs/>
                <w:color w:val="auto"/>
                <w:kern w:val="2"/>
                <w:sz w:val="21"/>
                <w:szCs w:val="21"/>
                <w:highlight w:val="none"/>
                <w:lang w:val="en-US" w:eastAsia="zh-CN" w:bidi="ar-SA"/>
              </w:rPr>
              <w:t>算术平均值，得出Pa。</w:t>
            </w:r>
          </w:p>
          <w:p w14:paraId="0610B023">
            <w:pPr>
              <w:widowControl/>
              <w:spacing w:line="240" w:lineRule="auto"/>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1.1.1.如合格</w:t>
            </w:r>
            <w:r>
              <w:rPr>
                <w:rFonts w:hint="eastAsia" w:ascii="宋体" w:hAnsi="宋体" w:cs="宋体"/>
                <w:bCs/>
                <w:color w:val="auto"/>
                <w:kern w:val="2"/>
                <w:sz w:val="21"/>
                <w:szCs w:val="21"/>
                <w:highlight w:val="none"/>
                <w:lang w:val="en-US" w:eastAsia="zh-CN" w:bidi="ar-SA"/>
              </w:rPr>
              <w:t>投标人</w:t>
            </w:r>
            <w:r>
              <w:rPr>
                <w:rFonts w:hint="eastAsia" w:ascii="宋体" w:hAnsi="宋体" w:eastAsia="宋体" w:cs="宋体"/>
                <w:bCs/>
                <w:color w:val="auto"/>
                <w:kern w:val="2"/>
                <w:sz w:val="21"/>
                <w:szCs w:val="21"/>
                <w:highlight w:val="none"/>
                <w:lang w:val="en-US" w:eastAsia="zh-CN" w:bidi="ar-SA"/>
              </w:rPr>
              <w:t>在5家及以上，则先去掉一个最高</w:t>
            </w:r>
            <w:r>
              <w:rPr>
                <w:rFonts w:hint="eastAsia" w:ascii="宋体" w:hAnsi="宋体" w:cs="宋体"/>
                <w:bCs/>
                <w:color w:val="auto"/>
                <w:kern w:val="2"/>
                <w:sz w:val="21"/>
                <w:szCs w:val="21"/>
                <w:highlight w:val="none"/>
                <w:lang w:val="en-US" w:eastAsia="zh-CN" w:bidi="ar-SA"/>
              </w:rPr>
              <w:t>投标报价</w:t>
            </w:r>
            <w:r>
              <w:rPr>
                <w:rFonts w:hint="eastAsia" w:ascii="宋体" w:hAnsi="宋体" w:eastAsia="宋体" w:cs="宋体"/>
                <w:bCs/>
                <w:color w:val="auto"/>
                <w:kern w:val="2"/>
                <w:sz w:val="21"/>
                <w:szCs w:val="21"/>
                <w:highlight w:val="none"/>
                <w:lang w:val="en-US" w:eastAsia="zh-CN" w:bidi="ar-SA"/>
              </w:rPr>
              <w:t>和一个最低</w:t>
            </w:r>
            <w:r>
              <w:rPr>
                <w:rFonts w:hint="eastAsia" w:ascii="宋体" w:hAnsi="宋体" w:cs="宋体"/>
                <w:bCs/>
                <w:color w:val="auto"/>
                <w:kern w:val="2"/>
                <w:sz w:val="21"/>
                <w:szCs w:val="21"/>
                <w:highlight w:val="none"/>
                <w:lang w:val="en-US" w:eastAsia="zh-CN" w:bidi="ar-SA"/>
              </w:rPr>
              <w:t>投标报价</w:t>
            </w:r>
            <w:r>
              <w:rPr>
                <w:rFonts w:hint="eastAsia" w:ascii="宋体" w:hAnsi="宋体" w:eastAsia="宋体" w:cs="宋体"/>
                <w:bCs/>
                <w:color w:val="auto"/>
                <w:kern w:val="2"/>
                <w:sz w:val="21"/>
                <w:szCs w:val="21"/>
                <w:highlight w:val="none"/>
                <w:lang w:val="en-US" w:eastAsia="zh-CN" w:bidi="ar-SA"/>
              </w:rPr>
              <w:t>，对剩余合格</w:t>
            </w:r>
            <w:r>
              <w:rPr>
                <w:rFonts w:hint="eastAsia" w:ascii="宋体" w:hAnsi="宋体" w:cs="宋体"/>
                <w:bCs/>
                <w:color w:val="auto"/>
                <w:kern w:val="2"/>
                <w:sz w:val="21"/>
                <w:szCs w:val="21"/>
                <w:highlight w:val="none"/>
                <w:lang w:val="en-US" w:eastAsia="zh-CN" w:bidi="ar-SA"/>
              </w:rPr>
              <w:t>投标人</w:t>
            </w:r>
            <w:r>
              <w:rPr>
                <w:rFonts w:hint="eastAsia" w:ascii="宋体" w:hAnsi="宋体" w:eastAsia="宋体" w:cs="宋体"/>
                <w:bCs/>
                <w:color w:val="auto"/>
                <w:kern w:val="2"/>
                <w:sz w:val="21"/>
                <w:szCs w:val="21"/>
                <w:highlight w:val="none"/>
                <w:lang w:val="en-US" w:eastAsia="zh-CN" w:bidi="ar-SA"/>
              </w:rPr>
              <w:t>的</w:t>
            </w:r>
            <w:r>
              <w:rPr>
                <w:rFonts w:hint="eastAsia" w:ascii="宋体" w:hAnsi="宋体" w:cs="宋体"/>
                <w:bCs/>
                <w:color w:val="auto"/>
                <w:kern w:val="2"/>
                <w:sz w:val="21"/>
                <w:szCs w:val="21"/>
                <w:highlight w:val="none"/>
                <w:lang w:val="en-US" w:eastAsia="zh-CN" w:bidi="ar-SA"/>
              </w:rPr>
              <w:t>投标报价</w:t>
            </w:r>
            <w:r>
              <w:rPr>
                <w:rFonts w:hint="eastAsia" w:ascii="宋体" w:hAnsi="宋体" w:eastAsia="宋体" w:cs="宋体"/>
                <w:bCs/>
                <w:color w:val="auto"/>
                <w:kern w:val="2"/>
                <w:sz w:val="21"/>
                <w:szCs w:val="21"/>
                <w:highlight w:val="none"/>
                <w:lang w:val="en-US" w:eastAsia="zh-CN" w:bidi="ar-SA"/>
              </w:rPr>
              <w:t>进行算术平均。</w:t>
            </w:r>
          </w:p>
          <w:p w14:paraId="3759176E">
            <w:pPr>
              <w:widowControl/>
              <w:spacing w:line="240" w:lineRule="auto"/>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1.1.2.如合格</w:t>
            </w:r>
            <w:r>
              <w:rPr>
                <w:rFonts w:hint="eastAsia" w:ascii="宋体" w:hAnsi="宋体" w:cs="宋体"/>
                <w:bCs/>
                <w:color w:val="auto"/>
                <w:kern w:val="2"/>
                <w:sz w:val="21"/>
                <w:szCs w:val="21"/>
                <w:highlight w:val="none"/>
                <w:lang w:val="en-US" w:eastAsia="zh-CN" w:bidi="ar-SA"/>
              </w:rPr>
              <w:t>投标人</w:t>
            </w:r>
            <w:r>
              <w:rPr>
                <w:rFonts w:hint="eastAsia" w:ascii="宋体" w:hAnsi="宋体" w:eastAsia="宋体" w:cs="宋体"/>
                <w:bCs/>
                <w:color w:val="auto"/>
                <w:kern w:val="2"/>
                <w:sz w:val="21"/>
                <w:szCs w:val="21"/>
                <w:highlight w:val="none"/>
                <w:lang w:val="en-US" w:eastAsia="zh-CN" w:bidi="ar-SA"/>
              </w:rPr>
              <w:t>不足5家，则直接对所有合格</w:t>
            </w:r>
            <w:r>
              <w:rPr>
                <w:rFonts w:hint="eastAsia" w:ascii="宋体" w:hAnsi="宋体" w:cs="宋体"/>
                <w:bCs/>
                <w:color w:val="auto"/>
                <w:kern w:val="2"/>
                <w:sz w:val="21"/>
                <w:szCs w:val="21"/>
                <w:highlight w:val="none"/>
                <w:lang w:val="en-US" w:eastAsia="zh-CN" w:bidi="ar-SA"/>
              </w:rPr>
              <w:t>投标人</w:t>
            </w:r>
            <w:r>
              <w:rPr>
                <w:rFonts w:hint="eastAsia" w:ascii="宋体" w:hAnsi="宋体" w:eastAsia="宋体" w:cs="宋体"/>
                <w:bCs/>
                <w:color w:val="auto"/>
                <w:kern w:val="2"/>
                <w:sz w:val="21"/>
                <w:szCs w:val="21"/>
                <w:highlight w:val="none"/>
                <w:lang w:val="en-US" w:eastAsia="zh-CN" w:bidi="ar-SA"/>
              </w:rPr>
              <w:t>的</w:t>
            </w:r>
            <w:r>
              <w:rPr>
                <w:rFonts w:hint="eastAsia" w:ascii="宋体" w:hAnsi="宋体" w:cs="宋体"/>
                <w:bCs/>
                <w:color w:val="auto"/>
                <w:kern w:val="2"/>
                <w:sz w:val="21"/>
                <w:szCs w:val="21"/>
                <w:highlight w:val="none"/>
                <w:lang w:val="en-US" w:eastAsia="zh-CN" w:bidi="ar-SA"/>
              </w:rPr>
              <w:t>投标报价</w:t>
            </w:r>
            <w:r>
              <w:rPr>
                <w:rFonts w:hint="eastAsia" w:ascii="宋体" w:hAnsi="宋体" w:eastAsia="宋体" w:cs="宋体"/>
                <w:bCs/>
                <w:color w:val="auto"/>
                <w:kern w:val="2"/>
                <w:sz w:val="21"/>
                <w:szCs w:val="21"/>
                <w:highlight w:val="none"/>
                <w:lang w:val="en-US" w:eastAsia="zh-CN" w:bidi="ar-SA"/>
              </w:rPr>
              <w:t>进行算术平均。</w:t>
            </w:r>
          </w:p>
          <w:p w14:paraId="340750EE">
            <w:pPr>
              <w:widowControl/>
              <w:spacing w:line="240" w:lineRule="auto"/>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1.2.若有合格</w:t>
            </w:r>
            <w:r>
              <w:rPr>
                <w:rFonts w:hint="eastAsia" w:ascii="宋体" w:hAnsi="宋体" w:cs="宋体"/>
                <w:bCs/>
                <w:color w:val="auto"/>
                <w:kern w:val="2"/>
                <w:sz w:val="21"/>
                <w:szCs w:val="21"/>
                <w:highlight w:val="none"/>
                <w:lang w:val="en-US" w:eastAsia="zh-CN" w:bidi="ar-SA"/>
              </w:rPr>
              <w:t>投标人</w:t>
            </w:r>
            <w:r>
              <w:rPr>
                <w:rFonts w:hint="eastAsia" w:ascii="宋体" w:hAnsi="宋体" w:eastAsia="宋体" w:cs="宋体"/>
                <w:bCs/>
                <w:color w:val="auto"/>
                <w:kern w:val="2"/>
                <w:sz w:val="21"/>
                <w:szCs w:val="21"/>
                <w:highlight w:val="none"/>
                <w:lang w:val="en-US" w:eastAsia="zh-CN" w:bidi="ar-SA"/>
              </w:rPr>
              <w:t>的</w:t>
            </w:r>
            <w:r>
              <w:rPr>
                <w:rFonts w:hint="eastAsia" w:ascii="宋体" w:hAnsi="宋体" w:cs="宋体"/>
                <w:bCs/>
                <w:color w:val="auto"/>
                <w:kern w:val="2"/>
                <w:sz w:val="21"/>
                <w:szCs w:val="21"/>
                <w:highlight w:val="none"/>
                <w:lang w:val="en-US" w:eastAsia="zh-CN" w:bidi="ar-SA"/>
              </w:rPr>
              <w:t>投标报价</w:t>
            </w:r>
            <w:r>
              <w:rPr>
                <w:rFonts w:hint="eastAsia" w:ascii="宋体" w:hAnsi="宋体" w:eastAsia="宋体" w:cs="宋体"/>
                <w:bCs/>
                <w:color w:val="auto"/>
                <w:kern w:val="2"/>
                <w:sz w:val="21"/>
                <w:szCs w:val="21"/>
                <w:highlight w:val="none"/>
                <w:lang w:val="en-US" w:eastAsia="zh-CN" w:bidi="ar-SA"/>
              </w:rPr>
              <w:t>在[Pa×0.85，Pa×1.15]之外，则该</w:t>
            </w:r>
            <w:r>
              <w:rPr>
                <w:rFonts w:hint="eastAsia" w:ascii="宋体" w:hAnsi="宋体" w:cs="宋体"/>
                <w:bCs/>
                <w:color w:val="auto"/>
                <w:kern w:val="2"/>
                <w:sz w:val="21"/>
                <w:szCs w:val="21"/>
                <w:highlight w:val="none"/>
                <w:lang w:val="en-US" w:eastAsia="zh-CN" w:bidi="ar-SA"/>
              </w:rPr>
              <w:t>投标人</w:t>
            </w:r>
            <w:r>
              <w:rPr>
                <w:rFonts w:hint="eastAsia" w:ascii="宋体" w:hAnsi="宋体" w:eastAsia="宋体" w:cs="宋体"/>
                <w:bCs/>
                <w:color w:val="auto"/>
                <w:kern w:val="2"/>
                <w:sz w:val="21"/>
                <w:szCs w:val="21"/>
                <w:highlight w:val="none"/>
                <w:lang w:val="en-US" w:eastAsia="zh-CN" w:bidi="ar-SA"/>
              </w:rPr>
              <w:t>不参与第二轮的平均价格计算，重新计算其他</w:t>
            </w:r>
            <w:r>
              <w:rPr>
                <w:rFonts w:hint="eastAsia" w:ascii="宋体" w:hAnsi="宋体" w:cs="宋体"/>
                <w:bCs/>
                <w:color w:val="auto"/>
                <w:kern w:val="2"/>
                <w:sz w:val="21"/>
                <w:szCs w:val="21"/>
                <w:highlight w:val="none"/>
                <w:lang w:val="en-US" w:eastAsia="zh-CN" w:bidi="ar-SA"/>
              </w:rPr>
              <w:t>投标报价</w:t>
            </w:r>
            <w:r>
              <w:rPr>
                <w:rFonts w:hint="eastAsia" w:ascii="宋体" w:hAnsi="宋体" w:eastAsia="宋体" w:cs="宋体"/>
                <w:bCs/>
                <w:color w:val="auto"/>
                <w:kern w:val="2"/>
                <w:sz w:val="21"/>
                <w:szCs w:val="21"/>
                <w:highlight w:val="none"/>
                <w:lang w:val="en-US" w:eastAsia="zh-CN" w:bidi="ar-SA"/>
              </w:rPr>
              <w:t>在上述区间内的合格</w:t>
            </w:r>
            <w:r>
              <w:rPr>
                <w:rFonts w:hint="eastAsia" w:ascii="宋体" w:hAnsi="宋体" w:cs="宋体"/>
                <w:bCs/>
                <w:color w:val="auto"/>
                <w:kern w:val="2"/>
                <w:sz w:val="21"/>
                <w:szCs w:val="21"/>
                <w:highlight w:val="none"/>
                <w:lang w:val="en-US" w:eastAsia="zh-CN" w:bidi="ar-SA"/>
              </w:rPr>
              <w:t>投标人</w:t>
            </w:r>
            <w:r>
              <w:rPr>
                <w:rFonts w:hint="eastAsia" w:ascii="宋体" w:hAnsi="宋体" w:eastAsia="宋体" w:cs="宋体"/>
                <w:bCs/>
                <w:color w:val="auto"/>
                <w:kern w:val="2"/>
                <w:sz w:val="21"/>
                <w:szCs w:val="21"/>
                <w:highlight w:val="none"/>
                <w:lang w:val="en-US" w:eastAsia="zh-CN" w:bidi="ar-SA"/>
              </w:rPr>
              <w:t>的</w:t>
            </w:r>
            <w:r>
              <w:rPr>
                <w:rFonts w:hint="eastAsia" w:ascii="宋体" w:hAnsi="宋体" w:cs="宋体"/>
                <w:bCs/>
                <w:color w:val="auto"/>
                <w:kern w:val="2"/>
                <w:sz w:val="21"/>
                <w:szCs w:val="21"/>
                <w:highlight w:val="none"/>
                <w:lang w:val="en-US" w:eastAsia="zh-CN" w:bidi="ar-SA"/>
              </w:rPr>
              <w:t>投标报价</w:t>
            </w:r>
            <w:r>
              <w:rPr>
                <w:rFonts w:hint="eastAsia" w:ascii="宋体" w:hAnsi="宋体" w:eastAsia="宋体" w:cs="宋体"/>
                <w:bCs/>
                <w:color w:val="auto"/>
                <w:kern w:val="2"/>
                <w:sz w:val="21"/>
                <w:szCs w:val="21"/>
                <w:highlight w:val="none"/>
                <w:lang w:val="en-US" w:eastAsia="zh-CN" w:bidi="ar-SA"/>
              </w:rPr>
              <w:t>算术平均值，得出P。</w:t>
            </w:r>
          </w:p>
          <w:p w14:paraId="4789ED32">
            <w:pPr>
              <w:widowControl/>
              <w:spacing w:line="240" w:lineRule="auto"/>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1.3.若合格</w:t>
            </w:r>
            <w:r>
              <w:rPr>
                <w:rFonts w:hint="eastAsia" w:ascii="宋体" w:hAnsi="宋体" w:cs="宋体"/>
                <w:bCs/>
                <w:color w:val="auto"/>
                <w:kern w:val="2"/>
                <w:sz w:val="21"/>
                <w:szCs w:val="21"/>
                <w:highlight w:val="none"/>
                <w:lang w:val="en-US" w:eastAsia="zh-CN" w:bidi="ar-SA"/>
              </w:rPr>
              <w:t>投标人</w:t>
            </w:r>
            <w:r>
              <w:rPr>
                <w:rFonts w:hint="eastAsia" w:ascii="宋体" w:hAnsi="宋体" w:eastAsia="宋体" w:cs="宋体"/>
                <w:bCs/>
                <w:color w:val="auto"/>
                <w:kern w:val="2"/>
                <w:sz w:val="21"/>
                <w:szCs w:val="21"/>
                <w:highlight w:val="none"/>
                <w:lang w:val="en-US" w:eastAsia="zh-CN" w:bidi="ar-SA"/>
              </w:rPr>
              <w:t>的</w:t>
            </w:r>
            <w:r>
              <w:rPr>
                <w:rFonts w:hint="eastAsia" w:ascii="宋体" w:hAnsi="宋体" w:cs="宋体"/>
                <w:bCs/>
                <w:color w:val="auto"/>
                <w:kern w:val="2"/>
                <w:sz w:val="21"/>
                <w:szCs w:val="21"/>
                <w:highlight w:val="none"/>
                <w:lang w:val="en-US" w:eastAsia="zh-CN" w:bidi="ar-SA"/>
              </w:rPr>
              <w:t>投标报价</w:t>
            </w:r>
            <w:r>
              <w:rPr>
                <w:rFonts w:hint="eastAsia" w:ascii="宋体" w:hAnsi="宋体" w:eastAsia="宋体" w:cs="宋体"/>
                <w:bCs/>
                <w:color w:val="auto"/>
                <w:kern w:val="2"/>
                <w:sz w:val="21"/>
                <w:szCs w:val="21"/>
                <w:highlight w:val="none"/>
                <w:lang w:val="en-US" w:eastAsia="zh-CN" w:bidi="ar-SA"/>
              </w:rPr>
              <w:t>均在[Pa×0.85，Pa×1.15]之内，则P=Pa。</w:t>
            </w:r>
          </w:p>
          <w:p w14:paraId="0C7DD034">
            <w:pPr>
              <w:widowControl/>
              <w:spacing w:line="240" w:lineRule="auto"/>
              <w:jc w:val="left"/>
              <w:rPr>
                <w:rFonts w:hint="eastAsia" w:ascii="宋体" w:hAnsi="宋体" w:eastAsia="宋体" w:cs="宋体"/>
                <w:color w:val="auto"/>
                <w:szCs w:val="21"/>
                <w:highlight w:val="none"/>
              </w:rPr>
            </w:pPr>
            <w:r>
              <w:rPr>
                <w:rFonts w:hint="eastAsia" w:ascii="宋体" w:hAnsi="宋体" w:eastAsia="宋体" w:cs="宋体"/>
                <w:bCs/>
                <w:color w:val="auto"/>
                <w:kern w:val="2"/>
                <w:sz w:val="21"/>
                <w:szCs w:val="21"/>
                <w:highlight w:val="none"/>
                <w:lang w:val="en-US" w:eastAsia="zh-CN" w:bidi="ar-SA"/>
              </w:rPr>
              <w:t>1.4.P为最终平均价格。</w:t>
            </w:r>
          </w:p>
        </w:tc>
      </w:tr>
      <w:tr w14:paraId="07E40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33A91A5F">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4543" w:type="pct"/>
            <w:gridSpan w:val="4"/>
            <w:tcBorders>
              <w:tl2br w:val="nil"/>
              <w:tr2bl w:val="nil"/>
            </w:tcBorders>
            <w:shd w:val="clear" w:color="auto" w:fill="auto"/>
            <w:vAlign w:val="center"/>
          </w:tcPr>
          <w:p w14:paraId="02D9960B">
            <w:pPr>
              <w:widowControl/>
              <w:spacing w:line="240" w:lineRule="auto"/>
              <w:jc w:val="left"/>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 xml:space="preserve">2.价格得分计算 </w:t>
            </w:r>
          </w:p>
          <w:p w14:paraId="6A8F76A1">
            <w:pPr>
              <w:widowControl/>
              <w:spacing w:line="240" w:lineRule="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2.1.当Pn＝P时，C=30。</w:t>
            </w:r>
          </w:p>
          <w:p w14:paraId="49DB01FA">
            <w:pPr>
              <w:widowControl/>
              <w:spacing w:line="240" w:lineRule="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2.2.当Pn＞P，且（Pn－P）/P≤10%时，C＝30－（Pn－P）/P×30。</w:t>
            </w:r>
          </w:p>
          <w:p w14:paraId="1E59C9A6">
            <w:pPr>
              <w:pStyle w:val="6"/>
              <w:spacing w:line="240" w:lineRule="auto"/>
              <w:ind w:left="0" w:leftChars="0" w:firstLine="0" w:firstLineChars="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2.3.当Pn＞P，且（Pn－P）/P＞10%时，C＝30－（Pn－P）/P×2×30。</w:t>
            </w:r>
          </w:p>
          <w:p w14:paraId="73B2F6F3">
            <w:pPr>
              <w:spacing w:line="240" w:lineRule="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2.4.当Pn＜P时，C＝</w:t>
            </w:r>
            <w:r>
              <w:rPr>
                <w:rFonts w:hint="eastAsia" w:ascii="宋体" w:hAnsi="宋体" w:cs="宋体"/>
                <w:bCs/>
                <w:color w:val="auto"/>
                <w:kern w:val="2"/>
                <w:sz w:val="21"/>
                <w:szCs w:val="21"/>
                <w:highlight w:val="none"/>
                <w:lang w:val="en-US" w:eastAsia="zh-CN" w:bidi="ar-SA"/>
              </w:rPr>
              <w:t>3</w:t>
            </w:r>
            <w:r>
              <w:rPr>
                <w:rFonts w:hint="eastAsia" w:ascii="宋体" w:hAnsi="宋体" w:eastAsia="宋体" w:cs="宋体"/>
                <w:bCs/>
                <w:color w:val="auto"/>
                <w:kern w:val="2"/>
                <w:sz w:val="21"/>
                <w:szCs w:val="21"/>
                <w:highlight w:val="none"/>
                <w:lang w:val="en-US" w:eastAsia="zh-CN" w:bidi="ar-SA"/>
              </w:rPr>
              <w:t>0－（P－Pn）/P×0.5×30。</w:t>
            </w:r>
          </w:p>
          <w:p w14:paraId="6F620396">
            <w:pPr>
              <w:spacing w:line="240" w:lineRule="auto"/>
              <w:rPr>
                <w:rFonts w:hint="eastAsia" w:ascii="宋体" w:hAnsi="宋体" w:eastAsia="宋体" w:cs="宋体"/>
                <w:color w:val="auto"/>
                <w:szCs w:val="21"/>
                <w:highlight w:val="none"/>
              </w:rPr>
            </w:pPr>
            <w:r>
              <w:rPr>
                <w:rFonts w:hint="eastAsia" w:ascii="宋体" w:hAnsi="宋体" w:eastAsia="宋体" w:cs="宋体"/>
                <w:bCs/>
                <w:color w:val="auto"/>
                <w:kern w:val="2"/>
                <w:sz w:val="21"/>
                <w:szCs w:val="21"/>
                <w:highlight w:val="none"/>
                <w:lang w:val="en-US" w:eastAsia="zh-CN" w:bidi="ar-SA"/>
              </w:rPr>
              <w:t>Pn为各</w:t>
            </w:r>
            <w:r>
              <w:rPr>
                <w:rFonts w:hint="eastAsia" w:ascii="宋体" w:hAnsi="宋体" w:cs="宋体"/>
                <w:bCs/>
                <w:color w:val="auto"/>
                <w:kern w:val="2"/>
                <w:sz w:val="21"/>
                <w:szCs w:val="21"/>
                <w:highlight w:val="none"/>
                <w:lang w:val="en-US" w:eastAsia="zh-CN" w:bidi="ar-SA"/>
              </w:rPr>
              <w:t>投标人</w:t>
            </w:r>
            <w:r>
              <w:rPr>
                <w:rFonts w:hint="eastAsia" w:ascii="宋体" w:hAnsi="宋体" w:eastAsia="宋体" w:cs="宋体"/>
                <w:bCs/>
                <w:color w:val="auto"/>
                <w:kern w:val="2"/>
                <w:sz w:val="21"/>
                <w:szCs w:val="21"/>
                <w:highlight w:val="none"/>
                <w:lang w:val="en-US" w:eastAsia="zh-CN" w:bidi="ar-SA"/>
              </w:rPr>
              <w:t>的</w:t>
            </w:r>
            <w:r>
              <w:rPr>
                <w:rFonts w:hint="eastAsia" w:ascii="宋体" w:hAnsi="宋体" w:cs="宋体"/>
                <w:bCs/>
                <w:color w:val="auto"/>
                <w:kern w:val="2"/>
                <w:sz w:val="21"/>
                <w:szCs w:val="21"/>
                <w:highlight w:val="none"/>
                <w:lang w:val="en-US" w:eastAsia="zh-CN" w:bidi="ar-SA"/>
              </w:rPr>
              <w:t>投标报价</w:t>
            </w:r>
            <w:r>
              <w:rPr>
                <w:rFonts w:hint="eastAsia" w:ascii="宋体" w:hAnsi="宋体" w:eastAsia="宋体" w:cs="宋体"/>
                <w:bCs/>
                <w:color w:val="auto"/>
                <w:kern w:val="2"/>
                <w:sz w:val="21"/>
                <w:szCs w:val="21"/>
                <w:highlight w:val="none"/>
                <w:lang w:val="en-US" w:eastAsia="zh-CN" w:bidi="ar-SA"/>
              </w:rPr>
              <w:t>；C即为</w:t>
            </w:r>
            <w:r>
              <w:rPr>
                <w:rFonts w:hint="eastAsia" w:ascii="宋体" w:hAnsi="宋体" w:cs="宋体"/>
                <w:bCs/>
                <w:color w:val="auto"/>
                <w:kern w:val="2"/>
                <w:sz w:val="21"/>
                <w:szCs w:val="21"/>
                <w:highlight w:val="none"/>
                <w:lang w:val="en-US" w:eastAsia="zh-CN" w:bidi="ar-SA"/>
              </w:rPr>
              <w:t>投标人</w:t>
            </w:r>
            <w:r>
              <w:rPr>
                <w:rFonts w:hint="eastAsia" w:ascii="宋体" w:hAnsi="宋体" w:eastAsia="宋体" w:cs="宋体"/>
                <w:bCs/>
                <w:color w:val="auto"/>
                <w:kern w:val="2"/>
                <w:sz w:val="21"/>
                <w:szCs w:val="21"/>
                <w:highlight w:val="none"/>
                <w:lang w:val="en-US" w:eastAsia="zh-CN" w:bidi="ar-SA"/>
              </w:rPr>
              <w:t>的报价部分得分，分值最高为30分。</w:t>
            </w:r>
          </w:p>
        </w:tc>
      </w:tr>
      <w:tr w14:paraId="76C9C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56" w:type="pct"/>
            <w:vMerge w:val="continue"/>
            <w:tcBorders>
              <w:tl2br w:val="nil"/>
              <w:tr2bl w:val="nil"/>
            </w:tcBorders>
            <w:vAlign w:val="center"/>
          </w:tcPr>
          <w:p w14:paraId="788816DA">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4543" w:type="pct"/>
            <w:gridSpan w:val="4"/>
            <w:tcBorders>
              <w:tl2br w:val="nil"/>
              <w:tr2bl w:val="nil"/>
            </w:tcBorders>
            <w:shd w:val="clear" w:color="auto" w:fill="auto"/>
            <w:vAlign w:val="center"/>
          </w:tcPr>
          <w:p w14:paraId="5E0A65A9">
            <w:pPr>
              <w:widowControl/>
              <w:spacing w:line="240" w:lineRule="auto"/>
              <w:jc w:val="left"/>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3.经济评审说明</w:t>
            </w:r>
          </w:p>
          <w:p w14:paraId="36CDE648">
            <w:pPr>
              <w:wordWrap w:val="0"/>
              <w:jc w:val="both"/>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3.1.</w:t>
            </w:r>
            <w:r>
              <w:rPr>
                <w:rFonts w:hint="eastAsia" w:ascii="宋体" w:hAnsi="宋体" w:cs="宋体"/>
                <w:bCs/>
                <w:color w:val="auto"/>
                <w:kern w:val="2"/>
                <w:sz w:val="21"/>
                <w:szCs w:val="21"/>
                <w:highlight w:val="none"/>
                <w:lang w:val="en-US" w:eastAsia="zh-CN" w:bidi="ar-SA"/>
              </w:rPr>
              <w:t>投标人</w:t>
            </w:r>
            <w:r>
              <w:rPr>
                <w:rFonts w:hint="eastAsia" w:ascii="宋体" w:hAnsi="宋体" w:eastAsia="宋体" w:cs="宋体"/>
                <w:bCs/>
                <w:color w:val="auto"/>
                <w:kern w:val="2"/>
                <w:sz w:val="21"/>
                <w:szCs w:val="21"/>
                <w:highlight w:val="none"/>
                <w:lang w:val="en-US" w:eastAsia="zh-CN" w:bidi="ar-SA"/>
              </w:rPr>
              <w:t>的</w:t>
            </w:r>
            <w:r>
              <w:rPr>
                <w:rFonts w:hint="eastAsia" w:ascii="宋体" w:hAnsi="宋体" w:cs="宋体"/>
                <w:bCs/>
                <w:color w:val="auto"/>
                <w:kern w:val="2"/>
                <w:sz w:val="21"/>
                <w:szCs w:val="21"/>
                <w:highlight w:val="none"/>
                <w:lang w:val="en-US" w:eastAsia="zh-CN" w:bidi="ar-SA"/>
              </w:rPr>
              <w:t>投标报价</w:t>
            </w:r>
            <w:r>
              <w:rPr>
                <w:rFonts w:hint="eastAsia" w:ascii="宋体" w:hAnsi="宋体" w:eastAsia="宋体" w:cs="宋体"/>
                <w:bCs/>
                <w:color w:val="auto"/>
                <w:kern w:val="2"/>
                <w:sz w:val="21"/>
                <w:szCs w:val="21"/>
                <w:highlight w:val="none"/>
                <w:lang w:val="en-US" w:eastAsia="zh-CN" w:bidi="ar-SA"/>
              </w:rPr>
              <w:t>是</w:t>
            </w:r>
            <w:r>
              <w:rPr>
                <w:rFonts w:hint="eastAsia" w:ascii="宋体" w:hAnsi="宋体" w:cs="宋体"/>
                <w:color w:val="auto"/>
                <w:szCs w:val="21"/>
                <w:highlight w:val="none"/>
              </w:rPr>
              <w:t>指</w:t>
            </w:r>
            <w:r>
              <w:rPr>
                <w:rFonts w:hint="eastAsia" w:ascii="宋体" w:hAnsi="宋体" w:cs="宋体"/>
                <w:color w:val="auto"/>
                <w:szCs w:val="21"/>
                <w:highlight w:val="none"/>
                <w:lang w:eastAsia="zh-CN"/>
              </w:rPr>
              <w:t>投标文件</w:t>
            </w:r>
            <w:r>
              <w:rPr>
                <w:rFonts w:hint="eastAsia" w:ascii="宋体" w:hAnsi="宋体" w:cs="宋体"/>
                <w:color w:val="auto"/>
                <w:szCs w:val="21"/>
                <w:highlight w:val="none"/>
              </w:rPr>
              <w:t>中的含税报价</w:t>
            </w:r>
            <w:r>
              <w:rPr>
                <w:rFonts w:hint="eastAsia" w:ascii="宋体" w:hAnsi="宋体" w:cs="宋体"/>
                <w:color w:val="auto"/>
                <w:szCs w:val="21"/>
                <w:highlight w:val="none"/>
                <w:lang w:val="en-US" w:eastAsia="zh-CN"/>
              </w:rPr>
              <w:t>评审价，即（1-优惠率）</w:t>
            </w:r>
            <w:r>
              <w:rPr>
                <w:rFonts w:hint="eastAsia" w:ascii="宋体" w:hAnsi="宋体" w:eastAsia="宋体" w:cs="宋体"/>
                <w:bCs/>
                <w:color w:val="auto"/>
                <w:kern w:val="2"/>
                <w:sz w:val="21"/>
                <w:szCs w:val="21"/>
                <w:highlight w:val="none"/>
                <w:lang w:val="en-US" w:eastAsia="zh-CN" w:bidi="ar-SA"/>
              </w:rPr>
              <w:t>。</w:t>
            </w:r>
          </w:p>
          <w:p w14:paraId="612B0AE6">
            <w:pPr>
              <w:widowControl/>
              <w:spacing w:line="240" w:lineRule="auto"/>
              <w:jc w:val="left"/>
              <w:rPr>
                <w:rFonts w:hint="eastAsia" w:ascii="宋体" w:hAnsi="宋体" w:eastAsia="宋体" w:cs="宋体"/>
                <w:color w:val="auto"/>
                <w:szCs w:val="21"/>
                <w:highlight w:val="none"/>
              </w:rPr>
            </w:pPr>
            <w:r>
              <w:rPr>
                <w:rFonts w:hint="eastAsia" w:ascii="宋体" w:hAnsi="宋体" w:eastAsia="宋体" w:cs="宋体"/>
                <w:bCs/>
                <w:color w:val="auto"/>
                <w:kern w:val="2"/>
                <w:sz w:val="21"/>
                <w:szCs w:val="21"/>
                <w:highlight w:val="none"/>
                <w:lang w:val="en-US" w:eastAsia="zh-CN" w:bidi="ar-SA"/>
              </w:rPr>
              <w:t>3.2.</w:t>
            </w:r>
            <w:r>
              <w:rPr>
                <w:rFonts w:hint="eastAsia" w:ascii="宋体" w:hAnsi="宋体" w:cs="宋体"/>
                <w:color w:val="auto"/>
                <w:szCs w:val="21"/>
                <w:highlight w:val="none"/>
              </w:rPr>
              <w:t>经济评审</w:t>
            </w:r>
            <w:r>
              <w:rPr>
                <w:rFonts w:hint="eastAsia" w:ascii="宋体" w:hAnsi="宋体" w:eastAsia="宋体" w:cs="宋体"/>
                <w:bCs/>
                <w:color w:val="auto"/>
                <w:kern w:val="2"/>
                <w:sz w:val="21"/>
                <w:szCs w:val="21"/>
                <w:highlight w:val="none"/>
                <w:lang w:val="en-US" w:eastAsia="zh-CN" w:bidi="ar-SA"/>
              </w:rPr>
              <w:t>价格部分得分保留小数点后两位，小数点后第三位“四舍五入”。</w:t>
            </w:r>
          </w:p>
        </w:tc>
      </w:tr>
    </w:tbl>
    <w:p w14:paraId="45861624">
      <w:pPr>
        <w:rPr>
          <w:rFonts w:hint="eastAsia" w:ascii="黑体" w:hAnsi="黑体" w:eastAsia="黑体" w:cs="黑体"/>
          <w:b/>
          <w:bCs/>
          <w:snapToGrid/>
          <w:color w:val="auto"/>
          <w:kern w:val="2"/>
          <w:sz w:val="32"/>
          <w:szCs w:val="32"/>
          <w:highlight w:val="none"/>
          <w:lang w:eastAsia="zh-CN"/>
        </w:rPr>
      </w:pPr>
      <w:r>
        <w:rPr>
          <w:rFonts w:hint="eastAsia" w:ascii="黑体" w:hAnsi="黑体" w:eastAsia="黑体" w:cs="黑体"/>
          <w:b/>
          <w:bCs/>
          <w:snapToGrid/>
          <w:color w:val="auto"/>
          <w:kern w:val="2"/>
          <w:sz w:val="32"/>
          <w:szCs w:val="32"/>
          <w:highlight w:val="none"/>
          <w:lang w:eastAsia="zh-CN"/>
        </w:rPr>
        <w:br w:type="page"/>
      </w:r>
    </w:p>
    <w:p w14:paraId="027643FF">
      <w:pPr>
        <w:wordWrap/>
        <w:spacing w:line="240" w:lineRule="auto"/>
        <w:jc w:val="center"/>
        <w:outlineLvl w:val="1"/>
        <w:rPr>
          <w:rFonts w:hint="eastAsia" w:ascii="黑体" w:hAnsi="黑体" w:eastAsia="黑体" w:cs="黑体"/>
          <w:b/>
          <w:bCs/>
          <w:snapToGrid/>
          <w:color w:val="auto"/>
          <w:kern w:val="2"/>
          <w:sz w:val="32"/>
          <w:szCs w:val="32"/>
          <w:highlight w:val="none"/>
          <w:lang w:eastAsia="zh-CN"/>
        </w:rPr>
      </w:pPr>
      <w:r>
        <w:rPr>
          <w:rFonts w:hint="eastAsia" w:ascii="黑体" w:hAnsi="黑体" w:eastAsia="黑体" w:cs="黑体"/>
          <w:b/>
          <w:bCs/>
          <w:snapToGrid/>
          <w:color w:val="auto"/>
          <w:kern w:val="2"/>
          <w:sz w:val="32"/>
          <w:szCs w:val="32"/>
          <w:highlight w:val="none"/>
          <w:lang w:val="en-US" w:eastAsia="zh-CN"/>
        </w:rPr>
        <w:t>三标段：</w:t>
      </w:r>
      <w:r>
        <w:rPr>
          <w:rFonts w:hint="eastAsia" w:ascii="黑体" w:hAnsi="黑体" w:eastAsia="黑体" w:cs="黑体"/>
          <w:b/>
          <w:bCs/>
          <w:snapToGrid/>
          <w:color w:val="auto"/>
          <w:kern w:val="2"/>
          <w:sz w:val="32"/>
          <w:szCs w:val="32"/>
          <w:highlight w:val="none"/>
          <w:lang w:eastAsia="zh-CN"/>
        </w:rPr>
        <w:t>食堂物资供应（生鲜类）</w:t>
      </w:r>
      <w:r>
        <w:rPr>
          <w:rFonts w:hint="eastAsia" w:ascii="黑体" w:hAnsi="黑体" w:eastAsia="黑体" w:cs="黑体"/>
          <w:b/>
          <w:bCs/>
          <w:snapToGrid/>
          <w:color w:val="auto"/>
          <w:kern w:val="2"/>
          <w:sz w:val="32"/>
          <w:szCs w:val="32"/>
          <w:highlight w:val="none"/>
        </w:rPr>
        <w:t>评标办法前附表</w:t>
      </w:r>
    </w:p>
    <w:tbl>
      <w:tblPr>
        <w:tblStyle w:val="64"/>
        <w:tblW w:w="49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0"/>
        <w:gridCol w:w="1051"/>
        <w:gridCol w:w="1438"/>
        <w:gridCol w:w="1215"/>
        <w:gridCol w:w="5244"/>
      </w:tblGrid>
      <w:tr w14:paraId="506DD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tcBorders>
              <w:tl2br w:val="nil"/>
              <w:tr2bl w:val="nil"/>
            </w:tcBorders>
            <w:vAlign w:val="center"/>
          </w:tcPr>
          <w:p w14:paraId="1C2D5C00">
            <w:pPr>
              <w:keepNext w:val="0"/>
              <w:keepLines w:val="0"/>
              <w:pageBreakBefore w:val="0"/>
              <w:kinsoku/>
              <w:wordWrap w:val="0"/>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条款号</w:t>
            </w:r>
          </w:p>
        </w:tc>
        <w:tc>
          <w:tcPr>
            <w:tcW w:w="1878" w:type="pct"/>
            <w:gridSpan w:val="3"/>
            <w:tcBorders>
              <w:tl2br w:val="nil"/>
              <w:tr2bl w:val="nil"/>
            </w:tcBorders>
            <w:vAlign w:val="center"/>
          </w:tcPr>
          <w:p w14:paraId="35616F38">
            <w:pPr>
              <w:keepNext w:val="0"/>
              <w:keepLines w:val="0"/>
              <w:pageBreakBefore w:val="0"/>
              <w:kinsoku/>
              <w:wordWrap w:val="0"/>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评审因素</w:t>
            </w:r>
          </w:p>
        </w:tc>
        <w:tc>
          <w:tcPr>
            <w:tcW w:w="2659" w:type="pct"/>
            <w:tcBorders>
              <w:tl2br w:val="nil"/>
              <w:tr2bl w:val="nil"/>
            </w:tcBorders>
            <w:vAlign w:val="center"/>
          </w:tcPr>
          <w:p w14:paraId="12505DFA">
            <w:pPr>
              <w:keepNext w:val="0"/>
              <w:keepLines w:val="0"/>
              <w:pageBreakBefore w:val="0"/>
              <w:kinsoku/>
              <w:wordWrap w:val="0"/>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评审标准</w:t>
            </w:r>
          </w:p>
        </w:tc>
      </w:tr>
      <w:tr w14:paraId="773E5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restart"/>
            <w:tcBorders>
              <w:tl2br w:val="nil"/>
              <w:tr2bl w:val="nil"/>
            </w:tcBorders>
            <w:vAlign w:val="center"/>
          </w:tcPr>
          <w:p w14:paraId="516A1245">
            <w:pPr>
              <w:keepNext w:val="0"/>
              <w:keepLines w:val="0"/>
              <w:pageBreakBefore w:val="0"/>
              <w:kinsoku/>
              <w:topLinePunct w:val="0"/>
              <w:bidi w:val="0"/>
              <w:spacing w:line="240" w:lineRule="auto"/>
              <w:jc w:val="center"/>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2.1.1</w:t>
            </w:r>
          </w:p>
        </w:tc>
        <w:tc>
          <w:tcPr>
            <w:tcW w:w="4537" w:type="pct"/>
            <w:gridSpan w:val="4"/>
            <w:tcBorders>
              <w:tl2br w:val="nil"/>
              <w:tr2bl w:val="nil"/>
            </w:tcBorders>
            <w:vAlign w:val="center"/>
          </w:tcPr>
          <w:p w14:paraId="72E46389">
            <w:pPr>
              <w:keepNext w:val="0"/>
              <w:keepLines w:val="0"/>
              <w:pageBreakBefore w:val="0"/>
              <w:kinsoku/>
              <w:topLinePunct w:val="0"/>
              <w:bidi w:val="0"/>
              <w:spacing w:line="240" w:lineRule="auto"/>
              <w:jc w:val="center"/>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资格评审标准</w:t>
            </w:r>
          </w:p>
        </w:tc>
      </w:tr>
      <w:tr w14:paraId="7F0A9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2477B296">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533" w:type="pct"/>
            <w:vMerge w:val="restart"/>
            <w:tcBorders>
              <w:tl2br w:val="nil"/>
              <w:tr2bl w:val="nil"/>
            </w:tcBorders>
            <w:vAlign w:val="center"/>
          </w:tcPr>
          <w:p w14:paraId="3806390B">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企业</w:t>
            </w:r>
          </w:p>
        </w:tc>
        <w:tc>
          <w:tcPr>
            <w:tcW w:w="1345" w:type="pct"/>
            <w:gridSpan w:val="2"/>
            <w:tcBorders>
              <w:tl2br w:val="nil"/>
              <w:tr2bl w:val="nil"/>
            </w:tcBorders>
            <w:vAlign w:val="center"/>
          </w:tcPr>
          <w:p w14:paraId="4967360F">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营业执照（或事业单位法人证书）</w:t>
            </w:r>
          </w:p>
        </w:tc>
        <w:tc>
          <w:tcPr>
            <w:tcW w:w="2659" w:type="pct"/>
            <w:vMerge w:val="restart"/>
            <w:tcBorders>
              <w:tl2br w:val="nil"/>
              <w:tr2bl w:val="nil"/>
            </w:tcBorders>
            <w:vAlign w:val="center"/>
          </w:tcPr>
          <w:p w14:paraId="1027BB8E">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符合第二章“投标人须知”第1.4.1项和第3.5项的规定。</w:t>
            </w:r>
          </w:p>
        </w:tc>
      </w:tr>
      <w:tr w14:paraId="2BE06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4C717D1F">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533" w:type="pct"/>
            <w:vMerge w:val="continue"/>
            <w:tcBorders>
              <w:tl2br w:val="nil"/>
              <w:tr2bl w:val="nil"/>
            </w:tcBorders>
            <w:vAlign w:val="center"/>
          </w:tcPr>
          <w:p w14:paraId="688F8FEF">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345" w:type="pct"/>
            <w:gridSpan w:val="2"/>
            <w:tcBorders>
              <w:tl2br w:val="nil"/>
              <w:tr2bl w:val="nil"/>
            </w:tcBorders>
            <w:vAlign w:val="center"/>
          </w:tcPr>
          <w:p w14:paraId="09D6C35D">
            <w:pPr>
              <w:keepNext w:val="0"/>
              <w:keepLines w:val="0"/>
              <w:pageBreakBefore w:val="0"/>
              <w:kinsoku/>
              <w:topLinePunct w:val="0"/>
              <w:bidi w:val="0"/>
              <w:spacing w:line="240" w:lineRule="auto"/>
              <w:jc w:val="center"/>
              <w:rPr>
                <w:rFonts w:hint="eastAsia" w:ascii="宋体" w:hAnsi="宋体" w:eastAsia="宋体" w:cs="宋体"/>
                <w:color w:val="auto"/>
                <w:highlight w:val="none"/>
              </w:rPr>
            </w:pPr>
            <w:r>
              <w:rPr>
                <w:rFonts w:hint="eastAsia" w:ascii="宋体" w:hAnsi="宋体" w:eastAsia="宋体" w:cs="宋体"/>
                <w:color w:val="auto"/>
                <w:szCs w:val="21"/>
                <w:highlight w:val="none"/>
              </w:rPr>
              <w:t>资质证书（如有）</w:t>
            </w:r>
          </w:p>
        </w:tc>
        <w:tc>
          <w:tcPr>
            <w:tcW w:w="2659" w:type="pct"/>
            <w:vMerge w:val="continue"/>
            <w:tcBorders>
              <w:tl2br w:val="nil"/>
              <w:tr2bl w:val="nil"/>
            </w:tcBorders>
            <w:vAlign w:val="center"/>
          </w:tcPr>
          <w:p w14:paraId="6DF341DE">
            <w:pPr>
              <w:keepNext w:val="0"/>
              <w:keepLines w:val="0"/>
              <w:pageBreakBefore w:val="0"/>
              <w:kinsoku/>
              <w:topLinePunct w:val="0"/>
              <w:bidi w:val="0"/>
              <w:spacing w:line="240" w:lineRule="auto"/>
              <w:rPr>
                <w:rFonts w:hint="eastAsia" w:ascii="宋体" w:hAnsi="宋体" w:eastAsia="宋体" w:cs="宋体"/>
                <w:color w:val="auto"/>
                <w:szCs w:val="21"/>
                <w:highlight w:val="none"/>
              </w:rPr>
            </w:pPr>
          </w:p>
        </w:tc>
      </w:tr>
      <w:tr w14:paraId="49807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423DA429">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533" w:type="pct"/>
            <w:vMerge w:val="continue"/>
            <w:tcBorders>
              <w:tl2br w:val="nil"/>
              <w:tr2bl w:val="nil"/>
            </w:tcBorders>
            <w:vAlign w:val="center"/>
          </w:tcPr>
          <w:p w14:paraId="747D69F7">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345" w:type="pct"/>
            <w:gridSpan w:val="2"/>
            <w:tcBorders>
              <w:tl2br w:val="nil"/>
              <w:tr2bl w:val="nil"/>
            </w:tcBorders>
            <w:vAlign w:val="center"/>
          </w:tcPr>
          <w:p w14:paraId="5279DBD1">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业绩要求</w:t>
            </w:r>
          </w:p>
        </w:tc>
        <w:tc>
          <w:tcPr>
            <w:tcW w:w="2659" w:type="pct"/>
            <w:vMerge w:val="continue"/>
            <w:tcBorders>
              <w:tl2br w:val="nil"/>
              <w:tr2bl w:val="nil"/>
            </w:tcBorders>
            <w:vAlign w:val="center"/>
          </w:tcPr>
          <w:p w14:paraId="715BCFDD">
            <w:pPr>
              <w:keepNext w:val="0"/>
              <w:keepLines w:val="0"/>
              <w:pageBreakBefore w:val="0"/>
              <w:kinsoku/>
              <w:topLinePunct w:val="0"/>
              <w:bidi w:val="0"/>
              <w:spacing w:line="240" w:lineRule="auto"/>
              <w:rPr>
                <w:rFonts w:hint="eastAsia" w:ascii="宋体" w:hAnsi="宋体" w:eastAsia="宋体" w:cs="宋体"/>
                <w:color w:val="auto"/>
                <w:szCs w:val="21"/>
                <w:highlight w:val="none"/>
              </w:rPr>
            </w:pPr>
          </w:p>
        </w:tc>
      </w:tr>
      <w:tr w14:paraId="1B8DA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705C6676">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878" w:type="pct"/>
            <w:gridSpan w:val="3"/>
            <w:tcBorders>
              <w:tl2br w:val="nil"/>
              <w:tr2bl w:val="nil"/>
            </w:tcBorders>
            <w:vAlign w:val="center"/>
          </w:tcPr>
          <w:p w14:paraId="2671C2AE">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人员要求（如有）</w:t>
            </w:r>
          </w:p>
        </w:tc>
        <w:tc>
          <w:tcPr>
            <w:tcW w:w="2659" w:type="pct"/>
            <w:vMerge w:val="continue"/>
            <w:tcBorders>
              <w:tl2br w:val="nil"/>
              <w:tr2bl w:val="nil"/>
            </w:tcBorders>
            <w:vAlign w:val="center"/>
          </w:tcPr>
          <w:p w14:paraId="5604702D">
            <w:pPr>
              <w:keepNext w:val="0"/>
              <w:keepLines w:val="0"/>
              <w:pageBreakBefore w:val="0"/>
              <w:kinsoku/>
              <w:topLinePunct w:val="0"/>
              <w:bidi w:val="0"/>
              <w:spacing w:line="240" w:lineRule="auto"/>
              <w:rPr>
                <w:rFonts w:hint="eastAsia" w:ascii="宋体" w:hAnsi="宋体" w:eastAsia="宋体" w:cs="宋体"/>
                <w:color w:val="auto"/>
                <w:szCs w:val="21"/>
                <w:highlight w:val="none"/>
              </w:rPr>
            </w:pPr>
          </w:p>
        </w:tc>
      </w:tr>
      <w:tr w14:paraId="7594D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68889CF9">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878" w:type="pct"/>
            <w:gridSpan w:val="3"/>
            <w:tcBorders>
              <w:tl2br w:val="nil"/>
              <w:tr2bl w:val="nil"/>
            </w:tcBorders>
            <w:vAlign w:val="center"/>
          </w:tcPr>
          <w:p w14:paraId="6332FD36">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法定代表人身份证明（如有）</w:t>
            </w:r>
          </w:p>
        </w:tc>
        <w:tc>
          <w:tcPr>
            <w:tcW w:w="2659" w:type="pct"/>
            <w:vMerge w:val="continue"/>
            <w:tcBorders>
              <w:tl2br w:val="nil"/>
              <w:tr2bl w:val="nil"/>
            </w:tcBorders>
            <w:vAlign w:val="center"/>
          </w:tcPr>
          <w:p w14:paraId="6426060A">
            <w:pPr>
              <w:keepNext w:val="0"/>
              <w:keepLines w:val="0"/>
              <w:pageBreakBefore w:val="0"/>
              <w:kinsoku/>
              <w:topLinePunct w:val="0"/>
              <w:bidi w:val="0"/>
              <w:spacing w:line="240" w:lineRule="auto"/>
              <w:rPr>
                <w:rFonts w:hint="eastAsia" w:ascii="宋体" w:hAnsi="宋体" w:eastAsia="宋体" w:cs="宋体"/>
                <w:color w:val="auto"/>
                <w:szCs w:val="21"/>
                <w:highlight w:val="none"/>
              </w:rPr>
            </w:pPr>
          </w:p>
        </w:tc>
      </w:tr>
      <w:tr w14:paraId="6FA4D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41EB9E4C">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878" w:type="pct"/>
            <w:gridSpan w:val="3"/>
            <w:tcBorders>
              <w:tl2br w:val="nil"/>
              <w:tr2bl w:val="nil"/>
            </w:tcBorders>
            <w:vAlign w:val="center"/>
          </w:tcPr>
          <w:p w14:paraId="491ABFA7">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授权委托书（如有）</w:t>
            </w:r>
          </w:p>
        </w:tc>
        <w:tc>
          <w:tcPr>
            <w:tcW w:w="2659" w:type="pct"/>
            <w:vMerge w:val="continue"/>
            <w:tcBorders>
              <w:tl2br w:val="nil"/>
              <w:tr2bl w:val="nil"/>
            </w:tcBorders>
            <w:vAlign w:val="center"/>
          </w:tcPr>
          <w:p w14:paraId="69218700">
            <w:pPr>
              <w:keepNext w:val="0"/>
              <w:keepLines w:val="0"/>
              <w:pageBreakBefore w:val="0"/>
              <w:kinsoku/>
              <w:topLinePunct w:val="0"/>
              <w:bidi w:val="0"/>
              <w:spacing w:line="240" w:lineRule="auto"/>
              <w:rPr>
                <w:rFonts w:hint="eastAsia" w:ascii="宋体" w:hAnsi="宋体" w:eastAsia="宋体" w:cs="宋体"/>
                <w:color w:val="auto"/>
                <w:szCs w:val="21"/>
                <w:highlight w:val="none"/>
              </w:rPr>
            </w:pPr>
          </w:p>
        </w:tc>
      </w:tr>
      <w:tr w14:paraId="66EC1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462" w:type="pct"/>
            <w:vMerge w:val="continue"/>
            <w:tcBorders>
              <w:tl2br w:val="nil"/>
              <w:tr2bl w:val="nil"/>
            </w:tcBorders>
            <w:vAlign w:val="center"/>
          </w:tcPr>
          <w:p w14:paraId="6DFA50CE">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878" w:type="pct"/>
            <w:gridSpan w:val="3"/>
            <w:tcBorders>
              <w:tl2br w:val="nil"/>
              <w:tr2bl w:val="nil"/>
            </w:tcBorders>
            <w:vAlign w:val="center"/>
          </w:tcPr>
          <w:p w14:paraId="06B8D023">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投标保证金</w:t>
            </w:r>
          </w:p>
        </w:tc>
        <w:tc>
          <w:tcPr>
            <w:tcW w:w="2659" w:type="pct"/>
            <w:tcBorders>
              <w:tl2br w:val="nil"/>
              <w:tr2bl w:val="nil"/>
            </w:tcBorders>
            <w:vAlign w:val="center"/>
          </w:tcPr>
          <w:p w14:paraId="2F39EF45">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符合第二章“投标人须知”第3.4.1项规定</w:t>
            </w:r>
          </w:p>
        </w:tc>
      </w:tr>
      <w:tr w14:paraId="63412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08BE5C12">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878" w:type="pct"/>
            <w:gridSpan w:val="3"/>
            <w:tcBorders>
              <w:tl2br w:val="nil"/>
              <w:tr2bl w:val="nil"/>
            </w:tcBorders>
            <w:vAlign w:val="center"/>
          </w:tcPr>
          <w:p w14:paraId="7310C60C">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不存在禁止投标的情形</w:t>
            </w:r>
          </w:p>
        </w:tc>
        <w:tc>
          <w:tcPr>
            <w:tcW w:w="2659" w:type="pct"/>
            <w:tcBorders>
              <w:tl2br w:val="nil"/>
              <w:tr2bl w:val="nil"/>
            </w:tcBorders>
            <w:vAlign w:val="center"/>
          </w:tcPr>
          <w:p w14:paraId="1F5623FE">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不存在第二章“投标人须知”第1.4.</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rPr>
              <w:t>项规定的任何一种情形，以投标函为准（格式见第六章“投标文件格式”一《投标函》）。</w:t>
            </w:r>
          </w:p>
          <w:p w14:paraId="4C2CAC75">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招标人有权对承诺函的承诺事项进行核查，如存在禁止投标的情形，将否决其投标，并按相关法律法规进行处理。</w:t>
            </w:r>
          </w:p>
        </w:tc>
      </w:tr>
      <w:tr w14:paraId="4EC74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3EE8FA96">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4537" w:type="pct"/>
            <w:gridSpan w:val="4"/>
            <w:tcBorders>
              <w:tl2br w:val="nil"/>
              <w:tr2bl w:val="nil"/>
            </w:tcBorders>
            <w:vAlign w:val="center"/>
          </w:tcPr>
          <w:p w14:paraId="3E234281">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没有发生被长沙</w:t>
            </w:r>
            <w:r>
              <w:rPr>
                <w:rFonts w:hint="eastAsia" w:ascii="宋体" w:hAnsi="宋体" w:eastAsia="宋体" w:cs="宋体"/>
                <w:color w:val="auto"/>
                <w:szCs w:val="21"/>
                <w:highlight w:val="none"/>
                <w:lang w:val="en-US" w:eastAsia="zh-CN"/>
              </w:rPr>
              <w:t>市</w:t>
            </w:r>
            <w:r>
              <w:rPr>
                <w:rFonts w:hint="eastAsia" w:ascii="宋体" w:hAnsi="宋体" w:eastAsia="宋体" w:cs="宋体"/>
                <w:color w:val="auto"/>
                <w:szCs w:val="21"/>
                <w:highlight w:val="none"/>
              </w:rPr>
              <w:t>轨道交通集团</w:t>
            </w:r>
            <w:r>
              <w:rPr>
                <w:rFonts w:hint="eastAsia" w:ascii="宋体" w:hAnsi="宋体" w:eastAsia="宋体" w:cs="宋体"/>
                <w:color w:val="auto"/>
                <w:szCs w:val="21"/>
                <w:highlight w:val="none"/>
                <w:lang w:val="en-US" w:eastAsia="zh-CN"/>
              </w:rPr>
              <w:t>有限公司</w:t>
            </w:r>
            <w:r>
              <w:rPr>
                <w:rFonts w:hint="eastAsia" w:ascii="宋体" w:hAnsi="宋体" w:eastAsia="宋体" w:cs="宋体"/>
                <w:color w:val="auto"/>
                <w:szCs w:val="21"/>
                <w:highlight w:val="none"/>
              </w:rPr>
              <w:t>或长沙穗城轨道交通有限公司函告禁止在一定期限内参与轨道项目投标的单位按函告内容执行。如有，则以招标人提供的函件内容为准。</w:t>
            </w:r>
          </w:p>
        </w:tc>
      </w:tr>
      <w:tr w14:paraId="2C968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restart"/>
            <w:tcBorders>
              <w:tl2br w:val="nil"/>
              <w:tr2bl w:val="nil"/>
            </w:tcBorders>
            <w:vAlign w:val="center"/>
          </w:tcPr>
          <w:p w14:paraId="194DB378">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2.1.2</w:t>
            </w:r>
          </w:p>
        </w:tc>
        <w:tc>
          <w:tcPr>
            <w:tcW w:w="4537" w:type="pct"/>
            <w:gridSpan w:val="4"/>
            <w:tcBorders>
              <w:tl2br w:val="nil"/>
              <w:tr2bl w:val="nil"/>
            </w:tcBorders>
            <w:vAlign w:val="center"/>
          </w:tcPr>
          <w:p w14:paraId="46B2D4FC">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符合性评审标准</w:t>
            </w:r>
          </w:p>
        </w:tc>
      </w:tr>
      <w:tr w14:paraId="73729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354479A7">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878" w:type="pct"/>
            <w:gridSpan w:val="3"/>
            <w:tcBorders>
              <w:tl2br w:val="nil"/>
              <w:tr2bl w:val="nil"/>
            </w:tcBorders>
            <w:vAlign w:val="center"/>
          </w:tcPr>
          <w:p w14:paraId="58B31F3E">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p>
        </w:tc>
        <w:tc>
          <w:tcPr>
            <w:tcW w:w="2659" w:type="pct"/>
            <w:tcBorders>
              <w:tl2br w:val="nil"/>
              <w:tr2bl w:val="nil"/>
            </w:tcBorders>
            <w:vAlign w:val="center"/>
          </w:tcPr>
          <w:p w14:paraId="1C8D2469">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与营业执照（或事业单位法人证书）、资质证书一致</w:t>
            </w:r>
          </w:p>
        </w:tc>
      </w:tr>
      <w:tr w14:paraId="3FFD4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7A0BBA37">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878" w:type="pct"/>
            <w:gridSpan w:val="3"/>
            <w:tcBorders>
              <w:tl2br w:val="nil"/>
              <w:tr2bl w:val="nil"/>
            </w:tcBorders>
            <w:vAlign w:val="center"/>
          </w:tcPr>
          <w:p w14:paraId="14261C1A">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投标文件签字盖章</w:t>
            </w:r>
          </w:p>
        </w:tc>
        <w:tc>
          <w:tcPr>
            <w:tcW w:w="2659" w:type="pct"/>
            <w:tcBorders>
              <w:tl2br w:val="nil"/>
              <w:tr2bl w:val="nil"/>
            </w:tcBorders>
            <w:vAlign w:val="center"/>
          </w:tcPr>
          <w:p w14:paraId="5BF67DE7">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按照第六章“投标文件格式”的要求签字及加盖投标人单位公章。</w:t>
            </w:r>
          </w:p>
        </w:tc>
      </w:tr>
      <w:tr w14:paraId="4B2DB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69CB7C3E">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878" w:type="pct"/>
            <w:gridSpan w:val="3"/>
            <w:tcBorders>
              <w:tl2br w:val="nil"/>
              <w:tr2bl w:val="nil"/>
            </w:tcBorders>
            <w:vAlign w:val="center"/>
          </w:tcPr>
          <w:p w14:paraId="35D48C48">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联合体投标人</w:t>
            </w:r>
          </w:p>
        </w:tc>
        <w:tc>
          <w:tcPr>
            <w:tcW w:w="2659" w:type="pct"/>
            <w:tcBorders>
              <w:tl2br w:val="nil"/>
              <w:tr2bl w:val="nil"/>
            </w:tcBorders>
            <w:vAlign w:val="center"/>
          </w:tcPr>
          <w:p w14:paraId="04CC8D25">
            <w:pPr>
              <w:keepNext w:val="0"/>
              <w:keepLines w:val="0"/>
              <w:pageBreakBefore w:val="0"/>
              <w:kinsoku/>
              <w:topLinePunct w:val="0"/>
              <w:bidi w:val="0"/>
              <w:spacing w:line="24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本项目不接受联合体投标。</w:t>
            </w:r>
          </w:p>
        </w:tc>
      </w:tr>
      <w:tr w14:paraId="67F0E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78783059">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878" w:type="pct"/>
            <w:gridSpan w:val="3"/>
            <w:tcBorders>
              <w:tl2br w:val="nil"/>
              <w:tr2bl w:val="nil"/>
            </w:tcBorders>
            <w:vAlign w:val="center"/>
          </w:tcPr>
          <w:p w14:paraId="17943165">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备选投标方案</w:t>
            </w:r>
          </w:p>
        </w:tc>
        <w:tc>
          <w:tcPr>
            <w:tcW w:w="2659" w:type="pct"/>
            <w:tcBorders>
              <w:tl2br w:val="nil"/>
              <w:tr2bl w:val="nil"/>
            </w:tcBorders>
            <w:vAlign w:val="center"/>
          </w:tcPr>
          <w:p w14:paraId="4F881C88">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投标人不得提交备选投标方案。</w:t>
            </w:r>
          </w:p>
        </w:tc>
      </w:tr>
      <w:tr w14:paraId="1FA78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012DFE14">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878" w:type="pct"/>
            <w:gridSpan w:val="3"/>
            <w:tcBorders>
              <w:tl2br w:val="nil"/>
              <w:tr2bl w:val="nil"/>
            </w:tcBorders>
            <w:vAlign w:val="center"/>
          </w:tcPr>
          <w:p w14:paraId="607C4703">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w:t>
            </w:r>
          </w:p>
        </w:tc>
        <w:tc>
          <w:tcPr>
            <w:tcW w:w="2659" w:type="pct"/>
            <w:tcBorders>
              <w:tl2br w:val="nil"/>
              <w:tr2bl w:val="nil"/>
            </w:tcBorders>
            <w:vAlign w:val="center"/>
          </w:tcPr>
          <w:p w14:paraId="22857BAD">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符合第二章“投标人须知”第3.2款规定</w:t>
            </w:r>
          </w:p>
        </w:tc>
      </w:tr>
      <w:tr w14:paraId="50131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35ED08C5">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878" w:type="pct"/>
            <w:gridSpan w:val="3"/>
            <w:tcBorders>
              <w:tl2br w:val="nil"/>
              <w:tr2bl w:val="nil"/>
            </w:tcBorders>
            <w:vAlign w:val="center"/>
          </w:tcPr>
          <w:p w14:paraId="2B4B704B">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投标内容</w:t>
            </w:r>
          </w:p>
        </w:tc>
        <w:tc>
          <w:tcPr>
            <w:tcW w:w="2659" w:type="pct"/>
            <w:tcBorders>
              <w:tl2br w:val="nil"/>
              <w:tr2bl w:val="nil"/>
            </w:tcBorders>
            <w:vAlign w:val="center"/>
          </w:tcPr>
          <w:p w14:paraId="4663FF5F">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符合第二章“投标人须知”第1.3.1项规定</w:t>
            </w:r>
          </w:p>
        </w:tc>
      </w:tr>
      <w:tr w14:paraId="04C54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7361AFD5">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878" w:type="pct"/>
            <w:gridSpan w:val="3"/>
            <w:tcBorders>
              <w:tl2br w:val="nil"/>
              <w:tr2bl w:val="nil"/>
            </w:tcBorders>
            <w:vAlign w:val="center"/>
          </w:tcPr>
          <w:p w14:paraId="27C61825">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服务期限</w:t>
            </w:r>
          </w:p>
        </w:tc>
        <w:tc>
          <w:tcPr>
            <w:tcW w:w="2659" w:type="pct"/>
            <w:tcBorders>
              <w:tl2br w:val="nil"/>
              <w:tr2bl w:val="nil"/>
            </w:tcBorders>
            <w:vAlign w:val="center"/>
          </w:tcPr>
          <w:p w14:paraId="6791F2E1">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符合第二章“投标人须知”第1.3.2项规定</w:t>
            </w:r>
          </w:p>
        </w:tc>
      </w:tr>
      <w:tr w14:paraId="0F143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265FB142">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878" w:type="pct"/>
            <w:gridSpan w:val="3"/>
            <w:tcBorders>
              <w:tl2br w:val="nil"/>
              <w:tr2bl w:val="nil"/>
            </w:tcBorders>
            <w:vAlign w:val="center"/>
          </w:tcPr>
          <w:p w14:paraId="6A50E2E1">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投标有效期</w:t>
            </w:r>
          </w:p>
        </w:tc>
        <w:tc>
          <w:tcPr>
            <w:tcW w:w="2659" w:type="pct"/>
            <w:tcBorders>
              <w:tl2br w:val="nil"/>
              <w:tr2bl w:val="nil"/>
            </w:tcBorders>
            <w:vAlign w:val="center"/>
          </w:tcPr>
          <w:p w14:paraId="3840C7E1">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符合第二章“投标人须知”第3.3.1项规定</w:t>
            </w:r>
          </w:p>
        </w:tc>
      </w:tr>
      <w:tr w14:paraId="73C6E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58360BC6">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878" w:type="pct"/>
            <w:gridSpan w:val="3"/>
            <w:tcBorders>
              <w:tl2br w:val="nil"/>
              <w:tr2bl w:val="nil"/>
            </w:tcBorders>
            <w:vAlign w:val="center"/>
          </w:tcPr>
          <w:p w14:paraId="5A97E8FA">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响应和偏差</w:t>
            </w:r>
          </w:p>
        </w:tc>
        <w:tc>
          <w:tcPr>
            <w:tcW w:w="2659" w:type="pct"/>
            <w:tcBorders>
              <w:tl2br w:val="nil"/>
              <w:tr2bl w:val="nil"/>
            </w:tcBorders>
            <w:vAlign w:val="center"/>
          </w:tcPr>
          <w:p w14:paraId="03A18983">
            <w:pPr>
              <w:keepNext w:val="0"/>
              <w:keepLines w:val="0"/>
              <w:pageBreakBefore w:val="0"/>
              <w:kinsoku/>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符合第二章“投标人须知”第1.10项规定</w:t>
            </w:r>
          </w:p>
        </w:tc>
      </w:tr>
      <w:tr w14:paraId="5B8B9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03E49809">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1878" w:type="pct"/>
            <w:gridSpan w:val="3"/>
            <w:tcBorders>
              <w:tl2br w:val="nil"/>
              <w:tr2bl w:val="nil"/>
            </w:tcBorders>
            <w:vAlign w:val="center"/>
          </w:tcPr>
          <w:p w14:paraId="4D06F23A">
            <w:pPr>
              <w:keepNext w:val="0"/>
              <w:keepLines w:val="0"/>
              <w:pageBreakBefore w:val="0"/>
              <w:kinsoku/>
              <w:wordWrap w:val="0"/>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成本评审</w:t>
            </w:r>
          </w:p>
        </w:tc>
        <w:tc>
          <w:tcPr>
            <w:tcW w:w="2659" w:type="pct"/>
            <w:tcBorders>
              <w:tl2br w:val="nil"/>
              <w:tr2bl w:val="nil"/>
            </w:tcBorders>
            <w:vAlign w:val="center"/>
          </w:tcPr>
          <w:p w14:paraId="162BC1BA">
            <w:pPr>
              <w:keepNext w:val="0"/>
              <w:keepLines w:val="0"/>
              <w:pageBreakBefore w:val="0"/>
              <w:kinsoku/>
              <w:wordWrap w:val="0"/>
              <w:topLinePunct w:val="0"/>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投标人“开标一览表”的“</w:t>
            </w:r>
            <w:r>
              <w:rPr>
                <w:rFonts w:hint="eastAsia" w:ascii="宋体" w:hAnsi="宋体" w:eastAsia="宋体" w:cs="宋体"/>
                <w:b w:val="0"/>
                <w:bCs w:val="0"/>
                <w:snapToGrid w:val="0"/>
                <w:color w:val="auto"/>
                <w:kern w:val="0"/>
                <w:sz w:val="21"/>
                <w:szCs w:val="21"/>
                <w:highlight w:val="none"/>
                <w:lang w:val="en-US" w:eastAsia="zh-CN" w:bidi="ar"/>
              </w:rPr>
              <w:t>1-优惠率</w:t>
            </w:r>
            <w:r>
              <w:rPr>
                <w:rFonts w:hint="eastAsia" w:ascii="宋体" w:hAnsi="宋体" w:eastAsia="宋体" w:cs="宋体"/>
                <w:color w:val="auto"/>
                <w:szCs w:val="21"/>
                <w:highlight w:val="none"/>
              </w:rPr>
              <w:t>”低于通过资格评审的所有投标人的“开标一览表”的“</w:t>
            </w:r>
            <w:r>
              <w:rPr>
                <w:rFonts w:hint="eastAsia" w:ascii="宋体" w:hAnsi="宋体" w:eastAsia="宋体" w:cs="宋体"/>
                <w:b w:val="0"/>
                <w:bCs w:val="0"/>
                <w:snapToGrid w:val="0"/>
                <w:color w:val="auto"/>
                <w:kern w:val="0"/>
                <w:sz w:val="21"/>
                <w:szCs w:val="21"/>
                <w:highlight w:val="none"/>
                <w:lang w:val="en-US" w:eastAsia="zh-CN" w:bidi="ar"/>
              </w:rPr>
              <w:t>1-优惠率</w:t>
            </w:r>
            <w:r>
              <w:rPr>
                <w:rFonts w:hint="eastAsia" w:ascii="宋体" w:hAnsi="宋体" w:eastAsia="宋体" w:cs="宋体"/>
                <w:color w:val="auto"/>
                <w:szCs w:val="21"/>
                <w:highlight w:val="none"/>
              </w:rPr>
              <w:t>”的算术平均值80%时，由评标委员会启动成本评审工作，以判别该投标人的投标报价是否低于其成本。评标委员会应当要求该投标人作出书面说明并提供相应的证明材料。投标人不能合理说明或者不能提供相应证明材料的，由评标委员会认定该投标人以低于成本报价竞标，并否决其投标。</w:t>
            </w:r>
          </w:p>
        </w:tc>
      </w:tr>
      <w:tr w14:paraId="71AAD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tcBorders>
              <w:tl2br w:val="nil"/>
              <w:tr2bl w:val="nil"/>
            </w:tcBorders>
            <w:vAlign w:val="center"/>
          </w:tcPr>
          <w:p w14:paraId="41A3AFBC">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条款号</w:t>
            </w:r>
          </w:p>
        </w:tc>
        <w:tc>
          <w:tcPr>
            <w:tcW w:w="1878" w:type="pct"/>
            <w:gridSpan w:val="3"/>
            <w:tcBorders>
              <w:tl2br w:val="nil"/>
              <w:tr2bl w:val="nil"/>
            </w:tcBorders>
            <w:vAlign w:val="center"/>
          </w:tcPr>
          <w:p w14:paraId="6618CCE3">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条款内容</w:t>
            </w:r>
          </w:p>
        </w:tc>
        <w:tc>
          <w:tcPr>
            <w:tcW w:w="2659" w:type="pct"/>
            <w:tcBorders>
              <w:tl2br w:val="nil"/>
              <w:tr2bl w:val="nil"/>
            </w:tcBorders>
            <w:vAlign w:val="center"/>
          </w:tcPr>
          <w:p w14:paraId="26C7DB2C">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编列内容</w:t>
            </w:r>
          </w:p>
        </w:tc>
      </w:tr>
      <w:tr w14:paraId="5BE50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tcBorders>
              <w:tl2br w:val="nil"/>
              <w:tr2bl w:val="nil"/>
            </w:tcBorders>
            <w:vAlign w:val="center"/>
          </w:tcPr>
          <w:p w14:paraId="4E96941B">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w:t>
            </w:r>
          </w:p>
        </w:tc>
        <w:tc>
          <w:tcPr>
            <w:tcW w:w="1878" w:type="pct"/>
            <w:gridSpan w:val="3"/>
            <w:tcBorders>
              <w:tl2br w:val="nil"/>
              <w:tr2bl w:val="nil"/>
            </w:tcBorders>
            <w:vAlign w:val="center"/>
          </w:tcPr>
          <w:p w14:paraId="1B432090">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权重分值</w:t>
            </w:r>
          </w:p>
        </w:tc>
        <w:tc>
          <w:tcPr>
            <w:tcW w:w="2659" w:type="pct"/>
            <w:tcBorders>
              <w:tl2br w:val="nil"/>
              <w:tr2bl w:val="nil"/>
            </w:tcBorders>
            <w:vAlign w:val="center"/>
          </w:tcPr>
          <w:p w14:paraId="45A5482E">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商务部分：30分</w:t>
            </w:r>
          </w:p>
          <w:p w14:paraId="1F227B58">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技术部分：40分</w:t>
            </w:r>
          </w:p>
          <w:p w14:paraId="0DFF91D7">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报价部分：30分</w:t>
            </w:r>
          </w:p>
        </w:tc>
      </w:tr>
      <w:tr w14:paraId="6C72E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tcBorders>
              <w:tl2br w:val="nil"/>
              <w:tr2bl w:val="nil"/>
            </w:tcBorders>
            <w:vAlign w:val="center"/>
          </w:tcPr>
          <w:p w14:paraId="4AE6800F">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条款号</w:t>
            </w:r>
          </w:p>
        </w:tc>
        <w:tc>
          <w:tcPr>
            <w:tcW w:w="1262" w:type="pct"/>
            <w:gridSpan w:val="2"/>
            <w:tcBorders>
              <w:tl2br w:val="nil"/>
              <w:tr2bl w:val="nil"/>
            </w:tcBorders>
            <w:vAlign w:val="center"/>
          </w:tcPr>
          <w:p w14:paraId="1A01643B">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评审因素</w:t>
            </w:r>
          </w:p>
        </w:tc>
        <w:tc>
          <w:tcPr>
            <w:tcW w:w="615" w:type="pct"/>
            <w:tcBorders>
              <w:tl2br w:val="nil"/>
              <w:tr2bl w:val="nil"/>
            </w:tcBorders>
            <w:vAlign w:val="center"/>
          </w:tcPr>
          <w:p w14:paraId="55D4187D">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分值</w:t>
            </w:r>
          </w:p>
        </w:tc>
        <w:tc>
          <w:tcPr>
            <w:tcW w:w="2659" w:type="pct"/>
            <w:tcBorders>
              <w:tl2br w:val="nil"/>
              <w:tr2bl w:val="nil"/>
            </w:tcBorders>
            <w:vAlign w:val="center"/>
          </w:tcPr>
          <w:p w14:paraId="2C664D7F">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评审标准</w:t>
            </w:r>
          </w:p>
        </w:tc>
      </w:tr>
      <w:tr w14:paraId="1133E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restart"/>
            <w:tcBorders>
              <w:tl2br w:val="nil"/>
              <w:tr2bl w:val="nil"/>
            </w:tcBorders>
            <w:vAlign w:val="center"/>
          </w:tcPr>
          <w:p w14:paraId="2F69105E">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w:t>
            </w:r>
          </w:p>
          <w:p w14:paraId="008E0AD2">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（1）</w:t>
            </w:r>
          </w:p>
        </w:tc>
        <w:tc>
          <w:tcPr>
            <w:tcW w:w="4537" w:type="pct"/>
            <w:gridSpan w:val="4"/>
            <w:tcBorders>
              <w:tl2br w:val="nil"/>
              <w:tr2bl w:val="nil"/>
            </w:tcBorders>
            <w:vAlign w:val="center"/>
          </w:tcPr>
          <w:p w14:paraId="1AAAFD35">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商务部分详细评分标准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30分</w:t>
            </w:r>
            <w:r>
              <w:rPr>
                <w:rFonts w:hint="eastAsia" w:ascii="宋体" w:hAnsi="宋体" w:eastAsia="宋体" w:cs="宋体"/>
                <w:color w:val="auto"/>
                <w:szCs w:val="21"/>
                <w:highlight w:val="none"/>
                <w:lang w:eastAsia="zh-CN"/>
              </w:rPr>
              <w:t>）</w:t>
            </w:r>
          </w:p>
        </w:tc>
      </w:tr>
      <w:tr w14:paraId="0BF54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653AE4A2">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1262" w:type="pct"/>
            <w:gridSpan w:val="2"/>
            <w:tcBorders>
              <w:tl2br w:val="nil"/>
              <w:tr2bl w:val="nil"/>
            </w:tcBorders>
            <w:vAlign w:val="center"/>
          </w:tcPr>
          <w:p w14:paraId="376A6DAA">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投标文件的编制</w:t>
            </w:r>
          </w:p>
        </w:tc>
        <w:tc>
          <w:tcPr>
            <w:tcW w:w="615" w:type="pct"/>
            <w:tcBorders>
              <w:tl2br w:val="nil"/>
              <w:tr2bl w:val="nil"/>
            </w:tcBorders>
            <w:vAlign w:val="center"/>
          </w:tcPr>
          <w:p w14:paraId="5C9B6C51">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2659" w:type="pct"/>
            <w:tcBorders>
              <w:tl2br w:val="nil"/>
              <w:tr2bl w:val="nil"/>
            </w:tcBorders>
            <w:vAlign w:val="center"/>
          </w:tcPr>
          <w:p w14:paraId="5BA58268">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both"/>
              <w:textAlignment w:val="center"/>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版面是否整齐，表述是否清晰，内容是否全面、准确，是否图文并茂，是否出现格式等错误。经评标委员会集体讨论认定一致后，每出现一处问题扣0.2分,扣完为止。</w:t>
            </w:r>
          </w:p>
        </w:tc>
      </w:tr>
      <w:tr w14:paraId="6A340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355F587A">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1262" w:type="pct"/>
            <w:gridSpan w:val="2"/>
            <w:tcBorders>
              <w:tl2br w:val="nil"/>
              <w:tr2bl w:val="nil"/>
            </w:tcBorders>
            <w:vAlign w:val="center"/>
          </w:tcPr>
          <w:p w14:paraId="154C39AF">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计分业绩</w:t>
            </w:r>
          </w:p>
        </w:tc>
        <w:tc>
          <w:tcPr>
            <w:tcW w:w="615" w:type="pct"/>
            <w:tcBorders>
              <w:tl2br w:val="nil"/>
              <w:tr2bl w:val="nil"/>
            </w:tcBorders>
            <w:vAlign w:val="center"/>
          </w:tcPr>
          <w:p w14:paraId="6AC27A74">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2659" w:type="pct"/>
            <w:tcBorders>
              <w:tl2br w:val="nil"/>
              <w:tr2bl w:val="nil"/>
            </w:tcBorders>
            <w:vAlign w:val="center"/>
          </w:tcPr>
          <w:p w14:paraId="1AF76306">
            <w:pPr>
              <w:keepNext w:val="0"/>
              <w:keepLines w:val="0"/>
              <w:pageBreakBefore w:val="0"/>
              <w:numPr>
                <w:ilvl w:val="-1"/>
                <w:numId w:val="0"/>
              </w:numPr>
              <w:tabs>
                <w:tab w:val="left" w:pos="1260"/>
              </w:tabs>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lang w:eastAsia="zh-CN"/>
              </w:rPr>
              <w:t>投标人</w:t>
            </w:r>
            <w:r>
              <w:rPr>
                <w:rFonts w:hint="eastAsia" w:ascii="宋体" w:hAnsi="宋体" w:eastAsia="宋体" w:cs="宋体"/>
                <w:iCs/>
                <w:color w:val="auto"/>
                <w:sz w:val="21"/>
                <w:szCs w:val="21"/>
                <w:highlight w:val="none"/>
              </w:rPr>
              <w:t>每</w:t>
            </w:r>
            <w:r>
              <w:rPr>
                <w:rFonts w:hint="eastAsia" w:ascii="宋体" w:hAnsi="宋体" w:eastAsia="宋体" w:cs="宋体"/>
                <w:iCs/>
                <w:color w:val="auto"/>
                <w:sz w:val="21"/>
                <w:szCs w:val="21"/>
                <w:highlight w:val="none"/>
                <w:lang w:val="en-US" w:eastAsia="zh-CN"/>
              </w:rPr>
              <w:t>具备</w:t>
            </w:r>
            <w:r>
              <w:rPr>
                <w:rFonts w:hint="eastAsia" w:ascii="宋体" w:hAnsi="宋体" w:eastAsia="宋体" w:cs="宋体"/>
                <w:iCs/>
                <w:color w:val="auto"/>
                <w:sz w:val="21"/>
                <w:szCs w:val="21"/>
                <w:highlight w:val="none"/>
              </w:rPr>
              <w:t>1个计分业绩</w:t>
            </w:r>
            <w:r>
              <w:rPr>
                <w:rFonts w:hint="eastAsia" w:ascii="宋体" w:hAnsi="宋体" w:cs="宋体"/>
                <w:iCs/>
                <w:color w:val="auto"/>
                <w:sz w:val="21"/>
                <w:szCs w:val="21"/>
                <w:highlight w:val="none"/>
                <w:lang w:val="en-US" w:eastAsia="zh-CN"/>
              </w:rPr>
              <w:t>计</w:t>
            </w:r>
            <w:r>
              <w:rPr>
                <w:rFonts w:hint="eastAsia" w:ascii="宋体" w:hAnsi="宋体" w:eastAsia="宋体" w:cs="宋体"/>
                <w:iCs/>
                <w:color w:val="auto"/>
                <w:sz w:val="21"/>
                <w:szCs w:val="21"/>
                <w:highlight w:val="none"/>
                <w:lang w:val="en-US" w:eastAsia="zh-CN"/>
              </w:rPr>
              <w:t>3</w:t>
            </w:r>
            <w:r>
              <w:rPr>
                <w:rFonts w:hint="eastAsia" w:ascii="宋体" w:hAnsi="宋体" w:eastAsia="宋体" w:cs="宋体"/>
                <w:iCs/>
                <w:color w:val="auto"/>
                <w:sz w:val="21"/>
                <w:szCs w:val="21"/>
                <w:highlight w:val="none"/>
              </w:rPr>
              <w:t>分，</w:t>
            </w:r>
            <w:r>
              <w:rPr>
                <w:rFonts w:hint="eastAsia" w:ascii="宋体" w:hAnsi="宋体" w:cs="宋体"/>
                <w:color w:val="auto"/>
                <w:kern w:val="0"/>
                <w:szCs w:val="21"/>
                <w:highlight w:val="none"/>
                <w:u w:val="none"/>
                <w:lang w:bidi="ar"/>
              </w:rPr>
              <w:t>本项最高</w:t>
            </w:r>
            <w:r>
              <w:rPr>
                <w:rFonts w:hint="eastAsia" w:ascii="宋体" w:hAnsi="宋体" w:cs="宋体"/>
                <w:color w:val="auto"/>
                <w:kern w:val="0"/>
                <w:szCs w:val="21"/>
                <w:highlight w:val="none"/>
                <w:u w:val="none"/>
                <w:lang w:val="en-US" w:eastAsia="zh-CN" w:bidi="ar"/>
              </w:rPr>
              <w:t>计12</w:t>
            </w:r>
            <w:r>
              <w:rPr>
                <w:rFonts w:hint="eastAsia" w:ascii="宋体" w:hAnsi="宋体" w:cs="宋体"/>
                <w:color w:val="auto"/>
                <w:kern w:val="0"/>
                <w:szCs w:val="21"/>
                <w:highlight w:val="none"/>
                <w:u w:val="none"/>
                <w:lang w:bidi="ar"/>
              </w:rPr>
              <w:t>分</w:t>
            </w:r>
            <w:r>
              <w:rPr>
                <w:rFonts w:hint="eastAsia" w:ascii="宋体" w:hAnsi="宋体" w:eastAsia="宋体" w:cs="宋体"/>
                <w:iCs/>
                <w:color w:val="auto"/>
                <w:sz w:val="21"/>
                <w:szCs w:val="21"/>
                <w:highlight w:val="none"/>
              </w:rPr>
              <w:t>。</w:t>
            </w:r>
          </w:p>
          <w:p w14:paraId="1B4A34D8">
            <w:pPr>
              <w:spacing w:line="240" w:lineRule="auto"/>
              <w:rPr>
                <w:color w:val="auto"/>
                <w:highlight w:val="none"/>
              </w:rPr>
            </w:pPr>
            <w:r>
              <w:rPr>
                <w:rFonts w:hint="eastAsia" w:ascii="宋体" w:hAnsi="宋体" w:cs="宋体"/>
                <w:b/>
                <w:bCs/>
                <w:color w:val="auto"/>
                <w:highlight w:val="none"/>
                <w:lang w:val="en-US" w:eastAsia="zh-CN"/>
              </w:rPr>
              <w:t>计分</w:t>
            </w:r>
            <w:r>
              <w:rPr>
                <w:rFonts w:hint="eastAsia" w:ascii="宋体" w:hAnsi="宋体" w:eastAsia="宋体" w:cs="宋体"/>
                <w:b/>
                <w:bCs/>
                <w:color w:val="auto"/>
                <w:highlight w:val="none"/>
              </w:rPr>
              <w:t>业绩</w:t>
            </w:r>
            <w:r>
              <w:rPr>
                <w:rFonts w:hint="eastAsia" w:ascii="宋体" w:hAnsi="宋体" w:eastAsia="宋体" w:cs="宋体"/>
                <w:b/>
                <w:bCs/>
                <w:color w:val="auto"/>
                <w:szCs w:val="21"/>
                <w:highlight w:val="none"/>
              </w:rPr>
              <w:t>是指：</w:t>
            </w:r>
          </w:p>
          <w:p w14:paraId="3FC95D04">
            <w:pPr>
              <w:spacing w:line="240" w:lineRule="auto"/>
              <w:rPr>
                <w:color w:val="auto"/>
                <w:highlight w:val="none"/>
              </w:rPr>
            </w:pPr>
            <w:r>
              <w:rPr>
                <w:rFonts w:hint="eastAsia" w:ascii="宋体" w:hAnsi="宋体" w:eastAsia="宋体" w:cs="宋体"/>
                <w:color w:val="auto"/>
                <w:kern w:val="0"/>
                <w:szCs w:val="21"/>
                <w:highlight w:val="none"/>
                <w:u w:val="none"/>
                <w:lang w:bidi="ar"/>
              </w:rPr>
              <w:t>投标人在投标文件截止之日前36个月内承担过20</w:t>
            </w:r>
            <w:r>
              <w:rPr>
                <w:rFonts w:hint="eastAsia" w:ascii="宋体" w:hAnsi="宋体" w:cs="宋体"/>
                <w:color w:val="auto"/>
                <w:kern w:val="0"/>
                <w:szCs w:val="21"/>
                <w:highlight w:val="none"/>
                <w:u w:val="none"/>
                <w:lang w:val="en-US" w:eastAsia="zh-CN" w:bidi="ar"/>
              </w:rPr>
              <w:t>0</w:t>
            </w:r>
            <w:r>
              <w:rPr>
                <w:rFonts w:hint="eastAsia" w:ascii="宋体" w:hAnsi="宋体" w:eastAsia="宋体" w:cs="宋体"/>
                <w:color w:val="auto"/>
                <w:kern w:val="0"/>
                <w:szCs w:val="21"/>
                <w:highlight w:val="none"/>
                <w:u w:val="none"/>
                <w:lang w:bidi="ar"/>
              </w:rPr>
              <w:t>万元/年（含）以上的</w:t>
            </w:r>
            <w:r>
              <w:rPr>
                <w:rFonts w:hint="eastAsia" w:ascii="宋体" w:hAnsi="宋体" w:cs="宋体"/>
                <w:color w:val="auto"/>
                <w:kern w:val="0"/>
                <w:szCs w:val="21"/>
                <w:highlight w:val="none"/>
                <w:u w:val="none"/>
                <w:lang w:val="en-US" w:eastAsia="zh-CN" w:bidi="ar"/>
              </w:rPr>
              <w:t>生鲜类</w:t>
            </w:r>
            <w:r>
              <w:rPr>
                <w:rFonts w:hint="eastAsia" w:ascii="宋体" w:hAnsi="宋体" w:eastAsia="宋体" w:cs="宋体"/>
                <w:color w:val="auto"/>
                <w:kern w:val="0"/>
                <w:szCs w:val="21"/>
                <w:highlight w:val="none"/>
                <w:u w:val="none"/>
                <w:lang w:bidi="ar"/>
              </w:rPr>
              <w:t>供货项目业绩。</w:t>
            </w:r>
          </w:p>
          <w:p w14:paraId="27957DCB">
            <w:pPr>
              <w:keepNext w:val="0"/>
              <w:keepLines w:val="0"/>
              <w:pageBreakBefore w:val="0"/>
              <w:widowControl/>
              <w:suppressLineNumbers w:val="0"/>
              <w:kinsoku/>
              <w:wordWrap/>
              <w:overflowPunct w:val="0"/>
              <w:topLinePunct w:val="0"/>
              <w:autoSpaceDE w:val="0"/>
              <w:autoSpaceDN w:val="0"/>
              <w:bidi w:val="0"/>
              <w:adjustRightInd w:val="0"/>
              <w:snapToGrid w:val="0"/>
              <w:spacing w:line="240" w:lineRule="auto"/>
              <w:ind w:firstLine="0" w:firstLineChars="0"/>
              <w:jc w:val="left"/>
              <w:textAlignment w:val="center"/>
              <w:rPr>
                <w:rFonts w:hint="eastAsia" w:ascii="宋体" w:hAnsi="宋体" w:eastAsia="宋体" w:cs="宋体"/>
                <w:color w:val="auto"/>
                <w:kern w:val="0"/>
                <w:szCs w:val="21"/>
                <w:highlight w:val="none"/>
                <w:u w:val="none"/>
                <w:lang w:val="en-US" w:eastAsia="zh-CN" w:bidi="ar"/>
              </w:rPr>
            </w:pPr>
          </w:p>
          <w:p w14:paraId="4D600D74">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both"/>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i w:val="0"/>
                <w:iCs w:val="0"/>
                <w:color w:val="auto"/>
                <w:kern w:val="0"/>
                <w:sz w:val="21"/>
                <w:szCs w:val="21"/>
                <w:highlight w:val="none"/>
                <w:u w:val="none"/>
                <w:lang w:val="en-US" w:eastAsia="zh-CN" w:bidi="ar"/>
              </w:rPr>
              <w:t>注：</w:t>
            </w:r>
            <w:r>
              <w:rPr>
                <w:rFonts w:hint="eastAsia" w:ascii="宋体" w:hAnsi="宋体" w:eastAsia="宋体" w:cs="宋体"/>
                <w:b/>
                <w:bCs/>
                <w:color w:val="auto"/>
                <w:kern w:val="0"/>
                <w:szCs w:val="21"/>
                <w:highlight w:val="none"/>
                <w:u w:val="none"/>
                <w:lang w:bidi="ar"/>
              </w:rPr>
              <w:t>业绩证明材料以合同为准，且须提供合同</w:t>
            </w:r>
            <w:r>
              <w:rPr>
                <w:rFonts w:hint="eastAsia" w:ascii="宋体" w:hAnsi="宋体" w:eastAsia="宋体" w:cs="宋体"/>
                <w:b/>
                <w:bCs/>
                <w:color w:val="auto"/>
                <w:kern w:val="0"/>
                <w:szCs w:val="21"/>
                <w:highlight w:val="none"/>
                <w:u w:val="none"/>
                <w:lang w:val="en-US" w:eastAsia="zh-CN" w:bidi="ar"/>
              </w:rPr>
              <w:t>复印件</w:t>
            </w:r>
            <w:r>
              <w:rPr>
                <w:rFonts w:hint="eastAsia" w:ascii="宋体" w:hAnsi="宋体" w:eastAsia="宋体" w:cs="宋体"/>
                <w:b/>
                <w:bCs/>
                <w:color w:val="auto"/>
                <w:kern w:val="0"/>
                <w:szCs w:val="21"/>
                <w:highlight w:val="none"/>
                <w:u w:val="none"/>
                <w:lang w:bidi="ar"/>
              </w:rPr>
              <w:t>；时间以合同中较晚一方签字时间为准；</w:t>
            </w:r>
            <w:r>
              <w:rPr>
                <w:rFonts w:hint="eastAsia" w:ascii="宋体" w:hAnsi="宋体" w:eastAsia="宋体" w:cs="宋体"/>
                <w:b/>
                <w:bCs/>
                <w:color w:val="auto"/>
                <w:kern w:val="0"/>
                <w:sz w:val="21"/>
                <w:szCs w:val="21"/>
                <w:highlight w:val="none"/>
                <w:u w:val="none"/>
                <w:lang w:val="en-US" w:eastAsia="zh-CN" w:bidi="ar"/>
              </w:rPr>
              <w:t>若合同中无法体现业绩相关信息时，须另外提供由业主单位出具的《业主证明》。</w:t>
            </w:r>
            <w:r>
              <w:rPr>
                <w:rFonts w:hint="eastAsia" w:ascii="宋体" w:hAnsi="宋体" w:eastAsia="宋体" w:cs="宋体"/>
                <w:b/>
                <w:bCs/>
                <w:color w:val="auto"/>
                <w:kern w:val="0"/>
                <w:szCs w:val="21"/>
                <w:highlight w:val="none"/>
                <w:u w:val="none"/>
                <w:lang w:bidi="ar"/>
              </w:rPr>
              <w:t>不接受港澳台或境外业绩，不接受联合体业绩。</w:t>
            </w:r>
          </w:p>
        </w:tc>
      </w:tr>
      <w:tr w14:paraId="44DF3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502AC966">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1262" w:type="pct"/>
            <w:gridSpan w:val="2"/>
            <w:tcBorders>
              <w:tl2br w:val="nil"/>
              <w:tr2bl w:val="nil"/>
            </w:tcBorders>
            <w:vAlign w:val="center"/>
          </w:tcPr>
          <w:p w14:paraId="5432F9B4">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综合实力</w:t>
            </w:r>
          </w:p>
        </w:tc>
        <w:tc>
          <w:tcPr>
            <w:tcW w:w="615" w:type="pct"/>
            <w:tcBorders>
              <w:tl2br w:val="nil"/>
              <w:tr2bl w:val="nil"/>
            </w:tcBorders>
            <w:vAlign w:val="center"/>
          </w:tcPr>
          <w:p w14:paraId="2891FD08">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Cs w:val="21"/>
                <w:highlight w:val="none"/>
              </w:rPr>
            </w:pPr>
            <w:r>
              <w:rPr>
                <w:rFonts w:hint="eastAsia" w:ascii="宋体" w:hAnsi="宋体" w:cs="宋体"/>
                <w:i w:val="0"/>
                <w:iCs w:val="0"/>
                <w:color w:val="auto"/>
                <w:kern w:val="0"/>
                <w:sz w:val="21"/>
                <w:szCs w:val="21"/>
                <w:highlight w:val="none"/>
                <w:u w:val="none"/>
                <w:lang w:val="en-US" w:eastAsia="zh-CN" w:bidi="ar"/>
              </w:rPr>
              <w:t>4</w:t>
            </w:r>
          </w:p>
        </w:tc>
        <w:tc>
          <w:tcPr>
            <w:tcW w:w="2659" w:type="pct"/>
            <w:tcBorders>
              <w:tl2br w:val="nil"/>
              <w:tr2bl w:val="nil"/>
            </w:tcBorders>
            <w:vAlign w:val="center"/>
          </w:tcPr>
          <w:p w14:paraId="19B43D52">
            <w:pPr>
              <w:pStyle w:val="2"/>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(1)具备有效的质量管理体系认证ISO9001证书的，</w:t>
            </w:r>
            <w:r>
              <w:rPr>
                <w:rFonts w:hint="eastAsia" w:ascii="宋体" w:hAnsi="宋体" w:cs="宋体"/>
                <w:color w:val="auto"/>
                <w:kern w:val="2"/>
                <w:sz w:val="21"/>
                <w:szCs w:val="21"/>
                <w:highlight w:val="none"/>
                <w:lang w:val="en-US" w:eastAsia="zh-CN" w:bidi="ar-SA"/>
              </w:rPr>
              <w:t>计1</w:t>
            </w:r>
            <w:r>
              <w:rPr>
                <w:rFonts w:hint="eastAsia" w:ascii="宋体" w:hAnsi="宋体" w:eastAsia="宋体" w:cs="宋体"/>
                <w:color w:val="auto"/>
                <w:kern w:val="2"/>
                <w:sz w:val="21"/>
                <w:szCs w:val="21"/>
                <w:highlight w:val="none"/>
                <w:lang w:val="en-US" w:eastAsia="zh-CN" w:bidi="ar-SA"/>
              </w:rPr>
              <w:t>分。</w:t>
            </w:r>
          </w:p>
          <w:p w14:paraId="42C5A501">
            <w:pPr>
              <w:pStyle w:val="2"/>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(2)具备有效的食品安全管理体系认证ISO22000证书的，</w:t>
            </w:r>
            <w:r>
              <w:rPr>
                <w:rFonts w:hint="eastAsia" w:ascii="宋体" w:hAnsi="宋体" w:cs="宋体"/>
                <w:color w:val="auto"/>
                <w:kern w:val="2"/>
                <w:sz w:val="21"/>
                <w:szCs w:val="21"/>
                <w:highlight w:val="none"/>
                <w:lang w:val="en-US" w:eastAsia="zh-CN" w:bidi="ar-SA"/>
              </w:rPr>
              <w:t>计1</w:t>
            </w:r>
            <w:r>
              <w:rPr>
                <w:rFonts w:hint="eastAsia" w:ascii="宋体" w:hAnsi="宋体" w:eastAsia="宋体" w:cs="宋体"/>
                <w:color w:val="auto"/>
                <w:kern w:val="2"/>
                <w:sz w:val="21"/>
                <w:szCs w:val="21"/>
                <w:highlight w:val="none"/>
                <w:lang w:val="en-US" w:eastAsia="zh-CN" w:bidi="ar-SA"/>
              </w:rPr>
              <w:t>分。</w:t>
            </w:r>
          </w:p>
          <w:p w14:paraId="2F973C8B">
            <w:pPr>
              <w:pStyle w:val="2"/>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(3)具备有效的环境管理体系认证</w:t>
            </w:r>
            <w:r>
              <w:rPr>
                <w:rFonts w:hint="eastAsia" w:ascii="宋体" w:hAnsi="宋体" w:eastAsia="宋体" w:cs="宋体"/>
                <w:color w:val="auto"/>
                <w:kern w:val="2"/>
                <w:sz w:val="21"/>
                <w:szCs w:val="21"/>
                <w:highlight w:val="none"/>
                <w:lang w:val="en-US" w:eastAsia="zh-CN" w:bidi="ar-SA"/>
              </w:rPr>
              <w:fldChar w:fldCharType="begin"/>
            </w:r>
            <w:r>
              <w:rPr>
                <w:rFonts w:hint="eastAsia" w:ascii="宋体" w:hAnsi="宋体" w:eastAsia="宋体" w:cs="宋体"/>
                <w:color w:val="auto"/>
                <w:kern w:val="2"/>
                <w:sz w:val="21"/>
                <w:szCs w:val="21"/>
                <w:highlight w:val="none"/>
                <w:lang w:val="en-US" w:eastAsia="zh-CN" w:bidi="ar-SA"/>
              </w:rPr>
              <w:instrText xml:space="preserve"> HYPERLINK "https://baike.baidu.com/item/ISO14000%E7%8E%AF%E5%A2%83%E7%AE%A1%E7%90%86%E7%B3%BB%E5%88%97%E6%A0%87%E5%87%86/54390372?fromModule=lemma_inlink" \t "https://baike.baidu.com/item/_blank" </w:instrText>
            </w:r>
            <w:r>
              <w:rPr>
                <w:rFonts w:hint="eastAsia" w:ascii="宋体" w:hAnsi="宋体" w:eastAsia="宋体" w:cs="宋体"/>
                <w:color w:val="auto"/>
                <w:kern w:val="2"/>
                <w:sz w:val="21"/>
                <w:szCs w:val="21"/>
                <w:highlight w:val="none"/>
                <w:lang w:val="en-US" w:eastAsia="zh-CN" w:bidi="ar-SA"/>
              </w:rPr>
              <w:fldChar w:fldCharType="separate"/>
            </w:r>
            <w:r>
              <w:rPr>
                <w:rFonts w:hint="default" w:ascii="宋体" w:hAnsi="宋体" w:eastAsia="宋体" w:cs="宋体"/>
                <w:color w:val="auto"/>
                <w:kern w:val="2"/>
                <w:sz w:val="21"/>
                <w:szCs w:val="21"/>
                <w:highlight w:val="none"/>
                <w:lang w:val="en-US" w:eastAsia="zh-CN" w:bidi="ar-SA"/>
              </w:rPr>
              <w:t>ISO14000</w:t>
            </w:r>
            <w:r>
              <w:rPr>
                <w:rFonts w:hint="default" w:ascii="宋体" w:hAnsi="宋体" w:eastAsia="宋体" w:cs="宋体"/>
                <w:color w:val="auto"/>
                <w:kern w:val="2"/>
                <w:sz w:val="21"/>
                <w:szCs w:val="21"/>
                <w:highlight w:val="none"/>
                <w:lang w:val="en-US" w:eastAsia="zh-CN" w:bidi="ar-SA"/>
              </w:rPr>
              <w:fldChar w:fldCharType="end"/>
            </w:r>
            <w:r>
              <w:rPr>
                <w:rFonts w:hint="eastAsia" w:ascii="宋体" w:hAnsi="宋体" w:eastAsia="宋体" w:cs="宋体"/>
                <w:color w:val="auto"/>
                <w:kern w:val="2"/>
                <w:sz w:val="21"/>
                <w:szCs w:val="21"/>
                <w:highlight w:val="none"/>
                <w:lang w:val="en-US" w:eastAsia="zh-CN" w:bidi="ar-SA"/>
              </w:rPr>
              <w:t>证书的，</w:t>
            </w:r>
            <w:r>
              <w:rPr>
                <w:rFonts w:hint="eastAsia" w:ascii="宋体" w:hAnsi="宋体" w:cs="宋体"/>
                <w:color w:val="auto"/>
                <w:kern w:val="2"/>
                <w:sz w:val="21"/>
                <w:szCs w:val="21"/>
                <w:highlight w:val="none"/>
                <w:lang w:val="en-US" w:eastAsia="zh-CN" w:bidi="ar-SA"/>
              </w:rPr>
              <w:t>计1</w:t>
            </w:r>
            <w:r>
              <w:rPr>
                <w:rFonts w:hint="eastAsia" w:ascii="宋体" w:hAnsi="宋体" w:eastAsia="宋体" w:cs="宋体"/>
                <w:color w:val="auto"/>
                <w:kern w:val="2"/>
                <w:sz w:val="21"/>
                <w:szCs w:val="21"/>
                <w:highlight w:val="none"/>
                <w:lang w:val="en-US" w:eastAsia="zh-CN" w:bidi="ar-SA"/>
              </w:rPr>
              <w:t>分。</w:t>
            </w:r>
          </w:p>
          <w:p w14:paraId="7250EBFF">
            <w:pPr>
              <w:pStyle w:val="2"/>
              <w:keepNext w:val="0"/>
              <w:keepLines w:val="0"/>
              <w:pageBreakBefore w:val="0"/>
              <w:widowControl w:val="0"/>
              <w:kinsoku/>
              <w:wordWrap/>
              <w:overflowPunct/>
              <w:topLinePunct w:val="0"/>
              <w:autoSpaceDE/>
              <w:autoSpaceDN/>
              <w:bidi w:val="0"/>
              <w:adjustRightInd/>
              <w:snapToGrid/>
              <w:spacing w:after="0" w:line="28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(4)具备有效的职业健康安全管理体系认证ISO45001证书的，加1分。</w:t>
            </w:r>
          </w:p>
          <w:p w14:paraId="443BA26F">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both"/>
              <w:textAlignment w:val="center"/>
              <w:rPr>
                <w:rFonts w:hint="eastAsia" w:ascii="宋体" w:hAnsi="宋体" w:eastAsia="宋体" w:cs="宋体"/>
                <w:color w:val="auto"/>
                <w:kern w:val="2"/>
                <w:sz w:val="21"/>
                <w:szCs w:val="21"/>
                <w:highlight w:val="none"/>
                <w:lang w:val="en-US" w:eastAsia="zh-CN" w:bidi="ar-SA"/>
              </w:rPr>
            </w:pPr>
          </w:p>
          <w:p w14:paraId="13987CC2">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both"/>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0"/>
                <w:sz w:val="21"/>
                <w:szCs w:val="21"/>
                <w:highlight w:val="none"/>
                <w:u w:val="none"/>
                <w:lang w:val="en-US" w:eastAsia="zh-CN" w:bidi="ar"/>
              </w:rPr>
              <w:t>注：以上证书须提供原件扫描件并加盖投标人法人公章，且证书须处于有效期内。</w:t>
            </w:r>
          </w:p>
        </w:tc>
      </w:tr>
      <w:tr w14:paraId="6C4A1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167DE9C0">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533" w:type="pct"/>
            <w:vMerge w:val="restart"/>
            <w:tcBorders>
              <w:tl2br w:val="nil"/>
              <w:tr2bl w:val="nil"/>
            </w:tcBorders>
            <w:vAlign w:val="center"/>
          </w:tcPr>
          <w:p w14:paraId="199A7C6F">
            <w:pPr>
              <w:adjustRightInd w:val="0"/>
              <w:snapToGrid w:val="0"/>
              <w:spacing w:line="240" w:lineRule="auto"/>
              <w:jc w:val="center"/>
              <w:rPr>
                <w:rFonts w:hint="eastAsia" w:ascii="宋体" w:hAnsi="宋体" w:eastAsia="宋体" w:cs="宋体"/>
                <w:color w:val="auto"/>
                <w:szCs w:val="21"/>
                <w:highlight w:val="none"/>
              </w:rPr>
            </w:pPr>
            <w:r>
              <w:rPr>
                <w:rFonts w:hint="eastAsia" w:ascii="Times New Roman" w:hAnsi="Times New Roman" w:eastAsia="宋体" w:cs="Times New Roman"/>
                <w:color w:val="auto"/>
                <w:spacing w:val="-1"/>
                <w:highlight w:val="none"/>
              </w:rPr>
              <w:t>售后服务保障</w:t>
            </w:r>
          </w:p>
        </w:tc>
        <w:tc>
          <w:tcPr>
            <w:tcW w:w="729" w:type="pct"/>
            <w:tcBorders>
              <w:tl2br w:val="nil"/>
              <w:tr2bl w:val="nil"/>
            </w:tcBorders>
            <w:vAlign w:val="center"/>
          </w:tcPr>
          <w:p w14:paraId="5A0156B7">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紧急送货能力</w:t>
            </w:r>
          </w:p>
        </w:tc>
        <w:tc>
          <w:tcPr>
            <w:tcW w:w="615" w:type="pct"/>
            <w:tcBorders>
              <w:tl2br w:val="nil"/>
              <w:tr2bl w:val="nil"/>
            </w:tcBorders>
            <w:vAlign w:val="center"/>
          </w:tcPr>
          <w:p w14:paraId="4B27007B">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2659" w:type="pct"/>
            <w:tcBorders>
              <w:tl2br w:val="nil"/>
              <w:tr2bl w:val="nil"/>
            </w:tcBorders>
            <w:vAlign w:val="center"/>
          </w:tcPr>
          <w:p w14:paraId="11547B42">
            <w:pPr>
              <w:spacing w:line="240" w:lineRule="auto"/>
              <w:rPr>
                <w:color w:val="auto"/>
                <w:highlight w:val="none"/>
              </w:rPr>
            </w:pPr>
            <w:r>
              <w:rPr>
                <w:rFonts w:hint="eastAsia" w:ascii="宋体" w:hAnsi="宋体" w:eastAsia="宋体" w:cs="宋体"/>
                <w:i w:val="0"/>
                <w:iCs w:val="0"/>
                <w:color w:val="auto"/>
                <w:kern w:val="0"/>
                <w:sz w:val="21"/>
                <w:szCs w:val="21"/>
                <w:highlight w:val="none"/>
                <w:u w:val="none"/>
                <w:lang w:val="en-US" w:eastAsia="zh-CN" w:bidi="ar"/>
              </w:rPr>
              <w:t>投标人在紧急需求或更换货物时，投标人</w:t>
            </w:r>
            <w:r>
              <w:rPr>
                <w:rFonts w:hint="eastAsia" w:ascii="宋体" w:hAnsi="宋体" w:cs="宋体"/>
                <w:i w:val="0"/>
                <w:iCs w:val="0"/>
                <w:color w:val="auto"/>
                <w:kern w:val="0"/>
                <w:sz w:val="21"/>
                <w:szCs w:val="21"/>
                <w:highlight w:val="none"/>
                <w:u w:val="none"/>
                <w:lang w:val="en-US" w:eastAsia="zh-CN" w:bidi="ar"/>
              </w:rPr>
              <w:t>承诺</w:t>
            </w:r>
            <w:r>
              <w:rPr>
                <w:rFonts w:hint="eastAsia" w:ascii="宋体" w:hAnsi="宋体" w:eastAsia="宋体" w:cs="宋体"/>
                <w:i w:val="0"/>
                <w:iCs w:val="0"/>
                <w:color w:val="auto"/>
                <w:kern w:val="0"/>
                <w:sz w:val="21"/>
                <w:szCs w:val="21"/>
                <w:highlight w:val="none"/>
                <w:u w:val="none"/>
                <w:lang w:val="en-US" w:eastAsia="zh-CN" w:bidi="ar"/>
              </w:rPr>
              <w:t>能在1小时内送达的计2分，投标人</w:t>
            </w:r>
            <w:r>
              <w:rPr>
                <w:rFonts w:hint="eastAsia" w:ascii="宋体" w:hAnsi="宋体" w:cs="宋体"/>
                <w:i w:val="0"/>
                <w:iCs w:val="0"/>
                <w:color w:val="auto"/>
                <w:kern w:val="0"/>
                <w:sz w:val="21"/>
                <w:szCs w:val="21"/>
                <w:highlight w:val="none"/>
                <w:u w:val="none"/>
                <w:lang w:val="en-US" w:eastAsia="zh-CN" w:bidi="ar"/>
              </w:rPr>
              <w:t>承诺</w:t>
            </w:r>
            <w:r>
              <w:rPr>
                <w:rFonts w:hint="eastAsia" w:ascii="宋体" w:hAnsi="宋体" w:eastAsia="宋体" w:cs="宋体"/>
                <w:i w:val="0"/>
                <w:iCs w:val="0"/>
                <w:color w:val="auto"/>
                <w:kern w:val="0"/>
                <w:sz w:val="21"/>
                <w:szCs w:val="21"/>
                <w:highlight w:val="none"/>
                <w:u w:val="none"/>
                <w:lang w:val="en-US" w:eastAsia="zh-CN" w:bidi="ar"/>
              </w:rPr>
              <w:t>在2小时内送达的计1分</w:t>
            </w:r>
            <w:r>
              <w:rPr>
                <w:rFonts w:hint="eastAsia" w:ascii="宋体" w:hAnsi="宋体" w:cs="宋体"/>
                <w:i w:val="0"/>
                <w:iCs w:val="0"/>
                <w:color w:val="auto"/>
                <w:kern w:val="0"/>
                <w:sz w:val="21"/>
                <w:szCs w:val="21"/>
                <w:highlight w:val="none"/>
                <w:u w:val="none"/>
                <w:lang w:val="en-US" w:eastAsia="zh-CN" w:bidi="ar"/>
              </w:rPr>
              <w:t>。</w:t>
            </w:r>
          </w:p>
          <w:p w14:paraId="6DF47BB3">
            <w:pPr>
              <w:spacing w:line="240" w:lineRule="auto"/>
              <w:rPr>
                <w:color w:val="auto"/>
                <w:highlight w:val="none"/>
              </w:rPr>
            </w:pPr>
          </w:p>
          <w:p w14:paraId="0698E3FA">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both"/>
              <w:textAlignment w:val="center"/>
              <w:rPr>
                <w:rFonts w:hint="eastAsia" w:ascii="宋体" w:hAnsi="宋体" w:eastAsia="宋体" w:cs="宋体"/>
                <w:color w:val="auto"/>
                <w:szCs w:val="21"/>
                <w:highlight w:val="none"/>
              </w:rPr>
            </w:pPr>
            <w:r>
              <w:rPr>
                <w:rFonts w:hint="eastAsia" w:ascii="宋体" w:hAnsi="宋体" w:cs="宋体"/>
                <w:b/>
                <w:bCs/>
                <w:strike w:val="0"/>
                <w:dstrike w:val="0"/>
                <w:color w:val="auto"/>
                <w:szCs w:val="21"/>
                <w:highlight w:val="none"/>
                <w:lang w:val="en-US" w:eastAsia="zh-CN"/>
              </w:rPr>
              <w:t>注：投标人须提供加盖公章的承诺书。</w:t>
            </w:r>
          </w:p>
        </w:tc>
      </w:tr>
      <w:tr w14:paraId="37EBF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21B646C8">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533" w:type="pct"/>
            <w:vMerge w:val="continue"/>
            <w:tcBorders>
              <w:tl2br w:val="nil"/>
              <w:tr2bl w:val="nil"/>
            </w:tcBorders>
            <w:vAlign w:val="center"/>
          </w:tcPr>
          <w:p w14:paraId="2974B1BA">
            <w:pPr>
              <w:adjustRightInd w:val="0"/>
              <w:snapToGrid w:val="0"/>
              <w:spacing w:line="240" w:lineRule="auto"/>
              <w:jc w:val="center"/>
              <w:rPr>
                <w:rFonts w:hint="eastAsia" w:ascii="宋体" w:hAnsi="宋体" w:eastAsia="宋体" w:cs="宋体"/>
                <w:color w:val="auto"/>
                <w:sz w:val="21"/>
                <w:szCs w:val="21"/>
                <w:highlight w:val="none"/>
              </w:rPr>
            </w:pPr>
          </w:p>
        </w:tc>
        <w:tc>
          <w:tcPr>
            <w:tcW w:w="729" w:type="pct"/>
            <w:tcBorders>
              <w:tl2br w:val="nil"/>
              <w:tr2bl w:val="nil"/>
            </w:tcBorders>
            <w:vAlign w:val="center"/>
          </w:tcPr>
          <w:p w14:paraId="04CA1AA6">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食品安全责任险</w:t>
            </w:r>
          </w:p>
        </w:tc>
        <w:tc>
          <w:tcPr>
            <w:tcW w:w="615" w:type="pct"/>
            <w:tcBorders>
              <w:tl2br w:val="nil"/>
              <w:tr2bl w:val="nil"/>
            </w:tcBorders>
            <w:vAlign w:val="center"/>
          </w:tcPr>
          <w:p w14:paraId="1D97BA2F">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3</w:t>
            </w:r>
          </w:p>
        </w:tc>
        <w:tc>
          <w:tcPr>
            <w:tcW w:w="2659" w:type="pct"/>
            <w:tcBorders>
              <w:tl2br w:val="nil"/>
              <w:tr2bl w:val="nil"/>
            </w:tcBorders>
            <w:vAlign w:val="center"/>
          </w:tcPr>
          <w:p w14:paraId="3910706E">
            <w:pPr>
              <w:spacing w:line="240" w:lineRule="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根据投标人购买的食品安全责任险情况进行评审：</w:t>
            </w:r>
          </w:p>
          <w:p w14:paraId="6F346069">
            <w:pPr>
              <w:spacing w:line="240" w:lineRule="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投标人购买的食品安全责任险保额在1000万元(含）以上的，计3分；</w:t>
            </w:r>
          </w:p>
          <w:p w14:paraId="506CA60F">
            <w:pPr>
              <w:spacing w:line="240" w:lineRule="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投标人购买的食品安全责任险保额在500万元（含）-1000万元（不含）的，计2分；</w:t>
            </w:r>
          </w:p>
          <w:p w14:paraId="6152973D">
            <w:pPr>
              <w:spacing w:line="240" w:lineRule="auto"/>
              <w:rPr>
                <w:color w:val="auto"/>
                <w:highlight w:val="none"/>
              </w:rPr>
            </w:pPr>
            <w:r>
              <w:rPr>
                <w:rFonts w:hint="eastAsia" w:ascii="宋体" w:hAnsi="宋体" w:eastAsia="宋体" w:cs="宋体"/>
                <w:i w:val="0"/>
                <w:iCs w:val="0"/>
                <w:color w:val="auto"/>
                <w:kern w:val="0"/>
                <w:sz w:val="21"/>
                <w:szCs w:val="21"/>
                <w:highlight w:val="none"/>
                <w:u w:val="none"/>
                <w:lang w:val="en-US" w:eastAsia="zh-CN" w:bidi="ar"/>
              </w:rPr>
              <w:t>投标人购买的食品安全责任险保额在500万元（不含）以下的，计1分。</w:t>
            </w:r>
          </w:p>
          <w:p w14:paraId="17047E46">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both"/>
              <w:textAlignment w:val="center"/>
              <w:rPr>
                <w:rFonts w:hint="eastAsia" w:ascii="宋体" w:hAnsi="宋体" w:eastAsia="宋体" w:cs="宋体"/>
                <w:b/>
                <w:bCs/>
                <w:i w:val="0"/>
                <w:iCs w:val="0"/>
                <w:color w:val="auto"/>
                <w:kern w:val="0"/>
                <w:sz w:val="21"/>
                <w:szCs w:val="21"/>
                <w:highlight w:val="none"/>
                <w:u w:val="none"/>
                <w:lang w:val="en-US" w:eastAsia="zh-CN" w:bidi="ar"/>
              </w:rPr>
            </w:pPr>
          </w:p>
          <w:p w14:paraId="32745C0C">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both"/>
              <w:textAlignment w:val="center"/>
              <w:rPr>
                <w:rFonts w:hint="eastAsia" w:ascii="宋体" w:hAnsi="宋体" w:eastAsia="宋体" w:cs="宋体"/>
                <w:b/>
                <w:bCs/>
                <w:i w:val="0"/>
                <w:iCs w:val="0"/>
                <w:caps w:val="0"/>
                <w:color w:val="auto"/>
                <w:spacing w:val="0"/>
                <w:kern w:val="0"/>
                <w:sz w:val="21"/>
                <w:szCs w:val="21"/>
                <w:highlight w:val="none"/>
                <w:shd w:val="clear" w:color="auto" w:fill="auto"/>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注：</w:t>
            </w:r>
            <w:r>
              <w:rPr>
                <w:b/>
                <w:bCs/>
                <w:color w:val="auto"/>
                <w:spacing w:val="-1"/>
                <w:highlight w:val="none"/>
              </w:rPr>
              <w:t>投标人</w:t>
            </w:r>
            <w:r>
              <w:rPr>
                <w:rFonts w:hint="eastAsia" w:ascii="宋体" w:hAnsi="宋体" w:eastAsia="宋体" w:cs="宋体"/>
                <w:b/>
                <w:bCs/>
                <w:i w:val="0"/>
                <w:iCs w:val="0"/>
                <w:color w:val="auto"/>
                <w:kern w:val="0"/>
                <w:sz w:val="21"/>
                <w:szCs w:val="21"/>
                <w:highlight w:val="none"/>
                <w:u w:val="none"/>
                <w:lang w:val="en-US" w:eastAsia="zh-CN" w:bidi="ar"/>
              </w:rPr>
              <w:t>须提供相应</w:t>
            </w:r>
            <w:r>
              <w:rPr>
                <w:rFonts w:hint="eastAsia" w:ascii="宋体" w:hAnsi="宋体" w:cs="宋体"/>
                <w:b/>
                <w:bCs/>
                <w:i w:val="0"/>
                <w:iCs w:val="0"/>
                <w:color w:val="auto"/>
                <w:kern w:val="0"/>
                <w:sz w:val="21"/>
                <w:szCs w:val="21"/>
                <w:highlight w:val="none"/>
                <w:u w:val="none"/>
                <w:lang w:val="en-US" w:eastAsia="zh-CN" w:bidi="ar"/>
              </w:rPr>
              <w:t>有效</w:t>
            </w:r>
            <w:r>
              <w:rPr>
                <w:rFonts w:hint="eastAsia" w:ascii="宋体" w:hAnsi="宋体" w:eastAsia="宋体" w:cs="宋体"/>
                <w:b/>
                <w:bCs/>
                <w:i w:val="0"/>
                <w:iCs w:val="0"/>
                <w:color w:val="auto"/>
                <w:kern w:val="0"/>
                <w:sz w:val="21"/>
                <w:szCs w:val="21"/>
                <w:highlight w:val="none"/>
                <w:u w:val="none"/>
                <w:lang w:val="en-US" w:eastAsia="zh-CN" w:bidi="ar"/>
              </w:rPr>
              <w:t>保险保单及相关证明资料复印件</w:t>
            </w:r>
            <w:r>
              <w:rPr>
                <w:rFonts w:hint="eastAsia" w:ascii="宋体" w:hAnsi="宋体" w:eastAsia="宋体" w:cs="宋体"/>
                <w:b/>
                <w:bCs/>
                <w:color w:val="auto"/>
                <w:kern w:val="0"/>
                <w:sz w:val="21"/>
                <w:szCs w:val="21"/>
                <w:highlight w:val="none"/>
                <w:u w:val="none"/>
                <w:lang w:val="en-US" w:eastAsia="zh-CN" w:bidi="ar"/>
              </w:rPr>
              <w:t>并加盖投标人法人公章</w:t>
            </w:r>
            <w:r>
              <w:rPr>
                <w:rFonts w:hint="eastAsia" w:ascii="宋体" w:hAnsi="宋体" w:eastAsia="宋体" w:cs="宋体"/>
                <w:b/>
                <w:bCs/>
                <w:i w:val="0"/>
                <w:iCs w:val="0"/>
                <w:color w:val="auto"/>
                <w:kern w:val="0"/>
                <w:sz w:val="21"/>
                <w:szCs w:val="21"/>
                <w:highlight w:val="none"/>
                <w:u w:val="none"/>
                <w:lang w:val="en-US" w:eastAsia="zh-CN" w:bidi="ar"/>
              </w:rPr>
              <w:t>。</w:t>
            </w:r>
          </w:p>
        </w:tc>
      </w:tr>
      <w:tr w14:paraId="5971E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329301BA">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1262" w:type="pct"/>
            <w:gridSpan w:val="2"/>
            <w:tcBorders>
              <w:tl2br w:val="nil"/>
              <w:tr2bl w:val="nil"/>
            </w:tcBorders>
            <w:vAlign w:val="center"/>
          </w:tcPr>
          <w:p w14:paraId="7C030DBE">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配送能力</w:t>
            </w:r>
          </w:p>
        </w:tc>
        <w:tc>
          <w:tcPr>
            <w:tcW w:w="615" w:type="pct"/>
            <w:tcBorders>
              <w:tl2br w:val="nil"/>
              <w:tr2bl w:val="nil"/>
            </w:tcBorders>
            <w:vAlign w:val="center"/>
          </w:tcPr>
          <w:p w14:paraId="6791B1EA">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3</w:t>
            </w:r>
          </w:p>
        </w:tc>
        <w:tc>
          <w:tcPr>
            <w:tcW w:w="2659" w:type="pct"/>
            <w:tcBorders>
              <w:tl2br w:val="nil"/>
              <w:tr2bl w:val="nil"/>
            </w:tcBorders>
            <w:vAlign w:val="center"/>
          </w:tcPr>
          <w:p w14:paraId="5F2245DE">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(1)投标人自有/租赁货物（冷链）配送车辆且配备专职配送人员，并承诺为本项目提供配送服务的，</w:t>
            </w:r>
            <w:r>
              <w:rPr>
                <w:rFonts w:hint="eastAsia" w:ascii="宋体" w:hAnsi="宋体" w:cs="宋体"/>
                <w:i w:val="0"/>
                <w:iCs w:val="0"/>
                <w:color w:val="auto"/>
                <w:kern w:val="0"/>
                <w:sz w:val="21"/>
                <w:szCs w:val="21"/>
                <w:highlight w:val="none"/>
                <w:u w:val="none"/>
                <w:lang w:val="en-US" w:eastAsia="zh-CN" w:bidi="ar"/>
              </w:rPr>
              <w:t>计</w:t>
            </w:r>
            <w:r>
              <w:rPr>
                <w:rFonts w:hint="eastAsia" w:ascii="宋体" w:hAnsi="宋体" w:eastAsia="宋体" w:cs="宋体"/>
                <w:i w:val="0"/>
                <w:iCs w:val="0"/>
                <w:color w:val="auto"/>
                <w:kern w:val="0"/>
                <w:sz w:val="21"/>
                <w:szCs w:val="21"/>
                <w:highlight w:val="none"/>
                <w:u w:val="none"/>
                <w:lang w:val="en-US" w:eastAsia="zh-CN" w:bidi="ar"/>
              </w:rPr>
              <w:t>1.5分。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(2)投标人自有/租赁货物（非冷链）配送车辆且配备专职配送人员，并承诺为本项目提供配送服务的，</w:t>
            </w:r>
            <w:r>
              <w:rPr>
                <w:rFonts w:hint="eastAsia" w:ascii="宋体" w:hAnsi="宋体" w:cs="宋体"/>
                <w:i w:val="0"/>
                <w:iCs w:val="0"/>
                <w:color w:val="auto"/>
                <w:kern w:val="0"/>
                <w:sz w:val="21"/>
                <w:szCs w:val="21"/>
                <w:highlight w:val="none"/>
                <w:u w:val="none"/>
                <w:lang w:val="en-US" w:eastAsia="zh-CN" w:bidi="ar"/>
              </w:rPr>
              <w:t>计</w:t>
            </w:r>
            <w:r>
              <w:rPr>
                <w:rFonts w:hint="eastAsia" w:ascii="宋体" w:hAnsi="宋体" w:eastAsia="宋体" w:cs="宋体"/>
                <w:i w:val="0"/>
                <w:iCs w:val="0"/>
                <w:color w:val="auto"/>
                <w:kern w:val="0"/>
                <w:sz w:val="21"/>
                <w:szCs w:val="21"/>
                <w:highlight w:val="none"/>
                <w:u w:val="none"/>
                <w:lang w:val="en-US" w:eastAsia="zh-CN" w:bidi="ar"/>
              </w:rPr>
              <w:t>1.5分。</w:t>
            </w:r>
          </w:p>
          <w:p w14:paraId="0B8FE6B3">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both"/>
              <w:textAlignment w:val="center"/>
              <w:rPr>
                <w:rFonts w:hint="eastAsia" w:ascii="宋体" w:hAnsi="宋体" w:eastAsia="宋体" w:cs="宋体"/>
                <w:b/>
                <w:bCs/>
                <w:i w:val="0"/>
                <w:iCs w:val="0"/>
                <w:color w:val="auto"/>
                <w:kern w:val="0"/>
                <w:sz w:val="21"/>
                <w:szCs w:val="21"/>
                <w:highlight w:val="none"/>
                <w:u w:val="none"/>
                <w:lang w:val="en-US" w:eastAsia="zh-CN" w:bidi="ar"/>
              </w:rPr>
            </w:pPr>
          </w:p>
          <w:p w14:paraId="7F2832DC">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both"/>
              <w:textAlignment w:val="center"/>
              <w:rPr>
                <w:rFonts w:hint="eastAsia" w:ascii="宋体" w:hAnsi="宋体" w:eastAsia="宋体" w:cs="宋体"/>
                <w:b/>
                <w:bCs/>
                <w:i w:val="0"/>
                <w:iCs w:val="0"/>
                <w:caps w:val="0"/>
                <w:color w:val="auto"/>
                <w:spacing w:val="0"/>
                <w:kern w:val="0"/>
                <w:sz w:val="21"/>
                <w:szCs w:val="21"/>
                <w:highlight w:val="none"/>
                <w:shd w:val="clear" w:color="auto" w:fill="auto"/>
                <w:lang w:val="en-US" w:eastAsia="zh-CN" w:bidi="ar"/>
              </w:rPr>
            </w:pPr>
            <w:r>
              <w:rPr>
                <w:b/>
                <w:bCs/>
                <w:color w:val="auto"/>
                <w:spacing w:val="-2"/>
                <w:highlight w:val="none"/>
              </w:rPr>
              <w:t>注：冷库或保鲜库须为本单位在</w:t>
            </w:r>
            <w:r>
              <w:rPr>
                <w:rFonts w:hint="eastAsia"/>
                <w:b/>
                <w:bCs/>
                <w:color w:val="auto"/>
                <w:spacing w:val="-2"/>
                <w:highlight w:val="none"/>
                <w:lang w:val="en-US" w:eastAsia="zh-CN"/>
              </w:rPr>
              <w:t>湖南省</w:t>
            </w:r>
            <w:r>
              <w:rPr>
                <w:b/>
                <w:bCs/>
                <w:color w:val="auto"/>
                <w:spacing w:val="-2"/>
                <w:highlight w:val="none"/>
              </w:rPr>
              <w:t>内</w:t>
            </w:r>
            <w:r>
              <w:rPr>
                <w:b/>
                <w:bCs/>
                <w:color w:val="auto"/>
                <w:spacing w:val="-1"/>
                <w:highlight w:val="none"/>
              </w:rPr>
              <w:t>的自有</w:t>
            </w:r>
            <w:r>
              <w:rPr>
                <w:rFonts w:hint="eastAsia"/>
                <w:b/>
                <w:bCs/>
                <w:color w:val="auto"/>
                <w:spacing w:val="-1"/>
                <w:highlight w:val="none"/>
                <w:lang w:val="en-US" w:eastAsia="zh-CN"/>
              </w:rPr>
              <w:t>/</w:t>
            </w:r>
            <w:r>
              <w:rPr>
                <w:rFonts w:hint="eastAsia" w:ascii="宋体" w:hAnsi="宋体" w:eastAsia="宋体" w:cs="宋体"/>
                <w:b/>
                <w:bCs/>
                <w:i w:val="0"/>
                <w:iCs w:val="0"/>
                <w:color w:val="auto"/>
                <w:kern w:val="0"/>
                <w:sz w:val="21"/>
                <w:szCs w:val="21"/>
                <w:highlight w:val="none"/>
                <w:u w:val="none"/>
                <w:lang w:val="en-US" w:eastAsia="zh-CN" w:bidi="ar"/>
              </w:rPr>
              <w:t>租赁</w:t>
            </w:r>
            <w:r>
              <w:rPr>
                <w:b/>
                <w:bCs/>
                <w:color w:val="auto"/>
                <w:spacing w:val="-1"/>
                <w:highlight w:val="none"/>
              </w:rPr>
              <w:t>仓库，投标人须提供冷库或保鲜库产权证明文件复印件</w:t>
            </w:r>
            <w:r>
              <w:rPr>
                <w:rFonts w:hint="eastAsia"/>
                <w:b/>
                <w:bCs/>
                <w:color w:val="auto"/>
                <w:spacing w:val="-1"/>
                <w:highlight w:val="none"/>
                <w:lang w:val="en-US" w:eastAsia="zh-CN"/>
              </w:rPr>
              <w:t>/近一年的租赁支付记录</w:t>
            </w:r>
            <w:r>
              <w:rPr>
                <w:rFonts w:hint="eastAsia" w:ascii="宋体" w:hAnsi="宋体" w:eastAsia="宋体" w:cs="宋体"/>
                <w:b/>
                <w:bCs/>
                <w:color w:val="auto"/>
                <w:kern w:val="0"/>
                <w:sz w:val="21"/>
                <w:szCs w:val="21"/>
                <w:highlight w:val="none"/>
                <w:u w:val="none"/>
                <w:lang w:val="en-US" w:eastAsia="zh-CN" w:bidi="ar"/>
              </w:rPr>
              <w:t>并加盖投标人法人公章</w:t>
            </w:r>
            <w:r>
              <w:rPr>
                <w:b/>
                <w:bCs/>
                <w:color w:val="auto"/>
                <w:spacing w:val="-1"/>
                <w:highlight w:val="none"/>
              </w:rPr>
              <w:t>。</w:t>
            </w:r>
          </w:p>
        </w:tc>
      </w:tr>
      <w:tr w14:paraId="57117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6E7F8568">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533" w:type="pct"/>
            <w:vMerge w:val="restart"/>
            <w:tcBorders>
              <w:tl2br w:val="nil"/>
              <w:tr2bl w:val="nil"/>
            </w:tcBorders>
            <w:vAlign w:val="center"/>
          </w:tcPr>
          <w:p w14:paraId="2F64DDFD">
            <w:pPr>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仓储能力</w:t>
            </w:r>
          </w:p>
        </w:tc>
        <w:tc>
          <w:tcPr>
            <w:tcW w:w="729" w:type="pct"/>
            <w:tcBorders>
              <w:tl2br w:val="nil"/>
              <w:tr2bl w:val="nil"/>
            </w:tcBorders>
            <w:vAlign w:val="center"/>
          </w:tcPr>
          <w:p w14:paraId="46DE312B">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冷库或保鲜库</w:t>
            </w:r>
          </w:p>
        </w:tc>
        <w:tc>
          <w:tcPr>
            <w:tcW w:w="615" w:type="pct"/>
            <w:tcBorders>
              <w:tl2br w:val="nil"/>
              <w:tr2bl w:val="nil"/>
            </w:tcBorders>
            <w:vAlign w:val="center"/>
          </w:tcPr>
          <w:p w14:paraId="476BEB37">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2</w:t>
            </w:r>
          </w:p>
        </w:tc>
        <w:tc>
          <w:tcPr>
            <w:tcW w:w="2659" w:type="pct"/>
            <w:tcBorders>
              <w:tl2br w:val="nil"/>
              <w:tr2bl w:val="nil"/>
            </w:tcBorders>
            <w:vAlign w:val="center"/>
          </w:tcPr>
          <w:p w14:paraId="7D23CBF1">
            <w:pPr>
              <w:spacing w:line="240" w:lineRule="auto"/>
              <w:rPr>
                <w:color w:val="auto"/>
                <w:highlight w:val="none"/>
              </w:rPr>
            </w:pPr>
            <w:r>
              <w:rPr>
                <w:rFonts w:hint="eastAsia" w:ascii="宋体" w:hAnsi="宋体" w:eastAsia="宋体" w:cs="宋体"/>
                <w:i w:val="0"/>
                <w:iCs w:val="0"/>
                <w:color w:val="auto"/>
                <w:kern w:val="0"/>
                <w:sz w:val="21"/>
                <w:szCs w:val="21"/>
                <w:highlight w:val="none"/>
                <w:u w:val="none"/>
                <w:lang w:val="en-US" w:eastAsia="zh-CN" w:bidi="ar"/>
              </w:rPr>
              <w:t>投标人自有/租赁冷库或保鲜库面积在1000㎡（含）以上的，计2分；投标人自有/租赁冷库或保鲜库面积在500㎡（含）-1000㎡（不含）的，计1分。</w:t>
            </w:r>
          </w:p>
          <w:p w14:paraId="009ED904">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p>
          <w:p w14:paraId="37B06B69">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both"/>
              <w:textAlignment w:val="center"/>
              <w:rPr>
                <w:rFonts w:hint="eastAsia" w:ascii="宋体" w:hAnsi="宋体" w:eastAsia="宋体" w:cs="宋体"/>
                <w:b/>
                <w:bCs/>
                <w:i w:val="0"/>
                <w:iCs w:val="0"/>
                <w:caps w:val="0"/>
                <w:color w:val="auto"/>
                <w:spacing w:val="0"/>
                <w:kern w:val="0"/>
                <w:sz w:val="21"/>
                <w:szCs w:val="21"/>
                <w:highlight w:val="none"/>
                <w:shd w:val="clear" w:color="auto" w:fill="auto"/>
                <w:lang w:val="en-US" w:eastAsia="zh-CN" w:bidi="ar"/>
              </w:rPr>
            </w:pPr>
            <w:r>
              <w:rPr>
                <w:b/>
                <w:bCs/>
                <w:color w:val="auto"/>
                <w:spacing w:val="-2"/>
                <w:highlight w:val="none"/>
              </w:rPr>
              <w:t>注：冷库或保鲜库须为本单位在</w:t>
            </w:r>
            <w:r>
              <w:rPr>
                <w:rFonts w:hint="eastAsia"/>
                <w:b/>
                <w:bCs/>
                <w:color w:val="auto"/>
                <w:spacing w:val="-2"/>
                <w:highlight w:val="none"/>
                <w:lang w:val="en-US" w:eastAsia="zh-CN"/>
              </w:rPr>
              <w:t>湖南省</w:t>
            </w:r>
            <w:r>
              <w:rPr>
                <w:b/>
                <w:bCs/>
                <w:color w:val="auto"/>
                <w:spacing w:val="-2"/>
                <w:highlight w:val="none"/>
              </w:rPr>
              <w:t>内</w:t>
            </w:r>
            <w:r>
              <w:rPr>
                <w:b/>
                <w:bCs/>
                <w:color w:val="auto"/>
                <w:spacing w:val="-1"/>
                <w:highlight w:val="none"/>
              </w:rPr>
              <w:t>的自有</w:t>
            </w:r>
            <w:r>
              <w:rPr>
                <w:rFonts w:hint="eastAsia"/>
                <w:b/>
                <w:bCs/>
                <w:color w:val="auto"/>
                <w:spacing w:val="-1"/>
                <w:highlight w:val="none"/>
                <w:lang w:val="en-US" w:eastAsia="zh-CN"/>
              </w:rPr>
              <w:t>/</w:t>
            </w:r>
            <w:r>
              <w:rPr>
                <w:rFonts w:hint="eastAsia" w:ascii="宋体" w:hAnsi="宋体" w:eastAsia="宋体" w:cs="宋体"/>
                <w:b/>
                <w:bCs/>
                <w:i w:val="0"/>
                <w:iCs w:val="0"/>
                <w:color w:val="auto"/>
                <w:kern w:val="0"/>
                <w:sz w:val="21"/>
                <w:szCs w:val="21"/>
                <w:highlight w:val="none"/>
                <w:u w:val="none"/>
                <w:lang w:val="en-US" w:eastAsia="zh-CN" w:bidi="ar"/>
              </w:rPr>
              <w:t>租赁</w:t>
            </w:r>
            <w:r>
              <w:rPr>
                <w:b/>
                <w:bCs/>
                <w:color w:val="auto"/>
                <w:spacing w:val="-1"/>
                <w:highlight w:val="none"/>
              </w:rPr>
              <w:t>仓库，投标人须提供冷库或保鲜库产权证明文件复印件</w:t>
            </w:r>
            <w:r>
              <w:rPr>
                <w:rFonts w:hint="eastAsia"/>
                <w:b/>
                <w:bCs/>
                <w:color w:val="auto"/>
                <w:spacing w:val="-1"/>
                <w:highlight w:val="none"/>
                <w:lang w:val="en-US" w:eastAsia="zh-CN"/>
              </w:rPr>
              <w:t>/近一年的租赁支付记录</w:t>
            </w:r>
            <w:r>
              <w:rPr>
                <w:rFonts w:hint="eastAsia" w:ascii="宋体" w:hAnsi="宋体" w:eastAsia="宋体" w:cs="宋体"/>
                <w:b/>
                <w:bCs/>
                <w:color w:val="auto"/>
                <w:kern w:val="0"/>
                <w:sz w:val="21"/>
                <w:szCs w:val="21"/>
                <w:highlight w:val="none"/>
                <w:u w:val="none"/>
                <w:lang w:val="en-US" w:eastAsia="zh-CN" w:bidi="ar"/>
              </w:rPr>
              <w:t>并加盖投标人法人公章</w:t>
            </w:r>
            <w:r>
              <w:rPr>
                <w:b/>
                <w:bCs/>
                <w:color w:val="auto"/>
                <w:spacing w:val="-1"/>
                <w:highlight w:val="none"/>
              </w:rPr>
              <w:t>。</w:t>
            </w:r>
          </w:p>
        </w:tc>
      </w:tr>
      <w:tr w14:paraId="51337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49243BE2">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533" w:type="pct"/>
            <w:vMerge w:val="continue"/>
            <w:tcBorders>
              <w:tl2br w:val="nil"/>
              <w:tr2bl w:val="nil"/>
            </w:tcBorders>
            <w:vAlign w:val="center"/>
          </w:tcPr>
          <w:p w14:paraId="59579625">
            <w:pPr>
              <w:adjustRightInd w:val="0"/>
              <w:snapToGrid w:val="0"/>
              <w:spacing w:line="240" w:lineRule="auto"/>
              <w:jc w:val="center"/>
              <w:rPr>
                <w:rFonts w:hint="eastAsia" w:ascii="宋体" w:hAnsi="宋体" w:eastAsia="宋体" w:cs="宋体"/>
                <w:color w:val="auto"/>
                <w:sz w:val="21"/>
                <w:szCs w:val="21"/>
                <w:highlight w:val="none"/>
              </w:rPr>
            </w:pPr>
          </w:p>
        </w:tc>
        <w:tc>
          <w:tcPr>
            <w:tcW w:w="729" w:type="pct"/>
            <w:tcBorders>
              <w:tl2br w:val="nil"/>
              <w:tr2bl w:val="nil"/>
            </w:tcBorders>
            <w:vAlign w:val="center"/>
          </w:tcPr>
          <w:p w14:paraId="49210003">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存储仓库（非冷库、保鲜库）</w:t>
            </w:r>
          </w:p>
        </w:tc>
        <w:tc>
          <w:tcPr>
            <w:tcW w:w="615" w:type="pct"/>
            <w:tcBorders>
              <w:tl2br w:val="nil"/>
              <w:tr2bl w:val="nil"/>
            </w:tcBorders>
            <w:vAlign w:val="center"/>
          </w:tcPr>
          <w:p w14:paraId="21D73AEC">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2</w:t>
            </w:r>
          </w:p>
        </w:tc>
        <w:tc>
          <w:tcPr>
            <w:tcW w:w="2659" w:type="pct"/>
            <w:tcBorders>
              <w:tl2br w:val="nil"/>
              <w:tr2bl w:val="nil"/>
            </w:tcBorders>
            <w:vAlign w:val="center"/>
          </w:tcPr>
          <w:p w14:paraId="6CF5D024">
            <w:pPr>
              <w:spacing w:line="240" w:lineRule="auto"/>
              <w:rPr>
                <w:color w:val="auto"/>
                <w:highlight w:val="none"/>
              </w:rPr>
            </w:pPr>
            <w:r>
              <w:rPr>
                <w:rFonts w:hint="eastAsia" w:ascii="宋体" w:hAnsi="宋体" w:eastAsia="宋体" w:cs="宋体"/>
                <w:i w:val="0"/>
                <w:iCs w:val="0"/>
                <w:color w:val="auto"/>
                <w:kern w:val="0"/>
                <w:sz w:val="21"/>
                <w:szCs w:val="21"/>
                <w:highlight w:val="none"/>
                <w:u w:val="none"/>
                <w:lang w:val="en-US" w:eastAsia="zh-CN" w:bidi="ar"/>
              </w:rPr>
              <w:t>投标人自有/租赁存储仓库（非冷库、非保鲜库）面积在1000㎡（含）以上的，计2分；投标人自有/租赁存储仓库（非冷库、非保鲜库）面积在500㎡（含）-1000㎡（不含）的，计1分。</w:t>
            </w:r>
          </w:p>
          <w:p w14:paraId="41C22301">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both"/>
              <w:textAlignment w:val="center"/>
              <w:rPr>
                <w:rFonts w:hint="default" w:ascii="宋体" w:hAnsi="宋体" w:eastAsia="宋体" w:cs="宋体"/>
                <w:i w:val="0"/>
                <w:iCs w:val="0"/>
                <w:color w:val="auto"/>
                <w:kern w:val="0"/>
                <w:sz w:val="21"/>
                <w:szCs w:val="21"/>
                <w:highlight w:val="none"/>
                <w:u w:val="none"/>
                <w:lang w:val="en-US" w:eastAsia="zh-CN" w:bidi="ar"/>
              </w:rPr>
            </w:pPr>
          </w:p>
          <w:p w14:paraId="0A5EA961">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firstLine="0" w:firstLineChars="0"/>
              <w:jc w:val="both"/>
              <w:textAlignment w:val="center"/>
              <w:rPr>
                <w:rFonts w:hint="eastAsia" w:ascii="宋体" w:hAnsi="宋体" w:eastAsia="宋体" w:cs="宋体"/>
                <w:b/>
                <w:bCs/>
                <w:i w:val="0"/>
                <w:iCs w:val="0"/>
                <w:caps w:val="0"/>
                <w:color w:val="auto"/>
                <w:spacing w:val="0"/>
                <w:kern w:val="0"/>
                <w:sz w:val="21"/>
                <w:szCs w:val="21"/>
                <w:highlight w:val="none"/>
                <w:shd w:val="clear" w:color="auto" w:fill="auto"/>
                <w:lang w:val="en-US" w:eastAsia="zh-CN" w:bidi="ar"/>
              </w:rPr>
            </w:pPr>
            <w:r>
              <w:rPr>
                <w:b/>
                <w:bCs/>
                <w:color w:val="auto"/>
                <w:spacing w:val="-2"/>
                <w:highlight w:val="none"/>
              </w:rPr>
              <w:t>注：</w:t>
            </w:r>
            <w:r>
              <w:rPr>
                <w:rFonts w:hint="eastAsia" w:ascii="宋体" w:hAnsi="宋体" w:eastAsia="宋体" w:cs="宋体"/>
                <w:b/>
                <w:bCs/>
                <w:i w:val="0"/>
                <w:iCs w:val="0"/>
                <w:color w:val="auto"/>
                <w:kern w:val="0"/>
                <w:sz w:val="21"/>
                <w:szCs w:val="21"/>
                <w:highlight w:val="none"/>
                <w:u w:val="none"/>
                <w:lang w:val="en-US" w:eastAsia="zh-CN" w:bidi="ar"/>
              </w:rPr>
              <w:t>存储仓库（非冷库、保鲜库）</w:t>
            </w:r>
            <w:r>
              <w:rPr>
                <w:b/>
                <w:bCs/>
                <w:color w:val="auto"/>
                <w:spacing w:val="-2"/>
                <w:highlight w:val="none"/>
              </w:rPr>
              <w:t>须为本单位在</w:t>
            </w:r>
            <w:r>
              <w:rPr>
                <w:rFonts w:hint="eastAsia"/>
                <w:b/>
                <w:bCs/>
                <w:color w:val="auto"/>
                <w:spacing w:val="-2"/>
                <w:highlight w:val="none"/>
                <w:lang w:val="en-US" w:eastAsia="zh-CN"/>
              </w:rPr>
              <w:t>湖南省</w:t>
            </w:r>
            <w:r>
              <w:rPr>
                <w:b/>
                <w:bCs/>
                <w:color w:val="auto"/>
                <w:spacing w:val="-2"/>
                <w:highlight w:val="none"/>
              </w:rPr>
              <w:t>内</w:t>
            </w:r>
            <w:r>
              <w:rPr>
                <w:b/>
                <w:bCs/>
                <w:color w:val="auto"/>
                <w:spacing w:val="-1"/>
                <w:highlight w:val="none"/>
              </w:rPr>
              <w:t>的自有</w:t>
            </w:r>
            <w:r>
              <w:rPr>
                <w:rFonts w:hint="eastAsia"/>
                <w:b/>
                <w:bCs/>
                <w:color w:val="auto"/>
                <w:spacing w:val="-1"/>
                <w:highlight w:val="none"/>
                <w:lang w:val="en-US" w:eastAsia="zh-CN"/>
              </w:rPr>
              <w:t>/</w:t>
            </w:r>
            <w:r>
              <w:rPr>
                <w:rFonts w:hint="eastAsia" w:ascii="宋体" w:hAnsi="宋体" w:eastAsia="宋体" w:cs="宋体"/>
                <w:b/>
                <w:bCs/>
                <w:i w:val="0"/>
                <w:iCs w:val="0"/>
                <w:color w:val="auto"/>
                <w:kern w:val="0"/>
                <w:sz w:val="21"/>
                <w:szCs w:val="21"/>
                <w:highlight w:val="none"/>
                <w:u w:val="none"/>
                <w:lang w:val="en-US" w:eastAsia="zh-CN" w:bidi="ar"/>
              </w:rPr>
              <w:t>租赁</w:t>
            </w:r>
            <w:r>
              <w:rPr>
                <w:b/>
                <w:bCs/>
                <w:color w:val="auto"/>
                <w:spacing w:val="-1"/>
                <w:highlight w:val="none"/>
              </w:rPr>
              <w:t>仓库，投标人须提供</w:t>
            </w:r>
            <w:r>
              <w:rPr>
                <w:rFonts w:hint="eastAsia" w:ascii="宋体" w:hAnsi="宋体" w:eastAsia="宋体" w:cs="宋体"/>
                <w:b/>
                <w:bCs/>
                <w:i w:val="0"/>
                <w:iCs w:val="0"/>
                <w:color w:val="auto"/>
                <w:kern w:val="0"/>
                <w:sz w:val="21"/>
                <w:szCs w:val="21"/>
                <w:highlight w:val="none"/>
                <w:u w:val="none"/>
                <w:lang w:val="en-US" w:eastAsia="zh-CN" w:bidi="ar"/>
              </w:rPr>
              <w:t>存储仓库（非冷库、保鲜库）</w:t>
            </w:r>
            <w:r>
              <w:rPr>
                <w:b/>
                <w:bCs/>
                <w:color w:val="auto"/>
                <w:spacing w:val="-1"/>
                <w:highlight w:val="none"/>
              </w:rPr>
              <w:t>产权证明文件复印件</w:t>
            </w:r>
            <w:r>
              <w:rPr>
                <w:rFonts w:hint="eastAsia"/>
                <w:b/>
                <w:bCs/>
                <w:color w:val="auto"/>
                <w:spacing w:val="-1"/>
                <w:highlight w:val="none"/>
                <w:lang w:val="en-US" w:eastAsia="zh-CN"/>
              </w:rPr>
              <w:t>/近一年的租赁支付记录</w:t>
            </w:r>
            <w:r>
              <w:rPr>
                <w:rFonts w:hint="eastAsia" w:ascii="宋体" w:hAnsi="宋体" w:eastAsia="宋体" w:cs="宋体"/>
                <w:b/>
                <w:bCs/>
                <w:color w:val="auto"/>
                <w:kern w:val="0"/>
                <w:sz w:val="21"/>
                <w:szCs w:val="21"/>
                <w:highlight w:val="none"/>
                <w:u w:val="none"/>
                <w:lang w:val="en-US" w:eastAsia="zh-CN" w:bidi="ar"/>
              </w:rPr>
              <w:t>并加盖投标人法人公章</w:t>
            </w:r>
            <w:r>
              <w:rPr>
                <w:b/>
                <w:bCs/>
                <w:color w:val="auto"/>
                <w:spacing w:val="-1"/>
                <w:highlight w:val="none"/>
              </w:rPr>
              <w:t>。</w:t>
            </w:r>
          </w:p>
        </w:tc>
      </w:tr>
      <w:tr w14:paraId="54C56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2C5B7202">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1262" w:type="pct"/>
            <w:gridSpan w:val="2"/>
            <w:tcBorders>
              <w:tl2br w:val="nil"/>
              <w:tr2bl w:val="nil"/>
            </w:tcBorders>
            <w:vAlign w:val="center"/>
          </w:tcPr>
          <w:p w14:paraId="0B9CA75A">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合计</w:t>
            </w:r>
          </w:p>
        </w:tc>
        <w:tc>
          <w:tcPr>
            <w:tcW w:w="615" w:type="pct"/>
            <w:tcBorders>
              <w:tl2br w:val="nil"/>
              <w:tr2bl w:val="nil"/>
            </w:tcBorders>
            <w:vAlign w:val="center"/>
          </w:tcPr>
          <w:p w14:paraId="147C756D">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30</w:t>
            </w:r>
          </w:p>
        </w:tc>
        <w:tc>
          <w:tcPr>
            <w:tcW w:w="2659" w:type="pct"/>
            <w:tcBorders>
              <w:tl2br w:val="nil"/>
              <w:tr2bl w:val="nil"/>
            </w:tcBorders>
            <w:vAlign w:val="center"/>
          </w:tcPr>
          <w:p w14:paraId="4D697813">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r>
      <w:tr w14:paraId="290B1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784F5E42">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4537" w:type="pct"/>
            <w:gridSpan w:val="4"/>
            <w:tcBorders>
              <w:tl2br w:val="nil"/>
              <w:tr2bl w:val="nil"/>
            </w:tcBorders>
            <w:vAlign w:val="center"/>
          </w:tcPr>
          <w:p w14:paraId="67AD2347">
            <w:pPr>
              <w:keepNext w:val="0"/>
              <w:keepLines w:val="0"/>
              <w:pageBreakBefore w:val="0"/>
              <w:kinsoku/>
              <w:topLinePunct w:val="0"/>
              <w:bidi w:val="0"/>
              <w:spacing w:line="240" w:lineRule="auto"/>
              <w:jc w:val="lef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评审说明：</w:t>
            </w:r>
            <w:r>
              <w:rPr>
                <w:rFonts w:ascii="宋体" w:hAnsi="宋体" w:eastAsia="宋体" w:cs="宋体"/>
                <w:color w:val="auto"/>
                <w:szCs w:val="21"/>
                <w:highlight w:val="none"/>
              </w:rPr>
              <w:t>该项评标内容计分，由评标委员会按以上规定集体评议确</w:t>
            </w:r>
            <w:r>
              <w:rPr>
                <w:rFonts w:hint="eastAsia" w:ascii="宋体" w:hAnsi="宋体" w:eastAsia="宋体" w:cs="宋体"/>
                <w:color w:val="auto"/>
                <w:szCs w:val="21"/>
                <w:highlight w:val="none"/>
              </w:rPr>
              <w:t>定</w:t>
            </w:r>
            <w:r>
              <w:rPr>
                <w:rFonts w:hint="eastAsia" w:ascii="宋体" w:hAnsi="宋体" w:eastAsia="宋体" w:cs="宋体"/>
                <w:snapToGrid w:val="0"/>
                <w:color w:val="auto"/>
                <w:kern w:val="0"/>
                <w:szCs w:val="21"/>
                <w:highlight w:val="none"/>
              </w:rPr>
              <w:t>。</w:t>
            </w:r>
          </w:p>
        </w:tc>
      </w:tr>
      <w:tr w14:paraId="7C20D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restart"/>
            <w:tcBorders>
              <w:tl2br w:val="nil"/>
              <w:tr2bl w:val="nil"/>
            </w:tcBorders>
            <w:vAlign w:val="center"/>
          </w:tcPr>
          <w:p w14:paraId="71581796">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w:t>
            </w:r>
          </w:p>
          <w:p w14:paraId="5A9CF0FE">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（2）</w:t>
            </w:r>
          </w:p>
        </w:tc>
        <w:tc>
          <w:tcPr>
            <w:tcW w:w="1262" w:type="pct"/>
            <w:gridSpan w:val="2"/>
            <w:tcBorders>
              <w:tl2br w:val="nil"/>
              <w:tr2bl w:val="nil"/>
            </w:tcBorders>
            <w:shd w:val="clear" w:color="auto" w:fill="auto"/>
            <w:vAlign w:val="center"/>
          </w:tcPr>
          <w:p w14:paraId="44B69214">
            <w:pPr>
              <w:keepNext w:val="0"/>
              <w:keepLines w:val="0"/>
              <w:pageBreakBefore w:val="0"/>
              <w:kinsoku/>
              <w:topLinePunct w:val="0"/>
              <w:bidi w:val="0"/>
              <w:spacing w:line="240" w:lineRule="auto"/>
              <w:jc w:val="center"/>
              <w:rPr>
                <w:rFonts w:hint="eastAsia" w:ascii="宋体" w:hAnsi="宋体" w:eastAsia="宋体" w:cs="宋体"/>
                <w:color w:val="auto"/>
                <w:szCs w:val="21"/>
                <w:highlight w:val="none"/>
                <w:u w:val="single"/>
              </w:rPr>
            </w:pPr>
            <w:r>
              <w:rPr>
                <w:rFonts w:hint="eastAsia" w:ascii="宋体" w:hAnsi="宋体" w:eastAsia="宋体" w:cs="宋体"/>
                <w:b/>
                <w:color w:val="auto"/>
                <w:szCs w:val="21"/>
                <w:highlight w:val="none"/>
              </w:rPr>
              <w:t>评审因素</w:t>
            </w:r>
          </w:p>
        </w:tc>
        <w:tc>
          <w:tcPr>
            <w:tcW w:w="615" w:type="pct"/>
            <w:tcBorders>
              <w:tl2br w:val="nil"/>
              <w:tr2bl w:val="nil"/>
            </w:tcBorders>
            <w:shd w:val="clear" w:color="auto" w:fill="auto"/>
            <w:vAlign w:val="center"/>
          </w:tcPr>
          <w:p w14:paraId="15402B5E">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分值</w:t>
            </w:r>
          </w:p>
        </w:tc>
        <w:tc>
          <w:tcPr>
            <w:tcW w:w="2659" w:type="pct"/>
            <w:tcBorders>
              <w:tl2br w:val="nil"/>
              <w:tr2bl w:val="nil"/>
            </w:tcBorders>
            <w:shd w:val="clear" w:color="auto" w:fill="auto"/>
            <w:vAlign w:val="center"/>
          </w:tcPr>
          <w:p w14:paraId="7513BB4D">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评审标准</w:t>
            </w:r>
          </w:p>
        </w:tc>
      </w:tr>
      <w:tr w14:paraId="62980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6C2AE293">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4537" w:type="pct"/>
            <w:gridSpan w:val="4"/>
            <w:tcBorders>
              <w:tl2br w:val="nil"/>
              <w:tr2bl w:val="nil"/>
            </w:tcBorders>
            <w:shd w:val="clear" w:color="auto" w:fill="auto"/>
            <w:vAlign w:val="center"/>
          </w:tcPr>
          <w:p w14:paraId="45D39A04">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技术部分详细评分标准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40分</w:t>
            </w:r>
            <w:r>
              <w:rPr>
                <w:rFonts w:hint="eastAsia" w:ascii="宋体" w:hAnsi="宋体" w:eastAsia="宋体" w:cs="宋体"/>
                <w:color w:val="auto"/>
                <w:szCs w:val="21"/>
                <w:highlight w:val="none"/>
                <w:lang w:eastAsia="zh-CN"/>
              </w:rPr>
              <w:t>）</w:t>
            </w:r>
          </w:p>
        </w:tc>
      </w:tr>
      <w:tr w14:paraId="26708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1C9682F1">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533" w:type="pct"/>
            <w:vMerge w:val="restart"/>
            <w:tcBorders>
              <w:tl2br w:val="nil"/>
              <w:tr2bl w:val="nil"/>
            </w:tcBorders>
            <w:shd w:val="clear" w:color="auto" w:fill="auto"/>
            <w:vAlign w:val="center"/>
          </w:tcPr>
          <w:p w14:paraId="54DAA933">
            <w:pPr>
              <w:widowControl/>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项目实施方案</w:t>
            </w:r>
          </w:p>
        </w:tc>
        <w:tc>
          <w:tcPr>
            <w:tcW w:w="729" w:type="pct"/>
            <w:tcBorders>
              <w:tl2br w:val="nil"/>
              <w:tr2bl w:val="nil"/>
            </w:tcBorders>
            <w:shd w:val="clear" w:color="auto" w:fill="auto"/>
            <w:vAlign w:val="center"/>
          </w:tcPr>
          <w:p w14:paraId="39CBC235">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leftChars="0"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总体供货方案</w:t>
            </w:r>
          </w:p>
        </w:tc>
        <w:tc>
          <w:tcPr>
            <w:tcW w:w="615" w:type="pct"/>
            <w:tcBorders>
              <w:tl2br w:val="nil"/>
              <w:tr2bl w:val="nil"/>
            </w:tcBorders>
            <w:shd w:val="clear" w:color="auto" w:fill="auto"/>
            <w:vAlign w:val="center"/>
          </w:tcPr>
          <w:p w14:paraId="6033B478">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2659" w:type="pct"/>
            <w:tcBorders>
              <w:tl2br w:val="nil"/>
              <w:tr2bl w:val="nil"/>
            </w:tcBorders>
            <w:shd w:val="clear" w:color="auto" w:fill="auto"/>
            <w:vAlign w:val="center"/>
          </w:tcPr>
          <w:p w14:paraId="3583E383">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投标人针对本项目提供总体供货方案，方案包括但不限于：</w:t>
            </w:r>
          </w:p>
          <w:p w14:paraId="165546FD">
            <w:pPr>
              <w:keepNext w:val="0"/>
              <w:keepLines w:val="0"/>
              <w:pageBreakBefore w:val="0"/>
              <w:widowControl w:val="0"/>
              <w:numPr>
                <w:ilvl w:val="0"/>
                <w:numId w:val="0"/>
              </w:numPr>
              <w:suppressLineNumbers w:val="0"/>
              <w:kinsoku/>
              <w:wordWrap/>
              <w:overflowPunct w:val="0"/>
              <w:topLinePunct w:val="0"/>
              <w:autoSpaceDE w:val="0"/>
              <w:autoSpaceDN w:val="0"/>
              <w:bidi w:val="0"/>
              <w:adjustRightInd w:val="0"/>
              <w:snapToGrid w:val="0"/>
              <w:spacing w:line="240" w:lineRule="auto"/>
              <w:ind w:left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分拣流程：①采购进来的货物是否按照非定量简易包装的食材和定量预包装的食材进行区分；②根据货物实际特点是否进行额外的坚固包装使其防水、防潮、防腐、防锈、防震、防霉等；)</w:t>
            </w:r>
          </w:p>
          <w:p w14:paraId="72518A82">
            <w:pPr>
              <w:keepNext w:val="0"/>
              <w:keepLines w:val="0"/>
              <w:pageBreakBefore w:val="0"/>
              <w:widowControl w:val="0"/>
              <w:numPr>
                <w:ilvl w:val="0"/>
                <w:numId w:val="0"/>
              </w:numPr>
              <w:suppressLineNumbers w:val="0"/>
              <w:kinsoku/>
              <w:wordWrap/>
              <w:overflowPunct w:val="0"/>
              <w:topLinePunct w:val="0"/>
              <w:autoSpaceDE w:val="0"/>
              <w:autoSpaceDN w:val="0"/>
              <w:bidi w:val="0"/>
              <w:adjustRightInd w:val="0"/>
              <w:snapToGrid w:val="0"/>
              <w:spacing w:line="240" w:lineRule="auto"/>
              <w:ind w:left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人员及工作安排：①人员岗位是否落实到位且安排合理；②具体工作职责及相应责任是否划分明确；</w:t>
            </w:r>
          </w:p>
          <w:p w14:paraId="41E1B60E">
            <w:pPr>
              <w:keepNext w:val="0"/>
              <w:keepLines w:val="0"/>
              <w:pageBreakBefore w:val="0"/>
              <w:widowControl w:val="0"/>
              <w:numPr>
                <w:ilvl w:val="0"/>
                <w:numId w:val="0"/>
              </w:numPr>
              <w:suppressLineNumbers w:val="0"/>
              <w:kinsoku/>
              <w:wordWrap/>
              <w:overflowPunct w:val="0"/>
              <w:topLinePunct w:val="0"/>
              <w:autoSpaceDE w:val="0"/>
              <w:autoSpaceDN w:val="0"/>
              <w:bidi w:val="0"/>
              <w:adjustRightInd w:val="0"/>
              <w:snapToGrid w:val="0"/>
              <w:spacing w:line="240" w:lineRule="auto"/>
              <w:ind w:left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3.配送计划及时间：①根据采购人的采购计划是否到各个流程节点落实到位②时间节点是否安排合理且符合采购人采购需求实际要求；</w:t>
            </w:r>
          </w:p>
          <w:p w14:paraId="2F213424">
            <w:pPr>
              <w:keepNext w:val="0"/>
              <w:keepLines w:val="0"/>
              <w:pageBreakBefore w:val="0"/>
              <w:widowControl w:val="0"/>
              <w:numPr>
                <w:ilvl w:val="0"/>
                <w:numId w:val="0"/>
              </w:numPr>
              <w:suppressLineNumbers w:val="0"/>
              <w:kinsoku/>
              <w:wordWrap/>
              <w:overflowPunct w:val="0"/>
              <w:topLinePunct w:val="0"/>
              <w:autoSpaceDE w:val="0"/>
              <w:autoSpaceDN w:val="0"/>
              <w:bidi w:val="0"/>
              <w:adjustRightInd w:val="0"/>
              <w:snapToGrid w:val="0"/>
              <w:spacing w:line="240" w:lineRule="auto"/>
              <w:ind w:leftChars="0"/>
              <w:jc w:val="both"/>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4.服务响应时间：①是否符合采购需求要求或优于采购需求要求；②是否有专门工作人员负责该项工作流程</w:t>
            </w:r>
            <w:r>
              <w:rPr>
                <w:rFonts w:hint="eastAsia" w:ascii="宋体" w:hAnsi="宋体" w:cs="宋体"/>
                <w:i w:val="0"/>
                <w:iCs w:val="0"/>
                <w:color w:val="auto"/>
                <w:kern w:val="0"/>
                <w:sz w:val="21"/>
                <w:szCs w:val="21"/>
                <w:highlight w:val="none"/>
                <w:u w:val="none"/>
                <w:lang w:val="en-US" w:eastAsia="zh-CN" w:bidi="ar"/>
              </w:rPr>
              <w:t>。</w:t>
            </w:r>
          </w:p>
          <w:p w14:paraId="2CA636DA">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p>
          <w:p w14:paraId="59020BA9">
            <w:pPr>
              <w:keepNext w:val="0"/>
              <w:keepLines w:val="0"/>
              <w:widowControl w:val="0"/>
              <w:suppressLineNumbers w:val="0"/>
              <w:overflowPunct w:val="0"/>
              <w:autoSpaceDE w:val="0"/>
              <w:autoSpaceDN w:val="0"/>
              <w:adjustRightInd w:val="0"/>
              <w:snapToGrid w:val="0"/>
              <w:spacing w:line="240" w:lineRule="auto"/>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根据投标人提供</w:t>
            </w:r>
            <w:r>
              <w:rPr>
                <w:rFonts w:hint="eastAsia" w:ascii="宋体" w:hAnsi="宋体" w:cs="宋体"/>
                <w:i w:val="0"/>
                <w:iCs w:val="0"/>
                <w:color w:val="auto"/>
                <w:kern w:val="0"/>
                <w:sz w:val="21"/>
                <w:szCs w:val="21"/>
                <w:highlight w:val="none"/>
                <w:u w:val="none"/>
                <w:lang w:val="en-US" w:eastAsia="zh-CN" w:bidi="ar"/>
              </w:rPr>
              <w:t>的</w:t>
            </w:r>
            <w:r>
              <w:rPr>
                <w:rFonts w:hint="eastAsia" w:ascii="宋体" w:hAnsi="宋体" w:eastAsia="宋体" w:cs="宋体"/>
                <w:i w:val="0"/>
                <w:iCs w:val="0"/>
                <w:color w:val="auto"/>
                <w:kern w:val="0"/>
                <w:sz w:val="21"/>
                <w:szCs w:val="21"/>
                <w:highlight w:val="none"/>
                <w:u w:val="none"/>
                <w:lang w:val="en-US" w:eastAsia="zh-CN" w:bidi="ar"/>
              </w:rPr>
              <w:t>方案进行综合评分：</w:t>
            </w:r>
          </w:p>
          <w:p w14:paraId="60A7587D">
            <w:pPr>
              <w:keepNext w:val="0"/>
              <w:keepLines w:val="0"/>
              <w:widowControl w:val="0"/>
              <w:suppressLineNumbers w:val="0"/>
              <w:overflowPunct w:val="0"/>
              <w:autoSpaceDE w:val="0"/>
              <w:autoSpaceDN w:val="0"/>
              <w:adjustRightInd w:val="0"/>
              <w:snapToGrid w:val="0"/>
              <w:spacing w:line="240" w:lineRule="auto"/>
              <w:jc w:val="both"/>
              <w:textAlignment w:val="center"/>
              <w:rPr>
                <w:rFonts w:hint="eastAsia" w:ascii="宋体" w:hAnsi="宋体" w:eastAsia="宋体" w:cs="宋体"/>
                <w:color w:val="auto"/>
                <w:kern w:val="0"/>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方案</w:t>
            </w:r>
            <w:r>
              <w:rPr>
                <w:rFonts w:hint="eastAsia" w:ascii="宋体" w:hAnsi="宋体" w:eastAsia="宋体" w:cs="宋体"/>
                <w:color w:val="auto"/>
                <w:kern w:val="0"/>
                <w:sz w:val="21"/>
                <w:szCs w:val="21"/>
                <w:highlight w:val="none"/>
                <w:u w:val="none"/>
                <w:lang w:val="en-US" w:eastAsia="zh-CN" w:bidi="ar"/>
              </w:rPr>
              <w:t>科学、合理、可行的，计</w:t>
            </w:r>
            <w:r>
              <w:rPr>
                <w:rFonts w:hint="eastAsia" w:ascii="宋体" w:hAnsi="宋体" w:cs="宋体"/>
                <w:color w:val="auto"/>
                <w:kern w:val="0"/>
                <w:sz w:val="21"/>
                <w:szCs w:val="21"/>
                <w:highlight w:val="none"/>
                <w:u w:val="none"/>
                <w:lang w:val="en-US" w:eastAsia="zh-CN" w:bidi="ar"/>
              </w:rPr>
              <w:t>7-8</w:t>
            </w:r>
            <w:r>
              <w:rPr>
                <w:rFonts w:hint="eastAsia" w:ascii="宋体" w:hAnsi="宋体" w:eastAsia="宋体" w:cs="宋体"/>
                <w:color w:val="auto"/>
                <w:kern w:val="0"/>
                <w:sz w:val="21"/>
                <w:szCs w:val="21"/>
                <w:highlight w:val="none"/>
                <w:u w:val="none"/>
                <w:lang w:val="en-US" w:eastAsia="zh-CN" w:bidi="ar"/>
              </w:rPr>
              <w:t>分；</w:t>
            </w:r>
          </w:p>
          <w:p w14:paraId="71AFDF9C">
            <w:pPr>
              <w:keepNext w:val="0"/>
              <w:keepLines w:val="0"/>
              <w:widowControl w:val="0"/>
              <w:suppressLineNumbers w:val="0"/>
              <w:overflowPunct w:val="0"/>
              <w:autoSpaceDE w:val="0"/>
              <w:autoSpaceDN w:val="0"/>
              <w:adjustRightInd w:val="0"/>
              <w:snapToGrid w:val="0"/>
              <w:spacing w:line="240" w:lineRule="auto"/>
              <w:jc w:val="both"/>
              <w:textAlignment w:val="center"/>
              <w:rPr>
                <w:rFonts w:hint="eastAsia" w:ascii="宋体" w:hAnsi="宋体" w:eastAsia="宋体" w:cs="宋体"/>
                <w:color w:val="auto"/>
                <w:kern w:val="0"/>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方案</w:t>
            </w:r>
            <w:r>
              <w:rPr>
                <w:rFonts w:hint="eastAsia" w:ascii="宋体" w:hAnsi="宋体" w:eastAsia="宋体" w:cs="宋体"/>
                <w:color w:val="auto"/>
                <w:kern w:val="0"/>
                <w:sz w:val="21"/>
                <w:szCs w:val="21"/>
                <w:highlight w:val="none"/>
                <w:u w:val="none"/>
                <w:lang w:val="en-US" w:eastAsia="zh-CN" w:bidi="ar"/>
              </w:rPr>
              <w:t>较科学、较合理、较可行的，计</w:t>
            </w:r>
            <w:r>
              <w:rPr>
                <w:rFonts w:hint="eastAsia" w:ascii="宋体" w:hAnsi="宋体" w:cs="宋体"/>
                <w:color w:val="auto"/>
                <w:kern w:val="0"/>
                <w:sz w:val="21"/>
                <w:szCs w:val="21"/>
                <w:highlight w:val="none"/>
                <w:u w:val="none"/>
                <w:lang w:val="en-US" w:eastAsia="zh-CN" w:bidi="ar"/>
              </w:rPr>
              <w:t>4-6</w:t>
            </w:r>
            <w:r>
              <w:rPr>
                <w:rFonts w:hint="eastAsia" w:ascii="宋体" w:hAnsi="宋体" w:eastAsia="宋体" w:cs="宋体"/>
                <w:color w:val="auto"/>
                <w:kern w:val="0"/>
                <w:sz w:val="21"/>
                <w:szCs w:val="21"/>
                <w:highlight w:val="none"/>
                <w:u w:val="none"/>
                <w:lang w:val="en-US" w:eastAsia="zh-CN" w:bidi="ar"/>
              </w:rPr>
              <w:t>分；</w:t>
            </w:r>
          </w:p>
          <w:p w14:paraId="0277AAAC">
            <w:pPr>
              <w:spacing w:line="240" w:lineRule="auto"/>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方案</w:t>
            </w:r>
            <w:r>
              <w:rPr>
                <w:rFonts w:hint="eastAsia" w:ascii="宋体" w:hAnsi="宋体" w:eastAsia="宋体" w:cs="宋体"/>
                <w:color w:val="auto"/>
                <w:kern w:val="0"/>
                <w:sz w:val="21"/>
                <w:szCs w:val="21"/>
                <w:highlight w:val="none"/>
                <w:u w:val="none"/>
                <w:lang w:val="en-US" w:eastAsia="zh-CN" w:bidi="ar"/>
              </w:rPr>
              <w:t>欠科学、欠合理、欠可行的，计</w:t>
            </w:r>
            <w:r>
              <w:rPr>
                <w:rFonts w:hint="eastAsia" w:ascii="宋体" w:hAnsi="宋体" w:cs="宋体"/>
                <w:color w:val="auto"/>
                <w:kern w:val="0"/>
                <w:sz w:val="21"/>
                <w:szCs w:val="21"/>
                <w:highlight w:val="none"/>
                <w:u w:val="none"/>
                <w:lang w:val="en-US" w:eastAsia="zh-CN" w:bidi="ar"/>
              </w:rPr>
              <w:t>1-3</w:t>
            </w:r>
            <w:r>
              <w:rPr>
                <w:rFonts w:hint="eastAsia" w:ascii="宋体" w:hAnsi="宋体" w:eastAsia="宋体" w:cs="宋体"/>
                <w:color w:val="auto"/>
                <w:kern w:val="0"/>
                <w:sz w:val="21"/>
                <w:szCs w:val="21"/>
                <w:highlight w:val="none"/>
                <w:u w:val="none"/>
                <w:lang w:val="en-US" w:eastAsia="zh-CN" w:bidi="ar"/>
              </w:rPr>
              <w:t>分。</w:t>
            </w:r>
          </w:p>
        </w:tc>
      </w:tr>
      <w:tr w14:paraId="667CC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4EBB40EF">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533" w:type="pct"/>
            <w:vMerge w:val="continue"/>
            <w:tcBorders>
              <w:tl2br w:val="nil"/>
              <w:tr2bl w:val="nil"/>
            </w:tcBorders>
            <w:shd w:val="clear" w:color="auto" w:fill="auto"/>
            <w:vAlign w:val="center"/>
          </w:tcPr>
          <w:p w14:paraId="1CA26DF2">
            <w:pPr>
              <w:widowControl/>
              <w:spacing w:line="240" w:lineRule="auto"/>
              <w:jc w:val="center"/>
              <w:rPr>
                <w:rFonts w:hint="eastAsia" w:ascii="宋体" w:hAnsi="宋体" w:eastAsia="宋体" w:cs="宋体"/>
                <w:color w:val="auto"/>
                <w:szCs w:val="21"/>
                <w:highlight w:val="none"/>
              </w:rPr>
            </w:pPr>
          </w:p>
        </w:tc>
        <w:tc>
          <w:tcPr>
            <w:tcW w:w="729" w:type="pct"/>
            <w:tcBorders>
              <w:tl2br w:val="nil"/>
              <w:tr2bl w:val="nil"/>
            </w:tcBorders>
            <w:shd w:val="clear" w:color="auto" w:fill="auto"/>
            <w:vAlign w:val="center"/>
          </w:tcPr>
          <w:p w14:paraId="13399C06">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leftChars="0"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产品质量保障方案</w:t>
            </w:r>
          </w:p>
        </w:tc>
        <w:tc>
          <w:tcPr>
            <w:tcW w:w="615" w:type="pct"/>
            <w:tcBorders>
              <w:tl2br w:val="nil"/>
              <w:tr2bl w:val="nil"/>
            </w:tcBorders>
            <w:shd w:val="clear" w:color="auto" w:fill="auto"/>
            <w:vAlign w:val="center"/>
          </w:tcPr>
          <w:p w14:paraId="634ADAEC">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2659" w:type="pct"/>
            <w:tcBorders>
              <w:tl2br w:val="nil"/>
              <w:tr2bl w:val="nil"/>
            </w:tcBorders>
            <w:shd w:val="clear" w:color="auto" w:fill="auto"/>
            <w:vAlign w:val="center"/>
          </w:tcPr>
          <w:p w14:paraId="606DAC16">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投标人针对本项目提供产品质量保障方案，方案包括但不限于：</w:t>
            </w:r>
          </w:p>
          <w:p w14:paraId="4C489453">
            <w:pPr>
              <w:keepNext w:val="0"/>
              <w:keepLines w:val="0"/>
              <w:pageBreakBefore w:val="0"/>
              <w:widowControl w:val="0"/>
              <w:numPr>
                <w:ilvl w:val="0"/>
                <w:numId w:val="0"/>
              </w:numPr>
              <w:suppressLineNumbers w:val="0"/>
              <w:kinsoku/>
              <w:wordWrap/>
              <w:overflowPunct w:val="0"/>
              <w:topLinePunct w:val="0"/>
              <w:autoSpaceDE w:val="0"/>
              <w:autoSpaceDN w:val="0"/>
              <w:bidi w:val="0"/>
              <w:adjustRightInd w:val="0"/>
              <w:snapToGrid w:val="0"/>
              <w:spacing w:line="240" w:lineRule="auto"/>
              <w:ind w:left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食材选材有否有标准及具体把控措施；</w:t>
            </w:r>
          </w:p>
          <w:p w14:paraId="41B26D99">
            <w:pPr>
              <w:keepNext w:val="0"/>
              <w:keepLines w:val="0"/>
              <w:pageBreakBefore w:val="0"/>
              <w:widowControl w:val="0"/>
              <w:numPr>
                <w:ilvl w:val="0"/>
                <w:numId w:val="0"/>
              </w:numPr>
              <w:suppressLineNumbers w:val="0"/>
              <w:kinsoku/>
              <w:wordWrap/>
              <w:overflowPunct w:val="0"/>
              <w:topLinePunct w:val="0"/>
              <w:autoSpaceDE w:val="0"/>
              <w:autoSpaceDN w:val="0"/>
              <w:bidi w:val="0"/>
              <w:adjustRightInd w:val="0"/>
              <w:snapToGrid w:val="0"/>
              <w:spacing w:line="240" w:lineRule="auto"/>
              <w:ind w:left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w:t>
            </w:r>
            <w:r>
              <w:rPr>
                <w:rFonts w:hint="eastAsia" w:ascii="宋体" w:hAnsi="宋体" w:eastAsia="宋体" w:cs="宋体"/>
                <w:i w:val="0"/>
                <w:iCs w:val="0"/>
                <w:color w:val="auto"/>
                <w:kern w:val="0"/>
                <w:sz w:val="21"/>
                <w:szCs w:val="21"/>
                <w:highlight w:val="none"/>
                <w:u w:val="none"/>
                <w:lang w:val="en-US" w:eastAsia="zh-CN" w:bidi="ar"/>
              </w:rPr>
              <w:t>短时间需要存放在采购人食堂的原材料安全保障是否合理规范；</w:t>
            </w:r>
          </w:p>
          <w:p w14:paraId="273D7185">
            <w:pPr>
              <w:keepNext w:val="0"/>
              <w:keepLines w:val="0"/>
              <w:pageBreakBefore w:val="0"/>
              <w:widowControl w:val="0"/>
              <w:numPr>
                <w:ilvl w:val="0"/>
                <w:numId w:val="0"/>
              </w:numPr>
              <w:suppressLineNumbers w:val="0"/>
              <w:kinsoku/>
              <w:wordWrap/>
              <w:overflowPunct w:val="0"/>
              <w:topLinePunct w:val="0"/>
              <w:autoSpaceDE w:val="0"/>
              <w:autoSpaceDN w:val="0"/>
              <w:bidi w:val="0"/>
              <w:adjustRightInd w:val="0"/>
              <w:snapToGrid w:val="0"/>
              <w:spacing w:line="240" w:lineRule="auto"/>
              <w:ind w:left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w:t>
            </w:r>
            <w:r>
              <w:rPr>
                <w:rFonts w:hint="eastAsia" w:ascii="宋体" w:hAnsi="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保质期比较久的食材是否有规范化的保管、储存及采购流程。</w:t>
            </w:r>
          </w:p>
          <w:p w14:paraId="0FC5418A">
            <w:pPr>
              <w:spacing w:line="240" w:lineRule="auto"/>
              <w:rPr>
                <w:color w:val="auto"/>
                <w:highlight w:val="none"/>
              </w:rPr>
            </w:pPr>
          </w:p>
          <w:p w14:paraId="07605D32">
            <w:pPr>
              <w:keepNext w:val="0"/>
              <w:keepLines w:val="0"/>
              <w:widowControl w:val="0"/>
              <w:suppressLineNumbers w:val="0"/>
              <w:overflowPunct w:val="0"/>
              <w:autoSpaceDE w:val="0"/>
              <w:autoSpaceDN w:val="0"/>
              <w:adjustRightInd w:val="0"/>
              <w:snapToGrid w:val="0"/>
              <w:spacing w:line="240" w:lineRule="auto"/>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根据投标人提供</w:t>
            </w:r>
            <w:r>
              <w:rPr>
                <w:rFonts w:hint="eastAsia" w:ascii="宋体" w:hAnsi="宋体" w:cs="宋体"/>
                <w:i w:val="0"/>
                <w:iCs w:val="0"/>
                <w:color w:val="auto"/>
                <w:kern w:val="0"/>
                <w:sz w:val="21"/>
                <w:szCs w:val="21"/>
                <w:highlight w:val="none"/>
                <w:u w:val="none"/>
                <w:lang w:val="en-US" w:eastAsia="zh-CN" w:bidi="ar"/>
              </w:rPr>
              <w:t>的</w:t>
            </w:r>
            <w:r>
              <w:rPr>
                <w:rFonts w:hint="eastAsia" w:ascii="宋体" w:hAnsi="宋体" w:eastAsia="宋体" w:cs="宋体"/>
                <w:i w:val="0"/>
                <w:iCs w:val="0"/>
                <w:color w:val="auto"/>
                <w:kern w:val="0"/>
                <w:sz w:val="21"/>
                <w:szCs w:val="21"/>
                <w:highlight w:val="none"/>
                <w:u w:val="none"/>
                <w:lang w:val="en-US" w:eastAsia="zh-CN" w:bidi="ar"/>
              </w:rPr>
              <w:t>方案进行综合评分：</w:t>
            </w:r>
          </w:p>
          <w:p w14:paraId="37EEEBB9">
            <w:pPr>
              <w:keepNext w:val="0"/>
              <w:keepLines w:val="0"/>
              <w:widowControl w:val="0"/>
              <w:suppressLineNumbers w:val="0"/>
              <w:overflowPunct w:val="0"/>
              <w:autoSpaceDE w:val="0"/>
              <w:autoSpaceDN w:val="0"/>
              <w:adjustRightInd w:val="0"/>
              <w:snapToGrid w:val="0"/>
              <w:spacing w:line="240" w:lineRule="auto"/>
              <w:jc w:val="both"/>
              <w:textAlignment w:val="center"/>
              <w:rPr>
                <w:rFonts w:hint="eastAsia" w:ascii="宋体" w:hAnsi="宋体" w:eastAsia="宋体" w:cs="宋体"/>
                <w:color w:val="auto"/>
                <w:kern w:val="0"/>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方案</w:t>
            </w:r>
            <w:r>
              <w:rPr>
                <w:rFonts w:hint="eastAsia" w:ascii="宋体" w:hAnsi="宋体" w:eastAsia="宋体" w:cs="宋体"/>
                <w:color w:val="auto"/>
                <w:kern w:val="0"/>
                <w:sz w:val="21"/>
                <w:szCs w:val="21"/>
                <w:highlight w:val="none"/>
                <w:u w:val="none"/>
                <w:lang w:val="en-US" w:eastAsia="zh-CN" w:bidi="ar"/>
              </w:rPr>
              <w:t>科学、合理、可行的，计</w:t>
            </w:r>
            <w:r>
              <w:rPr>
                <w:rFonts w:hint="eastAsia" w:ascii="宋体" w:hAnsi="宋体" w:cs="宋体"/>
                <w:color w:val="auto"/>
                <w:kern w:val="0"/>
                <w:sz w:val="21"/>
                <w:szCs w:val="21"/>
                <w:highlight w:val="none"/>
                <w:u w:val="none"/>
                <w:lang w:val="en-US" w:eastAsia="zh-CN" w:bidi="ar"/>
              </w:rPr>
              <w:t>7-8</w:t>
            </w:r>
            <w:r>
              <w:rPr>
                <w:rFonts w:hint="eastAsia" w:ascii="宋体" w:hAnsi="宋体" w:eastAsia="宋体" w:cs="宋体"/>
                <w:color w:val="auto"/>
                <w:kern w:val="0"/>
                <w:sz w:val="21"/>
                <w:szCs w:val="21"/>
                <w:highlight w:val="none"/>
                <w:u w:val="none"/>
                <w:lang w:val="en-US" w:eastAsia="zh-CN" w:bidi="ar"/>
              </w:rPr>
              <w:t>分；</w:t>
            </w:r>
          </w:p>
          <w:p w14:paraId="084BDA6B">
            <w:pPr>
              <w:keepNext w:val="0"/>
              <w:keepLines w:val="0"/>
              <w:widowControl w:val="0"/>
              <w:suppressLineNumbers w:val="0"/>
              <w:overflowPunct w:val="0"/>
              <w:autoSpaceDE w:val="0"/>
              <w:autoSpaceDN w:val="0"/>
              <w:adjustRightInd w:val="0"/>
              <w:snapToGrid w:val="0"/>
              <w:spacing w:line="240" w:lineRule="auto"/>
              <w:jc w:val="both"/>
              <w:textAlignment w:val="center"/>
              <w:rPr>
                <w:rFonts w:hint="eastAsia" w:ascii="宋体" w:hAnsi="宋体" w:eastAsia="宋体" w:cs="宋体"/>
                <w:color w:val="auto"/>
                <w:kern w:val="0"/>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方案</w:t>
            </w:r>
            <w:r>
              <w:rPr>
                <w:rFonts w:hint="eastAsia" w:ascii="宋体" w:hAnsi="宋体" w:eastAsia="宋体" w:cs="宋体"/>
                <w:color w:val="auto"/>
                <w:kern w:val="0"/>
                <w:sz w:val="21"/>
                <w:szCs w:val="21"/>
                <w:highlight w:val="none"/>
                <w:u w:val="none"/>
                <w:lang w:val="en-US" w:eastAsia="zh-CN" w:bidi="ar"/>
              </w:rPr>
              <w:t>较科学、较合理、较可行的，计</w:t>
            </w:r>
            <w:r>
              <w:rPr>
                <w:rFonts w:hint="eastAsia" w:ascii="宋体" w:hAnsi="宋体" w:cs="宋体"/>
                <w:color w:val="auto"/>
                <w:kern w:val="0"/>
                <w:sz w:val="21"/>
                <w:szCs w:val="21"/>
                <w:highlight w:val="none"/>
                <w:u w:val="none"/>
                <w:lang w:val="en-US" w:eastAsia="zh-CN" w:bidi="ar"/>
              </w:rPr>
              <w:t>4-6</w:t>
            </w:r>
            <w:r>
              <w:rPr>
                <w:rFonts w:hint="eastAsia" w:ascii="宋体" w:hAnsi="宋体" w:eastAsia="宋体" w:cs="宋体"/>
                <w:color w:val="auto"/>
                <w:kern w:val="0"/>
                <w:sz w:val="21"/>
                <w:szCs w:val="21"/>
                <w:highlight w:val="none"/>
                <w:u w:val="none"/>
                <w:lang w:val="en-US" w:eastAsia="zh-CN" w:bidi="ar"/>
              </w:rPr>
              <w:t>分；</w:t>
            </w:r>
          </w:p>
          <w:p w14:paraId="120A5B14">
            <w:pPr>
              <w:spacing w:line="240" w:lineRule="auto"/>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方案</w:t>
            </w:r>
            <w:r>
              <w:rPr>
                <w:rFonts w:hint="eastAsia" w:ascii="宋体" w:hAnsi="宋体" w:eastAsia="宋体" w:cs="宋体"/>
                <w:color w:val="auto"/>
                <w:kern w:val="0"/>
                <w:sz w:val="21"/>
                <w:szCs w:val="21"/>
                <w:highlight w:val="none"/>
                <w:u w:val="none"/>
                <w:lang w:val="en-US" w:eastAsia="zh-CN" w:bidi="ar"/>
              </w:rPr>
              <w:t>欠科学、欠合理、欠可行的，计</w:t>
            </w:r>
            <w:r>
              <w:rPr>
                <w:rFonts w:hint="eastAsia" w:ascii="宋体" w:hAnsi="宋体" w:cs="宋体"/>
                <w:color w:val="auto"/>
                <w:kern w:val="0"/>
                <w:sz w:val="21"/>
                <w:szCs w:val="21"/>
                <w:highlight w:val="none"/>
                <w:u w:val="none"/>
                <w:lang w:val="en-US" w:eastAsia="zh-CN" w:bidi="ar"/>
              </w:rPr>
              <w:t>1-3</w:t>
            </w:r>
            <w:r>
              <w:rPr>
                <w:rFonts w:hint="eastAsia" w:ascii="宋体" w:hAnsi="宋体" w:eastAsia="宋体" w:cs="宋体"/>
                <w:color w:val="auto"/>
                <w:kern w:val="0"/>
                <w:sz w:val="21"/>
                <w:szCs w:val="21"/>
                <w:highlight w:val="none"/>
                <w:u w:val="none"/>
                <w:lang w:val="en-US" w:eastAsia="zh-CN" w:bidi="ar"/>
              </w:rPr>
              <w:t>分。</w:t>
            </w:r>
          </w:p>
        </w:tc>
      </w:tr>
      <w:tr w14:paraId="34972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015A7A81">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533" w:type="pct"/>
            <w:vMerge w:val="continue"/>
            <w:tcBorders>
              <w:tl2br w:val="nil"/>
              <w:tr2bl w:val="nil"/>
            </w:tcBorders>
            <w:shd w:val="clear" w:color="auto" w:fill="auto"/>
            <w:vAlign w:val="center"/>
          </w:tcPr>
          <w:p w14:paraId="02A8B2B8">
            <w:pPr>
              <w:widowControl/>
              <w:spacing w:line="240" w:lineRule="auto"/>
              <w:jc w:val="center"/>
              <w:rPr>
                <w:rFonts w:hint="eastAsia" w:ascii="宋体" w:hAnsi="宋体" w:eastAsia="宋体" w:cs="宋体"/>
                <w:color w:val="auto"/>
                <w:szCs w:val="21"/>
                <w:highlight w:val="none"/>
              </w:rPr>
            </w:pPr>
          </w:p>
        </w:tc>
        <w:tc>
          <w:tcPr>
            <w:tcW w:w="729" w:type="pct"/>
            <w:tcBorders>
              <w:tl2br w:val="nil"/>
              <w:tr2bl w:val="nil"/>
            </w:tcBorders>
            <w:shd w:val="clear" w:color="auto" w:fill="auto"/>
            <w:vAlign w:val="center"/>
          </w:tcPr>
          <w:p w14:paraId="4479D7DA">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leftChars="0"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安全保障方案</w:t>
            </w:r>
          </w:p>
        </w:tc>
        <w:tc>
          <w:tcPr>
            <w:tcW w:w="615" w:type="pct"/>
            <w:tcBorders>
              <w:tl2br w:val="nil"/>
              <w:tr2bl w:val="nil"/>
            </w:tcBorders>
            <w:shd w:val="clear" w:color="auto" w:fill="auto"/>
            <w:vAlign w:val="center"/>
          </w:tcPr>
          <w:p w14:paraId="31A7588B">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2659" w:type="pct"/>
            <w:tcBorders>
              <w:tl2br w:val="nil"/>
              <w:tr2bl w:val="nil"/>
            </w:tcBorders>
            <w:shd w:val="clear" w:color="auto" w:fill="auto"/>
            <w:vAlign w:val="center"/>
          </w:tcPr>
          <w:p w14:paraId="5FE80B26">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投标人针对本项目提供安全保障方案，方案包括但不限于：</w:t>
            </w:r>
          </w:p>
          <w:p w14:paraId="57AF7B55">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食品安全保障方案（至少包含食品安全控制、环境</w:t>
            </w:r>
            <w:r>
              <w:rPr>
                <w:rFonts w:hint="default" w:ascii="宋体" w:hAnsi="宋体" w:eastAsia="宋体" w:cs="宋体"/>
                <w:i w:val="0"/>
                <w:iCs w:val="0"/>
                <w:color w:val="auto"/>
                <w:kern w:val="0"/>
                <w:sz w:val="21"/>
                <w:szCs w:val="21"/>
                <w:highlight w:val="none"/>
                <w:u w:val="none"/>
                <w:lang w:val="en-US" w:eastAsia="zh-CN" w:bidi="ar"/>
              </w:rPr>
              <w:t>卫生控制、食品安全应急服务、服务质量控制方案等）,方案全面、完善有针对性、措施合理、贴合本项目实际情况。</w:t>
            </w:r>
          </w:p>
          <w:p w14:paraId="46C81A31">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firstLine="0" w:firstLineChars="0"/>
              <w:jc w:val="both"/>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w:t>
            </w:r>
            <w:r>
              <w:rPr>
                <w:rFonts w:hint="default" w:ascii="宋体" w:hAnsi="宋体" w:eastAsia="宋体" w:cs="宋体"/>
                <w:i w:val="0"/>
                <w:iCs w:val="0"/>
                <w:color w:val="auto"/>
                <w:kern w:val="0"/>
                <w:sz w:val="21"/>
                <w:szCs w:val="21"/>
                <w:highlight w:val="none"/>
                <w:u w:val="none"/>
                <w:lang w:val="en-US" w:eastAsia="zh-CN" w:bidi="ar"/>
              </w:rPr>
              <w:t>卫生安全管理方案（至少包含食品卫生、人员卫生、环境卫生等），方案全面、完善有针对性、措施合理、贴合本项目实际情况且具有可行性。</w:t>
            </w:r>
          </w:p>
          <w:p w14:paraId="7E2A3898">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firstLine="0" w:firstLineChars="0"/>
              <w:jc w:val="both"/>
              <w:textAlignment w:val="center"/>
              <w:rPr>
                <w:rFonts w:hint="default" w:ascii="宋体" w:hAnsi="宋体" w:eastAsia="宋体" w:cs="宋体"/>
                <w:i w:val="0"/>
                <w:iCs w:val="0"/>
                <w:color w:val="auto"/>
                <w:kern w:val="0"/>
                <w:sz w:val="21"/>
                <w:szCs w:val="21"/>
                <w:highlight w:val="none"/>
                <w:u w:val="none"/>
                <w:lang w:val="en-US" w:eastAsia="zh-CN" w:bidi="ar"/>
              </w:rPr>
            </w:pPr>
          </w:p>
          <w:p w14:paraId="369A1981">
            <w:pPr>
              <w:keepNext w:val="0"/>
              <w:keepLines w:val="0"/>
              <w:widowControl w:val="0"/>
              <w:suppressLineNumbers w:val="0"/>
              <w:overflowPunct w:val="0"/>
              <w:autoSpaceDE w:val="0"/>
              <w:autoSpaceDN w:val="0"/>
              <w:adjustRightInd w:val="0"/>
              <w:snapToGrid w:val="0"/>
              <w:spacing w:line="240" w:lineRule="auto"/>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根据投标人提供</w:t>
            </w:r>
            <w:r>
              <w:rPr>
                <w:rFonts w:hint="eastAsia" w:ascii="宋体" w:hAnsi="宋体" w:cs="宋体"/>
                <w:i w:val="0"/>
                <w:iCs w:val="0"/>
                <w:color w:val="auto"/>
                <w:kern w:val="0"/>
                <w:sz w:val="21"/>
                <w:szCs w:val="21"/>
                <w:highlight w:val="none"/>
                <w:u w:val="none"/>
                <w:lang w:val="en-US" w:eastAsia="zh-CN" w:bidi="ar"/>
              </w:rPr>
              <w:t>的</w:t>
            </w:r>
            <w:r>
              <w:rPr>
                <w:rFonts w:hint="eastAsia" w:ascii="宋体" w:hAnsi="宋体" w:eastAsia="宋体" w:cs="宋体"/>
                <w:i w:val="0"/>
                <w:iCs w:val="0"/>
                <w:color w:val="auto"/>
                <w:kern w:val="0"/>
                <w:sz w:val="21"/>
                <w:szCs w:val="21"/>
                <w:highlight w:val="none"/>
                <w:u w:val="none"/>
                <w:lang w:val="en-US" w:eastAsia="zh-CN" w:bidi="ar"/>
              </w:rPr>
              <w:t>方案进行综合评分：</w:t>
            </w:r>
          </w:p>
          <w:p w14:paraId="300628D6">
            <w:pPr>
              <w:keepNext w:val="0"/>
              <w:keepLines w:val="0"/>
              <w:widowControl w:val="0"/>
              <w:suppressLineNumbers w:val="0"/>
              <w:overflowPunct w:val="0"/>
              <w:autoSpaceDE w:val="0"/>
              <w:autoSpaceDN w:val="0"/>
              <w:adjustRightInd w:val="0"/>
              <w:snapToGrid w:val="0"/>
              <w:spacing w:line="240" w:lineRule="auto"/>
              <w:jc w:val="both"/>
              <w:textAlignment w:val="center"/>
              <w:rPr>
                <w:rFonts w:hint="eastAsia" w:ascii="宋体" w:hAnsi="宋体" w:eastAsia="宋体" w:cs="宋体"/>
                <w:color w:val="auto"/>
                <w:kern w:val="0"/>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方案</w:t>
            </w:r>
            <w:r>
              <w:rPr>
                <w:rFonts w:hint="eastAsia" w:ascii="宋体" w:hAnsi="宋体" w:eastAsia="宋体" w:cs="宋体"/>
                <w:color w:val="auto"/>
                <w:kern w:val="0"/>
                <w:sz w:val="21"/>
                <w:szCs w:val="21"/>
                <w:highlight w:val="none"/>
                <w:u w:val="none"/>
                <w:lang w:val="en-US" w:eastAsia="zh-CN" w:bidi="ar"/>
              </w:rPr>
              <w:t>科学、合理、可行的，计</w:t>
            </w:r>
            <w:r>
              <w:rPr>
                <w:rFonts w:hint="eastAsia" w:ascii="宋体" w:hAnsi="宋体" w:cs="宋体"/>
                <w:color w:val="auto"/>
                <w:kern w:val="0"/>
                <w:sz w:val="21"/>
                <w:szCs w:val="21"/>
                <w:highlight w:val="none"/>
                <w:u w:val="none"/>
                <w:lang w:val="en-US" w:eastAsia="zh-CN" w:bidi="ar"/>
              </w:rPr>
              <w:t>7-8</w:t>
            </w:r>
            <w:r>
              <w:rPr>
                <w:rFonts w:hint="eastAsia" w:ascii="宋体" w:hAnsi="宋体" w:eastAsia="宋体" w:cs="宋体"/>
                <w:color w:val="auto"/>
                <w:kern w:val="0"/>
                <w:sz w:val="21"/>
                <w:szCs w:val="21"/>
                <w:highlight w:val="none"/>
                <w:u w:val="none"/>
                <w:lang w:val="en-US" w:eastAsia="zh-CN" w:bidi="ar"/>
              </w:rPr>
              <w:t>分；</w:t>
            </w:r>
          </w:p>
          <w:p w14:paraId="38004CB9">
            <w:pPr>
              <w:keepNext w:val="0"/>
              <w:keepLines w:val="0"/>
              <w:widowControl w:val="0"/>
              <w:suppressLineNumbers w:val="0"/>
              <w:overflowPunct w:val="0"/>
              <w:autoSpaceDE w:val="0"/>
              <w:autoSpaceDN w:val="0"/>
              <w:adjustRightInd w:val="0"/>
              <w:snapToGrid w:val="0"/>
              <w:spacing w:line="240" w:lineRule="auto"/>
              <w:jc w:val="both"/>
              <w:textAlignment w:val="center"/>
              <w:rPr>
                <w:rFonts w:hint="eastAsia" w:ascii="宋体" w:hAnsi="宋体" w:eastAsia="宋体" w:cs="宋体"/>
                <w:color w:val="auto"/>
                <w:kern w:val="0"/>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方案</w:t>
            </w:r>
            <w:r>
              <w:rPr>
                <w:rFonts w:hint="eastAsia" w:ascii="宋体" w:hAnsi="宋体" w:eastAsia="宋体" w:cs="宋体"/>
                <w:color w:val="auto"/>
                <w:kern w:val="0"/>
                <w:sz w:val="21"/>
                <w:szCs w:val="21"/>
                <w:highlight w:val="none"/>
                <w:u w:val="none"/>
                <w:lang w:val="en-US" w:eastAsia="zh-CN" w:bidi="ar"/>
              </w:rPr>
              <w:t>较科学、较合理、较可行的，计</w:t>
            </w:r>
            <w:r>
              <w:rPr>
                <w:rFonts w:hint="eastAsia" w:ascii="宋体" w:hAnsi="宋体" w:cs="宋体"/>
                <w:color w:val="auto"/>
                <w:kern w:val="0"/>
                <w:sz w:val="21"/>
                <w:szCs w:val="21"/>
                <w:highlight w:val="none"/>
                <w:u w:val="none"/>
                <w:lang w:val="en-US" w:eastAsia="zh-CN" w:bidi="ar"/>
              </w:rPr>
              <w:t>4-6</w:t>
            </w:r>
            <w:r>
              <w:rPr>
                <w:rFonts w:hint="eastAsia" w:ascii="宋体" w:hAnsi="宋体" w:eastAsia="宋体" w:cs="宋体"/>
                <w:color w:val="auto"/>
                <w:kern w:val="0"/>
                <w:sz w:val="21"/>
                <w:szCs w:val="21"/>
                <w:highlight w:val="none"/>
                <w:u w:val="none"/>
                <w:lang w:val="en-US" w:eastAsia="zh-CN" w:bidi="ar"/>
              </w:rPr>
              <w:t>分；</w:t>
            </w:r>
          </w:p>
          <w:p w14:paraId="7C7576EA">
            <w:pPr>
              <w:spacing w:line="240" w:lineRule="auto"/>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方案</w:t>
            </w:r>
            <w:r>
              <w:rPr>
                <w:rFonts w:hint="eastAsia" w:ascii="宋体" w:hAnsi="宋体" w:eastAsia="宋体" w:cs="宋体"/>
                <w:color w:val="auto"/>
                <w:kern w:val="0"/>
                <w:sz w:val="21"/>
                <w:szCs w:val="21"/>
                <w:highlight w:val="none"/>
                <w:u w:val="none"/>
                <w:lang w:val="en-US" w:eastAsia="zh-CN" w:bidi="ar"/>
              </w:rPr>
              <w:t>欠科学、欠合理、欠可行的，计</w:t>
            </w:r>
            <w:r>
              <w:rPr>
                <w:rFonts w:hint="eastAsia" w:ascii="宋体" w:hAnsi="宋体" w:cs="宋体"/>
                <w:color w:val="auto"/>
                <w:kern w:val="0"/>
                <w:sz w:val="21"/>
                <w:szCs w:val="21"/>
                <w:highlight w:val="none"/>
                <w:u w:val="none"/>
                <w:lang w:val="en-US" w:eastAsia="zh-CN" w:bidi="ar"/>
              </w:rPr>
              <w:t>1-3</w:t>
            </w:r>
            <w:r>
              <w:rPr>
                <w:rFonts w:hint="eastAsia" w:ascii="宋体" w:hAnsi="宋体" w:eastAsia="宋体" w:cs="宋体"/>
                <w:color w:val="auto"/>
                <w:kern w:val="0"/>
                <w:sz w:val="21"/>
                <w:szCs w:val="21"/>
                <w:highlight w:val="none"/>
                <w:u w:val="none"/>
                <w:lang w:val="en-US" w:eastAsia="zh-CN" w:bidi="ar"/>
              </w:rPr>
              <w:t>分。</w:t>
            </w:r>
          </w:p>
        </w:tc>
      </w:tr>
      <w:tr w14:paraId="00FEA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5F207868">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533" w:type="pct"/>
            <w:vMerge w:val="continue"/>
            <w:tcBorders>
              <w:tl2br w:val="nil"/>
              <w:tr2bl w:val="nil"/>
            </w:tcBorders>
            <w:shd w:val="clear" w:color="auto" w:fill="auto"/>
            <w:vAlign w:val="center"/>
          </w:tcPr>
          <w:p w14:paraId="35EE8067">
            <w:pPr>
              <w:widowControl/>
              <w:spacing w:line="240" w:lineRule="auto"/>
              <w:jc w:val="center"/>
              <w:rPr>
                <w:rFonts w:hint="eastAsia" w:ascii="宋体" w:hAnsi="宋体" w:eastAsia="宋体" w:cs="宋体"/>
                <w:color w:val="auto"/>
                <w:szCs w:val="21"/>
                <w:highlight w:val="none"/>
              </w:rPr>
            </w:pPr>
          </w:p>
        </w:tc>
        <w:tc>
          <w:tcPr>
            <w:tcW w:w="729" w:type="pct"/>
            <w:tcBorders>
              <w:tl2br w:val="nil"/>
              <w:tr2bl w:val="nil"/>
            </w:tcBorders>
            <w:shd w:val="clear" w:color="auto" w:fill="auto"/>
            <w:vAlign w:val="center"/>
          </w:tcPr>
          <w:p w14:paraId="6F5A0E2E">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leftChars="0"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售后服务方案</w:t>
            </w:r>
          </w:p>
        </w:tc>
        <w:tc>
          <w:tcPr>
            <w:tcW w:w="615" w:type="pct"/>
            <w:tcBorders>
              <w:tl2br w:val="nil"/>
              <w:tr2bl w:val="nil"/>
            </w:tcBorders>
            <w:shd w:val="clear" w:color="auto" w:fill="auto"/>
            <w:vAlign w:val="center"/>
          </w:tcPr>
          <w:p w14:paraId="574D5242">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2659" w:type="pct"/>
            <w:tcBorders>
              <w:tl2br w:val="nil"/>
              <w:tr2bl w:val="nil"/>
            </w:tcBorders>
            <w:shd w:val="clear" w:color="auto" w:fill="auto"/>
            <w:vAlign w:val="center"/>
          </w:tcPr>
          <w:p w14:paraId="4B8EF9EE">
            <w:pPr>
              <w:keepNext w:val="0"/>
              <w:keepLines w:val="0"/>
              <w:pageBreakBefore w:val="0"/>
              <w:widowControl/>
              <w:suppressLineNumbers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投标人针对本项目提供售后服务方案，方案包括但不限于：</w:t>
            </w:r>
          </w:p>
          <w:p w14:paraId="25B9C5E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ind w:leftChars="0"/>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整体售后服务计划：售后服务全流程、物资安排措施、质量把控及时间节点。</w:t>
            </w:r>
          </w:p>
          <w:p w14:paraId="51CD94C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ind w:leftChars="0"/>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2.售后服务团队：人员岗位、各岗位职责。</w:t>
            </w:r>
          </w:p>
          <w:p w14:paraId="6A4762B9">
            <w:pPr>
              <w:keepNext w:val="0"/>
              <w:keepLines w:val="0"/>
              <w:widowControl/>
              <w:suppressLineNumbers w:val="0"/>
              <w:overflowPunct/>
              <w:autoSpaceDE/>
              <w:autoSpaceDN/>
              <w:adjustRightInd/>
              <w:snapToGrid/>
              <w:spacing w:line="240" w:lineRule="auto"/>
              <w:jc w:val="left"/>
              <w:textAlignment w:val="auto"/>
              <w:rPr>
                <w:rFonts w:hint="eastAsia" w:ascii="宋体" w:hAnsi="宋体" w:eastAsia="宋体" w:cs="宋体"/>
                <w:i w:val="0"/>
                <w:iCs w:val="0"/>
                <w:color w:val="auto"/>
                <w:kern w:val="0"/>
                <w:sz w:val="21"/>
                <w:szCs w:val="21"/>
                <w:highlight w:val="none"/>
                <w:u w:val="none"/>
                <w:lang w:val="en-US" w:eastAsia="zh-CN" w:bidi="ar"/>
              </w:rPr>
            </w:pPr>
          </w:p>
          <w:p w14:paraId="0A306EB6">
            <w:pPr>
              <w:keepNext w:val="0"/>
              <w:keepLines w:val="0"/>
              <w:widowControl w:val="0"/>
              <w:suppressLineNumbers w:val="0"/>
              <w:overflowPunct w:val="0"/>
              <w:autoSpaceDE w:val="0"/>
              <w:autoSpaceDN w:val="0"/>
              <w:adjustRightInd w:val="0"/>
              <w:snapToGrid w:val="0"/>
              <w:spacing w:line="240" w:lineRule="auto"/>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根据投标人提供</w:t>
            </w:r>
            <w:r>
              <w:rPr>
                <w:rFonts w:hint="eastAsia" w:ascii="宋体" w:hAnsi="宋体" w:cs="宋体"/>
                <w:i w:val="0"/>
                <w:iCs w:val="0"/>
                <w:color w:val="auto"/>
                <w:kern w:val="0"/>
                <w:sz w:val="21"/>
                <w:szCs w:val="21"/>
                <w:highlight w:val="none"/>
                <w:u w:val="none"/>
                <w:lang w:val="en-US" w:eastAsia="zh-CN" w:bidi="ar"/>
              </w:rPr>
              <w:t>的</w:t>
            </w:r>
            <w:r>
              <w:rPr>
                <w:rFonts w:hint="eastAsia" w:ascii="宋体" w:hAnsi="宋体" w:eastAsia="宋体" w:cs="宋体"/>
                <w:i w:val="0"/>
                <w:iCs w:val="0"/>
                <w:color w:val="auto"/>
                <w:kern w:val="0"/>
                <w:sz w:val="21"/>
                <w:szCs w:val="21"/>
                <w:highlight w:val="none"/>
                <w:u w:val="none"/>
                <w:lang w:val="en-US" w:eastAsia="zh-CN" w:bidi="ar"/>
              </w:rPr>
              <w:t>方案进行综合评分：</w:t>
            </w:r>
          </w:p>
          <w:p w14:paraId="3C054AD7">
            <w:pPr>
              <w:keepNext w:val="0"/>
              <w:keepLines w:val="0"/>
              <w:widowControl w:val="0"/>
              <w:suppressLineNumbers w:val="0"/>
              <w:overflowPunct w:val="0"/>
              <w:autoSpaceDE w:val="0"/>
              <w:autoSpaceDN w:val="0"/>
              <w:adjustRightInd w:val="0"/>
              <w:snapToGrid w:val="0"/>
              <w:spacing w:line="240" w:lineRule="auto"/>
              <w:jc w:val="both"/>
              <w:textAlignment w:val="center"/>
              <w:rPr>
                <w:rFonts w:hint="eastAsia" w:ascii="宋体" w:hAnsi="宋体" w:eastAsia="宋体" w:cs="宋体"/>
                <w:color w:val="auto"/>
                <w:kern w:val="0"/>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方案</w:t>
            </w:r>
            <w:r>
              <w:rPr>
                <w:rFonts w:hint="eastAsia" w:ascii="宋体" w:hAnsi="宋体" w:eastAsia="宋体" w:cs="宋体"/>
                <w:color w:val="auto"/>
                <w:kern w:val="0"/>
                <w:sz w:val="21"/>
                <w:szCs w:val="21"/>
                <w:highlight w:val="none"/>
                <w:u w:val="none"/>
                <w:lang w:val="en-US" w:eastAsia="zh-CN" w:bidi="ar"/>
              </w:rPr>
              <w:t>科学、合理、可行的，计</w:t>
            </w:r>
            <w:r>
              <w:rPr>
                <w:rFonts w:hint="eastAsia" w:ascii="宋体" w:hAnsi="宋体" w:cs="宋体"/>
                <w:color w:val="auto"/>
                <w:kern w:val="0"/>
                <w:sz w:val="21"/>
                <w:szCs w:val="21"/>
                <w:highlight w:val="none"/>
                <w:u w:val="none"/>
                <w:lang w:val="en-US" w:eastAsia="zh-CN" w:bidi="ar"/>
              </w:rPr>
              <w:t>7-8</w:t>
            </w:r>
            <w:r>
              <w:rPr>
                <w:rFonts w:hint="eastAsia" w:ascii="宋体" w:hAnsi="宋体" w:eastAsia="宋体" w:cs="宋体"/>
                <w:color w:val="auto"/>
                <w:kern w:val="0"/>
                <w:sz w:val="21"/>
                <w:szCs w:val="21"/>
                <w:highlight w:val="none"/>
                <w:u w:val="none"/>
                <w:lang w:val="en-US" w:eastAsia="zh-CN" w:bidi="ar"/>
              </w:rPr>
              <w:t>分；</w:t>
            </w:r>
          </w:p>
          <w:p w14:paraId="7029EE53">
            <w:pPr>
              <w:keepNext w:val="0"/>
              <w:keepLines w:val="0"/>
              <w:widowControl w:val="0"/>
              <w:suppressLineNumbers w:val="0"/>
              <w:overflowPunct w:val="0"/>
              <w:autoSpaceDE w:val="0"/>
              <w:autoSpaceDN w:val="0"/>
              <w:adjustRightInd w:val="0"/>
              <w:snapToGrid w:val="0"/>
              <w:spacing w:line="240" w:lineRule="auto"/>
              <w:jc w:val="both"/>
              <w:textAlignment w:val="center"/>
              <w:rPr>
                <w:rFonts w:hint="eastAsia" w:ascii="宋体" w:hAnsi="宋体" w:eastAsia="宋体" w:cs="宋体"/>
                <w:color w:val="auto"/>
                <w:kern w:val="0"/>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方案</w:t>
            </w:r>
            <w:r>
              <w:rPr>
                <w:rFonts w:hint="eastAsia" w:ascii="宋体" w:hAnsi="宋体" w:eastAsia="宋体" w:cs="宋体"/>
                <w:color w:val="auto"/>
                <w:kern w:val="0"/>
                <w:sz w:val="21"/>
                <w:szCs w:val="21"/>
                <w:highlight w:val="none"/>
                <w:u w:val="none"/>
                <w:lang w:val="en-US" w:eastAsia="zh-CN" w:bidi="ar"/>
              </w:rPr>
              <w:t>较科学、较合理、较可行的，计</w:t>
            </w:r>
            <w:r>
              <w:rPr>
                <w:rFonts w:hint="eastAsia" w:ascii="宋体" w:hAnsi="宋体" w:cs="宋体"/>
                <w:color w:val="auto"/>
                <w:kern w:val="0"/>
                <w:sz w:val="21"/>
                <w:szCs w:val="21"/>
                <w:highlight w:val="none"/>
                <w:u w:val="none"/>
                <w:lang w:val="en-US" w:eastAsia="zh-CN" w:bidi="ar"/>
              </w:rPr>
              <w:t>4-6</w:t>
            </w:r>
            <w:r>
              <w:rPr>
                <w:rFonts w:hint="eastAsia" w:ascii="宋体" w:hAnsi="宋体" w:eastAsia="宋体" w:cs="宋体"/>
                <w:color w:val="auto"/>
                <w:kern w:val="0"/>
                <w:sz w:val="21"/>
                <w:szCs w:val="21"/>
                <w:highlight w:val="none"/>
                <w:u w:val="none"/>
                <w:lang w:val="en-US" w:eastAsia="zh-CN" w:bidi="ar"/>
              </w:rPr>
              <w:t>分；</w:t>
            </w:r>
          </w:p>
          <w:p w14:paraId="044843D4">
            <w:pPr>
              <w:spacing w:line="240" w:lineRule="auto"/>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方案</w:t>
            </w:r>
            <w:r>
              <w:rPr>
                <w:rFonts w:hint="eastAsia" w:ascii="宋体" w:hAnsi="宋体" w:eastAsia="宋体" w:cs="宋体"/>
                <w:color w:val="auto"/>
                <w:kern w:val="0"/>
                <w:sz w:val="21"/>
                <w:szCs w:val="21"/>
                <w:highlight w:val="none"/>
                <w:u w:val="none"/>
                <w:lang w:val="en-US" w:eastAsia="zh-CN" w:bidi="ar"/>
              </w:rPr>
              <w:t>欠科学、欠合理、欠可行的，计</w:t>
            </w:r>
            <w:r>
              <w:rPr>
                <w:rFonts w:hint="eastAsia" w:ascii="宋体" w:hAnsi="宋体" w:cs="宋体"/>
                <w:color w:val="auto"/>
                <w:kern w:val="0"/>
                <w:sz w:val="21"/>
                <w:szCs w:val="21"/>
                <w:highlight w:val="none"/>
                <w:u w:val="none"/>
                <w:lang w:val="en-US" w:eastAsia="zh-CN" w:bidi="ar"/>
              </w:rPr>
              <w:t>1-3</w:t>
            </w:r>
            <w:r>
              <w:rPr>
                <w:rFonts w:hint="eastAsia" w:ascii="宋体" w:hAnsi="宋体" w:eastAsia="宋体" w:cs="宋体"/>
                <w:color w:val="auto"/>
                <w:kern w:val="0"/>
                <w:sz w:val="21"/>
                <w:szCs w:val="21"/>
                <w:highlight w:val="none"/>
                <w:u w:val="none"/>
                <w:lang w:val="en-US" w:eastAsia="zh-CN" w:bidi="ar"/>
              </w:rPr>
              <w:t>分。</w:t>
            </w:r>
          </w:p>
        </w:tc>
      </w:tr>
      <w:tr w14:paraId="1EA9F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3D7D3AA7">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533" w:type="pct"/>
            <w:vMerge w:val="continue"/>
            <w:tcBorders>
              <w:tl2br w:val="nil"/>
              <w:tr2bl w:val="nil"/>
            </w:tcBorders>
            <w:shd w:val="clear" w:color="auto" w:fill="auto"/>
            <w:vAlign w:val="center"/>
          </w:tcPr>
          <w:p w14:paraId="310A1DF0">
            <w:pPr>
              <w:widowControl/>
              <w:spacing w:line="240" w:lineRule="auto"/>
              <w:jc w:val="center"/>
              <w:rPr>
                <w:rFonts w:hint="eastAsia" w:ascii="宋体" w:hAnsi="宋体" w:eastAsia="宋体" w:cs="宋体"/>
                <w:color w:val="auto"/>
                <w:szCs w:val="21"/>
                <w:highlight w:val="none"/>
              </w:rPr>
            </w:pPr>
          </w:p>
        </w:tc>
        <w:tc>
          <w:tcPr>
            <w:tcW w:w="729" w:type="pct"/>
            <w:tcBorders>
              <w:tl2br w:val="nil"/>
              <w:tr2bl w:val="nil"/>
            </w:tcBorders>
            <w:shd w:val="clear" w:color="auto" w:fill="auto"/>
            <w:vAlign w:val="center"/>
          </w:tcPr>
          <w:p w14:paraId="0F1FA302">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leftChars="0" w:firstLine="0" w:firstLineChars="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应急预案</w:t>
            </w:r>
          </w:p>
        </w:tc>
        <w:tc>
          <w:tcPr>
            <w:tcW w:w="615" w:type="pct"/>
            <w:tcBorders>
              <w:tl2br w:val="nil"/>
              <w:tr2bl w:val="nil"/>
            </w:tcBorders>
            <w:shd w:val="clear" w:color="auto" w:fill="auto"/>
            <w:vAlign w:val="center"/>
          </w:tcPr>
          <w:p w14:paraId="3B5C7312">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2659" w:type="pct"/>
            <w:tcBorders>
              <w:tl2br w:val="nil"/>
              <w:tr2bl w:val="nil"/>
            </w:tcBorders>
            <w:shd w:val="clear" w:color="auto" w:fill="auto"/>
            <w:vAlign w:val="center"/>
          </w:tcPr>
          <w:p w14:paraId="10F6903A">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投标人针对本项目提供特殊情况应急预案，方案包括但不限于：</w:t>
            </w:r>
          </w:p>
          <w:p w14:paraId="67BF2F55">
            <w:pPr>
              <w:keepNext w:val="0"/>
              <w:keepLines w:val="0"/>
              <w:pageBreakBefore w:val="0"/>
              <w:widowControl w:val="0"/>
              <w:numPr>
                <w:ilvl w:val="0"/>
                <w:numId w:val="0"/>
              </w:numPr>
              <w:suppressLineNumbers w:val="0"/>
              <w:kinsoku/>
              <w:wordWrap/>
              <w:overflowPunct w:val="0"/>
              <w:topLinePunct w:val="0"/>
              <w:autoSpaceDE w:val="0"/>
              <w:autoSpaceDN w:val="0"/>
              <w:bidi w:val="0"/>
              <w:adjustRightInd w:val="0"/>
              <w:snapToGrid w:val="0"/>
              <w:spacing w:line="240" w:lineRule="auto"/>
              <w:ind w:left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紧急供货预案：①各类紧急事件应对计划；②应急保障。</w:t>
            </w:r>
          </w:p>
          <w:p w14:paraId="7A17342C">
            <w:pPr>
              <w:keepNext w:val="0"/>
              <w:keepLines w:val="0"/>
              <w:pageBreakBefore w:val="0"/>
              <w:widowControl w:val="0"/>
              <w:numPr>
                <w:ilvl w:val="0"/>
                <w:numId w:val="0"/>
              </w:numPr>
              <w:suppressLineNumbers w:val="0"/>
              <w:kinsoku/>
              <w:wordWrap/>
              <w:overflowPunct w:val="0"/>
              <w:topLinePunct w:val="0"/>
              <w:autoSpaceDE w:val="0"/>
              <w:autoSpaceDN w:val="0"/>
              <w:bidi w:val="0"/>
              <w:adjustRightInd w:val="0"/>
              <w:snapToGrid w:val="0"/>
              <w:spacing w:line="240" w:lineRule="auto"/>
              <w:ind w:left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2.车辆安全事故预案：①事件应对计划；②应急保障。</w:t>
            </w:r>
          </w:p>
          <w:p w14:paraId="751B6FEF">
            <w:pPr>
              <w:keepNext w:val="0"/>
              <w:keepLines w:val="0"/>
              <w:pageBreakBefore w:val="0"/>
              <w:widowControl w:val="0"/>
              <w:numPr>
                <w:ilvl w:val="0"/>
                <w:numId w:val="0"/>
              </w:numPr>
              <w:suppressLineNumbers w:val="0"/>
              <w:kinsoku/>
              <w:wordWrap/>
              <w:overflowPunct w:val="0"/>
              <w:topLinePunct w:val="0"/>
              <w:autoSpaceDE w:val="0"/>
              <w:autoSpaceDN w:val="0"/>
              <w:bidi w:val="0"/>
              <w:adjustRightInd w:val="0"/>
              <w:snapToGrid w:val="0"/>
              <w:spacing w:line="240" w:lineRule="auto"/>
              <w:ind w:left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3.配送人员特殊情况预案：①各类紧急事件应对计划；②应急保障。</w:t>
            </w:r>
          </w:p>
          <w:p w14:paraId="32CA6ECB">
            <w:pPr>
              <w:keepNext w:val="0"/>
              <w:keepLines w:val="0"/>
              <w:pageBreakBefore w:val="0"/>
              <w:widowControl w:val="0"/>
              <w:numPr>
                <w:ilvl w:val="0"/>
                <w:numId w:val="0"/>
              </w:numPr>
              <w:suppressLineNumbers w:val="0"/>
              <w:kinsoku/>
              <w:wordWrap/>
              <w:overflowPunct w:val="0"/>
              <w:topLinePunct w:val="0"/>
              <w:autoSpaceDE w:val="0"/>
              <w:autoSpaceDN w:val="0"/>
              <w:bidi w:val="0"/>
              <w:adjustRightInd w:val="0"/>
              <w:snapToGrid w:val="0"/>
              <w:spacing w:line="240" w:lineRule="auto"/>
              <w:ind w:left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4.食品安全事故预案：①事件应对计划；②预防处置措施。</w:t>
            </w:r>
          </w:p>
          <w:p w14:paraId="3496C816">
            <w:pPr>
              <w:keepNext w:val="0"/>
              <w:keepLines w:val="0"/>
              <w:pageBreakBefore w:val="0"/>
              <w:widowControl w:val="0"/>
              <w:numPr>
                <w:ilvl w:val="0"/>
                <w:numId w:val="0"/>
              </w:numPr>
              <w:suppressLineNumbers w:val="0"/>
              <w:kinsoku/>
              <w:wordWrap/>
              <w:overflowPunct w:val="0"/>
              <w:topLinePunct w:val="0"/>
              <w:autoSpaceDE w:val="0"/>
              <w:autoSpaceDN w:val="0"/>
              <w:bidi w:val="0"/>
              <w:adjustRightInd w:val="0"/>
              <w:snapToGrid w:val="0"/>
              <w:spacing w:line="240" w:lineRule="auto"/>
              <w:ind w:left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5.出现产品质量问题退换货流程：①退换货落实到人员，责任落实到位；②退换货如何保证采购人食堂正常运转。</w:t>
            </w:r>
          </w:p>
          <w:p w14:paraId="045B9272">
            <w:pPr>
              <w:keepNext w:val="0"/>
              <w:keepLines w:val="0"/>
              <w:pageBreakBefore w:val="0"/>
              <w:widowControl w:val="0"/>
              <w:suppressLineNumbers w:val="0"/>
              <w:kinsoku/>
              <w:wordWrap/>
              <w:overflowPunct w:val="0"/>
              <w:topLinePunct w:val="0"/>
              <w:autoSpaceDE w:val="0"/>
              <w:autoSpaceDN w:val="0"/>
              <w:bidi w:val="0"/>
              <w:adjustRightInd w:val="0"/>
              <w:snapToGrid w:val="0"/>
              <w:spacing w:line="240" w:lineRule="auto"/>
              <w:ind w:left="0"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p>
          <w:p w14:paraId="302F3BC3">
            <w:pPr>
              <w:keepNext w:val="0"/>
              <w:keepLines w:val="0"/>
              <w:widowControl w:val="0"/>
              <w:suppressLineNumbers w:val="0"/>
              <w:overflowPunct w:val="0"/>
              <w:autoSpaceDE w:val="0"/>
              <w:autoSpaceDN w:val="0"/>
              <w:adjustRightInd w:val="0"/>
              <w:snapToGrid w:val="0"/>
              <w:spacing w:line="240" w:lineRule="auto"/>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根据投标人提供</w:t>
            </w:r>
            <w:r>
              <w:rPr>
                <w:rFonts w:hint="eastAsia" w:ascii="宋体" w:hAnsi="宋体" w:cs="宋体"/>
                <w:i w:val="0"/>
                <w:iCs w:val="0"/>
                <w:color w:val="auto"/>
                <w:kern w:val="0"/>
                <w:sz w:val="21"/>
                <w:szCs w:val="21"/>
                <w:highlight w:val="none"/>
                <w:u w:val="none"/>
                <w:lang w:val="en-US" w:eastAsia="zh-CN" w:bidi="ar"/>
              </w:rPr>
              <w:t>的</w:t>
            </w:r>
            <w:r>
              <w:rPr>
                <w:rFonts w:hint="eastAsia" w:ascii="宋体" w:hAnsi="宋体" w:eastAsia="宋体" w:cs="宋体"/>
                <w:i w:val="0"/>
                <w:iCs w:val="0"/>
                <w:color w:val="auto"/>
                <w:kern w:val="0"/>
                <w:sz w:val="21"/>
                <w:szCs w:val="21"/>
                <w:highlight w:val="none"/>
                <w:u w:val="none"/>
                <w:lang w:val="en-US" w:eastAsia="zh-CN" w:bidi="ar"/>
              </w:rPr>
              <w:t>方案进行综合评分：</w:t>
            </w:r>
          </w:p>
          <w:p w14:paraId="0A813538">
            <w:pPr>
              <w:keepNext w:val="0"/>
              <w:keepLines w:val="0"/>
              <w:widowControl w:val="0"/>
              <w:suppressLineNumbers w:val="0"/>
              <w:overflowPunct w:val="0"/>
              <w:autoSpaceDE w:val="0"/>
              <w:autoSpaceDN w:val="0"/>
              <w:adjustRightInd w:val="0"/>
              <w:snapToGrid w:val="0"/>
              <w:spacing w:line="240" w:lineRule="auto"/>
              <w:jc w:val="both"/>
              <w:textAlignment w:val="center"/>
              <w:rPr>
                <w:rFonts w:hint="eastAsia" w:ascii="宋体" w:hAnsi="宋体" w:eastAsia="宋体" w:cs="宋体"/>
                <w:color w:val="auto"/>
                <w:kern w:val="0"/>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方案</w:t>
            </w:r>
            <w:r>
              <w:rPr>
                <w:rFonts w:hint="eastAsia" w:ascii="宋体" w:hAnsi="宋体" w:eastAsia="宋体" w:cs="宋体"/>
                <w:color w:val="auto"/>
                <w:kern w:val="0"/>
                <w:sz w:val="21"/>
                <w:szCs w:val="21"/>
                <w:highlight w:val="none"/>
                <w:u w:val="none"/>
                <w:lang w:val="en-US" w:eastAsia="zh-CN" w:bidi="ar"/>
              </w:rPr>
              <w:t>科学、合理、可行的，计</w:t>
            </w:r>
            <w:r>
              <w:rPr>
                <w:rFonts w:hint="eastAsia" w:ascii="宋体" w:hAnsi="宋体" w:cs="宋体"/>
                <w:color w:val="auto"/>
                <w:kern w:val="0"/>
                <w:sz w:val="21"/>
                <w:szCs w:val="21"/>
                <w:highlight w:val="none"/>
                <w:u w:val="none"/>
                <w:lang w:val="en-US" w:eastAsia="zh-CN" w:bidi="ar"/>
              </w:rPr>
              <w:t>7-8</w:t>
            </w:r>
            <w:r>
              <w:rPr>
                <w:rFonts w:hint="eastAsia" w:ascii="宋体" w:hAnsi="宋体" w:eastAsia="宋体" w:cs="宋体"/>
                <w:color w:val="auto"/>
                <w:kern w:val="0"/>
                <w:sz w:val="21"/>
                <w:szCs w:val="21"/>
                <w:highlight w:val="none"/>
                <w:u w:val="none"/>
                <w:lang w:val="en-US" w:eastAsia="zh-CN" w:bidi="ar"/>
              </w:rPr>
              <w:t>分；</w:t>
            </w:r>
          </w:p>
          <w:p w14:paraId="23C463E8">
            <w:pPr>
              <w:keepNext w:val="0"/>
              <w:keepLines w:val="0"/>
              <w:widowControl w:val="0"/>
              <w:suppressLineNumbers w:val="0"/>
              <w:overflowPunct w:val="0"/>
              <w:autoSpaceDE w:val="0"/>
              <w:autoSpaceDN w:val="0"/>
              <w:adjustRightInd w:val="0"/>
              <w:snapToGrid w:val="0"/>
              <w:spacing w:line="240" w:lineRule="auto"/>
              <w:jc w:val="both"/>
              <w:textAlignment w:val="center"/>
              <w:rPr>
                <w:rFonts w:hint="eastAsia" w:ascii="宋体" w:hAnsi="宋体" w:eastAsia="宋体" w:cs="宋体"/>
                <w:color w:val="auto"/>
                <w:kern w:val="0"/>
                <w:szCs w:val="21"/>
                <w:highlight w:val="none"/>
                <w:u w:val="none"/>
                <w:lang w:bidi="ar"/>
              </w:rPr>
            </w:pPr>
            <w:r>
              <w:rPr>
                <w:rFonts w:hint="eastAsia" w:ascii="宋体" w:hAnsi="宋体" w:eastAsia="宋体" w:cs="宋体"/>
                <w:i w:val="0"/>
                <w:iCs w:val="0"/>
                <w:color w:val="auto"/>
                <w:kern w:val="0"/>
                <w:sz w:val="21"/>
                <w:szCs w:val="21"/>
                <w:highlight w:val="none"/>
                <w:u w:val="none"/>
                <w:lang w:val="en-US" w:eastAsia="zh-CN" w:bidi="ar"/>
              </w:rPr>
              <w:t>方案</w:t>
            </w:r>
            <w:r>
              <w:rPr>
                <w:rFonts w:hint="eastAsia" w:ascii="宋体" w:hAnsi="宋体" w:eastAsia="宋体" w:cs="宋体"/>
                <w:color w:val="auto"/>
                <w:kern w:val="0"/>
                <w:sz w:val="21"/>
                <w:szCs w:val="21"/>
                <w:highlight w:val="none"/>
                <w:u w:val="none"/>
                <w:lang w:val="en-US" w:eastAsia="zh-CN" w:bidi="ar"/>
              </w:rPr>
              <w:t>较科学、较合理、较可行的，计</w:t>
            </w:r>
            <w:r>
              <w:rPr>
                <w:rFonts w:hint="eastAsia" w:ascii="宋体" w:hAnsi="宋体" w:cs="宋体"/>
                <w:color w:val="auto"/>
                <w:kern w:val="0"/>
                <w:sz w:val="21"/>
                <w:szCs w:val="21"/>
                <w:highlight w:val="none"/>
                <w:u w:val="none"/>
                <w:lang w:val="en-US" w:eastAsia="zh-CN" w:bidi="ar"/>
              </w:rPr>
              <w:t>4-6</w:t>
            </w:r>
            <w:r>
              <w:rPr>
                <w:rFonts w:hint="eastAsia" w:ascii="宋体" w:hAnsi="宋体" w:eastAsia="宋体" w:cs="宋体"/>
                <w:color w:val="auto"/>
                <w:kern w:val="0"/>
                <w:sz w:val="21"/>
                <w:szCs w:val="21"/>
                <w:highlight w:val="none"/>
                <w:u w:val="none"/>
                <w:lang w:val="en-US" w:eastAsia="zh-CN" w:bidi="ar"/>
              </w:rPr>
              <w:t>分；</w:t>
            </w:r>
          </w:p>
          <w:p w14:paraId="07652121">
            <w:pPr>
              <w:spacing w:line="240" w:lineRule="auto"/>
              <w:rPr>
                <w:rFonts w:hint="eastAsia" w:ascii="宋体" w:hAnsi="宋体" w:eastAsia="宋体" w:cs="宋体"/>
                <w:color w:val="auto"/>
                <w:szCs w:val="21"/>
                <w:highlight w:val="none"/>
              </w:rPr>
            </w:pPr>
            <w:r>
              <w:rPr>
                <w:rFonts w:hint="eastAsia" w:ascii="宋体" w:hAnsi="宋体" w:eastAsia="宋体" w:cs="宋体"/>
                <w:i w:val="0"/>
                <w:iCs w:val="0"/>
                <w:color w:val="auto"/>
                <w:kern w:val="0"/>
                <w:sz w:val="21"/>
                <w:szCs w:val="21"/>
                <w:highlight w:val="none"/>
                <w:u w:val="none"/>
                <w:lang w:val="en-US" w:eastAsia="zh-CN" w:bidi="ar"/>
              </w:rPr>
              <w:t>方案</w:t>
            </w:r>
            <w:r>
              <w:rPr>
                <w:rFonts w:hint="eastAsia" w:ascii="宋体" w:hAnsi="宋体" w:eastAsia="宋体" w:cs="宋体"/>
                <w:color w:val="auto"/>
                <w:kern w:val="0"/>
                <w:sz w:val="21"/>
                <w:szCs w:val="21"/>
                <w:highlight w:val="none"/>
                <w:u w:val="none"/>
                <w:lang w:val="en-US" w:eastAsia="zh-CN" w:bidi="ar"/>
              </w:rPr>
              <w:t>欠科学、欠合理、欠可行的，计</w:t>
            </w:r>
            <w:r>
              <w:rPr>
                <w:rFonts w:hint="eastAsia" w:ascii="宋体" w:hAnsi="宋体" w:cs="宋体"/>
                <w:color w:val="auto"/>
                <w:kern w:val="0"/>
                <w:sz w:val="21"/>
                <w:szCs w:val="21"/>
                <w:highlight w:val="none"/>
                <w:u w:val="none"/>
                <w:lang w:val="en-US" w:eastAsia="zh-CN" w:bidi="ar"/>
              </w:rPr>
              <w:t>1-3</w:t>
            </w:r>
            <w:r>
              <w:rPr>
                <w:rFonts w:hint="eastAsia" w:ascii="宋体" w:hAnsi="宋体" w:eastAsia="宋体" w:cs="宋体"/>
                <w:color w:val="auto"/>
                <w:kern w:val="0"/>
                <w:sz w:val="21"/>
                <w:szCs w:val="21"/>
                <w:highlight w:val="none"/>
                <w:u w:val="none"/>
                <w:lang w:val="en-US" w:eastAsia="zh-CN" w:bidi="ar"/>
              </w:rPr>
              <w:t>分。</w:t>
            </w:r>
          </w:p>
        </w:tc>
      </w:tr>
      <w:tr w14:paraId="00D92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0706F958">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1262" w:type="pct"/>
            <w:gridSpan w:val="2"/>
            <w:tcBorders>
              <w:tl2br w:val="nil"/>
              <w:tr2bl w:val="nil"/>
            </w:tcBorders>
            <w:shd w:val="clear" w:color="auto" w:fill="auto"/>
            <w:vAlign w:val="center"/>
          </w:tcPr>
          <w:p w14:paraId="79A34F97">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合计</w:t>
            </w:r>
          </w:p>
        </w:tc>
        <w:tc>
          <w:tcPr>
            <w:tcW w:w="615" w:type="pct"/>
            <w:tcBorders>
              <w:tl2br w:val="nil"/>
              <w:tr2bl w:val="nil"/>
            </w:tcBorders>
            <w:shd w:val="clear" w:color="auto" w:fill="auto"/>
            <w:vAlign w:val="center"/>
          </w:tcPr>
          <w:p w14:paraId="193485A6">
            <w:pPr>
              <w:keepNext w:val="0"/>
              <w:keepLines w:val="0"/>
              <w:pageBreakBefore w:val="0"/>
              <w:widowControl/>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40</w:t>
            </w:r>
          </w:p>
        </w:tc>
        <w:tc>
          <w:tcPr>
            <w:tcW w:w="2659" w:type="pct"/>
            <w:tcBorders>
              <w:tl2br w:val="nil"/>
              <w:tr2bl w:val="nil"/>
            </w:tcBorders>
            <w:shd w:val="clear" w:color="auto" w:fill="auto"/>
            <w:vAlign w:val="center"/>
          </w:tcPr>
          <w:p w14:paraId="07E869BE">
            <w:pPr>
              <w:keepNext w:val="0"/>
              <w:keepLines w:val="0"/>
              <w:pageBreakBefore w:val="0"/>
              <w:kinsoku/>
              <w:topLinePunct w:val="0"/>
              <w:bidi w:val="0"/>
              <w:spacing w:line="240" w:lineRule="auto"/>
              <w:jc w:val="left"/>
              <w:rPr>
                <w:rFonts w:hint="eastAsia" w:ascii="宋体" w:hAnsi="宋体" w:eastAsia="宋体" w:cs="宋体"/>
                <w:color w:val="auto"/>
                <w:szCs w:val="21"/>
                <w:highlight w:val="none"/>
              </w:rPr>
            </w:pPr>
          </w:p>
        </w:tc>
      </w:tr>
      <w:tr w14:paraId="0789A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587E06BA">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p>
        </w:tc>
        <w:tc>
          <w:tcPr>
            <w:tcW w:w="4537" w:type="pct"/>
            <w:gridSpan w:val="4"/>
            <w:tcBorders>
              <w:tl2br w:val="nil"/>
              <w:tr2bl w:val="nil"/>
            </w:tcBorders>
            <w:shd w:val="clear" w:color="auto" w:fill="auto"/>
            <w:vAlign w:val="center"/>
          </w:tcPr>
          <w:p w14:paraId="2359A7BA">
            <w:pPr>
              <w:widowControl/>
              <w:spacing w:line="240" w:lineRule="auto"/>
              <w:jc w:val="left"/>
              <w:rPr>
                <w:rFonts w:ascii="宋体" w:hAnsi="宋体" w:cs="宋体"/>
                <w:b/>
                <w:iCs/>
                <w:color w:val="auto"/>
                <w:szCs w:val="21"/>
                <w:highlight w:val="none"/>
              </w:rPr>
            </w:pPr>
            <w:r>
              <w:rPr>
                <w:rFonts w:hint="eastAsia" w:ascii="宋体" w:hAnsi="宋体" w:cs="宋体"/>
                <w:b/>
                <w:iCs/>
                <w:color w:val="auto"/>
                <w:szCs w:val="21"/>
                <w:highlight w:val="none"/>
              </w:rPr>
              <w:t>备注：</w:t>
            </w:r>
          </w:p>
          <w:p w14:paraId="2F96C77B">
            <w:pPr>
              <w:widowControl/>
              <w:spacing w:line="240" w:lineRule="auto"/>
              <w:jc w:val="left"/>
              <w:rPr>
                <w:rFonts w:hint="eastAsia" w:ascii="宋体" w:hAnsi="宋体" w:cs="宋体"/>
                <w:color w:val="auto"/>
                <w:szCs w:val="21"/>
                <w:highlight w:val="none"/>
              </w:rPr>
            </w:pPr>
            <w:r>
              <w:rPr>
                <w:rFonts w:hint="eastAsia" w:ascii="宋体" w:hAnsi="宋体" w:cs="宋体"/>
                <w:color w:val="auto"/>
                <w:szCs w:val="21"/>
                <w:highlight w:val="none"/>
              </w:rPr>
              <w:t>1.技术部分单项得分为评标委员会成员个人评审计分的算术平均值。</w:t>
            </w:r>
          </w:p>
          <w:p w14:paraId="25E65833">
            <w:pPr>
              <w:keepNext w:val="0"/>
              <w:keepLines w:val="0"/>
              <w:pageBreakBefore w:val="0"/>
              <w:widowControl/>
              <w:kinsoku/>
              <w:topLinePunct w:val="0"/>
              <w:bidi w:val="0"/>
              <w:spacing w:line="240" w:lineRule="auto"/>
              <w:jc w:val="left"/>
              <w:rPr>
                <w:rFonts w:hint="eastAsia" w:ascii="宋体" w:hAnsi="宋体" w:eastAsia="宋体" w:cs="宋体"/>
                <w:color w:val="auto"/>
                <w:szCs w:val="21"/>
                <w:highlight w:val="none"/>
              </w:rPr>
            </w:pPr>
            <w:r>
              <w:rPr>
                <w:rFonts w:hint="eastAsia" w:ascii="宋体" w:hAnsi="宋体" w:cs="宋体"/>
                <w:color w:val="auto"/>
                <w:szCs w:val="21"/>
                <w:highlight w:val="none"/>
              </w:rPr>
              <w:t>2.投标文件缺失某项评审因素的，该项计零分。</w:t>
            </w:r>
          </w:p>
        </w:tc>
      </w:tr>
      <w:tr w14:paraId="74838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restart"/>
            <w:tcBorders>
              <w:tl2br w:val="nil"/>
              <w:tr2bl w:val="nil"/>
            </w:tcBorders>
            <w:vAlign w:val="center"/>
          </w:tcPr>
          <w:p w14:paraId="1A6FD6E6">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w:t>
            </w:r>
          </w:p>
          <w:p w14:paraId="44D3D087">
            <w:pPr>
              <w:keepNext w:val="0"/>
              <w:keepLines w:val="0"/>
              <w:pageBreakBefore w:val="0"/>
              <w:kinsoku/>
              <w:topLinePunct w:val="0"/>
              <w:bidi w:val="0"/>
              <w:spacing w:line="240" w:lineRule="auto"/>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（3）</w:t>
            </w:r>
          </w:p>
        </w:tc>
        <w:tc>
          <w:tcPr>
            <w:tcW w:w="4537" w:type="pct"/>
            <w:gridSpan w:val="4"/>
            <w:tcBorders>
              <w:tl2br w:val="nil"/>
              <w:tr2bl w:val="nil"/>
            </w:tcBorders>
            <w:shd w:val="clear" w:color="auto" w:fill="auto"/>
            <w:vAlign w:val="center"/>
          </w:tcPr>
          <w:p w14:paraId="67D94DCF">
            <w:pPr>
              <w:keepNext w:val="0"/>
              <w:keepLines w:val="0"/>
              <w:pageBreakBefore w:val="0"/>
              <w:kinsoku/>
              <w:topLinePunct w:val="0"/>
              <w:bidi w:val="0"/>
              <w:spacing w:line="240" w:lineRule="auto"/>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报价部分详细评分标准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30分</w:t>
            </w:r>
            <w:r>
              <w:rPr>
                <w:rFonts w:hint="eastAsia" w:ascii="宋体" w:hAnsi="宋体" w:eastAsia="宋体" w:cs="宋体"/>
                <w:color w:val="auto"/>
                <w:szCs w:val="21"/>
                <w:highlight w:val="none"/>
                <w:lang w:eastAsia="zh-CN"/>
              </w:rPr>
              <w:t>）</w:t>
            </w:r>
          </w:p>
        </w:tc>
      </w:tr>
      <w:tr w14:paraId="53270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68AF4F1C">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4537" w:type="pct"/>
            <w:gridSpan w:val="4"/>
            <w:tcBorders>
              <w:tl2br w:val="nil"/>
              <w:tr2bl w:val="nil"/>
            </w:tcBorders>
            <w:shd w:val="clear" w:color="auto" w:fill="auto"/>
            <w:vAlign w:val="center"/>
          </w:tcPr>
          <w:p w14:paraId="00AA221B">
            <w:pPr>
              <w:widowControl/>
              <w:spacing w:line="240" w:lineRule="auto"/>
              <w:jc w:val="left"/>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1.计算平均价格</w:t>
            </w:r>
          </w:p>
          <w:p w14:paraId="650604DD">
            <w:pPr>
              <w:widowControl/>
              <w:spacing w:line="240" w:lineRule="auto"/>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1.1.计算经济评审阶段合格</w:t>
            </w:r>
            <w:r>
              <w:rPr>
                <w:rFonts w:hint="eastAsia" w:ascii="宋体" w:hAnsi="宋体" w:cs="宋体"/>
                <w:bCs/>
                <w:color w:val="auto"/>
                <w:kern w:val="2"/>
                <w:sz w:val="21"/>
                <w:szCs w:val="21"/>
                <w:highlight w:val="none"/>
                <w:lang w:val="en-US" w:eastAsia="zh-CN" w:bidi="ar-SA"/>
              </w:rPr>
              <w:t>投标人</w:t>
            </w:r>
            <w:r>
              <w:rPr>
                <w:rFonts w:hint="eastAsia" w:ascii="宋体" w:hAnsi="宋体" w:eastAsia="宋体" w:cs="宋体"/>
                <w:bCs/>
                <w:color w:val="auto"/>
                <w:kern w:val="2"/>
                <w:sz w:val="21"/>
                <w:szCs w:val="21"/>
                <w:highlight w:val="none"/>
                <w:lang w:val="en-US" w:eastAsia="zh-CN" w:bidi="ar-SA"/>
              </w:rPr>
              <w:t>的</w:t>
            </w:r>
            <w:r>
              <w:rPr>
                <w:rFonts w:hint="eastAsia" w:ascii="宋体" w:hAnsi="宋体" w:cs="宋体"/>
                <w:bCs/>
                <w:color w:val="auto"/>
                <w:kern w:val="2"/>
                <w:sz w:val="21"/>
                <w:szCs w:val="21"/>
                <w:highlight w:val="none"/>
                <w:lang w:val="en-US" w:eastAsia="zh-CN" w:bidi="ar-SA"/>
              </w:rPr>
              <w:t>投标报价</w:t>
            </w:r>
            <w:r>
              <w:rPr>
                <w:rFonts w:hint="eastAsia" w:ascii="宋体" w:hAnsi="宋体" w:eastAsia="宋体" w:cs="宋体"/>
                <w:bCs/>
                <w:color w:val="auto"/>
                <w:kern w:val="2"/>
                <w:sz w:val="21"/>
                <w:szCs w:val="21"/>
                <w:highlight w:val="none"/>
                <w:lang w:val="en-US" w:eastAsia="zh-CN" w:bidi="ar-SA"/>
              </w:rPr>
              <w:t>算术平均值，得出Pa。</w:t>
            </w:r>
          </w:p>
          <w:p w14:paraId="31CE2954">
            <w:pPr>
              <w:widowControl/>
              <w:spacing w:line="240" w:lineRule="auto"/>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1.1.1.如合格</w:t>
            </w:r>
            <w:r>
              <w:rPr>
                <w:rFonts w:hint="eastAsia" w:ascii="宋体" w:hAnsi="宋体" w:cs="宋体"/>
                <w:bCs/>
                <w:color w:val="auto"/>
                <w:kern w:val="2"/>
                <w:sz w:val="21"/>
                <w:szCs w:val="21"/>
                <w:highlight w:val="none"/>
                <w:lang w:val="en-US" w:eastAsia="zh-CN" w:bidi="ar-SA"/>
              </w:rPr>
              <w:t>投标人</w:t>
            </w:r>
            <w:r>
              <w:rPr>
                <w:rFonts w:hint="eastAsia" w:ascii="宋体" w:hAnsi="宋体" w:eastAsia="宋体" w:cs="宋体"/>
                <w:bCs/>
                <w:color w:val="auto"/>
                <w:kern w:val="2"/>
                <w:sz w:val="21"/>
                <w:szCs w:val="21"/>
                <w:highlight w:val="none"/>
                <w:lang w:val="en-US" w:eastAsia="zh-CN" w:bidi="ar-SA"/>
              </w:rPr>
              <w:t>在5家及以上，则先去掉一个最高</w:t>
            </w:r>
            <w:r>
              <w:rPr>
                <w:rFonts w:hint="eastAsia" w:ascii="宋体" w:hAnsi="宋体" w:cs="宋体"/>
                <w:bCs/>
                <w:color w:val="auto"/>
                <w:kern w:val="2"/>
                <w:sz w:val="21"/>
                <w:szCs w:val="21"/>
                <w:highlight w:val="none"/>
                <w:lang w:val="en-US" w:eastAsia="zh-CN" w:bidi="ar-SA"/>
              </w:rPr>
              <w:t>投标报价</w:t>
            </w:r>
            <w:r>
              <w:rPr>
                <w:rFonts w:hint="eastAsia" w:ascii="宋体" w:hAnsi="宋体" w:eastAsia="宋体" w:cs="宋体"/>
                <w:bCs/>
                <w:color w:val="auto"/>
                <w:kern w:val="2"/>
                <w:sz w:val="21"/>
                <w:szCs w:val="21"/>
                <w:highlight w:val="none"/>
                <w:lang w:val="en-US" w:eastAsia="zh-CN" w:bidi="ar-SA"/>
              </w:rPr>
              <w:t>和一个最低</w:t>
            </w:r>
            <w:r>
              <w:rPr>
                <w:rFonts w:hint="eastAsia" w:ascii="宋体" w:hAnsi="宋体" w:cs="宋体"/>
                <w:bCs/>
                <w:color w:val="auto"/>
                <w:kern w:val="2"/>
                <w:sz w:val="21"/>
                <w:szCs w:val="21"/>
                <w:highlight w:val="none"/>
                <w:lang w:val="en-US" w:eastAsia="zh-CN" w:bidi="ar-SA"/>
              </w:rPr>
              <w:t>投标报价</w:t>
            </w:r>
            <w:r>
              <w:rPr>
                <w:rFonts w:hint="eastAsia" w:ascii="宋体" w:hAnsi="宋体" w:eastAsia="宋体" w:cs="宋体"/>
                <w:bCs/>
                <w:color w:val="auto"/>
                <w:kern w:val="2"/>
                <w:sz w:val="21"/>
                <w:szCs w:val="21"/>
                <w:highlight w:val="none"/>
                <w:lang w:val="en-US" w:eastAsia="zh-CN" w:bidi="ar-SA"/>
              </w:rPr>
              <w:t>，对剩余合格</w:t>
            </w:r>
            <w:r>
              <w:rPr>
                <w:rFonts w:hint="eastAsia" w:ascii="宋体" w:hAnsi="宋体" w:cs="宋体"/>
                <w:bCs/>
                <w:color w:val="auto"/>
                <w:kern w:val="2"/>
                <w:sz w:val="21"/>
                <w:szCs w:val="21"/>
                <w:highlight w:val="none"/>
                <w:lang w:val="en-US" w:eastAsia="zh-CN" w:bidi="ar-SA"/>
              </w:rPr>
              <w:t>投标人</w:t>
            </w:r>
            <w:r>
              <w:rPr>
                <w:rFonts w:hint="eastAsia" w:ascii="宋体" w:hAnsi="宋体" w:eastAsia="宋体" w:cs="宋体"/>
                <w:bCs/>
                <w:color w:val="auto"/>
                <w:kern w:val="2"/>
                <w:sz w:val="21"/>
                <w:szCs w:val="21"/>
                <w:highlight w:val="none"/>
                <w:lang w:val="en-US" w:eastAsia="zh-CN" w:bidi="ar-SA"/>
              </w:rPr>
              <w:t>的</w:t>
            </w:r>
            <w:r>
              <w:rPr>
                <w:rFonts w:hint="eastAsia" w:ascii="宋体" w:hAnsi="宋体" w:cs="宋体"/>
                <w:bCs/>
                <w:color w:val="auto"/>
                <w:kern w:val="2"/>
                <w:sz w:val="21"/>
                <w:szCs w:val="21"/>
                <w:highlight w:val="none"/>
                <w:lang w:val="en-US" w:eastAsia="zh-CN" w:bidi="ar-SA"/>
              </w:rPr>
              <w:t>投标报价</w:t>
            </w:r>
            <w:r>
              <w:rPr>
                <w:rFonts w:hint="eastAsia" w:ascii="宋体" w:hAnsi="宋体" w:eastAsia="宋体" w:cs="宋体"/>
                <w:bCs/>
                <w:color w:val="auto"/>
                <w:kern w:val="2"/>
                <w:sz w:val="21"/>
                <w:szCs w:val="21"/>
                <w:highlight w:val="none"/>
                <w:lang w:val="en-US" w:eastAsia="zh-CN" w:bidi="ar-SA"/>
              </w:rPr>
              <w:t>进行算术平均。</w:t>
            </w:r>
          </w:p>
          <w:p w14:paraId="2291AFD5">
            <w:pPr>
              <w:widowControl/>
              <w:spacing w:line="240" w:lineRule="auto"/>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1.1.2.如合格</w:t>
            </w:r>
            <w:r>
              <w:rPr>
                <w:rFonts w:hint="eastAsia" w:ascii="宋体" w:hAnsi="宋体" w:cs="宋体"/>
                <w:bCs/>
                <w:color w:val="auto"/>
                <w:kern w:val="2"/>
                <w:sz w:val="21"/>
                <w:szCs w:val="21"/>
                <w:highlight w:val="none"/>
                <w:lang w:val="en-US" w:eastAsia="zh-CN" w:bidi="ar-SA"/>
              </w:rPr>
              <w:t>投标人</w:t>
            </w:r>
            <w:r>
              <w:rPr>
                <w:rFonts w:hint="eastAsia" w:ascii="宋体" w:hAnsi="宋体" w:eastAsia="宋体" w:cs="宋体"/>
                <w:bCs/>
                <w:color w:val="auto"/>
                <w:kern w:val="2"/>
                <w:sz w:val="21"/>
                <w:szCs w:val="21"/>
                <w:highlight w:val="none"/>
                <w:lang w:val="en-US" w:eastAsia="zh-CN" w:bidi="ar-SA"/>
              </w:rPr>
              <w:t>不足5家，则直接对所有合格</w:t>
            </w:r>
            <w:r>
              <w:rPr>
                <w:rFonts w:hint="eastAsia" w:ascii="宋体" w:hAnsi="宋体" w:cs="宋体"/>
                <w:bCs/>
                <w:color w:val="auto"/>
                <w:kern w:val="2"/>
                <w:sz w:val="21"/>
                <w:szCs w:val="21"/>
                <w:highlight w:val="none"/>
                <w:lang w:val="en-US" w:eastAsia="zh-CN" w:bidi="ar-SA"/>
              </w:rPr>
              <w:t>投标人</w:t>
            </w:r>
            <w:r>
              <w:rPr>
                <w:rFonts w:hint="eastAsia" w:ascii="宋体" w:hAnsi="宋体" w:eastAsia="宋体" w:cs="宋体"/>
                <w:bCs/>
                <w:color w:val="auto"/>
                <w:kern w:val="2"/>
                <w:sz w:val="21"/>
                <w:szCs w:val="21"/>
                <w:highlight w:val="none"/>
                <w:lang w:val="en-US" w:eastAsia="zh-CN" w:bidi="ar-SA"/>
              </w:rPr>
              <w:t>的</w:t>
            </w:r>
            <w:r>
              <w:rPr>
                <w:rFonts w:hint="eastAsia" w:ascii="宋体" w:hAnsi="宋体" w:cs="宋体"/>
                <w:bCs/>
                <w:color w:val="auto"/>
                <w:kern w:val="2"/>
                <w:sz w:val="21"/>
                <w:szCs w:val="21"/>
                <w:highlight w:val="none"/>
                <w:lang w:val="en-US" w:eastAsia="zh-CN" w:bidi="ar-SA"/>
              </w:rPr>
              <w:t>投标报价</w:t>
            </w:r>
            <w:r>
              <w:rPr>
                <w:rFonts w:hint="eastAsia" w:ascii="宋体" w:hAnsi="宋体" w:eastAsia="宋体" w:cs="宋体"/>
                <w:bCs/>
                <w:color w:val="auto"/>
                <w:kern w:val="2"/>
                <w:sz w:val="21"/>
                <w:szCs w:val="21"/>
                <w:highlight w:val="none"/>
                <w:lang w:val="en-US" w:eastAsia="zh-CN" w:bidi="ar-SA"/>
              </w:rPr>
              <w:t>进行算术平均。</w:t>
            </w:r>
          </w:p>
          <w:p w14:paraId="05B7BADB">
            <w:pPr>
              <w:widowControl/>
              <w:spacing w:line="240" w:lineRule="auto"/>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1.2.若有合格</w:t>
            </w:r>
            <w:r>
              <w:rPr>
                <w:rFonts w:hint="eastAsia" w:ascii="宋体" w:hAnsi="宋体" w:cs="宋体"/>
                <w:bCs/>
                <w:color w:val="auto"/>
                <w:kern w:val="2"/>
                <w:sz w:val="21"/>
                <w:szCs w:val="21"/>
                <w:highlight w:val="none"/>
                <w:lang w:val="en-US" w:eastAsia="zh-CN" w:bidi="ar-SA"/>
              </w:rPr>
              <w:t>投标人</w:t>
            </w:r>
            <w:r>
              <w:rPr>
                <w:rFonts w:hint="eastAsia" w:ascii="宋体" w:hAnsi="宋体" w:eastAsia="宋体" w:cs="宋体"/>
                <w:bCs/>
                <w:color w:val="auto"/>
                <w:kern w:val="2"/>
                <w:sz w:val="21"/>
                <w:szCs w:val="21"/>
                <w:highlight w:val="none"/>
                <w:lang w:val="en-US" w:eastAsia="zh-CN" w:bidi="ar-SA"/>
              </w:rPr>
              <w:t>的</w:t>
            </w:r>
            <w:r>
              <w:rPr>
                <w:rFonts w:hint="eastAsia" w:ascii="宋体" w:hAnsi="宋体" w:cs="宋体"/>
                <w:bCs/>
                <w:color w:val="auto"/>
                <w:kern w:val="2"/>
                <w:sz w:val="21"/>
                <w:szCs w:val="21"/>
                <w:highlight w:val="none"/>
                <w:lang w:val="en-US" w:eastAsia="zh-CN" w:bidi="ar-SA"/>
              </w:rPr>
              <w:t>投标报价</w:t>
            </w:r>
            <w:r>
              <w:rPr>
                <w:rFonts w:hint="eastAsia" w:ascii="宋体" w:hAnsi="宋体" w:eastAsia="宋体" w:cs="宋体"/>
                <w:bCs/>
                <w:color w:val="auto"/>
                <w:kern w:val="2"/>
                <w:sz w:val="21"/>
                <w:szCs w:val="21"/>
                <w:highlight w:val="none"/>
                <w:lang w:val="en-US" w:eastAsia="zh-CN" w:bidi="ar-SA"/>
              </w:rPr>
              <w:t>在[Pa×0.85，Pa×1.15]之外，则该</w:t>
            </w:r>
            <w:r>
              <w:rPr>
                <w:rFonts w:hint="eastAsia" w:ascii="宋体" w:hAnsi="宋体" w:cs="宋体"/>
                <w:bCs/>
                <w:color w:val="auto"/>
                <w:kern w:val="2"/>
                <w:sz w:val="21"/>
                <w:szCs w:val="21"/>
                <w:highlight w:val="none"/>
                <w:lang w:val="en-US" w:eastAsia="zh-CN" w:bidi="ar-SA"/>
              </w:rPr>
              <w:t>投标人</w:t>
            </w:r>
            <w:r>
              <w:rPr>
                <w:rFonts w:hint="eastAsia" w:ascii="宋体" w:hAnsi="宋体" w:eastAsia="宋体" w:cs="宋体"/>
                <w:bCs/>
                <w:color w:val="auto"/>
                <w:kern w:val="2"/>
                <w:sz w:val="21"/>
                <w:szCs w:val="21"/>
                <w:highlight w:val="none"/>
                <w:lang w:val="en-US" w:eastAsia="zh-CN" w:bidi="ar-SA"/>
              </w:rPr>
              <w:t>不参与第二轮的平均价格计算，重新计算其他</w:t>
            </w:r>
            <w:r>
              <w:rPr>
                <w:rFonts w:hint="eastAsia" w:ascii="宋体" w:hAnsi="宋体" w:cs="宋体"/>
                <w:bCs/>
                <w:color w:val="auto"/>
                <w:kern w:val="2"/>
                <w:sz w:val="21"/>
                <w:szCs w:val="21"/>
                <w:highlight w:val="none"/>
                <w:lang w:val="en-US" w:eastAsia="zh-CN" w:bidi="ar-SA"/>
              </w:rPr>
              <w:t>投标报价</w:t>
            </w:r>
            <w:r>
              <w:rPr>
                <w:rFonts w:hint="eastAsia" w:ascii="宋体" w:hAnsi="宋体" w:eastAsia="宋体" w:cs="宋体"/>
                <w:bCs/>
                <w:color w:val="auto"/>
                <w:kern w:val="2"/>
                <w:sz w:val="21"/>
                <w:szCs w:val="21"/>
                <w:highlight w:val="none"/>
                <w:lang w:val="en-US" w:eastAsia="zh-CN" w:bidi="ar-SA"/>
              </w:rPr>
              <w:t>在上述区间内的合格</w:t>
            </w:r>
            <w:r>
              <w:rPr>
                <w:rFonts w:hint="eastAsia" w:ascii="宋体" w:hAnsi="宋体" w:cs="宋体"/>
                <w:bCs/>
                <w:color w:val="auto"/>
                <w:kern w:val="2"/>
                <w:sz w:val="21"/>
                <w:szCs w:val="21"/>
                <w:highlight w:val="none"/>
                <w:lang w:val="en-US" w:eastAsia="zh-CN" w:bidi="ar-SA"/>
              </w:rPr>
              <w:t>投标人</w:t>
            </w:r>
            <w:r>
              <w:rPr>
                <w:rFonts w:hint="eastAsia" w:ascii="宋体" w:hAnsi="宋体" w:eastAsia="宋体" w:cs="宋体"/>
                <w:bCs/>
                <w:color w:val="auto"/>
                <w:kern w:val="2"/>
                <w:sz w:val="21"/>
                <w:szCs w:val="21"/>
                <w:highlight w:val="none"/>
                <w:lang w:val="en-US" w:eastAsia="zh-CN" w:bidi="ar-SA"/>
              </w:rPr>
              <w:t>的</w:t>
            </w:r>
            <w:r>
              <w:rPr>
                <w:rFonts w:hint="eastAsia" w:ascii="宋体" w:hAnsi="宋体" w:cs="宋体"/>
                <w:bCs/>
                <w:color w:val="auto"/>
                <w:kern w:val="2"/>
                <w:sz w:val="21"/>
                <w:szCs w:val="21"/>
                <w:highlight w:val="none"/>
                <w:lang w:val="en-US" w:eastAsia="zh-CN" w:bidi="ar-SA"/>
              </w:rPr>
              <w:t>投标报价</w:t>
            </w:r>
            <w:r>
              <w:rPr>
                <w:rFonts w:hint="eastAsia" w:ascii="宋体" w:hAnsi="宋体" w:eastAsia="宋体" w:cs="宋体"/>
                <w:bCs/>
                <w:color w:val="auto"/>
                <w:kern w:val="2"/>
                <w:sz w:val="21"/>
                <w:szCs w:val="21"/>
                <w:highlight w:val="none"/>
                <w:lang w:val="en-US" w:eastAsia="zh-CN" w:bidi="ar-SA"/>
              </w:rPr>
              <w:t>算术平均值，得出P。</w:t>
            </w:r>
          </w:p>
          <w:p w14:paraId="2125B6E6">
            <w:pPr>
              <w:widowControl/>
              <w:spacing w:line="240" w:lineRule="auto"/>
              <w:jc w:val="left"/>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1.3.若合格</w:t>
            </w:r>
            <w:r>
              <w:rPr>
                <w:rFonts w:hint="eastAsia" w:ascii="宋体" w:hAnsi="宋体" w:cs="宋体"/>
                <w:bCs/>
                <w:color w:val="auto"/>
                <w:kern w:val="2"/>
                <w:sz w:val="21"/>
                <w:szCs w:val="21"/>
                <w:highlight w:val="none"/>
                <w:lang w:val="en-US" w:eastAsia="zh-CN" w:bidi="ar-SA"/>
              </w:rPr>
              <w:t>投标人</w:t>
            </w:r>
            <w:r>
              <w:rPr>
                <w:rFonts w:hint="eastAsia" w:ascii="宋体" w:hAnsi="宋体" w:eastAsia="宋体" w:cs="宋体"/>
                <w:bCs/>
                <w:color w:val="auto"/>
                <w:kern w:val="2"/>
                <w:sz w:val="21"/>
                <w:szCs w:val="21"/>
                <w:highlight w:val="none"/>
                <w:lang w:val="en-US" w:eastAsia="zh-CN" w:bidi="ar-SA"/>
              </w:rPr>
              <w:t>的</w:t>
            </w:r>
            <w:r>
              <w:rPr>
                <w:rFonts w:hint="eastAsia" w:ascii="宋体" w:hAnsi="宋体" w:cs="宋体"/>
                <w:bCs/>
                <w:color w:val="auto"/>
                <w:kern w:val="2"/>
                <w:sz w:val="21"/>
                <w:szCs w:val="21"/>
                <w:highlight w:val="none"/>
                <w:lang w:val="en-US" w:eastAsia="zh-CN" w:bidi="ar-SA"/>
              </w:rPr>
              <w:t>投标报价</w:t>
            </w:r>
            <w:r>
              <w:rPr>
                <w:rFonts w:hint="eastAsia" w:ascii="宋体" w:hAnsi="宋体" w:eastAsia="宋体" w:cs="宋体"/>
                <w:bCs/>
                <w:color w:val="auto"/>
                <w:kern w:val="2"/>
                <w:sz w:val="21"/>
                <w:szCs w:val="21"/>
                <w:highlight w:val="none"/>
                <w:lang w:val="en-US" w:eastAsia="zh-CN" w:bidi="ar-SA"/>
              </w:rPr>
              <w:t>均在[Pa×0.85，Pa×1.15]之内，则P=Pa。</w:t>
            </w:r>
          </w:p>
          <w:p w14:paraId="091FEADA">
            <w:pPr>
              <w:widowControl/>
              <w:spacing w:line="240" w:lineRule="auto"/>
              <w:jc w:val="left"/>
              <w:rPr>
                <w:rFonts w:hint="eastAsia" w:ascii="宋体" w:hAnsi="宋体" w:eastAsia="宋体" w:cs="宋体"/>
                <w:color w:val="auto"/>
                <w:szCs w:val="21"/>
                <w:highlight w:val="none"/>
              </w:rPr>
            </w:pPr>
            <w:r>
              <w:rPr>
                <w:rFonts w:hint="eastAsia" w:ascii="宋体" w:hAnsi="宋体" w:eastAsia="宋体" w:cs="宋体"/>
                <w:bCs/>
                <w:color w:val="auto"/>
                <w:kern w:val="2"/>
                <w:sz w:val="21"/>
                <w:szCs w:val="21"/>
                <w:highlight w:val="none"/>
                <w:lang w:val="en-US" w:eastAsia="zh-CN" w:bidi="ar-SA"/>
              </w:rPr>
              <w:t>1.4.P为最终平均价格。</w:t>
            </w:r>
          </w:p>
        </w:tc>
      </w:tr>
      <w:tr w14:paraId="5AF9F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58857D62">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4537" w:type="pct"/>
            <w:gridSpan w:val="4"/>
            <w:tcBorders>
              <w:tl2br w:val="nil"/>
              <w:tr2bl w:val="nil"/>
            </w:tcBorders>
            <w:shd w:val="clear" w:color="auto" w:fill="auto"/>
            <w:vAlign w:val="center"/>
          </w:tcPr>
          <w:p w14:paraId="079FE718">
            <w:pPr>
              <w:widowControl/>
              <w:spacing w:line="240" w:lineRule="auto"/>
              <w:jc w:val="left"/>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 xml:space="preserve">2.价格得分计算 </w:t>
            </w:r>
          </w:p>
          <w:p w14:paraId="5CECC6A7">
            <w:pPr>
              <w:widowControl/>
              <w:spacing w:line="240" w:lineRule="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2.1.当Pn＝P时，C=30。</w:t>
            </w:r>
          </w:p>
          <w:p w14:paraId="63A8EAEC">
            <w:pPr>
              <w:widowControl/>
              <w:spacing w:line="240" w:lineRule="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2.2.当Pn＞P，且（Pn－P）/P≤10%时，C＝30－（Pn－P）/P×30。</w:t>
            </w:r>
          </w:p>
          <w:p w14:paraId="10544ED0">
            <w:pPr>
              <w:pStyle w:val="6"/>
              <w:spacing w:line="240" w:lineRule="auto"/>
              <w:ind w:left="0" w:leftChars="0" w:firstLine="0" w:firstLineChars="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2.3.当Pn＞P，且（Pn－P）/P＞10%时，C＝30－（Pn－P）/P×2×30。</w:t>
            </w:r>
          </w:p>
          <w:p w14:paraId="4B960C23">
            <w:pPr>
              <w:spacing w:line="240" w:lineRule="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2.4.当Pn＜P时，C＝</w:t>
            </w:r>
            <w:r>
              <w:rPr>
                <w:rFonts w:hint="eastAsia" w:ascii="宋体" w:hAnsi="宋体" w:cs="宋体"/>
                <w:bCs/>
                <w:color w:val="auto"/>
                <w:kern w:val="2"/>
                <w:sz w:val="21"/>
                <w:szCs w:val="21"/>
                <w:highlight w:val="none"/>
                <w:lang w:val="en-US" w:eastAsia="zh-CN" w:bidi="ar-SA"/>
              </w:rPr>
              <w:t>3</w:t>
            </w:r>
            <w:r>
              <w:rPr>
                <w:rFonts w:hint="eastAsia" w:ascii="宋体" w:hAnsi="宋体" w:eastAsia="宋体" w:cs="宋体"/>
                <w:bCs/>
                <w:color w:val="auto"/>
                <w:kern w:val="2"/>
                <w:sz w:val="21"/>
                <w:szCs w:val="21"/>
                <w:highlight w:val="none"/>
                <w:lang w:val="en-US" w:eastAsia="zh-CN" w:bidi="ar-SA"/>
              </w:rPr>
              <w:t>0－（P－Pn）/P×0.5×30。</w:t>
            </w:r>
          </w:p>
          <w:p w14:paraId="7308C174">
            <w:pPr>
              <w:spacing w:line="240" w:lineRule="auto"/>
              <w:rPr>
                <w:rFonts w:hint="eastAsia" w:ascii="宋体" w:hAnsi="宋体" w:eastAsia="宋体" w:cs="宋体"/>
                <w:color w:val="auto"/>
                <w:szCs w:val="21"/>
                <w:highlight w:val="none"/>
              </w:rPr>
            </w:pPr>
            <w:r>
              <w:rPr>
                <w:rFonts w:hint="eastAsia" w:ascii="宋体" w:hAnsi="宋体" w:eastAsia="宋体" w:cs="宋体"/>
                <w:bCs/>
                <w:color w:val="auto"/>
                <w:kern w:val="2"/>
                <w:sz w:val="21"/>
                <w:szCs w:val="21"/>
                <w:highlight w:val="none"/>
                <w:lang w:val="en-US" w:eastAsia="zh-CN" w:bidi="ar-SA"/>
              </w:rPr>
              <w:t>Pn为各</w:t>
            </w:r>
            <w:r>
              <w:rPr>
                <w:rFonts w:hint="eastAsia" w:ascii="宋体" w:hAnsi="宋体" w:cs="宋体"/>
                <w:bCs/>
                <w:color w:val="auto"/>
                <w:kern w:val="2"/>
                <w:sz w:val="21"/>
                <w:szCs w:val="21"/>
                <w:highlight w:val="none"/>
                <w:lang w:val="en-US" w:eastAsia="zh-CN" w:bidi="ar-SA"/>
              </w:rPr>
              <w:t>投标人</w:t>
            </w:r>
            <w:r>
              <w:rPr>
                <w:rFonts w:hint="eastAsia" w:ascii="宋体" w:hAnsi="宋体" w:eastAsia="宋体" w:cs="宋体"/>
                <w:bCs/>
                <w:color w:val="auto"/>
                <w:kern w:val="2"/>
                <w:sz w:val="21"/>
                <w:szCs w:val="21"/>
                <w:highlight w:val="none"/>
                <w:lang w:val="en-US" w:eastAsia="zh-CN" w:bidi="ar-SA"/>
              </w:rPr>
              <w:t>的</w:t>
            </w:r>
            <w:r>
              <w:rPr>
                <w:rFonts w:hint="eastAsia" w:ascii="宋体" w:hAnsi="宋体" w:cs="宋体"/>
                <w:bCs/>
                <w:color w:val="auto"/>
                <w:kern w:val="2"/>
                <w:sz w:val="21"/>
                <w:szCs w:val="21"/>
                <w:highlight w:val="none"/>
                <w:lang w:val="en-US" w:eastAsia="zh-CN" w:bidi="ar-SA"/>
              </w:rPr>
              <w:t>投标报价</w:t>
            </w:r>
            <w:r>
              <w:rPr>
                <w:rFonts w:hint="eastAsia" w:ascii="宋体" w:hAnsi="宋体" w:eastAsia="宋体" w:cs="宋体"/>
                <w:bCs/>
                <w:color w:val="auto"/>
                <w:kern w:val="2"/>
                <w:sz w:val="21"/>
                <w:szCs w:val="21"/>
                <w:highlight w:val="none"/>
                <w:lang w:val="en-US" w:eastAsia="zh-CN" w:bidi="ar-SA"/>
              </w:rPr>
              <w:t>；C即为</w:t>
            </w:r>
            <w:r>
              <w:rPr>
                <w:rFonts w:hint="eastAsia" w:ascii="宋体" w:hAnsi="宋体" w:cs="宋体"/>
                <w:bCs/>
                <w:color w:val="auto"/>
                <w:kern w:val="2"/>
                <w:sz w:val="21"/>
                <w:szCs w:val="21"/>
                <w:highlight w:val="none"/>
                <w:lang w:val="en-US" w:eastAsia="zh-CN" w:bidi="ar-SA"/>
              </w:rPr>
              <w:t>投标人</w:t>
            </w:r>
            <w:r>
              <w:rPr>
                <w:rFonts w:hint="eastAsia" w:ascii="宋体" w:hAnsi="宋体" w:eastAsia="宋体" w:cs="宋体"/>
                <w:bCs/>
                <w:color w:val="auto"/>
                <w:kern w:val="2"/>
                <w:sz w:val="21"/>
                <w:szCs w:val="21"/>
                <w:highlight w:val="none"/>
                <w:lang w:val="en-US" w:eastAsia="zh-CN" w:bidi="ar-SA"/>
              </w:rPr>
              <w:t>的报价部分得分，分值最高为30分。</w:t>
            </w:r>
          </w:p>
        </w:tc>
      </w:tr>
      <w:tr w14:paraId="47941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2" w:type="pct"/>
            <w:vMerge w:val="continue"/>
            <w:tcBorders>
              <w:tl2br w:val="nil"/>
              <w:tr2bl w:val="nil"/>
            </w:tcBorders>
            <w:vAlign w:val="center"/>
          </w:tcPr>
          <w:p w14:paraId="157B681F">
            <w:pPr>
              <w:keepNext w:val="0"/>
              <w:keepLines w:val="0"/>
              <w:pageBreakBefore w:val="0"/>
              <w:kinsoku/>
              <w:topLinePunct w:val="0"/>
              <w:bidi w:val="0"/>
              <w:spacing w:line="240" w:lineRule="auto"/>
              <w:jc w:val="center"/>
              <w:rPr>
                <w:rFonts w:hint="eastAsia" w:ascii="宋体" w:hAnsi="宋体" w:eastAsia="宋体" w:cs="宋体"/>
                <w:color w:val="auto"/>
                <w:szCs w:val="21"/>
                <w:highlight w:val="none"/>
              </w:rPr>
            </w:pPr>
          </w:p>
        </w:tc>
        <w:tc>
          <w:tcPr>
            <w:tcW w:w="4537" w:type="pct"/>
            <w:gridSpan w:val="4"/>
            <w:tcBorders>
              <w:tl2br w:val="nil"/>
              <w:tr2bl w:val="nil"/>
            </w:tcBorders>
            <w:shd w:val="clear" w:color="auto" w:fill="auto"/>
            <w:vAlign w:val="center"/>
          </w:tcPr>
          <w:p w14:paraId="7C1C3B90">
            <w:pPr>
              <w:widowControl/>
              <w:spacing w:line="240" w:lineRule="auto"/>
              <w:jc w:val="left"/>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kern w:val="2"/>
                <w:sz w:val="21"/>
                <w:szCs w:val="21"/>
                <w:highlight w:val="none"/>
                <w:lang w:val="en-US" w:eastAsia="zh-CN" w:bidi="ar-SA"/>
              </w:rPr>
              <w:t>3.经济评审说明</w:t>
            </w:r>
          </w:p>
          <w:p w14:paraId="602E3F33">
            <w:pPr>
              <w:wordWrap w:val="0"/>
              <w:jc w:val="both"/>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3.1.</w:t>
            </w:r>
            <w:r>
              <w:rPr>
                <w:rFonts w:hint="eastAsia" w:ascii="宋体" w:hAnsi="宋体" w:cs="宋体"/>
                <w:bCs/>
                <w:color w:val="auto"/>
                <w:kern w:val="2"/>
                <w:sz w:val="21"/>
                <w:szCs w:val="21"/>
                <w:highlight w:val="none"/>
                <w:lang w:val="en-US" w:eastAsia="zh-CN" w:bidi="ar-SA"/>
              </w:rPr>
              <w:t>投标人</w:t>
            </w:r>
            <w:r>
              <w:rPr>
                <w:rFonts w:hint="eastAsia" w:ascii="宋体" w:hAnsi="宋体" w:eastAsia="宋体" w:cs="宋体"/>
                <w:bCs/>
                <w:color w:val="auto"/>
                <w:kern w:val="2"/>
                <w:sz w:val="21"/>
                <w:szCs w:val="21"/>
                <w:highlight w:val="none"/>
                <w:lang w:val="en-US" w:eastAsia="zh-CN" w:bidi="ar-SA"/>
              </w:rPr>
              <w:t>的</w:t>
            </w:r>
            <w:r>
              <w:rPr>
                <w:rFonts w:hint="eastAsia" w:ascii="宋体" w:hAnsi="宋体" w:cs="宋体"/>
                <w:bCs/>
                <w:color w:val="auto"/>
                <w:kern w:val="2"/>
                <w:sz w:val="21"/>
                <w:szCs w:val="21"/>
                <w:highlight w:val="none"/>
                <w:lang w:val="en-US" w:eastAsia="zh-CN" w:bidi="ar-SA"/>
              </w:rPr>
              <w:t>投标报价</w:t>
            </w:r>
            <w:r>
              <w:rPr>
                <w:rFonts w:hint="eastAsia" w:ascii="宋体" w:hAnsi="宋体" w:eastAsia="宋体" w:cs="宋体"/>
                <w:bCs/>
                <w:color w:val="auto"/>
                <w:kern w:val="2"/>
                <w:sz w:val="21"/>
                <w:szCs w:val="21"/>
                <w:highlight w:val="none"/>
                <w:lang w:val="en-US" w:eastAsia="zh-CN" w:bidi="ar-SA"/>
              </w:rPr>
              <w:t>是</w:t>
            </w:r>
            <w:r>
              <w:rPr>
                <w:rFonts w:hint="eastAsia" w:ascii="宋体" w:hAnsi="宋体" w:cs="宋体"/>
                <w:color w:val="auto"/>
                <w:szCs w:val="21"/>
                <w:highlight w:val="none"/>
              </w:rPr>
              <w:t>指</w:t>
            </w:r>
            <w:r>
              <w:rPr>
                <w:rFonts w:hint="eastAsia" w:ascii="宋体" w:hAnsi="宋体" w:cs="宋体"/>
                <w:color w:val="auto"/>
                <w:szCs w:val="21"/>
                <w:highlight w:val="none"/>
                <w:lang w:eastAsia="zh-CN"/>
              </w:rPr>
              <w:t>投标文件</w:t>
            </w:r>
            <w:r>
              <w:rPr>
                <w:rFonts w:hint="eastAsia" w:ascii="宋体" w:hAnsi="宋体" w:cs="宋体"/>
                <w:color w:val="auto"/>
                <w:szCs w:val="21"/>
                <w:highlight w:val="none"/>
              </w:rPr>
              <w:t>中的含税报价</w:t>
            </w:r>
            <w:r>
              <w:rPr>
                <w:rFonts w:hint="eastAsia" w:ascii="宋体" w:hAnsi="宋体" w:cs="宋体"/>
                <w:color w:val="auto"/>
                <w:szCs w:val="21"/>
                <w:highlight w:val="none"/>
                <w:lang w:val="en-US" w:eastAsia="zh-CN"/>
              </w:rPr>
              <w:t>评审价，即（1-优惠率）</w:t>
            </w:r>
            <w:r>
              <w:rPr>
                <w:rFonts w:hint="eastAsia" w:ascii="宋体" w:hAnsi="宋体" w:eastAsia="宋体" w:cs="宋体"/>
                <w:bCs/>
                <w:color w:val="auto"/>
                <w:kern w:val="2"/>
                <w:sz w:val="21"/>
                <w:szCs w:val="21"/>
                <w:highlight w:val="none"/>
                <w:lang w:val="en-US" w:eastAsia="zh-CN" w:bidi="ar-SA"/>
              </w:rPr>
              <w:t>。</w:t>
            </w:r>
          </w:p>
          <w:p w14:paraId="208C8425">
            <w:pPr>
              <w:spacing w:line="240" w:lineRule="auto"/>
              <w:rPr>
                <w:rFonts w:hint="eastAsia" w:ascii="宋体" w:hAnsi="宋体" w:eastAsia="宋体" w:cs="宋体"/>
                <w:color w:val="auto"/>
                <w:szCs w:val="21"/>
                <w:highlight w:val="none"/>
              </w:rPr>
            </w:pPr>
            <w:r>
              <w:rPr>
                <w:rFonts w:hint="eastAsia" w:ascii="宋体" w:hAnsi="宋体" w:eastAsia="宋体" w:cs="宋体"/>
                <w:bCs/>
                <w:color w:val="auto"/>
                <w:kern w:val="2"/>
                <w:sz w:val="21"/>
                <w:szCs w:val="21"/>
                <w:highlight w:val="none"/>
                <w:lang w:val="en-US" w:eastAsia="zh-CN" w:bidi="ar-SA"/>
              </w:rPr>
              <w:t>3.2.</w:t>
            </w:r>
            <w:r>
              <w:rPr>
                <w:rFonts w:hint="eastAsia" w:ascii="宋体" w:hAnsi="宋体" w:cs="宋体"/>
                <w:color w:val="auto"/>
                <w:szCs w:val="21"/>
                <w:highlight w:val="none"/>
              </w:rPr>
              <w:t>经济评审</w:t>
            </w:r>
            <w:r>
              <w:rPr>
                <w:rFonts w:hint="eastAsia" w:ascii="宋体" w:hAnsi="宋体" w:eastAsia="宋体" w:cs="宋体"/>
                <w:bCs/>
                <w:color w:val="auto"/>
                <w:kern w:val="2"/>
                <w:sz w:val="21"/>
                <w:szCs w:val="21"/>
                <w:highlight w:val="none"/>
                <w:lang w:val="en-US" w:eastAsia="zh-CN" w:bidi="ar-SA"/>
              </w:rPr>
              <w:t>价格部分得分保留小数点后两位，小数点后第三位“四舍五入”。</w:t>
            </w:r>
          </w:p>
        </w:tc>
      </w:tr>
    </w:tbl>
    <w:p w14:paraId="5FBED16D">
      <w:pPr>
        <w:rPr>
          <w:rFonts w:hint="eastAsia" w:ascii="宋体" w:hAnsi="宋体" w:cs="宋体"/>
          <w:b/>
          <w:color w:val="auto"/>
          <w:szCs w:val="21"/>
          <w:highlight w:val="none"/>
        </w:rPr>
      </w:pPr>
      <w:r>
        <w:rPr>
          <w:rFonts w:hint="eastAsia" w:ascii="宋体" w:hAnsi="宋体" w:cs="宋体"/>
          <w:b/>
          <w:color w:val="auto"/>
          <w:szCs w:val="21"/>
          <w:highlight w:val="none"/>
        </w:rPr>
        <w:br w:type="page"/>
      </w:r>
    </w:p>
    <w:p w14:paraId="182E18F2">
      <w:pPr>
        <w:spacing w:line="360" w:lineRule="auto"/>
        <w:rPr>
          <w:rFonts w:ascii="宋体" w:hAnsi="宋体" w:cs="宋体"/>
          <w:b/>
          <w:color w:val="auto"/>
          <w:szCs w:val="21"/>
          <w:highlight w:val="none"/>
        </w:rPr>
      </w:pPr>
      <w:r>
        <w:rPr>
          <w:rFonts w:hint="eastAsia" w:ascii="宋体" w:hAnsi="宋体" w:cs="宋体"/>
          <w:b/>
          <w:color w:val="auto"/>
          <w:szCs w:val="21"/>
          <w:highlight w:val="none"/>
          <w:lang w:val="en-US" w:eastAsia="zh-CN"/>
        </w:rPr>
        <w:t>1</w:t>
      </w:r>
      <w:r>
        <w:rPr>
          <w:rFonts w:hint="eastAsia" w:ascii="宋体" w:hAnsi="宋体" w:cs="宋体"/>
          <w:b/>
          <w:color w:val="auto"/>
          <w:szCs w:val="21"/>
          <w:highlight w:val="none"/>
        </w:rPr>
        <w:t>.评标方法</w:t>
      </w:r>
    </w:p>
    <w:p w14:paraId="25D2FE2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1.1本次评标采用综合评分法，资格审查方式为资格后审。</w:t>
      </w:r>
    </w:p>
    <w:p w14:paraId="27D49CB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1.2评标委员会按照本章第2款规定的评审标准进行评审，并按招标文件规定推荐中标候选人。</w:t>
      </w:r>
    </w:p>
    <w:p w14:paraId="01CE266F">
      <w:pPr>
        <w:spacing w:line="360" w:lineRule="auto"/>
        <w:rPr>
          <w:rFonts w:ascii="宋体" w:hAnsi="宋体" w:cs="宋体"/>
          <w:b/>
          <w:color w:val="auto"/>
          <w:szCs w:val="21"/>
          <w:highlight w:val="none"/>
        </w:rPr>
      </w:pPr>
      <w:r>
        <w:rPr>
          <w:rFonts w:hint="eastAsia" w:ascii="宋体" w:hAnsi="宋体" w:cs="宋体"/>
          <w:b/>
          <w:color w:val="auto"/>
          <w:szCs w:val="21"/>
          <w:highlight w:val="none"/>
        </w:rPr>
        <w:t>2.评审标准</w:t>
      </w:r>
    </w:p>
    <w:p w14:paraId="7D12069C">
      <w:pPr>
        <w:spacing w:line="360" w:lineRule="auto"/>
        <w:rPr>
          <w:rFonts w:ascii="宋体" w:hAnsi="宋体" w:cs="宋体"/>
          <w:b/>
          <w:color w:val="auto"/>
          <w:szCs w:val="21"/>
          <w:highlight w:val="none"/>
        </w:rPr>
      </w:pPr>
      <w:r>
        <w:rPr>
          <w:rFonts w:hint="eastAsia" w:ascii="宋体" w:hAnsi="宋体" w:cs="宋体"/>
          <w:b/>
          <w:color w:val="auto"/>
          <w:szCs w:val="21"/>
          <w:highlight w:val="none"/>
        </w:rPr>
        <w:t>2.1 初步评审标准</w:t>
      </w:r>
    </w:p>
    <w:p w14:paraId="4AD3D15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2.1.1资格性评审标准：见评标办法前附表。</w:t>
      </w:r>
    </w:p>
    <w:p w14:paraId="7DB77FE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2.1.2符合性评审标准：见评标办法前附表。</w:t>
      </w:r>
    </w:p>
    <w:p w14:paraId="0DC11EFA">
      <w:pPr>
        <w:spacing w:line="360" w:lineRule="auto"/>
        <w:rPr>
          <w:rFonts w:ascii="宋体" w:hAnsi="宋体" w:cs="宋体"/>
          <w:b/>
          <w:color w:val="auto"/>
          <w:szCs w:val="21"/>
          <w:highlight w:val="none"/>
        </w:rPr>
      </w:pPr>
      <w:r>
        <w:rPr>
          <w:rFonts w:hint="eastAsia" w:ascii="宋体" w:hAnsi="宋体" w:cs="宋体"/>
          <w:b/>
          <w:color w:val="auto"/>
          <w:szCs w:val="21"/>
          <w:highlight w:val="none"/>
        </w:rPr>
        <w:t>2.2 详细评审标准</w:t>
      </w:r>
    </w:p>
    <w:p w14:paraId="7A4B0196">
      <w:pPr>
        <w:spacing w:line="360" w:lineRule="auto"/>
        <w:ind w:firstLine="525" w:firstLineChars="250"/>
        <w:rPr>
          <w:rFonts w:ascii="宋体" w:hAnsi="宋体" w:cs="宋体"/>
          <w:color w:val="auto"/>
          <w:szCs w:val="21"/>
          <w:highlight w:val="none"/>
        </w:rPr>
      </w:pPr>
      <w:r>
        <w:rPr>
          <w:rFonts w:hint="eastAsia" w:ascii="宋体" w:hAnsi="宋体" w:cs="宋体"/>
          <w:color w:val="auto"/>
          <w:szCs w:val="21"/>
          <w:highlight w:val="none"/>
        </w:rPr>
        <w:t>2.2.1分值构成：见评标办法前附表；</w:t>
      </w:r>
    </w:p>
    <w:p w14:paraId="743BEBCA">
      <w:pPr>
        <w:spacing w:line="360" w:lineRule="auto"/>
        <w:ind w:firstLine="525" w:firstLineChars="250"/>
        <w:rPr>
          <w:rFonts w:ascii="宋体" w:hAnsi="宋体" w:cs="宋体"/>
          <w:color w:val="auto"/>
          <w:szCs w:val="21"/>
          <w:highlight w:val="none"/>
        </w:rPr>
      </w:pPr>
      <w:r>
        <w:rPr>
          <w:rFonts w:hint="eastAsia" w:ascii="宋体" w:hAnsi="宋体" w:cs="宋体"/>
          <w:color w:val="auto"/>
          <w:szCs w:val="21"/>
          <w:highlight w:val="none"/>
        </w:rPr>
        <w:t>2.2.2评分标准</w:t>
      </w:r>
    </w:p>
    <w:p w14:paraId="6FE30AE1">
      <w:pPr>
        <w:spacing w:line="360" w:lineRule="auto"/>
        <w:ind w:firstLine="480"/>
        <w:jc w:val="left"/>
        <w:rPr>
          <w:rFonts w:ascii="宋体" w:hAnsi="宋体" w:cs="宋体"/>
          <w:color w:val="auto"/>
          <w:szCs w:val="21"/>
          <w:highlight w:val="none"/>
        </w:rPr>
      </w:pPr>
      <w:r>
        <w:rPr>
          <w:rFonts w:hint="eastAsia" w:ascii="宋体" w:hAnsi="宋体" w:cs="宋体"/>
          <w:color w:val="auto"/>
          <w:szCs w:val="21"/>
          <w:highlight w:val="none"/>
        </w:rPr>
        <w:t>（1）商务部分：见评标办法前附表；</w:t>
      </w:r>
    </w:p>
    <w:p w14:paraId="094FEEDD">
      <w:pPr>
        <w:spacing w:line="360" w:lineRule="auto"/>
        <w:ind w:firstLine="480"/>
        <w:jc w:val="left"/>
        <w:rPr>
          <w:rFonts w:ascii="宋体" w:hAnsi="宋体" w:cs="宋体"/>
          <w:color w:val="auto"/>
          <w:szCs w:val="21"/>
          <w:highlight w:val="none"/>
        </w:rPr>
      </w:pPr>
      <w:r>
        <w:rPr>
          <w:rFonts w:hint="eastAsia" w:ascii="宋体" w:hAnsi="宋体" w:cs="宋体"/>
          <w:color w:val="auto"/>
          <w:szCs w:val="21"/>
          <w:highlight w:val="none"/>
        </w:rPr>
        <w:t>（2）技术部分：见评标办法前附表；</w:t>
      </w:r>
    </w:p>
    <w:p w14:paraId="45891DC6">
      <w:pPr>
        <w:spacing w:line="360" w:lineRule="auto"/>
        <w:ind w:firstLine="480"/>
        <w:jc w:val="left"/>
        <w:rPr>
          <w:rFonts w:ascii="宋体" w:hAnsi="宋体" w:cs="宋体"/>
          <w:color w:val="auto"/>
          <w:szCs w:val="21"/>
          <w:highlight w:val="none"/>
        </w:rPr>
      </w:pPr>
      <w:r>
        <w:rPr>
          <w:rFonts w:hint="eastAsia" w:ascii="宋体" w:hAnsi="宋体" w:cs="宋体"/>
          <w:color w:val="auto"/>
          <w:szCs w:val="21"/>
          <w:highlight w:val="none"/>
        </w:rPr>
        <w:t>（3）投标报价：见评标办法前附表。</w:t>
      </w:r>
    </w:p>
    <w:p w14:paraId="43B965FE">
      <w:pPr>
        <w:spacing w:line="360" w:lineRule="auto"/>
        <w:rPr>
          <w:rFonts w:ascii="宋体" w:hAnsi="宋体" w:cs="宋体"/>
          <w:b/>
          <w:color w:val="auto"/>
          <w:szCs w:val="21"/>
          <w:highlight w:val="none"/>
        </w:rPr>
      </w:pPr>
      <w:r>
        <w:rPr>
          <w:rFonts w:hint="eastAsia" w:ascii="宋体" w:hAnsi="宋体" w:cs="宋体"/>
          <w:b/>
          <w:color w:val="auto"/>
          <w:szCs w:val="21"/>
          <w:highlight w:val="none"/>
        </w:rPr>
        <w:t>3.评标程序</w:t>
      </w:r>
    </w:p>
    <w:p w14:paraId="3CAC0B36">
      <w:pPr>
        <w:spacing w:line="360" w:lineRule="auto"/>
        <w:rPr>
          <w:rFonts w:ascii="宋体" w:hAnsi="宋体" w:cs="宋体"/>
          <w:b/>
          <w:color w:val="auto"/>
          <w:szCs w:val="21"/>
          <w:highlight w:val="none"/>
        </w:rPr>
      </w:pPr>
      <w:r>
        <w:rPr>
          <w:rFonts w:hint="eastAsia" w:ascii="宋体" w:hAnsi="宋体" w:cs="宋体"/>
          <w:b/>
          <w:color w:val="auto"/>
          <w:szCs w:val="21"/>
          <w:highlight w:val="none"/>
        </w:rPr>
        <w:t>3.1 初步评审</w:t>
      </w:r>
    </w:p>
    <w:p w14:paraId="40F53976">
      <w:pPr>
        <w:spacing w:line="360" w:lineRule="auto"/>
        <w:ind w:firstLine="480"/>
        <w:jc w:val="left"/>
        <w:rPr>
          <w:rFonts w:ascii="宋体" w:hAnsi="宋体" w:cs="宋体"/>
          <w:strike/>
          <w:color w:val="auto"/>
          <w:szCs w:val="21"/>
          <w:highlight w:val="none"/>
        </w:rPr>
      </w:pPr>
      <w:r>
        <w:rPr>
          <w:rFonts w:hint="eastAsia" w:ascii="宋体" w:hAnsi="宋体" w:cs="宋体"/>
          <w:color w:val="auto"/>
          <w:szCs w:val="21"/>
          <w:highlight w:val="none"/>
        </w:rPr>
        <w:t>3.1.1评标委员会根据第2.1款规定的评审因素和评审标准，对投标人的投标文件进行初步审查，有一项不符合评审标准的，评标委员会应当</w:t>
      </w:r>
      <w:r>
        <w:rPr>
          <w:rFonts w:hint="eastAsia" w:ascii="宋体" w:hAnsi="宋体" w:cs="宋体"/>
          <w:b/>
          <w:bCs/>
          <w:color w:val="auto"/>
          <w:szCs w:val="21"/>
          <w:highlight w:val="none"/>
        </w:rPr>
        <w:t>否决</w:t>
      </w:r>
      <w:r>
        <w:rPr>
          <w:rFonts w:hint="eastAsia" w:ascii="宋体" w:hAnsi="宋体" w:cs="宋体"/>
          <w:color w:val="auto"/>
          <w:szCs w:val="21"/>
          <w:highlight w:val="none"/>
        </w:rPr>
        <w:t>其投标。通过初步评审的有效投标人不足3家，且评标委员会认为投标明显缺乏竞争的，不得进入下一评审环节。</w:t>
      </w:r>
    </w:p>
    <w:p w14:paraId="01C15561">
      <w:pPr>
        <w:spacing w:line="360" w:lineRule="auto"/>
        <w:ind w:firstLine="480"/>
        <w:jc w:val="left"/>
        <w:rPr>
          <w:rFonts w:ascii="宋体" w:hAnsi="宋体" w:cs="宋体"/>
          <w:color w:val="auto"/>
          <w:szCs w:val="21"/>
          <w:highlight w:val="none"/>
        </w:rPr>
      </w:pPr>
      <w:r>
        <w:rPr>
          <w:rFonts w:hint="eastAsia" w:ascii="宋体" w:hAnsi="宋体" w:cs="宋体"/>
          <w:color w:val="auto"/>
          <w:szCs w:val="21"/>
          <w:highlight w:val="none"/>
        </w:rPr>
        <w:t>3.1.2投标人有串通投标、弄虚作假、行贿等违法行为的，评标委员会应当</w:t>
      </w:r>
      <w:r>
        <w:rPr>
          <w:rFonts w:hint="eastAsia" w:ascii="宋体" w:hAnsi="宋体" w:cs="宋体"/>
          <w:b/>
          <w:bCs/>
          <w:color w:val="auto"/>
          <w:szCs w:val="21"/>
          <w:highlight w:val="none"/>
        </w:rPr>
        <w:t>否决</w:t>
      </w:r>
      <w:r>
        <w:rPr>
          <w:rFonts w:hint="eastAsia" w:ascii="宋体" w:hAnsi="宋体" w:cs="宋体"/>
          <w:color w:val="auto"/>
          <w:szCs w:val="21"/>
          <w:highlight w:val="none"/>
        </w:rPr>
        <w:t>其投标。</w:t>
      </w:r>
    </w:p>
    <w:p w14:paraId="6E665307">
      <w:pPr>
        <w:spacing w:line="360" w:lineRule="auto"/>
        <w:rPr>
          <w:rFonts w:ascii="宋体" w:hAnsi="宋体" w:cs="宋体"/>
          <w:b/>
          <w:color w:val="auto"/>
          <w:szCs w:val="21"/>
          <w:highlight w:val="none"/>
        </w:rPr>
      </w:pPr>
      <w:r>
        <w:rPr>
          <w:rFonts w:hint="eastAsia" w:ascii="宋体" w:hAnsi="宋体" w:cs="宋体"/>
          <w:b/>
          <w:color w:val="auto"/>
          <w:szCs w:val="21"/>
          <w:highlight w:val="none"/>
        </w:rPr>
        <w:t>3.2 详细评审</w:t>
      </w:r>
    </w:p>
    <w:p w14:paraId="6209A9BC">
      <w:pPr>
        <w:spacing w:line="360" w:lineRule="auto"/>
        <w:ind w:firstLine="480"/>
        <w:jc w:val="left"/>
        <w:rPr>
          <w:rFonts w:ascii="宋体" w:hAnsi="宋体" w:cs="宋体"/>
          <w:color w:val="auto"/>
          <w:szCs w:val="21"/>
          <w:highlight w:val="none"/>
        </w:rPr>
      </w:pPr>
      <w:r>
        <w:rPr>
          <w:rFonts w:hint="eastAsia" w:ascii="宋体" w:hAnsi="宋体" w:cs="宋体"/>
          <w:color w:val="auto"/>
          <w:szCs w:val="21"/>
          <w:highlight w:val="none"/>
        </w:rPr>
        <w:t>3.2.1评标委员会按本章第 2.2 款规定的量化因素和分值进行打分，并计算出综合评估得分。</w:t>
      </w:r>
    </w:p>
    <w:p w14:paraId="31A55A93">
      <w:pPr>
        <w:spacing w:line="360" w:lineRule="auto"/>
        <w:ind w:firstLine="480"/>
        <w:jc w:val="left"/>
        <w:rPr>
          <w:rFonts w:ascii="宋体" w:hAnsi="宋体" w:cs="宋体"/>
          <w:color w:val="auto"/>
          <w:szCs w:val="21"/>
          <w:highlight w:val="none"/>
        </w:rPr>
      </w:pPr>
      <w:r>
        <w:rPr>
          <w:rFonts w:hint="eastAsia" w:ascii="宋体" w:hAnsi="宋体" w:cs="宋体"/>
          <w:color w:val="auto"/>
          <w:szCs w:val="21"/>
          <w:highlight w:val="none"/>
        </w:rPr>
        <w:t>（1）按本章第 2.2.2（1）目规定的评审因素和分值对商务部分计算出得分 A；</w:t>
      </w:r>
    </w:p>
    <w:p w14:paraId="500F7910">
      <w:pPr>
        <w:spacing w:line="360" w:lineRule="auto"/>
        <w:ind w:firstLine="480"/>
        <w:jc w:val="left"/>
        <w:rPr>
          <w:rFonts w:ascii="宋体" w:hAnsi="宋体" w:cs="宋体"/>
          <w:color w:val="auto"/>
          <w:szCs w:val="21"/>
          <w:highlight w:val="none"/>
        </w:rPr>
      </w:pPr>
      <w:r>
        <w:rPr>
          <w:rFonts w:hint="eastAsia" w:ascii="宋体" w:hAnsi="宋体" w:cs="宋体"/>
          <w:color w:val="auto"/>
          <w:szCs w:val="21"/>
          <w:highlight w:val="none"/>
        </w:rPr>
        <w:t>（2）按本章第 2.2.2（2）目规定的评审因素和分值对技术部分计算出得分 B；</w:t>
      </w:r>
    </w:p>
    <w:p w14:paraId="42628CCB">
      <w:pPr>
        <w:spacing w:line="360" w:lineRule="auto"/>
        <w:ind w:firstLine="480"/>
        <w:jc w:val="left"/>
        <w:rPr>
          <w:rFonts w:ascii="宋体" w:hAnsi="宋体" w:cs="宋体"/>
          <w:color w:val="auto"/>
          <w:szCs w:val="21"/>
          <w:highlight w:val="none"/>
        </w:rPr>
      </w:pPr>
      <w:r>
        <w:rPr>
          <w:rFonts w:hint="eastAsia" w:ascii="宋体" w:hAnsi="宋体" w:cs="宋体"/>
          <w:color w:val="auto"/>
          <w:szCs w:val="21"/>
          <w:highlight w:val="none"/>
        </w:rPr>
        <w:t>（3）按本章第 2.2.2（3）目规定的评审因素和分值对报价部分计算出得分 C。</w:t>
      </w:r>
    </w:p>
    <w:p w14:paraId="5942755C">
      <w:pPr>
        <w:spacing w:line="360" w:lineRule="auto"/>
        <w:ind w:firstLine="480"/>
        <w:jc w:val="left"/>
        <w:rPr>
          <w:rFonts w:ascii="宋体" w:hAnsi="宋体" w:cs="宋体"/>
          <w:color w:val="auto"/>
          <w:szCs w:val="21"/>
          <w:highlight w:val="none"/>
        </w:rPr>
      </w:pPr>
      <w:r>
        <w:rPr>
          <w:rFonts w:hint="eastAsia" w:ascii="宋体" w:hAnsi="宋体" w:cs="宋体"/>
          <w:color w:val="auto"/>
          <w:szCs w:val="21"/>
          <w:highlight w:val="none"/>
        </w:rPr>
        <w:t>（4）投标人得分=A + B + C。</w:t>
      </w:r>
    </w:p>
    <w:p w14:paraId="13CAC164">
      <w:pPr>
        <w:spacing w:line="360" w:lineRule="auto"/>
        <w:ind w:firstLine="480"/>
        <w:jc w:val="left"/>
        <w:rPr>
          <w:rFonts w:ascii="宋体" w:hAnsi="宋体" w:cs="宋体"/>
          <w:color w:val="auto"/>
          <w:szCs w:val="21"/>
          <w:highlight w:val="none"/>
        </w:rPr>
      </w:pPr>
      <w:r>
        <w:rPr>
          <w:rFonts w:hint="eastAsia" w:ascii="宋体" w:hAnsi="宋体" w:cs="宋体"/>
          <w:color w:val="auto"/>
          <w:szCs w:val="21"/>
          <w:highlight w:val="none"/>
        </w:rPr>
        <w:t>（5）评委计分保留小数点后两位，小数点后第三位“四舍五入”。。</w:t>
      </w:r>
    </w:p>
    <w:p w14:paraId="45586001">
      <w:pPr>
        <w:spacing w:line="360" w:lineRule="auto"/>
        <w:rPr>
          <w:rFonts w:ascii="宋体" w:hAnsi="宋体" w:cs="宋体"/>
          <w:b/>
          <w:color w:val="auto"/>
          <w:szCs w:val="21"/>
          <w:highlight w:val="none"/>
        </w:rPr>
      </w:pPr>
      <w:r>
        <w:rPr>
          <w:rFonts w:hint="eastAsia" w:ascii="宋体" w:hAnsi="宋体" w:cs="宋体"/>
          <w:b/>
          <w:color w:val="auto"/>
          <w:szCs w:val="21"/>
          <w:highlight w:val="none"/>
        </w:rPr>
        <w:t>3.3 投标文件的澄清</w:t>
      </w:r>
    </w:p>
    <w:p w14:paraId="0A5EE6C2">
      <w:pPr>
        <w:spacing w:line="360" w:lineRule="auto"/>
        <w:ind w:firstLine="420" w:firstLineChars="200"/>
        <w:jc w:val="left"/>
        <w:rPr>
          <w:rFonts w:ascii="宋体" w:hAnsi="宋体" w:cs="宋体"/>
          <w:color w:val="auto"/>
          <w:sz w:val="24"/>
          <w:szCs w:val="21"/>
          <w:highlight w:val="none"/>
        </w:rPr>
      </w:pPr>
      <w:r>
        <w:rPr>
          <w:rFonts w:hint="eastAsia" w:ascii="宋体" w:hAnsi="宋体" w:cs="宋体"/>
          <w:color w:val="auto"/>
          <w:szCs w:val="21"/>
          <w:highlight w:val="none"/>
        </w:rPr>
        <w:t>3.3.1因投标人资格条件不符合规定否决其投标的，评标委员会应在资格审查结束后通知已否决的投标人予以澄清，但不能改变投标文件内容。投标人如未在规定时间内进行澄清，则视同认可资格审查结论。</w:t>
      </w:r>
    </w:p>
    <w:p w14:paraId="2E7072D5">
      <w:pPr>
        <w:spacing w:line="360" w:lineRule="auto"/>
        <w:ind w:firstLine="480"/>
        <w:jc w:val="left"/>
        <w:rPr>
          <w:rFonts w:ascii="宋体" w:hAnsi="宋体" w:cs="宋体"/>
          <w:color w:val="auto"/>
          <w:szCs w:val="21"/>
          <w:highlight w:val="none"/>
        </w:rPr>
      </w:pPr>
      <w:r>
        <w:rPr>
          <w:rFonts w:hint="eastAsia" w:ascii="宋体" w:hAnsi="宋体" w:cs="宋体"/>
          <w:color w:val="auto"/>
          <w:szCs w:val="21"/>
          <w:highlight w:val="none"/>
        </w:rPr>
        <w:t>3.3.2在评标过程中，评标委员会可以要求投标人对投标文件中含义不明确、对同类问题表述不一致或者有明显文字和计算错误的内容作必要的澄清、说明或补正。澄清、说明或补正应在澄清答疑室进行。评标委员会不接受投标人主动提出的澄清、说明或补正。</w:t>
      </w:r>
    </w:p>
    <w:p w14:paraId="7F0C0C22">
      <w:pPr>
        <w:spacing w:line="360" w:lineRule="auto"/>
        <w:ind w:firstLine="480"/>
        <w:jc w:val="left"/>
        <w:rPr>
          <w:rFonts w:ascii="宋体" w:hAnsi="宋体" w:cs="宋体"/>
          <w:color w:val="auto"/>
          <w:szCs w:val="21"/>
          <w:highlight w:val="none"/>
        </w:rPr>
      </w:pPr>
      <w:r>
        <w:rPr>
          <w:rFonts w:hint="eastAsia" w:ascii="宋体" w:hAnsi="宋体" w:cs="宋体"/>
          <w:color w:val="auto"/>
          <w:szCs w:val="21"/>
          <w:highlight w:val="none"/>
        </w:rPr>
        <w:t>3.3.3投标人在评标过程中作出的澄清、说明或补正不得超出投标文件的范围且不得改变投标文件的实质性内容，并且澄清、说明或补正的内容构成投标文件的组成部分。</w:t>
      </w:r>
    </w:p>
    <w:p w14:paraId="2CB80747">
      <w:pPr>
        <w:spacing w:line="360" w:lineRule="auto"/>
        <w:ind w:firstLine="480"/>
        <w:jc w:val="left"/>
        <w:rPr>
          <w:rFonts w:ascii="宋体" w:hAnsi="宋体" w:cs="宋体"/>
          <w:color w:val="auto"/>
          <w:szCs w:val="21"/>
          <w:highlight w:val="none"/>
        </w:rPr>
      </w:pPr>
      <w:r>
        <w:rPr>
          <w:rFonts w:hint="eastAsia" w:ascii="宋体" w:hAnsi="宋体" w:cs="宋体"/>
          <w:color w:val="auto"/>
          <w:szCs w:val="21"/>
          <w:highlight w:val="none"/>
        </w:rPr>
        <w:t>3.3.4投标人的澄清、说明或者补正按评标委员会的通知要求递交。</w:t>
      </w:r>
    </w:p>
    <w:p w14:paraId="6B17D10C">
      <w:pPr>
        <w:spacing w:line="360" w:lineRule="auto"/>
        <w:ind w:firstLine="480"/>
        <w:jc w:val="left"/>
        <w:rPr>
          <w:rFonts w:ascii="宋体" w:hAnsi="宋体" w:cs="宋体"/>
          <w:color w:val="auto"/>
          <w:szCs w:val="21"/>
          <w:highlight w:val="none"/>
        </w:rPr>
      </w:pPr>
      <w:r>
        <w:rPr>
          <w:rFonts w:hint="eastAsia" w:ascii="宋体" w:hAnsi="宋体" w:cs="宋体"/>
          <w:color w:val="auto"/>
          <w:szCs w:val="21"/>
          <w:highlight w:val="none"/>
        </w:rPr>
        <w:t>3.3.5评标委员会对投标人提交的澄清、说明或补正有疑问的，可以要求投标人进一步澄清、说明或补正，直至满足评标委员会的要求。</w:t>
      </w:r>
    </w:p>
    <w:p w14:paraId="0F428D77">
      <w:pPr>
        <w:spacing w:line="360" w:lineRule="auto"/>
        <w:rPr>
          <w:rFonts w:ascii="宋体" w:hAnsi="宋体" w:cs="宋体"/>
          <w:b/>
          <w:color w:val="auto"/>
          <w:szCs w:val="21"/>
          <w:highlight w:val="none"/>
        </w:rPr>
      </w:pPr>
      <w:r>
        <w:rPr>
          <w:rFonts w:hint="eastAsia" w:ascii="宋体" w:hAnsi="宋体" w:cs="宋体"/>
          <w:b/>
          <w:color w:val="auto"/>
          <w:szCs w:val="21"/>
          <w:highlight w:val="none"/>
        </w:rPr>
        <w:t>3.4 评标结果</w:t>
      </w:r>
    </w:p>
    <w:p w14:paraId="38C19B95">
      <w:pPr>
        <w:spacing w:line="360" w:lineRule="auto"/>
        <w:ind w:firstLine="480"/>
        <w:jc w:val="left"/>
        <w:rPr>
          <w:rFonts w:hint="eastAsia" w:ascii="宋体" w:hAnsi="宋体" w:eastAsia="宋体" w:cs="宋体"/>
          <w:color w:val="auto"/>
          <w:szCs w:val="21"/>
          <w:highlight w:val="none"/>
        </w:rPr>
      </w:pPr>
      <w:r>
        <w:rPr>
          <w:rFonts w:hint="eastAsia" w:ascii="宋体" w:hAnsi="宋体" w:cs="宋体"/>
          <w:color w:val="auto"/>
          <w:szCs w:val="21"/>
          <w:highlight w:val="none"/>
        </w:rPr>
        <w:t>3.4.1评标委员会按综合得分由高至低的顺序推荐中标候选人，其它单位不予排序。若出现投标人评审综合得分相同的情况，则依次按照其不含增值税报价由低至高排序、技术部分得分由高至低排序、评委票决的</w:t>
      </w:r>
      <w:r>
        <w:rPr>
          <w:rFonts w:hint="eastAsia" w:ascii="宋体" w:hAnsi="宋体" w:eastAsia="宋体" w:cs="宋体"/>
          <w:color w:val="auto"/>
          <w:szCs w:val="21"/>
          <w:highlight w:val="none"/>
        </w:rPr>
        <w:t>顺序确定成交候选人排序。评标委员会推荐中标候选人的人数见第二章投标人须知前附表 6.3.2。</w:t>
      </w:r>
    </w:p>
    <w:p w14:paraId="32905D30">
      <w:pPr>
        <w:spacing w:line="360" w:lineRule="auto"/>
        <w:ind w:firstLine="48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3.4.2评标委员会完成评标后，应当向招标人提交书面评标报告和中标候选人名单。</w:t>
      </w:r>
    </w:p>
    <w:p w14:paraId="47BFF3A1">
      <w:pPr>
        <w:wordWrap w:val="0"/>
        <w:spacing w:line="360" w:lineRule="auto"/>
        <w:ind w:firstLine="1417" w:firstLineChars="392"/>
        <w:rPr>
          <w:rFonts w:hint="eastAsia" w:ascii="宋体" w:hAnsi="宋体" w:cs="宋体"/>
          <w:b/>
          <w:color w:val="auto"/>
          <w:sz w:val="36"/>
          <w:szCs w:val="36"/>
          <w:highlight w:val="none"/>
        </w:rPr>
      </w:pPr>
    </w:p>
    <w:p w14:paraId="40E6BFDA">
      <w:pPr>
        <w:widowControl/>
        <w:wordWrap w:val="0"/>
        <w:spacing w:line="360" w:lineRule="auto"/>
        <w:jc w:val="left"/>
        <w:rPr>
          <w:rFonts w:ascii="黑体" w:hAnsi="黑体" w:eastAsia="黑体"/>
          <w:b/>
          <w:color w:val="auto"/>
          <w:sz w:val="44"/>
          <w:szCs w:val="44"/>
          <w:highlight w:val="none"/>
        </w:rPr>
      </w:pPr>
      <w:r>
        <w:rPr>
          <w:rFonts w:hAnsi="黑体"/>
          <w:color w:val="auto"/>
          <w:sz w:val="44"/>
          <w:szCs w:val="44"/>
          <w:highlight w:val="none"/>
        </w:rPr>
        <w:br w:type="page"/>
      </w:r>
    </w:p>
    <w:p w14:paraId="3FF7272A">
      <w:pPr>
        <w:pStyle w:val="3"/>
        <w:wordWrap w:val="0"/>
        <w:spacing w:line="360" w:lineRule="auto"/>
        <w:ind w:left="0" w:leftChars="0" w:right="0" w:rightChars="0" w:firstLine="0" w:firstLineChars="0"/>
        <w:jc w:val="center"/>
        <w:rPr>
          <w:rFonts w:hAnsi="黑体"/>
          <w:color w:val="auto"/>
          <w:sz w:val="44"/>
          <w:szCs w:val="44"/>
          <w:highlight w:val="none"/>
        </w:rPr>
      </w:pPr>
      <w:bookmarkStart w:id="10" w:name="_Toc16233"/>
      <w:bookmarkStart w:id="11" w:name="_Toc1708"/>
      <w:bookmarkStart w:id="12" w:name="_Toc20812"/>
      <w:r>
        <w:rPr>
          <w:rFonts w:hAnsi="黑体"/>
          <w:color w:val="auto"/>
          <w:sz w:val="44"/>
          <w:szCs w:val="44"/>
          <w:highlight w:val="none"/>
        </w:rPr>
        <w:t>第四章</w:t>
      </w:r>
      <w:r>
        <w:rPr>
          <w:rFonts w:hint="eastAsia" w:hAnsi="黑体"/>
          <w:color w:val="auto"/>
          <w:sz w:val="44"/>
          <w:szCs w:val="44"/>
          <w:highlight w:val="none"/>
        </w:rPr>
        <w:t xml:space="preserve"> </w:t>
      </w:r>
      <w:r>
        <w:rPr>
          <w:rFonts w:hAnsi="黑体"/>
          <w:color w:val="auto"/>
          <w:sz w:val="44"/>
          <w:szCs w:val="44"/>
          <w:highlight w:val="none"/>
        </w:rPr>
        <w:t>合同条款及格式</w:t>
      </w:r>
      <w:bookmarkEnd w:id="10"/>
      <w:bookmarkEnd w:id="11"/>
      <w:bookmarkEnd w:id="12"/>
    </w:p>
    <w:p w14:paraId="703FE2E3">
      <w:pPr>
        <w:keepLines w:val="0"/>
        <w:widowControl/>
        <w:wordWrap/>
        <w:overflowPunct/>
        <w:autoSpaceDE/>
        <w:autoSpaceDN/>
        <w:adjustRightInd/>
        <w:spacing w:before="0" w:after="0" w:line="360" w:lineRule="auto"/>
        <w:ind w:left="0" w:right="0"/>
        <w:jc w:val="center"/>
        <w:outlineLvl w:val="9"/>
        <w:rPr>
          <w:rFonts w:hint="eastAsia" w:ascii="宋体" w:hAnsi="宋体" w:eastAsia="宋体" w:cs="宋体"/>
          <w:color w:val="auto"/>
          <w:sz w:val="28"/>
          <w:szCs w:val="24"/>
          <w:highlight w:val="none"/>
          <w:lang w:val="en-US" w:eastAsia="zh-CN"/>
        </w:rPr>
      </w:pPr>
      <w:r>
        <w:rPr>
          <w:rFonts w:hint="eastAsia" w:ascii="Times New Roman" w:eastAsia="宋体"/>
          <w:color w:val="auto"/>
          <w:sz w:val="28"/>
          <w:szCs w:val="24"/>
          <w:highlight w:val="none"/>
          <w:lang w:val="en-US" w:eastAsia="zh-CN"/>
        </w:rPr>
        <w:t xml:space="preserve">                     </w:t>
      </w:r>
      <w:r>
        <w:rPr>
          <w:rFonts w:hint="eastAsia" w:ascii="宋体" w:hAnsi="宋体" w:eastAsia="宋体" w:cs="宋体"/>
          <w:color w:val="auto"/>
          <w:sz w:val="28"/>
          <w:szCs w:val="28"/>
          <w:highlight w:val="none"/>
          <w:u w:val="none"/>
          <w:lang w:val="en-US" w:eastAsia="zh-CN"/>
        </w:rPr>
        <w:t>合同编号</w:t>
      </w:r>
      <w:r>
        <w:rPr>
          <w:rFonts w:hint="eastAsia" w:ascii="宋体" w:hAnsi="宋体" w:eastAsia="宋体" w:cs="宋体"/>
          <w:color w:val="auto"/>
          <w:sz w:val="28"/>
          <w:szCs w:val="24"/>
          <w:highlight w:val="none"/>
          <w:lang w:val="en-US" w:eastAsia="zh-CN"/>
        </w:rPr>
        <w:t>：</w:t>
      </w:r>
      <w:r>
        <w:rPr>
          <w:rFonts w:hint="eastAsia" w:ascii="宋体" w:hAnsi="宋体" w:eastAsia="宋体" w:cs="宋体"/>
          <w:color w:val="auto"/>
          <w:sz w:val="28"/>
          <w:szCs w:val="28"/>
          <w:highlight w:val="none"/>
          <w:u w:val="single"/>
          <w:lang w:val="en-US" w:eastAsia="zh-CN"/>
        </w:rPr>
        <w:t xml:space="preserve">                    </w:t>
      </w:r>
    </w:p>
    <w:p w14:paraId="44B393DC">
      <w:pPr>
        <w:snapToGrid w:val="0"/>
        <w:jc w:val="center"/>
        <w:outlineLvl w:val="1"/>
        <w:rPr>
          <w:rFonts w:hint="eastAsia" w:ascii="宋体" w:hAnsi="宋体" w:eastAsia="宋体" w:cs="宋体"/>
          <w:b/>
          <w:color w:val="auto"/>
          <w:sz w:val="48"/>
          <w:szCs w:val="48"/>
          <w:highlight w:val="none"/>
          <w:lang w:val="en-US" w:eastAsia="zh-CN"/>
        </w:rPr>
      </w:pPr>
      <w:r>
        <w:rPr>
          <w:rFonts w:hint="eastAsia" w:ascii="宋体" w:hAnsi="宋体" w:eastAsia="宋体" w:cs="宋体"/>
          <w:b/>
          <w:color w:val="auto"/>
          <w:sz w:val="48"/>
          <w:szCs w:val="48"/>
          <w:highlight w:val="none"/>
          <w:lang w:val="en-US" w:eastAsia="zh-CN"/>
        </w:rPr>
        <w:t>一标段：食堂劳务外包</w:t>
      </w:r>
    </w:p>
    <w:p w14:paraId="370FCD69">
      <w:pPr>
        <w:snapToGrid w:val="0"/>
        <w:jc w:val="center"/>
        <w:rPr>
          <w:rFonts w:hint="eastAsia" w:ascii="宋体" w:hAnsi="宋体" w:eastAsia="宋体" w:cs="宋体"/>
          <w:b/>
          <w:color w:val="auto"/>
          <w:sz w:val="52"/>
          <w:szCs w:val="52"/>
          <w:highlight w:val="none"/>
        </w:rPr>
      </w:pPr>
    </w:p>
    <w:p w14:paraId="42ED7F38">
      <w:pPr>
        <w:snapToGrid w:val="0"/>
        <w:jc w:val="center"/>
        <w:rPr>
          <w:rFonts w:hint="eastAsia" w:ascii="宋体" w:hAnsi="宋体" w:eastAsia="宋体" w:cs="宋体"/>
          <w:b/>
          <w:color w:val="auto"/>
          <w:sz w:val="52"/>
          <w:szCs w:val="52"/>
          <w:highlight w:val="none"/>
        </w:rPr>
      </w:pPr>
    </w:p>
    <w:p w14:paraId="4C9EC756">
      <w:pPr>
        <w:snapToGrid w:val="0"/>
        <w:jc w:val="center"/>
        <w:rPr>
          <w:rFonts w:hint="eastAsia" w:ascii="宋体" w:hAnsi="宋体" w:eastAsia="宋体" w:cs="宋体"/>
          <w:b/>
          <w:color w:val="auto"/>
          <w:sz w:val="52"/>
          <w:szCs w:val="52"/>
          <w:highlight w:val="none"/>
        </w:rPr>
      </w:pPr>
    </w:p>
    <w:p w14:paraId="50AD6E23">
      <w:pPr>
        <w:spacing w:before="312" w:beforeLines="100" w:line="300" w:lineRule="auto"/>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52"/>
          <w:szCs w:val="22"/>
          <w:highlight w:val="none"/>
          <w:u w:val="single"/>
          <w:lang w:val="en-US" w:eastAsia="zh-CN" w:bidi="en-US"/>
        </w:rPr>
        <w:t>2026-2028年员工食堂劳务外包合同</w:t>
      </w:r>
    </w:p>
    <w:p w14:paraId="31136652">
      <w:pPr>
        <w:ind w:firstLine="1063" w:firstLineChars="378"/>
        <w:rPr>
          <w:rFonts w:hint="eastAsia" w:ascii="宋体" w:hAnsi="宋体" w:eastAsia="宋体" w:cs="宋体"/>
          <w:b/>
          <w:color w:val="auto"/>
          <w:sz w:val="28"/>
          <w:szCs w:val="24"/>
          <w:highlight w:val="none"/>
        </w:rPr>
      </w:pPr>
    </w:p>
    <w:p w14:paraId="68F1DB60">
      <w:pPr>
        <w:ind w:firstLine="1058" w:firstLineChars="378"/>
        <w:rPr>
          <w:rFonts w:hint="eastAsia" w:ascii="宋体" w:hAnsi="宋体" w:eastAsia="宋体" w:cs="宋体"/>
          <w:color w:val="auto"/>
          <w:sz w:val="28"/>
          <w:szCs w:val="24"/>
          <w:highlight w:val="none"/>
          <w:u w:val="single"/>
        </w:rPr>
      </w:pPr>
    </w:p>
    <w:p w14:paraId="3FF6F0E7">
      <w:pPr>
        <w:ind w:firstLine="1058" w:firstLineChars="378"/>
        <w:rPr>
          <w:rFonts w:hint="eastAsia" w:ascii="宋体" w:hAnsi="宋体" w:eastAsia="宋体" w:cs="宋体"/>
          <w:color w:val="auto"/>
          <w:sz w:val="28"/>
          <w:szCs w:val="24"/>
          <w:highlight w:val="none"/>
          <w:u w:val="single"/>
        </w:rPr>
      </w:pPr>
    </w:p>
    <w:p w14:paraId="1B3D93AD">
      <w:pPr>
        <w:ind w:firstLine="1058" w:firstLineChars="378"/>
        <w:rPr>
          <w:rFonts w:hint="eastAsia" w:ascii="宋体" w:hAnsi="宋体" w:eastAsia="宋体" w:cs="宋体"/>
          <w:color w:val="auto"/>
          <w:sz w:val="28"/>
          <w:szCs w:val="24"/>
          <w:highlight w:val="none"/>
          <w:u w:val="single"/>
        </w:rPr>
      </w:pPr>
    </w:p>
    <w:p w14:paraId="0A0CD8CC">
      <w:pPr>
        <w:ind w:firstLine="1063" w:firstLineChars="378"/>
        <w:rPr>
          <w:rFonts w:hint="eastAsia" w:ascii="宋体" w:hAnsi="宋体" w:eastAsia="宋体" w:cs="宋体"/>
          <w:b/>
          <w:color w:val="auto"/>
          <w:sz w:val="28"/>
          <w:szCs w:val="24"/>
          <w:highlight w:val="none"/>
        </w:rPr>
      </w:pPr>
      <w:r>
        <w:rPr>
          <w:rFonts w:hint="eastAsia" w:ascii="宋体" w:hAnsi="宋体" w:eastAsia="宋体" w:cs="宋体"/>
          <w:b/>
          <w:color w:val="auto"/>
          <w:sz w:val="28"/>
          <w:szCs w:val="24"/>
          <w:highlight w:val="none"/>
        </w:rPr>
        <w:t>项目地点：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u w:val="single"/>
        </w:rPr>
        <w:t xml:space="preserve">湖南省长沙市 </w:t>
      </w:r>
      <w:r>
        <w:rPr>
          <w:rFonts w:hint="eastAsia" w:ascii="宋体" w:hAnsi="宋体" w:eastAsia="宋体" w:cs="宋体"/>
          <w:color w:val="auto"/>
          <w:sz w:val="28"/>
          <w:szCs w:val="28"/>
          <w:highlight w:val="none"/>
          <w:u w:val="single"/>
        </w:rPr>
        <w:t xml:space="preserve">        </w:t>
      </w:r>
    </w:p>
    <w:p w14:paraId="59F77E9D">
      <w:pPr>
        <w:ind w:firstLine="1058" w:firstLineChars="378"/>
        <w:rPr>
          <w:rFonts w:hint="eastAsia" w:ascii="宋体" w:hAnsi="宋体" w:eastAsia="宋体" w:cs="宋体"/>
          <w:color w:val="auto"/>
          <w:sz w:val="28"/>
          <w:szCs w:val="24"/>
          <w:highlight w:val="none"/>
        </w:rPr>
      </w:pPr>
    </w:p>
    <w:p w14:paraId="5B9CCD28">
      <w:pPr>
        <w:ind w:firstLine="1063" w:firstLineChars="378"/>
        <w:rPr>
          <w:rFonts w:hint="eastAsia" w:ascii="宋体" w:hAnsi="宋体" w:eastAsia="宋体" w:cs="宋体"/>
          <w:color w:val="auto"/>
          <w:sz w:val="28"/>
          <w:szCs w:val="28"/>
          <w:highlight w:val="none"/>
          <w:u w:val="single"/>
        </w:rPr>
      </w:pPr>
      <w:r>
        <w:rPr>
          <w:rFonts w:hint="eastAsia" w:ascii="宋体" w:hAnsi="宋体" w:eastAsia="宋体" w:cs="宋体"/>
          <w:b/>
          <w:color w:val="auto"/>
          <w:sz w:val="28"/>
          <w:szCs w:val="24"/>
          <w:highlight w:val="none"/>
        </w:rPr>
        <w:t>甲    方</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ascii="宋体" w:hAnsi="宋体" w:eastAsia="宋体" w:cs="宋体"/>
          <w:b/>
          <w:bCs/>
          <w:color w:val="auto"/>
          <w:sz w:val="28"/>
          <w:szCs w:val="28"/>
          <w:highlight w:val="none"/>
          <w:u w:val="single"/>
          <w:lang w:eastAsia="zh-CN"/>
        </w:rPr>
        <w:t>长沙穗城轨道交通有限公司</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color w:val="auto"/>
          <w:sz w:val="28"/>
          <w:szCs w:val="28"/>
          <w:highlight w:val="none"/>
          <w:u w:val="single"/>
        </w:rPr>
        <w:t xml:space="preserve">    </w:t>
      </w:r>
    </w:p>
    <w:p w14:paraId="7941A93F">
      <w:pPr>
        <w:ind w:firstLine="1058" w:firstLineChars="378"/>
        <w:rPr>
          <w:rFonts w:hint="eastAsia" w:ascii="宋体" w:hAnsi="宋体" w:eastAsia="宋体" w:cs="宋体"/>
          <w:color w:val="auto"/>
          <w:sz w:val="28"/>
          <w:szCs w:val="24"/>
          <w:highlight w:val="none"/>
        </w:rPr>
      </w:pPr>
    </w:p>
    <w:p w14:paraId="10285470">
      <w:pPr>
        <w:widowControl/>
        <w:ind w:firstLine="1124" w:firstLineChars="400"/>
        <w:jc w:val="left"/>
        <w:rPr>
          <w:rFonts w:hint="eastAsia" w:ascii="宋体" w:hAnsi="宋体" w:eastAsia="宋体" w:cs="宋体"/>
          <w:color w:val="auto"/>
          <w:sz w:val="28"/>
          <w:szCs w:val="28"/>
          <w:highlight w:val="none"/>
          <w:u w:val="single"/>
        </w:rPr>
      </w:pPr>
      <w:r>
        <w:rPr>
          <w:rFonts w:hint="eastAsia" w:ascii="宋体" w:hAnsi="宋体" w:eastAsia="宋体" w:cs="宋体"/>
          <w:b/>
          <w:color w:val="auto"/>
          <w:sz w:val="28"/>
          <w:szCs w:val="24"/>
          <w:highlight w:val="none"/>
        </w:rPr>
        <w:t>乙    方：</w:t>
      </w:r>
      <w:r>
        <w:rPr>
          <w:rFonts w:hint="eastAsia" w:ascii="宋体" w:hAnsi="宋体" w:eastAsia="宋体" w:cs="宋体"/>
          <w:color w:val="auto"/>
          <w:sz w:val="28"/>
          <w:szCs w:val="28"/>
          <w:highlight w:val="none"/>
          <w:u w:val="single"/>
        </w:rPr>
        <w:t xml:space="preserve"> </w:t>
      </w:r>
      <w:r>
        <w:rPr>
          <w:rFonts w:hint="eastAsia" w:ascii="宋体" w:hAnsi="宋体" w:cs="宋体"/>
          <w:b/>
          <w:bCs/>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
    <w:p w14:paraId="6F97C627">
      <w:pPr>
        <w:widowControl/>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10CE3390">
      <w:pPr>
        <w:widowControl w:val="0"/>
        <w:adjustRightInd w:val="0"/>
        <w:snapToGrid w:val="0"/>
        <w:spacing w:line="360" w:lineRule="auto"/>
        <w:jc w:val="center"/>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第一部分 合同协议书</w:t>
      </w:r>
    </w:p>
    <w:p w14:paraId="41CBAD3A">
      <w:pPr>
        <w:adjustRightInd w:val="0"/>
        <w:snapToGrid w:val="0"/>
        <w:spacing w:beforeLines="0" w:afterLines="0" w:line="360" w:lineRule="auto"/>
        <w:rPr>
          <w:rFonts w:hint="eastAsia" w:ascii="宋体" w:hAnsi="宋体" w:eastAsia="宋体" w:cs="宋体"/>
          <w:b/>
          <w:color w:val="auto"/>
          <w:sz w:val="21"/>
          <w:szCs w:val="21"/>
          <w:highlight w:val="none"/>
        </w:rPr>
      </w:pPr>
    </w:p>
    <w:p w14:paraId="5130B218">
      <w:pPr>
        <w:adjustRightInd w:val="0"/>
        <w:snapToGrid w:val="0"/>
        <w:spacing w:beforeLines="0" w:afterLines="0" w:line="360" w:lineRule="auto"/>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甲方（全称）</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eastAsia="zh-CN"/>
        </w:rPr>
        <w:t>长沙穗城轨道交通有限公司</w:t>
      </w:r>
    </w:p>
    <w:p w14:paraId="1F8F747C">
      <w:pPr>
        <w:adjustRightInd w:val="0"/>
        <w:snapToGrid w:val="0"/>
        <w:spacing w:beforeLines="0" w:afterLines="0"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乙方（全称）</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708AD840">
      <w:pPr>
        <w:spacing w:beforeLines="0" w:afterLines="0" w:line="360" w:lineRule="auto"/>
        <w:ind w:firstLine="367" w:firstLineChars="175"/>
        <w:rPr>
          <w:rFonts w:hint="eastAsia" w:ascii="宋体" w:hAnsi="宋体" w:eastAsia="宋体" w:cs="宋体"/>
          <w:b/>
          <w:bCs/>
          <w:color w:val="auto"/>
          <w:kern w:val="0"/>
          <w:sz w:val="21"/>
          <w:szCs w:val="21"/>
          <w:highlight w:val="none"/>
        </w:rPr>
      </w:pPr>
      <w:bookmarkStart w:id="13" w:name="_Toc457826139"/>
      <w:bookmarkStart w:id="14" w:name="_Toc406150410"/>
      <w:r>
        <w:rPr>
          <w:rFonts w:hint="eastAsia" w:ascii="宋体" w:hAnsi="宋体" w:eastAsia="宋体" w:cs="宋体"/>
          <w:color w:val="auto"/>
          <w:kern w:val="0"/>
          <w:sz w:val="21"/>
          <w:szCs w:val="21"/>
          <w:highlight w:val="none"/>
        </w:rPr>
        <w:t>本合同由甲乙双方依照《中华人民共和国民法典》及其他有关法律、行政法规，遵循平等、自愿、公平和诚实信用的原则，双方就下述项目的劳务服务及其他相关事项协商一致，共同签订本合同。</w:t>
      </w:r>
    </w:p>
    <w:p w14:paraId="3C9EAC95">
      <w:pPr>
        <w:spacing w:beforeLines="0" w:afterLines="0" w:line="360" w:lineRule="auto"/>
        <w:ind w:firstLine="369" w:firstLineChars="175"/>
        <w:rPr>
          <w:rFonts w:hint="eastAsia" w:ascii="宋体" w:hAnsi="宋体" w:eastAsia="宋体" w:cs="宋体"/>
          <w:b/>
          <w:color w:val="auto"/>
          <w:kern w:val="0"/>
          <w:sz w:val="21"/>
          <w:szCs w:val="21"/>
          <w:highlight w:val="none"/>
        </w:rPr>
      </w:pPr>
      <w:r>
        <w:rPr>
          <w:rFonts w:hint="eastAsia" w:ascii="宋体" w:hAnsi="宋体" w:eastAsia="宋体" w:cs="宋体"/>
          <w:b/>
          <w:bCs/>
          <w:color w:val="auto"/>
          <w:sz w:val="21"/>
          <w:szCs w:val="21"/>
          <w:highlight w:val="none"/>
        </w:rPr>
        <w:t>特别提示：</w:t>
      </w:r>
      <w:r>
        <w:rPr>
          <w:rFonts w:hint="eastAsia" w:ascii="宋体" w:hAnsi="宋体" w:eastAsia="宋体" w:cs="宋体"/>
          <w:color w:val="auto"/>
          <w:sz w:val="21"/>
          <w:szCs w:val="21"/>
          <w:highlight w:val="none"/>
        </w:rPr>
        <w:t>本合同系合同双方在平等、自愿的基础上依法协商订立，所有合同条款均是双方意思的真实表示。为维护乙方的合法权益，甲方特提请并在签订本合同之前已提请乙方对有关双方权利义务的全部条款予以充分注意，乙方对本合同全部条款均予以认可且无异议。</w:t>
      </w:r>
    </w:p>
    <w:p w14:paraId="3AB14E6C">
      <w:pPr>
        <w:spacing w:beforeLines="0" w:afterLines="0" w:line="360" w:lineRule="auto"/>
        <w:ind w:firstLine="369" w:firstLineChars="175"/>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一、项目概况</w:t>
      </w:r>
      <w:bookmarkEnd w:id="13"/>
      <w:bookmarkEnd w:id="14"/>
    </w:p>
    <w:p w14:paraId="052B893F">
      <w:pPr>
        <w:spacing w:beforeLines="0" w:afterLines="0" w:line="360" w:lineRule="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 xml:space="preserve">    1、项目名称：</w:t>
      </w:r>
      <w:r>
        <w:rPr>
          <w:rFonts w:hint="eastAsia" w:ascii="宋体" w:hAnsi="宋体" w:eastAsia="宋体" w:cs="宋体"/>
          <w:color w:val="auto"/>
          <w:kern w:val="0"/>
          <w:sz w:val="21"/>
          <w:szCs w:val="21"/>
          <w:highlight w:val="none"/>
          <w:u w:val="single"/>
          <w:lang w:val="en-US" w:eastAsia="zh-CN"/>
        </w:rPr>
        <w:t>202</w:t>
      </w:r>
      <w:r>
        <w:rPr>
          <w:rFonts w:hint="eastAsia" w:ascii="宋体" w:hAnsi="宋体" w:cs="宋体"/>
          <w:color w:val="auto"/>
          <w:kern w:val="0"/>
          <w:sz w:val="21"/>
          <w:szCs w:val="21"/>
          <w:highlight w:val="none"/>
          <w:u w:val="single"/>
          <w:lang w:val="en-US" w:eastAsia="zh-CN"/>
        </w:rPr>
        <w:t>6</w:t>
      </w:r>
      <w:r>
        <w:rPr>
          <w:rFonts w:hint="eastAsia" w:ascii="宋体" w:hAnsi="宋体" w:eastAsia="宋体" w:cs="宋体"/>
          <w:color w:val="auto"/>
          <w:kern w:val="0"/>
          <w:sz w:val="21"/>
          <w:szCs w:val="21"/>
          <w:highlight w:val="none"/>
          <w:u w:val="single"/>
          <w:lang w:val="en-US" w:eastAsia="zh-CN"/>
        </w:rPr>
        <w:t>-202</w:t>
      </w:r>
      <w:r>
        <w:rPr>
          <w:rFonts w:hint="eastAsia" w:ascii="宋体" w:hAnsi="宋体" w:cs="宋体"/>
          <w:color w:val="auto"/>
          <w:kern w:val="0"/>
          <w:sz w:val="21"/>
          <w:szCs w:val="21"/>
          <w:highlight w:val="none"/>
          <w:u w:val="single"/>
          <w:lang w:val="en-US" w:eastAsia="zh-CN"/>
        </w:rPr>
        <w:t>8</w:t>
      </w:r>
      <w:r>
        <w:rPr>
          <w:rFonts w:hint="eastAsia" w:ascii="宋体" w:hAnsi="宋体" w:eastAsia="宋体" w:cs="宋体"/>
          <w:color w:val="auto"/>
          <w:kern w:val="0"/>
          <w:sz w:val="21"/>
          <w:szCs w:val="21"/>
          <w:highlight w:val="none"/>
          <w:u w:val="single"/>
          <w:lang w:val="en-US" w:eastAsia="zh-CN"/>
        </w:rPr>
        <w:t>年</w:t>
      </w:r>
      <w:r>
        <w:rPr>
          <w:rFonts w:hint="eastAsia" w:ascii="宋体" w:hAnsi="宋体" w:cs="宋体"/>
          <w:color w:val="auto"/>
          <w:kern w:val="0"/>
          <w:sz w:val="21"/>
          <w:szCs w:val="21"/>
          <w:highlight w:val="none"/>
          <w:u w:val="single"/>
          <w:lang w:val="en-US" w:eastAsia="zh-CN"/>
        </w:rPr>
        <w:t>员工食堂</w:t>
      </w:r>
      <w:r>
        <w:rPr>
          <w:rFonts w:hint="eastAsia" w:ascii="宋体" w:hAnsi="宋体" w:eastAsia="宋体" w:cs="宋体"/>
          <w:color w:val="auto"/>
          <w:kern w:val="0"/>
          <w:sz w:val="21"/>
          <w:szCs w:val="21"/>
          <w:highlight w:val="none"/>
          <w:u w:val="single"/>
          <w:lang w:val="en-US" w:eastAsia="zh-CN"/>
        </w:rPr>
        <w:t>劳务外包、物资供应项目</w:t>
      </w:r>
      <w:r>
        <w:rPr>
          <w:rFonts w:hint="eastAsia" w:ascii="宋体" w:hAnsi="宋体" w:cs="宋体"/>
          <w:color w:val="auto"/>
          <w:kern w:val="0"/>
          <w:sz w:val="21"/>
          <w:szCs w:val="21"/>
          <w:highlight w:val="none"/>
          <w:u w:val="single"/>
          <w:lang w:val="en-US" w:eastAsia="zh-CN"/>
        </w:rPr>
        <w:t>（</w:t>
      </w:r>
      <w:r>
        <w:rPr>
          <w:rFonts w:hint="eastAsia" w:ascii="宋体" w:hAnsi="宋体" w:cs="宋体"/>
          <w:color w:val="auto"/>
          <w:kern w:val="0"/>
          <w:szCs w:val="21"/>
          <w:highlight w:val="none"/>
          <w:u w:val="single"/>
        </w:rPr>
        <w:t>劳务外包</w:t>
      </w:r>
      <w:r>
        <w:rPr>
          <w:rFonts w:hint="eastAsia" w:ascii="宋体" w:hAnsi="宋体" w:cs="宋体"/>
          <w:color w:val="auto"/>
          <w:kern w:val="0"/>
          <w:sz w:val="21"/>
          <w:szCs w:val="21"/>
          <w:highlight w:val="none"/>
          <w:u w:val="single"/>
          <w:lang w:val="en-US" w:eastAsia="zh-CN"/>
        </w:rPr>
        <w:t>）</w:t>
      </w:r>
    </w:p>
    <w:p w14:paraId="150AB5AE">
      <w:pPr>
        <w:spacing w:beforeLines="0" w:afterLines="0" w:line="360" w:lineRule="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 xml:space="preserve">    2、项目地点：</w:t>
      </w:r>
      <w:r>
        <w:rPr>
          <w:rFonts w:hint="eastAsia" w:ascii="宋体" w:hAnsi="宋体" w:eastAsia="宋体" w:cs="宋体"/>
          <w:color w:val="auto"/>
          <w:kern w:val="0"/>
          <w:sz w:val="21"/>
          <w:szCs w:val="21"/>
          <w:highlight w:val="none"/>
          <w:u w:val="single"/>
        </w:rPr>
        <w:t>湖南省长沙市</w:t>
      </w:r>
    </w:p>
    <w:p w14:paraId="2AAED28B">
      <w:pPr>
        <w:adjustRightInd w:val="0"/>
        <w:snapToGrid w:val="0"/>
        <w:spacing w:beforeLines="0" w:afterLines="0" w:line="360" w:lineRule="auto"/>
        <w:ind w:firstLine="48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二、服务范围及工作内容</w:t>
      </w:r>
    </w:p>
    <w:p w14:paraId="05694344">
      <w:pPr>
        <w:adjustRightInd w:val="0"/>
        <w:snapToGrid w:val="0"/>
        <w:spacing w:beforeLines="0" w:afterLines="0"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u w:val="none"/>
        </w:rPr>
        <w:t>本项目实施过程中，乙方须按照甲方的要求提供餐饮服务和管理，包括但不限于：</w:t>
      </w:r>
      <w:r>
        <w:rPr>
          <w:rFonts w:hint="eastAsia" w:ascii="宋体" w:hAnsi="宋体" w:eastAsia="宋体" w:cs="宋体"/>
          <w:color w:val="auto"/>
          <w:kern w:val="0"/>
          <w:sz w:val="21"/>
          <w:szCs w:val="21"/>
          <w:highlight w:val="none"/>
          <w:u w:val="none"/>
          <w:lang w:val="en-US" w:eastAsia="zh-CN"/>
        </w:rPr>
        <w:t>由乙方餐饮劳务团队负责为甲方员工提供餐饮服务和管理，包括但不限于：五餐（早早餐、早餐、中餐、晚餐、晚晚餐，甲方可根据要求增加相关服务）、车站送餐、客餐服务和相关辅助服务（如按要求提供凉茶、绿豆汤等），配合</w:t>
      </w:r>
      <w:r>
        <w:rPr>
          <w:rFonts w:hint="eastAsia" w:ascii="宋体" w:hAnsi="宋体" w:cs="宋体"/>
          <w:color w:val="auto"/>
          <w:kern w:val="0"/>
          <w:sz w:val="21"/>
          <w:szCs w:val="21"/>
          <w:highlight w:val="none"/>
          <w:u w:val="none"/>
          <w:lang w:val="en-US" w:eastAsia="zh-CN"/>
        </w:rPr>
        <w:t>甲方</w:t>
      </w:r>
      <w:r>
        <w:rPr>
          <w:rFonts w:hint="eastAsia" w:ascii="宋体" w:hAnsi="宋体" w:eastAsia="宋体" w:cs="宋体"/>
          <w:color w:val="auto"/>
          <w:kern w:val="0"/>
          <w:sz w:val="21"/>
          <w:szCs w:val="21"/>
          <w:highlight w:val="none"/>
          <w:u w:val="none"/>
          <w:lang w:val="en-US" w:eastAsia="zh-CN"/>
        </w:rPr>
        <w:t>开展</w:t>
      </w:r>
      <w:r>
        <w:rPr>
          <w:rFonts w:hint="eastAsia" w:ascii="宋体" w:hAnsi="宋体" w:eastAsia="宋体" w:cs="宋体"/>
          <w:color w:val="auto"/>
          <w:kern w:val="0"/>
          <w:sz w:val="21"/>
          <w:szCs w:val="21"/>
          <w:highlight w:val="none"/>
          <w:u w:val="none"/>
        </w:rPr>
        <w:t>节庆活动</w:t>
      </w:r>
      <w:r>
        <w:rPr>
          <w:rFonts w:hint="eastAsia" w:ascii="宋体" w:hAnsi="宋体" w:eastAsia="宋体" w:cs="宋体"/>
          <w:color w:val="auto"/>
          <w:kern w:val="0"/>
          <w:sz w:val="21"/>
          <w:szCs w:val="21"/>
          <w:highlight w:val="none"/>
          <w:u w:val="none"/>
          <w:lang w:val="en-US" w:eastAsia="zh-CN"/>
        </w:rPr>
        <w:t>，</w:t>
      </w:r>
      <w:r>
        <w:rPr>
          <w:rFonts w:hint="eastAsia" w:ascii="宋体" w:hAnsi="宋体" w:cs="宋体"/>
          <w:color w:val="auto"/>
          <w:kern w:val="0"/>
          <w:sz w:val="21"/>
          <w:szCs w:val="21"/>
          <w:highlight w:val="none"/>
          <w:u w:val="none"/>
          <w:lang w:val="en-US" w:eastAsia="zh-CN"/>
        </w:rPr>
        <w:t>乙方</w:t>
      </w:r>
      <w:r>
        <w:rPr>
          <w:rFonts w:hint="eastAsia" w:ascii="宋体" w:hAnsi="宋体" w:eastAsia="宋体" w:cs="宋体"/>
          <w:color w:val="auto"/>
          <w:kern w:val="0"/>
          <w:sz w:val="21"/>
          <w:szCs w:val="21"/>
          <w:highlight w:val="none"/>
          <w:u w:val="none"/>
          <w:lang w:val="en-US" w:eastAsia="zh-CN"/>
        </w:rPr>
        <w:t>负责</w:t>
      </w:r>
      <w:r>
        <w:rPr>
          <w:rFonts w:hint="eastAsia" w:ascii="宋体" w:hAnsi="宋体" w:eastAsia="宋体" w:cs="宋体"/>
          <w:color w:val="auto"/>
          <w:kern w:val="0"/>
          <w:sz w:val="21"/>
          <w:szCs w:val="21"/>
          <w:highlight w:val="none"/>
          <w:u w:val="none"/>
        </w:rPr>
        <w:t>食品安全</w:t>
      </w:r>
      <w:r>
        <w:rPr>
          <w:rFonts w:hint="eastAsia" w:ascii="宋体" w:hAnsi="宋体" w:eastAsia="宋体" w:cs="宋体"/>
          <w:color w:val="auto"/>
          <w:kern w:val="0"/>
          <w:sz w:val="21"/>
          <w:szCs w:val="21"/>
          <w:highlight w:val="none"/>
          <w:u w:val="none"/>
          <w:lang w:val="en-US" w:eastAsia="zh-CN"/>
        </w:rPr>
        <w:t>及</w:t>
      </w:r>
      <w:r>
        <w:rPr>
          <w:rFonts w:hint="eastAsia" w:ascii="宋体" w:hAnsi="宋体" w:eastAsia="宋体" w:cs="宋体"/>
          <w:color w:val="auto"/>
          <w:kern w:val="0"/>
          <w:sz w:val="21"/>
          <w:szCs w:val="21"/>
          <w:highlight w:val="none"/>
          <w:u w:val="none"/>
        </w:rPr>
        <w:t>经营场所有关保险</w:t>
      </w:r>
      <w:r>
        <w:rPr>
          <w:rFonts w:hint="eastAsia" w:ascii="宋体" w:hAnsi="宋体" w:eastAsia="宋体" w:cs="宋体"/>
          <w:color w:val="auto"/>
          <w:kern w:val="0"/>
          <w:sz w:val="21"/>
          <w:szCs w:val="21"/>
          <w:highlight w:val="none"/>
          <w:u w:val="none"/>
          <w:lang w:eastAsia="zh-CN"/>
        </w:rPr>
        <w:t>，</w:t>
      </w:r>
      <w:r>
        <w:rPr>
          <w:rFonts w:hint="eastAsia" w:ascii="宋体" w:hAnsi="宋体" w:eastAsia="宋体" w:cs="宋体"/>
          <w:color w:val="auto"/>
          <w:kern w:val="0"/>
          <w:sz w:val="21"/>
          <w:szCs w:val="21"/>
          <w:highlight w:val="none"/>
          <w:u w:val="none"/>
          <w:lang w:val="en-US" w:eastAsia="zh-CN"/>
        </w:rPr>
        <w:t>人员</w:t>
      </w:r>
      <w:r>
        <w:rPr>
          <w:rFonts w:hint="eastAsia" w:ascii="宋体" w:hAnsi="宋体" w:eastAsia="宋体" w:cs="宋体"/>
          <w:color w:val="auto"/>
          <w:kern w:val="0"/>
          <w:sz w:val="21"/>
          <w:szCs w:val="21"/>
          <w:highlight w:val="none"/>
          <w:u w:val="none"/>
        </w:rPr>
        <w:t>培训</w:t>
      </w:r>
      <w:r>
        <w:rPr>
          <w:rFonts w:hint="eastAsia" w:ascii="宋体" w:hAnsi="宋体" w:eastAsia="宋体" w:cs="宋体"/>
          <w:color w:val="auto"/>
          <w:kern w:val="0"/>
          <w:sz w:val="21"/>
          <w:szCs w:val="21"/>
          <w:highlight w:val="none"/>
          <w:u w:val="none"/>
          <w:lang w:val="en-US" w:eastAsia="zh-CN"/>
        </w:rPr>
        <w:t>、服装，油烟系统清洗、食堂设备设施维修维护、</w:t>
      </w:r>
      <w:r>
        <w:rPr>
          <w:rFonts w:hint="eastAsia" w:ascii="宋体" w:hAnsi="宋体" w:eastAsia="宋体" w:cs="宋体"/>
          <w:color w:val="auto"/>
          <w:kern w:val="0"/>
          <w:sz w:val="21"/>
          <w:szCs w:val="21"/>
          <w:highlight w:val="none"/>
          <w:u w:val="none"/>
        </w:rPr>
        <w:t>油烟排放</w:t>
      </w:r>
      <w:r>
        <w:rPr>
          <w:rFonts w:hint="eastAsia" w:ascii="宋体" w:hAnsi="宋体" w:eastAsia="宋体" w:cs="宋体"/>
          <w:color w:val="auto"/>
          <w:kern w:val="0"/>
          <w:sz w:val="21"/>
          <w:szCs w:val="21"/>
          <w:highlight w:val="none"/>
          <w:u w:val="none"/>
          <w:lang w:val="en-US" w:eastAsia="zh-CN"/>
        </w:rPr>
        <w:t>第三方</w:t>
      </w:r>
      <w:r>
        <w:rPr>
          <w:rFonts w:hint="eastAsia" w:ascii="宋体" w:hAnsi="宋体" w:eastAsia="宋体" w:cs="宋体"/>
          <w:color w:val="auto"/>
          <w:kern w:val="0"/>
          <w:sz w:val="21"/>
          <w:szCs w:val="21"/>
          <w:highlight w:val="none"/>
          <w:u w:val="none"/>
        </w:rPr>
        <w:t>检测</w:t>
      </w:r>
      <w:r>
        <w:rPr>
          <w:rFonts w:hint="eastAsia" w:ascii="宋体" w:hAnsi="宋体" w:eastAsia="宋体" w:cs="宋体"/>
          <w:color w:val="auto"/>
          <w:kern w:val="0"/>
          <w:sz w:val="21"/>
          <w:szCs w:val="21"/>
          <w:highlight w:val="none"/>
          <w:u w:val="none"/>
          <w:lang w:val="en-US" w:eastAsia="zh-CN"/>
        </w:rPr>
        <w:t>、餐厨垃圾收运、小卖部管理、</w:t>
      </w:r>
      <w:r>
        <w:rPr>
          <w:rFonts w:hint="eastAsia" w:ascii="宋体" w:hAnsi="宋体" w:eastAsia="宋体" w:cs="宋体"/>
          <w:color w:val="auto"/>
          <w:kern w:val="0"/>
          <w:sz w:val="21"/>
          <w:szCs w:val="21"/>
          <w:highlight w:val="none"/>
          <w:u w:val="none"/>
        </w:rPr>
        <w:t>以及其他服务工作</w:t>
      </w:r>
      <w:r>
        <w:rPr>
          <w:rFonts w:hint="eastAsia" w:ascii="宋体" w:hAnsi="宋体" w:eastAsia="宋体" w:cs="宋体"/>
          <w:color w:val="auto"/>
          <w:kern w:val="0"/>
          <w:sz w:val="21"/>
          <w:szCs w:val="21"/>
          <w:highlight w:val="none"/>
          <w:u w:val="none"/>
          <w:lang w:val="en-US" w:eastAsia="zh-CN"/>
        </w:rPr>
        <w:t>。员工食堂日常经营所需食材、调味品由甲方提供；具体内容详见招标文件用户需求书。</w:t>
      </w:r>
    </w:p>
    <w:p w14:paraId="280179E0">
      <w:pPr>
        <w:adjustRightInd w:val="0"/>
        <w:snapToGrid w:val="0"/>
        <w:spacing w:beforeLines="0" w:afterLines="0" w:line="360" w:lineRule="auto"/>
        <w:ind w:firstLine="48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三、服务期限</w:t>
      </w:r>
    </w:p>
    <w:p w14:paraId="4CC07E90">
      <w:pPr>
        <w:adjustRightInd w:val="0"/>
        <w:snapToGrid w:val="0"/>
        <w:spacing w:beforeLines="0" w:afterLines="0" w:line="360" w:lineRule="auto"/>
        <w:ind w:firstLine="480"/>
        <w:rPr>
          <w:rFonts w:hint="eastAsia" w:ascii="宋体" w:hAnsi="宋体" w:eastAsia="宋体" w:cs="宋体"/>
          <w:color w:val="auto"/>
          <w:kern w:val="0"/>
          <w:sz w:val="21"/>
          <w:szCs w:val="21"/>
          <w:highlight w:val="none"/>
          <w:u w:val="none"/>
        </w:rPr>
      </w:pPr>
      <w:r>
        <w:rPr>
          <w:rFonts w:hint="eastAsia" w:ascii="宋体" w:hAnsi="宋体" w:eastAsia="宋体" w:cs="宋体"/>
          <w:color w:val="auto"/>
          <w:kern w:val="0"/>
          <w:sz w:val="21"/>
          <w:szCs w:val="21"/>
          <w:highlight w:val="none"/>
          <w:u w:val="none"/>
        </w:rPr>
        <w:t>三年，实际服务时间以乙方接到甲方发出开工通知书并正式进场服务开始计算。</w:t>
      </w:r>
    </w:p>
    <w:p w14:paraId="5FB078F3">
      <w:pPr>
        <w:adjustRightInd w:val="0"/>
        <w:snapToGrid w:val="0"/>
        <w:spacing w:beforeLines="0" w:afterLines="0" w:line="360" w:lineRule="auto"/>
        <w:ind w:firstLine="48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四、合同价款</w:t>
      </w:r>
    </w:p>
    <w:p w14:paraId="5756D505">
      <w:pPr>
        <w:adjustRightInd w:val="0"/>
        <w:snapToGrid w:val="0"/>
        <w:spacing w:beforeLines="0" w:afterLines="0"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1、签约合同价为含税价，</w:t>
      </w:r>
      <w:r>
        <w:rPr>
          <w:rFonts w:hint="eastAsia" w:ascii="宋体" w:hAnsi="宋体" w:eastAsia="宋体" w:cs="宋体"/>
          <w:color w:val="auto"/>
          <w:sz w:val="21"/>
          <w:szCs w:val="21"/>
          <w:highlight w:val="none"/>
          <w:lang w:val="en-US" w:eastAsia="zh-CN"/>
        </w:rPr>
        <w:t>合同</w:t>
      </w:r>
      <w:r>
        <w:rPr>
          <w:rFonts w:hint="eastAsia" w:ascii="宋体" w:hAnsi="宋体" w:cs="宋体"/>
          <w:color w:val="auto"/>
          <w:sz w:val="21"/>
          <w:szCs w:val="21"/>
          <w:highlight w:val="none"/>
          <w:lang w:val="en-US" w:eastAsia="zh-CN"/>
        </w:rPr>
        <w:t>暂定总价</w:t>
      </w:r>
      <w:r>
        <w:rPr>
          <w:rFonts w:hint="eastAsia" w:ascii="宋体" w:hAnsi="宋体" w:eastAsia="宋体" w:cs="宋体"/>
          <w:color w:val="auto"/>
          <w:sz w:val="21"/>
          <w:szCs w:val="21"/>
          <w:highlight w:val="none"/>
        </w:rPr>
        <w:t>为人民币（大写）</w:t>
      </w:r>
      <w:r>
        <w:rPr>
          <w:rFonts w:hint="eastAsia" w:ascii="宋体" w:hAnsi="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元整 </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u w:val="single"/>
          <w:lang w:val="en-US" w:eastAsia="zh-CN"/>
        </w:rPr>
        <w:t>***</w:t>
      </w:r>
      <w:r>
        <w:rPr>
          <w:rFonts w:hint="eastAsia" w:ascii="宋体" w:hAnsi="宋体" w:eastAsia="宋体" w:cs="宋体"/>
          <w:color w:val="auto"/>
          <w:sz w:val="21"/>
          <w:szCs w:val="21"/>
          <w:highlight w:val="none"/>
        </w:rPr>
        <w:t>），其中，不含税</w:t>
      </w:r>
      <w:r>
        <w:rPr>
          <w:rFonts w:hint="eastAsia" w:ascii="宋体" w:hAnsi="宋体" w:cs="宋体"/>
          <w:color w:val="auto"/>
          <w:sz w:val="21"/>
          <w:szCs w:val="21"/>
          <w:highlight w:val="none"/>
          <w:lang w:val="en-US" w:eastAsia="zh-CN"/>
        </w:rPr>
        <w:t>暂定总价</w:t>
      </w:r>
      <w:r>
        <w:rPr>
          <w:rFonts w:hint="eastAsia" w:ascii="宋体" w:hAnsi="宋体" w:eastAsia="宋体" w:cs="宋体"/>
          <w:color w:val="auto"/>
          <w:sz w:val="21"/>
          <w:szCs w:val="21"/>
          <w:highlight w:val="none"/>
        </w:rPr>
        <w:t>为¥</w:t>
      </w:r>
      <w:r>
        <w:rPr>
          <w:rFonts w:hint="eastAsia" w:ascii="宋体" w:hAnsi="宋体" w:cs="宋体"/>
          <w:color w:val="auto"/>
          <w:sz w:val="21"/>
          <w:szCs w:val="21"/>
          <w:highlight w:val="none"/>
          <w:u w:val="single"/>
          <w:lang w:val="en-US" w:eastAsia="zh-CN"/>
        </w:rPr>
        <w:t>***</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暂定</w:t>
      </w:r>
      <w:r>
        <w:rPr>
          <w:rFonts w:hint="eastAsia" w:ascii="宋体" w:hAnsi="宋体" w:eastAsia="宋体" w:cs="宋体"/>
          <w:color w:val="auto"/>
          <w:sz w:val="21"/>
          <w:szCs w:val="21"/>
          <w:highlight w:val="none"/>
        </w:rPr>
        <w:t>增值税</w:t>
      </w:r>
      <w:r>
        <w:rPr>
          <w:rFonts w:hint="eastAsia" w:ascii="宋体" w:hAnsi="宋体" w:cs="宋体"/>
          <w:color w:val="auto"/>
          <w:sz w:val="21"/>
          <w:szCs w:val="21"/>
          <w:highlight w:val="none"/>
          <w:lang w:val="en-US" w:eastAsia="zh-CN"/>
        </w:rPr>
        <w:t>金</w:t>
      </w:r>
      <w:r>
        <w:rPr>
          <w:rFonts w:hint="eastAsia" w:ascii="宋体" w:hAnsi="宋体" w:eastAsia="宋体" w:cs="宋体"/>
          <w:color w:val="auto"/>
          <w:sz w:val="21"/>
          <w:szCs w:val="21"/>
          <w:highlight w:val="none"/>
        </w:rPr>
        <w:t>为¥</w:t>
      </w:r>
      <w:r>
        <w:rPr>
          <w:rFonts w:hint="eastAsia" w:ascii="宋体" w:hAnsi="宋体" w:cs="宋体"/>
          <w:color w:val="auto"/>
          <w:sz w:val="21"/>
          <w:szCs w:val="21"/>
          <w:highlight w:val="none"/>
          <w:u w:val="single"/>
          <w:lang w:val="en-US" w:eastAsia="zh-CN"/>
        </w:rPr>
        <w:t>***</w:t>
      </w:r>
      <w:r>
        <w:rPr>
          <w:rFonts w:hint="eastAsia" w:ascii="宋体" w:hAnsi="宋体" w:cs="宋体"/>
          <w:color w:val="auto"/>
          <w:sz w:val="21"/>
          <w:szCs w:val="21"/>
          <w:highlight w:val="none"/>
          <w:u w:val="single"/>
          <w:lang w:eastAsia="zh-CN"/>
        </w:rPr>
        <w:t>、</w:t>
      </w:r>
      <w:r>
        <w:rPr>
          <w:rFonts w:hint="eastAsia" w:ascii="宋体" w:hAnsi="宋体" w:eastAsia="宋体" w:cs="宋体"/>
          <w:color w:val="auto"/>
          <w:sz w:val="21"/>
          <w:szCs w:val="21"/>
          <w:highlight w:val="none"/>
        </w:rPr>
        <w:t>增值税</w:t>
      </w:r>
      <w:r>
        <w:rPr>
          <w:rFonts w:hint="eastAsia" w:ascii="宋体" w:hAnsi="宋体" w:cs="宋体"/>
          <w:color w:val="auto"/>
          <w:sz w:val="21"/>
          <w:szCs w:val="21"/>
          <w:highlight w:val="none"/>
          <w:lang w:val="en-US" w:eastAsia="zh-CN"/>
        </w:rPr>
        <w:t>率</w:t>
      </w:r>
      <w:r>
        <w:rPr>
          <w:rFonts w:hint="eastAsia" w:ascii="宋体" w:hAnsi="宋体" w:eastAsia="宋体" w:cs="宋体"/>
          <w:color w:val="auto"/>
          <w:sz w:val="21"/>
          <w:szCs w:val="21"/>
          <w:highlight w:val="none"/>
        </w:rPr>
        <w:t>为</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。增值税根据乙方提供给甲方的增值税发票中的税额据实支付和结算。</w:t>
      </w:r>
    </w:p>
    <w:p w14:paraId="222BC126">
      <w:pPr>
        <w:adjustRightInd w:val="0"/>
        <w:snapToGrid w:val="0"/>
        <w:spacing w:beforeLines="0" w:afterLines="0"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2、价款形式为：</w:t>
      </w:r>
      <w:r>
        <w:rPr>
          <w:rFonts w:hint="eastAsia" w:ascii="宋体" w:hAnsi="宋体" w:cs="宋体"/>
          <w:color w:val="auto"/>
          <w:sz w:val="21"/>
          <w:szCs w:val="21"/>
          <w:highlight w:val="none"/>
          <w:lang w:val="en-US" w:eastAsia="zh-CN"/>
        </w:rPr>
        <w:t>月度</w:t>
      </w:r>
      <w:r>
        <w:rPr>
          <w:rFonts w:hint="eastAsia" w:ascii="宋体" w:hAnsi="宋体" w:eastAsia="宋体" w:cs="宋体"/>
          <w:color w:val="auto"/>
          <w:sz w:val="21"/>
          <w:szCs w:val="21"/>
          <w:highlight w:val="none"/>
        </w:rPr>
        <w:t>单价</w:t>
      </w:r>
      <w:r>
        <w:rPr>
          <w:rFonts w:hint="eastAsia" w:ascii="宋体" w:hAnsi="宋体" w:cs="宋体"/>
          <w:color w:val="auto"/>
          <w:sz w:val="21"/>
          <w:szCs w:val="21"/>
          <w:highlight w:val="none"/>
          <w:lang w:val="en-US" w:eastAsia="zh-CN"/>
        </w:rPr>
        <w:t>包干</w:t>
      </w:r>
      <w:r>
        <w:rPr>
          <w:rFonts w:hint="eastAsia" w:ascii="宋体" w:hAnsi="宋体" w:eastAsia="宋体" w:cs="宋体"/>
          <w:color w:val="auto"/>
          <w:sz w:val="21"/>
          <w:szCs w:val="21"/>
          <w:highlight w:val="none"/>
        </w:rPr>
        <w:t>合同（合同执行过程中，合同单价固定不变，不随政府政策（长沙市规定的最低工资标准变化等）及市场物价上涨或回落等因素调整（税金除外））</w:t>
      </w:r>
    </w:p>
    <w:p w14:paraId="00D5ED78">
      <w:pPr>
        <w:adjustRightInd w:val="0"/>
        <w:snapToGrid w:val="0"/>
        <w:spacing w:beforeLines="0" w:afterLines="0"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3、本项目的合同价格（即结算价格）最终以履约验收合格确定的最终价款为准。</w:t>
      </w:r>
    </w:p>
    <w:p w14:paraId="3C791C2C">
      <w:pPr>
        <w:adjustRightInd w:val="0"/>
        <w:snapToGrid w:val="0"/>
        <w:spacing w:beforeLines="0" w:afterLines="0"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价格包括乙方完成合同规定服务范围内工作内容产生的成本（包括人工（含岗位轮休、遇突击任务需临时增加人员）、培训、财务、服装、装备、设备、材料、工器具、耗材等及由此产生的管理费）、保险（含养老、医疗、失业、工伤、生育、大病保险、团体人身意外伤害险、公众责任险）、税金、利润等所有费用。</w:t>
      </w:r>
    </w:p>
    <w:p w14:paraId="165EEEEE">
      <w:pPr>
        <w:adjustRightInd w:val="0"/>
        <w:snapToGrid w:val="0"/>
        <w:spacing w:beforeLines="0" w:afterLines="0" w:line="360" w:lineRule="auto"/>
        <w:ind w:firstLine="48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甲方发出书面正式进场通知之日前</w:t>
      </w:r>
      <w:r>
        <w:rPr>
          <w:rFonts w:hint="eastAsia" w:ascii="宋体" w:hAnsi="宋体" w:cs="宋体"/>
          <w:color w:val="auto"/>
          <w:sz w:val="21"/>
          <w:szCs w:val="21"/>
          <w:highlight w:val="none"/>
          <w:lang w:val="en-US" w:eastAsia="zh-CN"/>
        </w:rPr>
        <w:t>产生的</w:t>
      </w:r>
      <w:r>
        <w:rPr>
          <w:rFonts w:hint="eastAsia" w:ascii="宋体" w:hAnsi="宋体" w:eastAsia="宋体" w:cs="宋体"/>
          <w:color w:val="auto"/>
          <w:sz w:val="21"/>
          <w:szCs w:val="21"/>
          <w:highlight w:val="none"/>
        </w:rPr>
        <w:t>费用均由</w:t>
      </w:r>
      <w:r>
        <w:rPr>
          <w:rFonts w:hint="eastAsia" w:ascii="宋体" w:hAnsi="宋体" w:cs="宋体"/>
          <w:color w:val="auto"/>
          <w:sz w:val="21"/>
          <w:szCs w:val="21"/>
          <w:highlight w:val="none"/>
          <w:lang w:val="en-US" w:eastAsia="zh-CN"/>
        </w:rPr>
        <w:t>乙方</w:t>
      </w:r>
      <w:r>
        <w:rPr>
          <w:rFonts w:hint="eastAsia" w:ascii="宋体" w:hAnsi="宋体" w:eastAsia="宋体" w:cs="宋体"/>
          <w:color w:val="auto"/>
          <w:sz w:val="21"/>
          <w:szCs w:val="21"/>
          <w:highlight w:val="none"/>
        </w:rPr>
        <w:t>自理，不</w:t>
      </w:r>
      <w:r>
        <w:rPr>
          <w:rFonts w:hint="eastAsia" w:ascii="宋体" w:hAnsi="宋体" w:cs="宋体"/>
          <w:color w:val="auto"/>
          <w:sz w:val="21"/>
          <w:szCs w:val="21"/>
          <w:highlight w:val="none"/>
          <w:lang w:val="en-US" w:eastAsia="zh-CN"/>
        </w:rPr>
        <w:t>得</w:t>
      </w:r>
      <w:r>
        <w:rPr>
          <w:rFonts w:hint="eastAsia" w:ascii="宋体" w:hAnsi="宋体" w:eastAsia="宋体" w:cs="宋体"/>
          <w:color w:val="auto"/>
          <w:sz w:val="21"/>
          <w:szCs w:val="21"/>
          <w:highlight w:val="none"/>
        </w:rPr>
        <w:t>计入本项目结算范围。</w:t>
      </w:r>
    </w:p>
    <w:p w14:paraId="5C97E084">
      <w:pPr>
        <w:adjustRightInd w:val="0"/>
        <w:snapToGrid w:val="0"/>
        <w:spacing w:beforeLines="0" w:afterLines="0" w:line="360" w:lineRule="auto"/>
        <w:ind w:firstLine="48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五、合同文件构成</w:t>
      </w:r>
    </w:p>
    <w:p w14:paraId="3A577DDD">
      <w:pPr>
        <w:snapToGrid w:val="0"/>
        <w:spacing w:beforeLines="0" w:afterLines="0"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本合同文件组成及优先顺序为</w:t>
      </w:r>
      <w:r>
        <w:rPr>
          <w:rFonts w:hint="eastAsia" w:ascii="宋体" w:hAnsi="宋体" w:eastAsia="宋体" w:cs="宋体"/>
          <w:color w:val="auto"/>
          <w:kern w:val="0"/>
          <w:sz w:val="21"/>
          <w:szCs w:val="21"/>
          <w:highlight w:val="none"/>
        </w:rPr>
        <w:t>：</w:t>
      </w:r>
    </w:p>
    <w:p w14:paraId="708F810D">
      <w:pPr>
        <w:snapToGrid w:val="0"/>
        <w:spacing w:beforeLines="0" w:afterLines="0"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（1）补充协议（如有）；</w:t>
      </w:r>
    </w:p>
    <w:p w14:paraId="0C441564">
      <w:pPr>
        <w:snapToGrid w:val="0"/>
        <w:spacing w:beforeLines="0" w:afterLines="0"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（2）合同协议书；</w:t>
      </w:r>
    </w:p>
    <w:p w14:paraId="7B24795C">
      <w:pPr>
        <w:snapToGrid w:val="0"/>
        <w:spacing w:beforeLines="0" w:afterLines="0"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bCs/>
          <w:color w:val="auto"/>
          <w:kern w:val="0"/>
          <w:sz w:val="21"/>
          <w:szCs w:val="21"/>
          <w:highlight w:val="none"/>
        </w:rPr>
        <w:t>中标通知书</w:t>
      </w:r>
      <w:r>
        <w:rPr>
          <w:rFonts w:hint="eastAsia" w:ascii="宋体" w:hAnsi="宋体" w:eastAsia="宋体" w:cs="宋体"/>
          <w:color w:val="auto"/>
          <w:kern w:val="0"/>
          <w:sz w:val="21"/>
          <w:szCs w:val="21"/>
          <w:highlight w:val="none"/>
        </w:rPr>
        <w:t>;</w:t>
      </w:r>
    </w:p>
    <w:p w14:paraId="56516E75">
      <w:pPr>
        <w:snapToGrid w:val="0"/>
        <w:spacing w:beforeLines="0" w:afterLines="0"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（4）合同条款;</w:t>
      </w:r>
    </w:p>
    <w:p w14:paraId="4507B470">
      <w:pPr>
        <w:snapToGrid w:val="0"/>
        <w:spacing w:beforeLines="0" w:afterLines="0"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bCs/>
          <w:color w:val="auto"/>
          <w:kern w:val="0"/>
          <w:sz w:val="21"/>
          <w:szCs w:val="21"/>
          <w:highlight w:val="none"/>
        </w:rPr>
        <w:t>用户需求书</w:t>
      </w:r>
      <w:r>
        <w:rPr>
          <w:rFonts w:hint="eastAsia" w:ascii="宋体" w:hAnsi="宋体" w:eastAsia="宋体" w:cs="宋体"/>
          <w:color w:val="auto"/>
          <w:kern w:val="0"/>
          <w:sz w:val="21"/>
          <w:szCs w:val="21"/>
          <w:highlight w:val="none"/>
        </w:rPr>
        <w:t>;</w:t>
      </w:r>
    </w:p>
    <w:p w14:paraId="05554F06">
      <w:pPr>
        <w:snapToGrid w:val="0"/>
        <w:spacing w:beforeLines="0" w:afterLines="0"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（6）签约合同价清单；</w:t>
      </w:r>
    </w:p>
    <w:p w14:paraId="32EAE5C1">
      <w:pPr>
        <w:snapToGrid w:val="0"/>
        <w:spacing w:beforeLines="0" w:afterLines="0"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（7）合同附件及乙方按合同附录格式及要求出具的文件；</w:t>
      </w:r>
    </w:p>
    <w:p w14:paraId="46EA5002">
      <w:pPr>
        <w:snapToGrid w:val="0"/>
        <w:spacing w:beforeLines="0" w:afterLines="0"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（8）招标文件及澄清与答疑文件及其它补充资料；</w:t>
      </w:r>
    </w:p>
    <w:p w14:paraId="582859C1">
      <w:pPr>
        <w:snapToGrid w:val="0"/>
        <w:spacing w:beforeLines="0" w:afterLines="0"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（9）投标文件/谈判响应文件及澄清文件及其它补充资料；</w:t>
      </w:r>
    </w:p>
    <w:p w14:paraId="620320E9">
      <w:pPr>
        <w:snapToGrid w:val="0"/>
        <w:spacing w:beforeLines="0" w:afterLines="0"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（10）其他构成本合同的文件。</w:t>
      </w:r>
    </w:p>
    <w:p w14:paraId="512CD0B9">
      <w:pPr>
        <w:snapToGrid w:val="0"/>
        <w:spacing w:beforeLines="0" w:afterLines="0"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上述各项合同文件包括合同当事人就该项合同文件所作出的补充和修改，属于同一类内容的文件，应以最新签署的为准。</w:t>
      </w:r>
    </w:p>
    <w:p w14:paraId="273C61DF">
      <w:pPr>
        <w:snapToGrid w:val="0"/>
        <w:spacing w:beforeLines="0" w:afterLines="0"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在合同履行过程中形成的与合同有关的文件均构成合同文件组成部分，并根据其性质确定优先解释顺序。</w:t>
      </w:r>
    </w:p>
    <w:p w14:paraId="004BD620">
      <w:pPr>
        <w:spacing w:beforeLines="0" w:afterLines="0" w:line="360" w:lineRule="auto"/>
        <w:ind w:firstLine="369" w:firstLineChars="175"/>
        <w:jc w:val="left"/>
        <w:rPr>
          <w:rFonts w:hint="eastAsia" w:ascii="宋体" w:hAnsi="宋体" w:eastAsia="宋体" w:cs="宋体"/>
          <w:b/>
          <w:color w:val="auto"/>
          <w:kern w:val="0"/>
          <w:sz w:val="21"/>
          <w:szCs w:val="21"/>
          <w:highlight w:val="none"/>
        </w:rPr>
      </w:pPr>
      <w:bookmarkStart w:id="15" w:name="_Toc457826146"/>
      <w:bookmarkStart w:id="16" w:name="_Toc406150417"/>
      <w:r>
        <w:rPr>
          <w:rFonts w:hint="eastAsia" w:ascii="宋体" w:hAnsi="宋体" w:eastAsia="宋体" w:cs="宋体"/>
          <w:b/>
          <w:color w:val="auto"/>
          <w:kern w:val="0"/>
          <w:sz w:val="21"/>
          <w:szCs w:val="21"/>
          <w:highlight w:val="none"/>
        </w:rPr>
        <w:t>六、词语定义</w:t>
      </w:r>
      <w:bookmarkEnd w:id="15"/>
      <w:bookmarkEnd w:id="16"/>
    </w:p>
    <w:p w14:paraId="35EAF9FC">
      <w:pPr>
        <w:spacing w:beforeLines="0" w:afterLines="0" w:line="360" w:lineRule="auto"/>
        <w:ind w:firstLine="367" w:firstLineChars="175"/>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本合同协议书中词语含义与合同条款中的词语含义相同。</w:t>
      </w:r>
      <w:bookmarkStart w:id="17" w:name="_Toc457826147"/>
      <w:bookmarkStart w:id="18" w:name="_Toc351203489"/>
      <w:bookmarkStart w:id="19" w:name="_Toc406150418"/>
    </w:p>
    <w:p w14:paraId="017307E6">
      <w:pPr>
        <w:spacing w:beforeLines="0" w:afterLines="0" w:line="360" w:lineRule="auto"/>
        <w:ind w:firstLine="369" w:firstLineChars="175"/>
        <w:jc w:val="left"/>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七、签订时间</w:t>
      </w:r>
      <w:bookmarkEnd w:id="17"/>
      <w:bookmarkEnd w:id="18"/>
      <w:bookmarkEnd w:id="19"/>
    </w:p>
    <w:p w14:paraId="2CBEDBEB">
      <w:pPr>
        <w:spacing w:beforeLines="0" w:afterLines="0" w:line="360" w:lineRule="auto"/>
        <w:ind w:firstLine="367" w:firstLineChars="175"/>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本合同于</w:t>
      </w:r>
      <w:r>
        <w:rPr>
          <w:rFonts w:hint="eastAsia" w:ascii="宋体" w:hAnsi="宋体" w:cs="宋体"/>
          <w:bCs/>
          <w:color w:val="auto"/>
          <w:sz w:val="21"/>
          <w:szCs w:val="21"/>
          <w:highlight w:val="none"/>
          <w:u w:val="single"/>
          <w:lang w:val="en-US" w:eastAsia="zh-CN"/>
        </w:rPr>
        <w:t>2025</w:t>
      </w:r>
      <w:r>
        <w:rPr>
          <w:rFonts w:hint="eastAsia" w:ascii="宋体" w:hAnsi="宋体" w:eastAsia="宋体" w:cs="宋体"/>
          <w:bCs/>
          <w:color w:val="auto"/>
          <w:sz w:val="21"/>
          <w:szCs w:val="21"/>
          <w:highlight w:val="none"/>
        </w:rPr>
        <w:t>年</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月</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日签订。</w:t>
      </w:r>
    </w:p>
    <w:p w14:paraId="347F0B5A">
      <w:pPr>
        <w:spacing w:beforeLines="0" w:afterLines="0" w:line="360" w:lineRule="auto"/>
        <w:ind w:firstLine="369" w:firstLineChars="175"/>
        <w:jc w:val="left"/>
        <w:rPr>
          <w:rFonts w:hint="eastAsia" w:ascii="宋体" w:hAnsi="宋体" w:eastAsia="宋体" w:cs="宋体"/>
          <w:b/>
          <w:color w:val="auto"/>
          <w:kern w:val="0"/>
          <w:sz w:val="21"/>
          <w:szCs w:val="21"/>
          <w:highlight w:val="none"/>
        </w:rPr>
      </w:pPr>
      <w:bookmarkStart w:id="20" w:name="_Toc457826148"/>
      <w:bookmarkStart w:id="21" w:name="_Toc406150419"/>
      <w:bookmarkStart w:id="22" w:name="_Toc351203490"/>
      <w:r>
        <w:rPr>
          <w:rFonts w:hint="eastAsia" w:ascii="宋体" w:hAnsi="宋体" w:eastAsia="宋体" w:cs="宋体"/>
          <w:b/>
          <w:color w:val="auto"/>
          <w:kern w:val="0"/>
          <w:sz w:val="21"/>
          <w:szCs w:val="21"/>
          <w:highlight w:val="none"/>
        </w:rPr>
        <w:t>八、签订地点</w:t>
      </w:r>
      <w:bookmarkEnd w:id="20"/>
      <w:bookmarkEnd w:id="21"/>
      <w:bookmarkEnd w:id="22"/>
    </w:p>
    <w:p w14:paraId="480C04D1">
      <w:pPr>
        <w:spacing w:beforeLines="0" w:afterLines="0" w:line="360" w:lineRule="auto"/>
        <w:ind w:firstLine="367" w:firstLineChars="175"/>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本合同在</w:t>
      </w:r>
      <w:r>
        <w:rPr>
          <w:rFonts w:hint="eastAsia" w:ascii="宋体" w:hAnsi="宋体" w:eastAsia="宋体" w:cs="宋体"/>
          <w:bCs/>
          <w:color w:val="auto"/>
          <w:sz w:val="21"/>
          <w:szCs w:val="21"/>
          <w:highlight w:val="none"/>
          <w:u w:val="single"/>
        </w:rPr>
        <w:t>湖南省长沙市</w:t>
      </w:r>
      <w:r>
        <w:rPr>
          <w:rFonts w:hint="eastAsia" w:ascii="宋体" w:hAnsi="宋体" w:eastAsia="宋体" w:cs="宋体"/>
          <w:bCs/>
          <w:color w:val="auto"/>
          <w:sz w:val="21"/>
          <w:szCs w:val="21"/>
          <w:highlight w:val="none"/>
          <w:u w:val="single"/>
          <w:lang w:val="en-US" w:eastAsia="zh-CN"/>
        </w:rPr>
        <w:t>长沙县</w:t>
      </w:r>
      <w:r>
        <w:rPr>
          <w:rFonts w:hint="eastAsia" w:ascii="宋体" w:hAnsi="宋体" w:eastAsia="宋体" w:cs="宋体"/>
          <w:bCs/>
          <w:color w:val="auto"/>
          <w:sz w:val="21"/>
          <w:szCs w:val="21"/>
          <w:highlight w:val="none"/>
        </w:rPr>
        <w:t>签订。</w:t>
      </w:r>
    </w:p>
    <w:p w14:paraId="1B054D15">
      <w:pPr>
        <w:spacing w:beforeLines="0" w:afterLines="0" w:line="360" w:lineRule="auto"/>
        <w:ind w:firstLine="369" w:firstLineChars="175"/>
        <w:jc w:val="left"/>
        <w:rPr>
          <w:rFonts w:hint="eastAsia" w:ascii="宋体" w:hAnsi="宋体" w:eastAsia="宋体" w:cs="宋体"/>
          <w:b/>
          <w:color w:val="auto"/>
          <w:kern w:val="0"/>
          <w:sz w:val="21"/>
          <w:szCs w:val="21"/>
          <w:highlight w:val="none"/>
        </w:rPr>
      </w:pPr>
      <w:bookmarkStart w:id="23" w:name="_Toc351203492"/>
      <w:bookmarkStart w:id="24" w:name="_Toc457826149"/>
      <w:bookmarkStart w:id="25" w:name="_Toc406150420"/>
      <w:r>
        <w:rPr>
          <w:rFonts w:hint="eastAsia" w:ascii="宋体" w:hAnsi="宋体" w:eastAsia="宋体" w:cs="宋体"/>
          <w:b/>
          <w:color w:val="auto"/>
          <w:kern w:val="0"/>
          <w:sz w:val="21"/>
          <w:szCs w:val="21"/>
          <w:highlight w:val="none"/>
        </w:rPr>
        <w:t>九、合同生效</w:t>
      </w:r>
      <w:bookmarkEnd w:id="23"/>
      <w:bookmarkEnd w:id="24"/>
      <w:bookmarkEnd w:id="25"/>
    </w:p>
    <w:p w14:paraId="419181F1">
      <w:pPr>
        <w:spacing w:beforeLines="0" w:afterLines="0" w:line="360" w:lineRule="auto"/>
        <w:ind w:firstLine="367" w:firstLineChars="175"/>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本合同自</w:t>
      </w:r>
      <w:r>
        <w:rPr>
          <w:rFonts w:hint="eastAsia" w:ascii="宋体" w:hAnsi="宋体" w:eastAsia="宋体" w:cs="宋体"/>
          <w:color w:val="auto"/>
          <w:sz w:val="21"/>
          <w:szCs w:val="21"/>
          <w:highlight w:val="none"/>
          <w:u w:val="single"/>
        </w:rPr>
        <w:t>合同双方法定代表人或其授权代表</w:t>
      </w:r>
      <w:r>
        <w:rPr>
          <w:rFonts w:hint="eastAsia" w:ascii="宋体" w:hAnsi="宋体" w:cs="宋体"/>
          <w:color w:val="auto"/>
          <w:sz w:val="21"/>
          <w:szCs w:val="21"/>
          <w:highlight w:val="none"/>
          <w:u w:val="single"/>
          <w:lang w:eastAsia="zh-CN"/>
        </w:rPr>
        <w:t>签字并盖章</w:t>
      </w:r>
      <w:r>
        <w:rPr>
          <w:rFonts w:hint="eastAsia" w:ascii="宋体" w:hAnsi="宋体" w:eastAsia="宋体" w:cs="宋体"/>
          <w:bCs/>
          <w:color w:val="auto"/>
          <w:sz w:val="21"/>
          <w:szCs w:val="21"/>
          <w:highlight w:val="none"/>
        </w:rPr>
        <w:t>生效。</w:t>
      </w:r>
    </w:p>
    <w:p w14:paraId="4BFE9E64">
      <w:pPr>
        <w:spacing w:beforeLines="0" w:afterLines="0" w:line="360" w:lineRule="auto"/>
        <w:ind w:firstLine="369" w:firstLineChars="175"/>
        <w:jc w:val="left"/>
        <w:rPr>
          <w:rFonts w:hint="eastAsia" w:ascii="宋体" w:hAnsi="宋体" w:eastAsia="宋体" w:cs="宋体"/>
          <w:b/>
          <w:color w:val="auto"/>
          <w:kern w:val="0"/>
          <w:sz w:val="21"/>
          <w:szCs w:val="21"/>
          <w:highlight w:val="none"/>
        </w:rPr>
      </w:pPr>
      <w:bookmarkStart w:id="26" w:name="_Toc457826150"/>
      <w:r>
        <w:rPr>
          <w:rFonts w:hint="eastAsia" w:ascii="宋体" w:hAnsi="宋体" w:eastAsia="宋体" w:cs="宋体"/>
          <w:b/>
          <w:color w:val="auto"/>
          <w:kern w:val="0"/>
          <w:sz w:val="21"/>
          <w:szCs w:val="21"/>
          <w:highlight w:val="none"/>
        </w:rPr>
        <w:t>十、合同份数</w:t>
      </w:r>
      <w:bookmarkEnd w:id="26"/>
    </w:p>
    <w:p w14:paraId="3B343534">
      <w:pPr>
        <w:adjustRightInd w:val="0"/>
        <w:snapToGrid w:val="0"/>
        <w:spacing w:beforeLines="0" w:afterLines="0" w:line="360" w:lineRule="auto"/>
        <w:ind w:firstLine="367" w:firstLineChars="17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本合同一式</w:t>
      </w:r>
      <w:r>
        <w:rPr>
          <w:rFonts w:hint="eastAsia" w:ascii="宋体" w:hAnsi="宋体" w:eastAsia="宋体" w:cs="宋体"/>
          <w:color w:val="auto"/>
          <w:sz w:val="21"/>
          <w:szCs w:val="21"/>
          <w:highlight w:val="none"/>
          <w:u w:val="single"/>
          <w:lang w:val="en-US" w:eastAsia="zh-CN"/>
        </w:rPr>
        <w:t>捌</w:t>
      </w:r>
      <w:r>
        <w:rPr>
          <w:rFonts w:hint="eastAsia" w:ascii="宋体" w:hAnsi="宋体" w:eastAsia="宋体" w:cs="宋体"/>
          <w:color w:val="auto"/>
          <w:sz w:val="21"/>
          <w:szCs w:val="21"/>
          <w:highlight w:val="none"/>
        </w:rPr>
        <w:t>份（其中正本</w:t>
      </w:r>
      <w:r>
        <w:rPr>
          <w:rFonts w:hint="eastAsia" w:ascii="宋体" w:hAnsi="宋体" w:eastAsia="宋体" w:cs="宋体"/>
          <w:color w:val="auto"/>
          <w:sz w:val="21"/>
          <w:szCs w:val="21"/>
          <w:highlight w:val="none"/>
          <w:u w:val="single"/>
          <w:lang w:val="en-US" w:eastAsia="zh-CN"/>
        </w:rPr>
        <w:t>贰</w:t>
      </w:r>
      <w:r>
        <w:rPr>
          <w:rFonts w:hint="eastAsia" w:ascii="宋体" w:hAnsi="宋体" w:eastAsia="宋体" w:cs="宋体"/>
          <w:color w:val="auto"/>
          <w:sz w:val="21"/>
          <w:szCs w:val="21"/>
          <w:highlight w:val="none"/>
        </w:rPr>
        <w:t>份、副本</w:t>
      </w:r>
      <w:r>
        <w:rPr>
          <w:rFonts w:hint="eastAsia" w:ascii="宋体" w:hAnsi="宋体" w:eastAsia="宋体" w:cs="宋体"/>
          <w:color w:val="auto"/>
          <w:sz w:val="21"/>
          <w:szCs w:val="21"/>
          <w:highlight w:val="none"/>
          <w:u w:val="single"/>
          <w:lang w:val="en-US" w:eastAsia="zh-CN"/>
        </w:rPr>
        <w:t>陆</w:t>
      </w:r>
      <w:r>
        <w:rPr>
          <w:rFonts w:hint="eastAsia" w:ascii="宋体" w:hAnsi="宋体" w:eastAsia="宋体" w:cs="宋体"/>
          <w:color w:val="auto"/>
          <w:sz w:val="21"/>
          <w:szCs w:val="21"/>
          <w:highlight w:val="none"/>
        </w:rPr>
        <w:t>份），甲方执</w:t>
      </w:r>
      <w:r>
        <w:rPr>
          <w:rFonts w:hint="eastAsia" w:ascii="宋体" w:hAnsi="宋体" w:eastAsia="宋体" w:cs="宋体"/>
          <w:color w:val="auto"/>
          <w:sz w:val="21"/>
          <w:szCs w:val="21"/>
          <w:highlight w:val="none"/>
          <w:u w:val="single"/>
          <w:lang w:val="en-US" w:eastAsia="zh-CN"/>
        </w:rPr>
        <w:t>肆</w:t>
      </w:r>
      <w:r>
        <w:rPr>
          <w:rFonts w:hint="eastAsia" w:ascii="宋体" w:hAnsi="宋体" w:eastAsia="宋体" w:cs="宋体"/>
          <w:color w:val="auto"/>
          <w:sz w:val="21"/>
          <w:szCs w:val="21"/>
          <w:highlight w:val="none"/>
        </w:rPr>
        <w:t>份（</w:t>
      </w:r>
      <w:r>
        <w:rPr>
          <w:rFonts w:hint="eastAsia" w:ascii="宋体" w:hAnsi="宋体" w:cs="宋体"/>
          <w:color w:val="auto"/>
          <w:sz w:val="21"/>
          <w:szCs w:val="21"/>
          <w:highlight w:val="none"/>
          <w:lang w:eastAsia="zh-CN"/>
        </w:rPr>
        <w:t>壹</w:t>
      </w:r>
      <w:r>
        <w:rPr>
          <w:rFonts w:hint="eastAsia" w:ascii="宋体" w:hAnsi="宋体" w:eastAsia="宋体" w:cs="宋体"/>
          <w:color w:val="auto"/>
          <w:sz w:val="21"/>
          <w:szCs w:val="21"/>
          <w:highlight w:val="none"/>
        </w:rPr>
        <w:t>正</w:t>
      </w:r>
      <w:r>
        <w:rPr>
          <w:rFonts w:hint="eastAsia" w:ascii="宋体" w:hAnsi="宋体" w:eastAsia="宋体" w:cs="宋体"/>
          <w:color w:val="auto"/>
          <w:sz w:val="21"/>
          <w:szCs w:val="21"/>
          <w:highlight w:val="none"/>
          <w:u w:val="single"/>
          <w:lang w:val="en-US" w:eastAsia="zh-CN"/>
        </w:rPr>
        <w:t>叁</w:t>
      </w:r>
      <w:r>
        <w:rPr>
          <w:rFonts w:hint="eastAsia" w:ascii="宋体" w:hAnsi="宋体" w:eastAsia="宋体" w:cs="宋体"/>
          <w:color w:val="auto"/>
          <w:sz w:val="21"/>
          <w:szCs w:val="21"/>
          <w:highlight w:val="none"/>
        </w:rPr>
        <w:t>副），乙方执</w:t>
      </w:r>
      <w:r>
        <w:rPr>
          <w:rFonts w:hint="eastAsia" w:ascii="宋体" w:hAnsi="宋体" w:eastAsia="宋体" w:cs="宋体"/>
          <w:color w:val="auto"/>
          <w:sz w:val="21"/>
          <w:szCs w:val="21"/>
          <w:highlight w:val="none"/>
          <w:u w:val="single"/>
          <w:lang w:val="en-US" w:eastAsia="zh-CN"/>
        </w:rPr>
        <w:t>肆</w:t>
      </w:r>
      <w:r>
        <w:rPr>
          <w:rFonts w:hint="eastAsia" w:ascii="宋体" w:hAnsi="宋体" w:eastAsia="宋体" w:cs="宋体"/>
          <w:color w:val="auto"/>
          <w:sz w:val="21"/>
          <w:szCs w:val="21"/>
          <w:highlight w:val="none"/>
        </w:rPr>
        <w:t>份（</w:t>
      </w:r>
      <w:r>
        <w:rPr>
          <w:rFonts w:hint="eastAsia" w:ascii="宋体" w:hAnsi="宋体" w:cs="宋体"/>
          <w:color w:val="auto"/>
          <w:sz w:val="21"/>
          <w:szCs w:val="21"/>
          <w:highlight w:val="none"/>
          <w:lang w:eastAsia="zh-CN"/>
        </w:rPr>
        <w:t>壹</w:t>
      </w:r>
      <w:r>
        <w:rPr>
          <w:rFonts w:hint="eastAsia" w:ascii="宋体" w:hAnsi="宋体" w:eastAsia="宋体" w:cs="宋体"/>
          <w:color w:val="auto"/>
          <w:sz w:val="21"/>
          <w:szCs w:val="21"/>
          <w:highlight w:val="none"/>
        </w:rPr>
        <w:t>正</w:t>
      </w:r>
      <w:r>
        <w:rPr>
          <w:rFonts w:hint="eastAsia" w:ascii="宋体" w:hAnsi="宋体" w:eastAsia="宋体" w:cs="宋体"/>
          <w:color w:val="auto"/>
          <w:sz w:val="21"/>
          <w:szCs w:val="21"/>
          <w:highlight w:val="none"/>
          <w:u w:val="single"/>
          <w:lang w:val="en-US" w:eastAsia="zh-CN"/>
        </w:rPr>
        <w:t>叁</w:t>
      </w:r>
      <w:r>
        <w:rPr>
          <w:rFonts w:hint="eastAsia" w:ascii="宋体" w:hAnsi="宋体" w:eastAsia="宋体" w:cs="宋体"/>
          <w:color w:val="auto"/>
          <w:sz w:val="21"/>
          <w:szCs w:val="21"/>
          <w:highlight w:val="none"/>
        </w:rPr>
        <w:t>副）。合同正本与副本具有同等效力，当合同副本与正本之间存有差异时，以合同正本为准。</w:t>
      </w:r>
    </w:p>
    <w:p w14:paraId="1F7D3D41">
      <w:pPr>
        <w:adjustRightInd w:val="0"/>
        <w:snapToGrid w:val="0"/>
        <w:spacing w:beforeLines="0" w:afterLines="0" w:line="360" w:lineRule="auto"/>
        <w:ind w:firstLine="367" w:firstLineChars="175"/>
        <w:jc w:val="left"/>
        <w:rPr>
          <w:rFonts w:hint="eastAsia" w:ascii="宋体" w:hAnsi="宋体" w:eastAsia="宋体" w:cs="宋体"/>
          <w:color w:val="auto"/>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本页以下无正文</w:t>
      </w:r>
      <w:r>
        <w:rPr>
          <w:rFonts w:hint="eastAsia" w:ascii="宋体" w:hAnsi="宋体" w:cs="宋体"/>
          <w:color w:val="auto"/>
          <w:sz w:val="21"/>
          <w:szCs w:val="21"/>
          <w:highlight w:val="none"/>
          <w:lang w:eastAsia="zh-CN"/>
        </w:rPr>
        <w:t>）</w:t>
      </w:r>
    </w:p>
    <w:p w14:paraId="7E40AD7F">
      <w:pPr>
        <w:adjustRightInd w:val="0"/>
        <w:snapToGrid w:val="0"/>
        <w:spacing w:beforeLines="0" w:afterLines="0" w:line="360" w:lineRule="auto"/>
        <w:jc w:val="left"/>
        <w:rPr>
          <w:rFonts w:hint="eastAsia" w:ascii="宋体" w:hAnsi="宋体" w:eastAsia="宋体" w:cs="宋体"/>
          <w:color w:val="auto"/>
          <w:sz w:val="21"/>
          <w:szCs w:val="21"/>
          <w:highlight w:val="none"/>
        </w:rPr>
      </w:pPr>
    </w:p>
    <w:p w14:paraId="67AF427E">
      <w:pPr>
        <w:adjustRightInd w:val="0"/>
        <w:snapToGrid w:val="0"/>
        <w:spacing w:beforeLines="0" w:afterLines="0" w:line="360" w:lineRule="auto"/>
        <w:jc w:val="left"/>
        <w:rPr>
          <w:rFonts w:hint="eastAsia" w:ascii="宋体" w:hAnsi="宋体" w:eastAsia="宋体" w:cs="宋体"/>
          <w:color w:val="auto"/>
          <w:sz w:val="21"/>
          <w:szCs w:val="21"/>
          <w:highlight w:val="none"/>
        </w:rPr>
      </w:pPr>
    </w:p>
    <w:p w14:paraId="7F64BC90">
      <w:pPr>
        <w:adjustRightInd w:val="0"/>
        <w:snapToGrid w:val="0"/>
        <w:spacing w:beforeLines="0" w:afterLines="0" w:line="360" w:lineRule="auto"/>
        <w:jc w:val="left"/>
        <w:rPr>
          <w:rFonts w:hint="eastAsia" w:ascii="宋体" w:hAnsi="宋体" w:eastAsia="宋体" w:cs="宋体"/>
          <w:color w:val="auto"/>
          <w:sz w:val="21"/>
          <w:szCs w:val="21"/>
          <w:highlight w:val="none"/>
        </w:rPr>
      </w:pPr>
    </w:p>
    <w:p w14:paraId="3797BA6D">
      <w:pPr>
        <w:adjustRightInd w:val="0"/>
        <w:snapToGrid w:val="0"/>
        <w:spacing w:beforeLines="0" w:afterLines="0" w:line="360" w:lineRule="auto"/>
        <w:jc w:val="left"/>
        <w:rPr>
          <w:rFonts w:hint="eastAsia" w:ascii="宋体" w:hAnsi="宋体" w:eastAsia="宋体" w:cs="宋体"/>
          <w:color w:val="auto"/>
          <w:sz w:val="21"/>
          <w:szCs w:val="21"/>
          <w:highlight w:val="none"/>
        </w:rPr>
      </w:pPr>
    </w:p>
    <w:p w14:paraId="7E235E17">
      <w:pPr>
        <w:adjustRightInd w:val="0"/>
        <w:snapToGrid w:val="0"/>
        <w:spacing w:beforeLines="0" w:afterLines="0" w:line="360" w:lineRule="auto"/>
        <w:jc w:val="left"/>
        <w:rPr>
          <w:rFonts w:hint="eastAsia" w:ascii="宋体" w:hAnsi="宋体" w:eastAsia="宋体" w:cs="宋体"/>
          <w:color w:val="auto"/>
          <w:sz w:val="21"/>
          <w:szCs w:val="21"/>
          <w:highlight w:val="none"/>
        </w:rPr>
      </w:pPr>
    </w:p>
    <w:p w14:paraId="74908C70">
      <w:pPr>
        <w:adjustRightInd w:val="0"/>
        <w:snapToGrid w:val="0"/>
        <w:spacing w:beforeLines="0" w:afterLines="0" w:line="360" w:lineRule="auto"/>
        <w:ind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（本页无正文）</w:t>
      </w:r>
    </w:p>
    <w:tbl>
      <w:tblPr>
        <w:tblStyle w:val="64"/>
        <w:tblW w:w="8719" w:type="dxa"/>
        <w:jc w:val="center"/>
        <w:tblLayout w:type="fixed"/>
        <w:tblCellMar>
          <w:top w:w="0" w:type="dxa"/>
          <w:left w:w="108" w:type="dxa"/>
          <w:bottom w:w="0" w:type="dxa"/>
          <w:right w:w="108" w:type="dxa"/>
        </w:tblCellMar>
      </w:tblPr>
      <w:tblGrid>
        <w:gridCol w:w="4467"/>
        <w:gridCol w:w="4252"/>
      </w:tblGrid>
      <w:tr w14:paraId="7B132BD7">
        <w:tblPrEx>
          <w:tblCellMar>
            <w:top w:w="0" w:type="dxa"/>
            <w:left w:w="108" w:type="dxa"/>
            <w:bottom w:w="0" w:type="dxa"/>
            <w:right w:w="108" w:type="dxa"/>
          </w:tblCellMar>
        </w:tblPrEx>
        <w:trPr>
          <w:trHeight w:val="803" w:hRule="atLeast"/>
          <w:jc w:val="center"/>
        </w:trPr>
        <w:tc>
          <w:tcPr>
            <w:tcW w:w="4467" w:type="dxa"/>
            <w:tcBorders>
              <w:top w:val="nil"/>
              <w:left w:val="nil"/>
              <w:bottom w:val="nil"/>
              <w:right w:val="nil"/>
            </w:tcBorders>
          </w:tcPr>
          <w:p w14:paraId="515E6426">
            <w:pPr>
              <w:widowControl w:val="0"/>
              <w:snapToGrid w:val="0"/>
              <w:spacing w:beforeLines="0" w:afterLines="0" w:line="360" w:lineRule="auto"/>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甲方：(盖章)</w:t>
            </w:r>
          </w:p>
          <w:p w14:paraId="73AF00AA">
            <w:pPr>
              <w:widowControl w:val="0"/>
              <w:snapToGrid w:val="0"/>
              <w:spacing w:beforeLines="0" w:after="0" w:afterLines="0" w:line="360" w:lineRule="auto"/>
              <w:jc w:val="both"/>
              <w:rPr>
                <w:rFonts w:hint="eastAsia" w:ascii="宋体" w:hAnsi="宋体" w:eastAsia="宋体" w:cs="宋体"/>
                <w:color w:val="auto"/>
                <w:kern w:val="2"/>
                <w:sz w:val="21"/>
                <w:szCs w:val="21"/>
                <w:highlight w:val="none"/>
                <w:lang w:val="en-US" w:eastAsia="zh-CN" w:bidi="ar-SA"/>
              </w:rPr>
            </w:pPr>
          </w:p>
        </w:tc>
        <w:tc>
          <w:tcPr>
            <w:tcW w:w="4252" w:type="dxa"/>
            <w:tcBorders>
              <w:top w:val="nil"/>
              <w:left w:val="nil"/>
              <w:bottom w:val="nil"/>
              <w:right w:val="nil"/>
            </w:tcBorders>
          </w:tcPr>
          <w:p w14:paraId="2C975D58">
            <w:pPr>
              <w:widowControl w:val="0"/>
              <w:snapToGrid w:val="0"/>
              <w:spacing w:beforeLines="0" w:afterLines="0" w:line="360" w:lineRule="auto"/>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乙方：（盖章）</w:t>
            </w:r>
          </w:p>
          <w:p w14:paraId="1EF1A4F7">
            <w:pPr>
              <w:widowControl w:val="0"/>
              <w:snapToGrid w:val="0"/>
              <w:spacing w:beforeLines="0" w:after="0" w:afterLines="0" w:line="360" w:lineRule="auto"/>
              <w:jc w:val="both"/>
              <w:rPr>
                <w:rFonts w:hint="eastAsia" w:ascii="宋体" w:hAnsi="宋体" w:eastAsia="宋体" w:cs="宋体"/>
                <w:color w:val="auto"/>
                <w:kern w:val="2"/>
                <w:sz w:val="21"/>
                <w:szCs w:val="21"/>
                <w:highlight w:val="none"/>
                <w:lang w:val="en-US" w:eastAsia="zh-CN" w:bidi="ar-SA"/>
              </w:rPr>
            </w:pPr>
          </w:p>
        </w:tc>
      </w:tr>
      <w:tr w14:paraId="63006780">
        <w:tblPrEx>
          <w:tblCellMar>
            <w:top w:w="0" w:type="dxa"/>
            <w:left w:w="108" w:type="dxa"/>
            <w:bottom w:w="0" w:type="dxa"/>
            <w:right w:w="108" w:type="dxa"/>
          </w:tblCellMar>
        </w:tblPrEx>
        <w:trPr>
          <w:trHeight w:val="858" w:hRule="atLeast"/>
          <w:jc w:val="center"/>
        </w:trPr>
        <w:tc>
          <w:tcPr>
            <w:tcW w:w="4467" w:type="dxa"/>
            <w:tcBorders>
              <w:top w:val="nil"/>
              <w:left w:val="nil"/>
              <w:bottom w:val="nil"/>
              <w:right w:val="nil"/>
            </w:tcBorders>
          </w:tcPr>
          <w:p w14:paraId="1532618D">
            <w:pPr>
              <w:widowControl w:val="0"/>
              <w:snapToGrid w:val="0"/>
              <w:spacing w:beforeLines="0" w:afterLines="0" w:line="360" w:lineRule="auto"/>
              <w:ind w:left="19" w:leftChars="9"/>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法定代表人或其授权代表：</w:t>
            </w:r>
          </w:p>
          <w:p w14:paraId="50B309CB">
            <w:pPr>
              <w:widowControl w:val="0"/>
              <w:snapToGrid w:val="0"/>
              <w:spacing w:beforeLines="0" w:after="0" w:afterLines="0" w:line="360" w:lineRule="auto"/>
              <w:ind w:left="19" w:leftChars="9"/>
              <w:jc w:val="both"/>
              <w:rPr>
                <w:rFonts w:hint="eastAsia" w:ascii="宋体" w:hAnsi="宋体" w:eastAsia="宋体" w:cs="宋体"/>
                <w:color w:val="auto"/>
                <w:kern w:val="2"/>
                <w:sz w:val="21"/>
                <w:szCs w:val="21"/>
                <w:highlight w:val="none"/>
                <w:lang w:val="en-US" w:eastAsia="zh-CN" w:bidi="ar-SA"/>
              </w:rPr>
            </w:pPr>
          </w:p>
        </w:tc>
        <w:tc>
          <w:tcPr>
            <w:tcW w:w="4252" w:type="dxa"/>
            <w:tcBorders>
              <w:top w:val="nil"/>
              <w:left w:val="nil"/>
              <w:bottom w:val="nil"/>
              <w:right w:val="nil"/>
            </w:tcBorders>
          </w:tcPr>
          <w:p w14:paraId="49A85DBF">
            <w:pPr>
              <w:widowControl w:val="0"/>
              <w:snapToGrid w:val="0"/>
              <w:spacing w:beforeLines="0" w:after="0" w:afterLines="0" w:line="360" w:lineRule="auto"/>
              <w:ind w:left="34" w:leftChars="16"/>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法定代表人或其授权代表：</w:t>
            </w:r>
          </w:p>
        </w:tc>
      </w:tr>
      <w:tr w14:paraId="609D8096">
        <w:tblPrEx>
          <w:tblCellMar>
            <w:top w:w="0" w:type="dxa"/>
            <w:left w:w="108" w:type="dxa"/>
            <w:bottom w:w="0" w:type="dxa"/>
            <w:right w:w="108" w:type="dxa"/>
          </w:tblCellMar>
        </w:tblPrEx>
        <w:trPr>
          <w:trHeight w:val="833" w:hRule="atLeast"/>
          <w:jc w:val="center"/>
        </w:trPr>
        <w:tc>
          <w:tcPr>
            <w:tcW w:w="4467" w:type="dxa"/>
            <w:tcBorders>
              <w:top w:val="nil"/>
              <w:left w:val="nil"/>
              <w:bottom w:val="nil"/>
              <w:right w:val="nil"/>
            </w:tcBorders>
          </w:tcPr>
          <w:p w14:paraId="24B1FF12">
            <w:pPr>
              <w:widowControl w:val="0"/>
              <w:snapToGrid w:val="0"/>
              <w:spacing w:beforeLines="0" w:after="0" w:afterLines="0" w:line="360" w:lineRule="auto"/>
              <w:ind w:left="19" w:leftChars="9"/>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时间：</w:t>
            </w:r>
          </w:p>
        </w:tc>
        <w:tc>
          <w:tcPr>
            <w:tcW w:w="4252" w:type="dxa"/>
            <w:tcBorders>
              <w:top w:val="nil"/>
              <w:left w:val="nil"/>
              <w:bottom w:val="nil"/>
              <w:right w:val="nil"/>
            </w:tcBorders>
          </w:tcPr>
          <w:p w14:paraId="3CF2BF67">
            <w:pPr>
              <w:widowControl w:val="0"/>
              <w:snapToGrid w:val="0"/>
              <w:spacing w:beforeLines="0" w:after="0" w:afterLines="0" w:line="360" w:lineRule="auto"/>
              <w:ind w:left="34" w:leftChars="16"/>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时间：</w:t>
            </w:r>
          </w:p>
        </w:tc>
      </w:tr>
    </w:tbl>
    <w:p w14:paraId="04B1570B">
      <w:pPr>
        <w:widowControl/>
        <w:spacing w:beforeLines="0" w:afterLines="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328D8FD1">
      <w:pPr>
        <w:widowControl w:val="0"/>
        <w:adjustRightInd w:val="0"/>
        <w:snapToGrid w:val="0"/>
        <w:spacing w:before="0" w:beforeLines="0" w:after="0" w:afterLines="0" w:line="360" w:lineRule="auto"/>
        <w:jc w:val="center"/>
        <w:outlineLvl w:val="9"/>
        <w:rPr>
          <w:rFonts w:hint="eastAsia" w:ascii="宋体" w:hAnsi="宋体" w:eastAsia="宋体" w:cs="宋体"/>
          <w:b/>
          <w:bCs/>
          <w:color w:val="auto"/>
          <w:kern w:val="2"/>
          <w:sz w:val="21"/>
          <w:szCs w:val="21"/>
          <w:highlight w:val="none"/>
          <w:lang w:val="en-US" w:eastAsia="zh-CN" w:bidi="ar-SA"/>
        </w:rPr>
      </w:pPr>
      <w:bookmarkStart w:id="27" w:name="_Toc471995643"/>
      <w:r>
        <w:rPr>
          <w:rFonts w:hint="eastAsia" w:ascii="宋体" w:hAnsi="宋体" w:eastAsia="宋体" w:cs="宋体"/>
          <w:b/>
          <w:bCs/>
          <w:color w:val="auto"/>
          <w:kern w:val="2"/>
          <w:sz w:val="21"/>
          <w:szCs w:val="21"/>
          <w:highlight w:val="none"/>
          <w:lang w:val="en-US" w:eastAsia="zh-CN" w:bidi="ar-SA"/>
        </w:rPr>
        <w:t>第二部分 合同条款</w:t>
      </w:r>
      <w:bookmarkEnd w:id="27"/>
    </w:p>
    <w:p w14:paraId="03CF1347">
      <w:pPr>
        <w:adjustRightInd w:val="0"/>
        <w:snapToGrid w:val="0"/>
        <w:spacing w:beforeLines="0" w:afterLines="0" w:line="360" w:lineRule="auto"/>
        <w:ind w:firstLine="422" w:firstLineChars="200"/>
        <w:outlineLvl w:val="9"/>
        <w:rPr>
          <w:rFonts w:hint="eastAsia" w:ascii="宋体" w:hAnsi="宋体" w:eastAsia="宋体" w:cs="宋体"/>
          <w:b/>
          <w:bCs/>
          <w:color w:val="auto"/>
          <w:sz w:val="21"/>
          <w:szCs w:val="21"/>
          <w:highlight w:val="none"/>
        </w:rPr>
      </w:pPr>
      <w:bookmarkStart w:id="28" w:name="_Toc368066686"/>
      <w:bookmarkStart w:id="29" w:name="_Toc7761"/>
      <w:bookmarkStart w:id="30" w:name="_Toc28651"/>
      <w:r>
        <w:rPr>
          <w:rFonts w:hint="eastAsia" w:ascii="宋体" w:hAnsi="宋体" w:eastAsia="宋体" w:cs="宋体"/>
          <w:b/>
          <w:bCs/>
          <w:color w:val="auto"/>
          <w:sz w:val="21"/>
          <w:szCs w:val="21"/>
          <w:highlight w:val="none"/>
        </w:rPr>
        <w:t>1、</w:t>
      </w:r>
      <w:bookmarkEnd w:id="28"/>
      <w:r>
        <w:rPr>
          <w:rFonts w:hint="eastAsia" w:ascii="宋体" w:hAnsi="宋体" w:eastAsia="宋体" w:cs="宋体"/>
          <w:b/>
          <w:bCs/>
          <w:color w:val="auto"/>
          <w:sz w:val="21"/>
          <w:szCs w:val="21"/>
          <w:highlight w:val="none"/>
        </w:rPr>
        <w:t>定义</w:t>
      </w:r>
      <w:bookmarkEnd w:id="29"/>
      <w:bookmarkEnd w:id="30"/>
    </w:p>
    <w:p w14:paraId="67551C57">
      <w:pPr>
        <w:adjustRightInd w:val="0"/>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“合同”指甲乙双方签署的、合同协议书中载明的甲乙双方所达成的协议，包括所有的附件、附录和上述文件所提到的构成合同的所有文件。</w:t>
      </w:r>
    </w:p>
    <w:p w14:paraId="4BFA5ECC">
      <w:pPr>
        <w:adjustRightInd w:val="0"/>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 “签约合同价”是指甲方和乙方在合同协议书中确定的金额，即本项目的中标价或中选价或成交价。</w:t>
      </w:r>
    </w:p>
    <w:p w14:paraId="569778C4">
      <w:pPr>
        <w:adjustRightInd w:val="0"/>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 “合同价格”是指根据本合同规定乙方在正确地完全履行合同义务后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none"/>
        </w:rPr>
        <w:t>履约验收合格确定的最终价款。</w:t>
      </w:r>
    </w:p>
    <w:p w14:paraId="3944A97B">
      <w:pPr>
        <w:adjustRightInd w:val="0"/>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“服务”是指根据本合同规定乙方在本项目中应承担所有工作和一切义务。</w:t>
      </w:r>
    </w:p>
    <w:p w14:paraId="53DB1FF5">
      <w:pPr>
        <w:adjustRightInd w:val="0"/>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 “甲方”是指委托服务的一方以及其合法继承人，即合同协议书中所述的甲方。</w:t>
      </w:r>
    </w:p>
    <w:p w14:paraId="7E665C6E">
      <w:pPr>
        <w:adjustRightInd w:val="0"/>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 “乙方”是指承担服务的一方以及其合法继承人，即合同协议书中所述的乙方。</w:t>
      </w:r>
    </w:p>
    <w:p w14:paraId="3F4EFA06">
      <w:pPr>
        <w:adjustRightInd w:val="0"/>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 “现场”是指合同协议书中明确的履行服务的现场。</w:t>
      </w:r>
    </w:p>
    <w:p w14:paraId="30CE13EC">
      <w:pPr>
        <w:adjustRightInd w:val="0"/>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 “日”是指任何一天零时至第二天零时的时间段。</w:t>
      </w:r>
    </w:p>
    <w:p w14:paraId="4DAF3FE5">
      <w:pPr>
        <w:adjustRightInd w:val="0"/>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 “月”是指根据公历从一个月份中任何一天开始到下一个月相应日期的前一天的时间段。</w:t>
      </w:r>
    </w:p>
    <w:p w14:paraId="649D3140">
      <w:pPr>
        <w:adjustRightInd w:val="0"/>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 “管理规定”是指行政主管部门及甲方对本项目的管理制度、程序、流程、规定、文件、通知、决定、指示、同意、批准、书面文件、电报、传真等书面内容的要求。行政主管部门及甲方在项目管理过程中下发的项目管理规定作为本合同的组成部分，乙方在合同履行过程中应严格遵照执行。</w:t>
      </w:r>
    </w:p>
    <w:p w14:paraId="3C3DB033">
      <w:pPr>
        <w:adjustRightInd w:val="0"/>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“书面形式”是指合同书、信件和数据电文（包括电报、电传、传真、电子数据交换和电子邮件）等可以有形地表现所载内容的形式。</w:t>
      </w:r>
    </w:p>
    <w:p w14:paraId="1B093A49">
      <w:pPr>
        <w:adjustRightInd w:val="0"/>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“不可抗力”是指甲方和乙方在订立本合同时不可预见，在合同履行过程中不可避免并不能克服的自然灾害和社会性突发事件，如地震、海啸、瘟疫、水灾、骚乱、暴动、战争等情形。</w:t>
      </w:r>
    </w:p>
    <w:p w14:paraId="349F07D3">
      <w:pPr>
        <w:adjustRightInd w:val="0"/>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“有责投诉”是指违反法律法规、合同条款、规章制度、劳动纪律、作业标准及设备设施不良、管理不善等原因，对乙方及乙方人员有责任的投诉。</w:t>
      </w:r>
    </w:p>
    <w:p w14:paraId="5FEABEEB">
      <w:pPr>
        <w:adjustRightInd w:val="0"/>
        <w:snapToGrid w:val="0"/>
        <w:spacing w:beforeLines="0" w:afterLines="0" w:line="360" w:lineRule="auto"/>
        <w:ind w:firstLine="422" w:firstLineChars="200"/>
        <w:outlineLvl w:val="9"/>
        <w:rPr>
          <w:rFonts w:hint="eastAsia" w:ascii="宋体" w:hAnsi="宋体" w:eastAsia="宋体" w:cs="宋体"/>
          <w:b/>
          <w:bCs/>
          <w:color w:val="auto"/>
          <w:sz w:val="21"/>
          <w:szCs w:val="21"/>
          <w:highlight w:val="none"/>
        </w:rPr>
      </w:pPr>
      <w:bookmarkStart w:id="31" w:name="_Toc351203502"/>
      <w:bookmarkStart w:id="32" w:name="_Toc406150428"/>
      <w:bookmarkStart w:id="33" w:name="_Toc457826158"/>
      <w:bookmarkStart w:id="34" w:name="_Toc296346534"/>
      <w:bookmarkStart w:id="35" w:name="_Toc337558733"/>
      <w:bookmarkStart w:id="36" w:name="_Toc296503033"/>
      <w:bookmarkStart w:id="37" w:name="_Toc20721"/>
      <w:bookmarkStart w:id="38" w:name="_Toc12453"/>
      <w:r>
        <w:rPr>
          <w:rFonts w:hint="eastAsia" w:ascii="宋体" w:hAnsi="宋体" w:eastAsia="宋体" w:cs="宋体"/>
          <w:b/>
          <w:bCs/>
          <w:color w:val="auto"/>
          <w:sz w:val="21"/>
          <w:szCs w:val="21"/>
          <w:highlight w:val="none"/>
        </w:rPr>
        <w:t>2、联络</w:t>
      </w:r>
      <w:bookmarkEnd w:id="31"/>
      <w:bookmarkEnd w:id="32"/>
      <w:bookmarkEnd w:id="33"/>
    </w:p>
    <w:bookmarkEnd w:id="34"/>
    <w:bookmarkEnd w:id="35"/>
    <w:bookmarkEnd w:id="36"/>
    <w:p w14:paraId="304B2FC3">
      <w:pPr>
        <w:tabs>
          <w:tab w:val="left" w:pos="540"/>
          <w:tab w:val="left" w:pos="720"/>
        </w:tabs>
        <w:adjustRightInd w:val="0"/>
        <w:snapToGrid w:val="0"/>
        <w:spacing w:beforeLines="0" w:afterLines="0" w:line="360" w:lineRule="auto"/>
        <w:ind w:firstLine="420" w:firstLineChars="200"/>
        <w:jc w:val="left"/>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与合同有关的批准文件、通知、证明、证书、指示、指令、要求、请求、意见、确定和决定等，均应采用书面形式或合同双方确认的其他形式。</w:t>
      </w:r>
    </w:p>
    <w:p w14:paraId="2C9A88B3">
      <w:pPr>
        <w:adjustRightInd w:val="0"/>
        <w:snapToGrid w:val="0"/>
        <w:spacing w:beforeLines="0" w:afterLines="0" w:line="360" w:lineRule="auto"/>
        <w:ind w:firstLine="422" w:firstLineChars="200"/>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3、标准和规范</w:t>
      </w:r>
      <w:bookmarkEnd w:id="37"/>
      <w:bookmarkEnd w:id="38"/>
    </w:p>
    <w:p w14:paraId="1DBC9EA0">
      <w:pPr>
        <w:tabs>
          <w:tab w:val="left" w:pos="851"/>
        </w:tabs>
        <w:adjustRightInd w:val="0"/>
        <w:snapToGrid w:val="0"/>
        <w:spacing w:beforeLines="0" w:afterLines="0" w:line="360" w:lineRule="auto"/>
        <w:ind w:firstLine="420" w:firstLineChars="200"/>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适用国家标准、行业标准、项目所在地的地方性标准，以及相应的规范、规程等。</w:t>
      </w:r>
    </w:p>
    <w:p w14:paraId="6633BB17">
      <w:pPr>
        <w:widowControl w:val="0"/>
        <w:adjustRightInd w:val="0"/>
        <w:snapToGrid w:val="0"/>
        <w:spacing w:beforeLines="0" w:after="0" w:afterLines="0" w:line="360" w:lineRule="auto"/>
        <w:ind w:firstLine="420" w:firstLineChars="200"/>
        <w:jc w:val="both"/>
        <w:outlineLvl w:val="9"/>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3.2 甲方对本项目的技术标准或功能的其他要求以用户需求书为准。</w:t>
      </w:r>
    </w:p>
    <w:p w14:paraId="217EC149">
      <w:pPr>
        <w:adjustRightInd w:val="0"/>
        <w:snapToGrid w:val="0"/>
        <w:spacing w:beforeLines="0" w:afterLines="0" w:line="360" w:lineRule="auto"/>
        <w:ind w:firstLine="422" w:firstLineChars="200"/>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4、价款支付</w:t>
      </w:r>
    </w:p>
    <w:p w14:paraId="455E3FEF">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b w:val="0"/>
          <w:bCs w:val="0"/>
          <w:color w:val="auto"/>
          <w:sz w:val="21"/>
          <w:szCs w:val="21"/>
          <w:highlight w:val="none"/>
          <w:u w:val="none"/>
        </w:rPr>
      </w:pPr>
      <w:r>
        <w:rPr>
          <w:rFonts w:hint="eastAsia" w:ascii="宋体" w:hAnsi="宋体" w:eastAsia="宋体" w:cs="宋体"/>
          <w:color w:val="auto"/>
          <w:sz w:val="21"/>
          <w:szCs w:val="21"/>
          <w:highlight w:val="none"/>
          <w:u w:val="none"/>
        </w:rPr>
        <w:t>4.1 进度款支付</w:t>
      </w:r>
    </w:p>
    <w:p w14:paraId="0C618515">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b w:val="0"/>
          <w:color w:val="auto"/>
          <w:sz w:val="21"/>
          <w:szCs w:val="21"/>
          <w:highlight w:val="none"/>
          <w:u w:val="none"/>
          <w:lang w:val="en-US" w:eastAsia="zh-CN"/>
        </w:rPr>
      </w:pPr>
      <w:r>
        <w:rPr>
          <w:rFonts w:hint="eastAsia" w:ascii="宋体" w:hAnsi="宋体" w:eastAsia="宋体" w:cs="宋体"/>
          <w:b w:val="0"/>
          <w:color w:val="auto"/>
          <w:sz w:val="21"/>
          <w:szCs w:val="21"/>
          <w:highlight w:val="none"/>
          <w:u w:val="none"/>
          <w:lang w:val="en-US" w:eastAsia="zh-CN"/>
        </w:rPr>
        <w:t>按月支付：当月支付金额=当月劳务费用+当月其它费用+当月考</w:t>
      </w:r>
      <w:r>
        <w:rPr>
          <w:rFonts w:hint="eastAsia" w:ascii="宋体" w:hAnsi="宋体" w:eastAsia="宋体" w:cs="宋体"/>
          <w:b w:val="0"/>
          <w:bCs w:val="0"/>
          <w:color w:val="auto"/>
          <w:sz w:val="21"/>
          <w:szCs w:val="21"/>
          <w:highlight w:val="none"/>
          <w:u w:val="none"/>
          <w:lang w:val="en-US" w:eastAsia="zh-CN"/>
        </w:rPr>
        <w:t>评</w:t>
      </w:r>
      <w:r>
        <w:rPr>
          <w:rFonts w:hint="eastAsia" w:ascii="宋体" w:hAnsi="宋体" w:eastAsia="宋体" w:cs="宋体"/>
          <w:b w:val="0"/>
          <w:color w:val="auto"/>
          <w:sz w:val="21"/>
          <w:szCs w:val="21"/>
          <w:highlight w:val="none"/>
          <w:u w:val="none"/>
          <w:lang w:val="en-US" w:eastAsia="zh-CN"/>
        </w:rPr>
        <w:t>金额，劳务费用与其它费用详见合同附件价格清单。</w:t>
      </w:r>
    </w:p>
    <w:p w14:paraId="59D6409A">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b w:val="0"/>
          <w:color w:val="auto"/>
          <w:sz w:val="21"/>
          <w:szCs w:val="21"/>
          <w:highlight w:val="none"/>
          <w:u w:val="none"/>
          <w:lang w:val="en-US" w:eastAsia="zh-CN"/>
        </w:rPr>
      </w:pPr>
      <w:r>
        <w:rPr>
          <w:rFonts w:hint="eastAsia" w:ascii="宋体" w:hAnsi="宋体" w:eastAsia="宋体" w:cs="宋体"/>
          <w:b w:val="0"/>
          <w:color w:val="auto"/>
          <w:sz w:val="21"/>
          <w:szCs w:val="21"/>
          <w:highlight w:val="none"/>
          <w:u w:val="none"/>
          <w:lang w:val="en-US" w:eastAsia="zh-CN"/>
        </w:rPr>
        <w:t>如进场或截止退场当月时间不足一个月，则按当月实际服务天数进行折算。</w:t>
      </w:r>
    </w:p>
    <w:p w14:paraId="34374B40">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进度款支付乙方应在</w:t>
      </w:r>
      <w:r>
        <w:rPr>
          <w:rFonts w:hint="eastAsia" w:ascii="宋体" w:hAnsi="宋体" w:eastAsia="宋体" w:cs="宋体"/>
          <w:color w:val="auto"/>
          <w:sz w:val="21"/>
          <w:szCs w:val="21"/>
          <w:highlight w:val="none"/>
          <w:u w:val="none"/>
          <w:lang w:val="en-US" w:eastAsia="zh-CN"/>
        </w:rPr>
        <w:t>次月10日前提报支付申请</w:t>
      </w:r>
      <w:r>
        <w:rPr>
          <w:rFonts w:hint="eastAsia" w:ascii="宋体" w:hAnsi="宋体" w:eastAsia="宋体" w:cs="宋体"/>
          <w:color w:val="auto"/>
          <w:sz w:val="21"/>
          <w:szCs w:val="21"/>
          <w:highlight w:val="none"/>
          <w:u w:val="none"/>
        </w:rPr>
        <w:t>，乙方凭当次应支付款额度100%的增值税发票原件</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u w:val="none"/>
        </w:rPr>
        <w:t>劳务人员考勤表</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其它费用开展记录证明材料</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办理每月的请款手续；甲方在收到乙方的上述请款材料并确认无误后的28个工作日内向乙方</w:t>
      </w:r>
      <w:r>
        <w:rPr>
          <w:rFonts w:hint="eastAsia" w:ascii="宋体" w:hAnsi="宋体" w:cs="宋体"/>
          <w:color w:val="auto"/>
          <w:sz w:val="21"/>
          <w:szCs w:val="21"/>
          <w:highlight w:val="none"/>
          <w:u w:val="none"/>
          <w:lang w:val="en-US" w:eastAsia="zh-CN"/>
        </w:rPr>
        <w:t>予以</w:t>
      </w:r>
      <w:r>
        <w:rPr>
          <w:rFonts w:hint="eastAsia" w:ascii="宋体" w:hAnsi="宋体" w:eastAsia="宋体" w:cs="宋体"/>
          <w:color w:val="auto"/>
          <w:sz w:val="21"/>
          <w:szCs w:val="21"/>
          <w:highlight w:val="none"/>
          <w:u w:val="none"/>
        </w:rPr>
        <w:t>支付。</w:t>
      </w:r>
    </w:p>
    <w:p w14:paraId="7BF22D51">
      <w:pPr>
        <w:adjustRightInd w:val="0"/>
        <w:snapToGrid w:val="0"/>
        <w:spacing w:beforeLines="0" w:afterLines="0" w:line="360" w:lineRule="auto"/>
        <w:ind w:firstLine="422" w:firstLineChars="200"/>
        <w:outlineLvl w:val="9"/>
        <w:rPr>
          <w:rFonts w:hint="eastAsia" w:ascii="宋体" w:hAnsi="宋体" w:eastAsia="宋体" w:cs="宋体"/>
          <w:color w:val="auto"/>
          <w:kern w:val="0"/>
          <w:sz w:val="21"/>
          <w:szCs w:val="21"/>
          <w:highlight w:val="none"/>
        </w:rPr>
      </w:pPr>
      <w:r>
        <w:rPr>
          <w:rFonts w:hint="eastAsia" w:ascii="宋体" w:hAnsi="宋体" w:eastAsia="宋体" w:cs="宋体"/>
          <w:b/>
          <w:snapToGrid w:val="0"/>
          <w:color w:val="auto"/>
          <w:sz w:val="21"/>
          <w:szCs w:val="21"/>
          <w:highlight w:val="none"/>
        </w:rPr>
        <w:t>5、</w:t>
      </w:r>
      <w:r>
        <w:rPr>
          <w:rFonts w:hint="eastAsia" w:ascii="宋体" w:hAnsi="宋体" w:eastAsia="宋体" w:cs="宋体"/>
          <w:color w:val="auto"/>
          <w:kern w:val="0"/>
          <w:sz w:val="21"/>
          <w:szCs w:val="21"/>
          <w:highlight w:val="none"/>
        </w:rPr>
        <w:t>履约保证金</w:t>
      </w:r>
    </w:p>
    <w:p w14:paraId="487619A2">
      <w:pPr>
        <w:tabs>
          <w:tab w:val="left" w:pos="851"/>
        </w:tabs>
        <w:adjustRightInd w:val="0"/>
        <w:snapToGrid w:val="0"/>
        <w:spacing w:beforeLines="0" w:afterLines="0" w:line="360" w:lineRule="auto"/>
        <w:ind w:firstLine="420" w:firstLineChars="200"/>
        <w:textAlignment w:val="baseline"/>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.1.乙方应在本合同签订后按</w:t>
      </w:r>
      <w:r>
        <w:rPr>
          <w:rFonts w:hint="eastAsia" w:ascii="宋体" w:hAnsi="宋体" w:eastAsia="宋体" w:cs="宋体"/>
          <w:color w:val="auto"/>
          <w:sz w:val="21"/>
          <w:szCs w:val="21"/>
          <w:highlight w:val="none"/>
          <w:lang w:val="en-US" w:eastAsia="zh-CN"/>
        </w:rPr>
        <w:t>合同</w:t>
      </w:r>
      <w:r>
        <w:rPr>
          <w:rFonts w:hint="eastAsia" w:ascii="宋体" w:hAnsi="宋体" w:cs="宋体"/>
          <w:color w:val="auto"/>
          <w:sz w:val="21"/>
          <w:szCs w:val="21"/>
          <w:highlight w:val="none"/>
          <w:lang w:val="en-US" w:eastAsia="zh-CN"/>
        </w:rPr>
        <w:t>总价</w:t>
      </w:r>
      <w:r>
        <w:rPr>
          <w:rFonts w:hint="eastAsia" w:ascii="宋体" w:hAnsi="宋体" w:eastAsia="宋体" w:cs="宋体"/>
          <w:color w:val="auto"/>
          <w:kern w:val="0"/>
          <w:sz w:val="21"/>
          <w:szCs w:val="21"/>
          <w:highlight w:val="none"/>
        </w:rPr>
        <w:t>的</w:t>
      </w:r>
      <w:r>
        <w:rPr>
          <w:rFonts w:hint="eastAsia" w:ascii="宋体" w:hAnsi="宋体" w:cs="宋体"/>
          <w:color w:val="auto"/>
          <w:kern w:val="0"/>
          <w:sz w:val="21"/>
          <w:szCs w:val="21"/>
          <w:highlight w:val="none"/>
          <w:lang w:val="en-US" w:eastAsia="zh-CN"/>
        </w:rPr>
        <w:t>10</w:t>
      </w:r>
      <w:r>
        <w:rPr>
          <w:rFonts w:hint="eastAsia" w:ascii="宋体" w:hAnsi="宋体" w:eastAsia="宋体" w:cs="宋体"/>
          <w:color w:val="auto"/>
          <w:kern w:val="0"/>
          <w:sz w:val="21"/>
          <w:szCs w:val="21"/>
          <w:highlight w:val="none"/>
        </w:rPr>
        <w:t>%向甲方缴纳履约保证金。履约保证金须在合同的权利义务终止前保持有效。</w:t>
      </w:r>
    </w:p>
    <w:p w14:paraId="3037C8F1">
      <w:pPr>
        <w:tabs>
          <w:tab w:val="left" w:pos="851"/>
        </w:tabs>
        <w:adjustRightInd w:val="0"/>
        <w:snapToGrid w:val="0"/>
        <w:spacing w:beforeLines="0" w:afterLines="0" w:line="360" w:lineRule="auto"/>
        <w:ind w:firstLine="420" w:firstLineChars="200"/>
        <w:textAlignment w:val="baseline"/>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.2.履约保证金用银行保函提交的，保函格</w:t>
      </w:r>
      <w:r>
        <w:rPr>
          <w:rFonts w:hint="eastAsia" w:ascii="宋体" w:hAnsi="宋体" w:eastAsia="宋体" w:cs="宋体"/>
          <w:color w:val="auto"/>
          <w:kern w:val="0"/>
          <w:sz w:val="21"/>
          <w:szCs w:val="21"/>
          <w:highlight w:val="none"/>
          <w:u w:val="none"/>
        </w:rPr>
        <w:t>式</w:t>
      </w:r>
      <w:r>
        <w:rPr>
          <w:rFonts w:hint="eastAsia" w:ascii="宋体" w:hAnsi="宋体" w:eastAsia="宋体" w:cs="宋体"/>
          <w:color w:val="auto"/>
          <w:kern w:val="0"/>
          <w:sz w:val="21"/>
          <w:szCs w:val="21"/>
          <w:highlight w:val="none"/>
          <w:u w:val="none"/>
          <w:lang w:val="en-US" w:eastAsia="zh-CN"/>
        </w:rPr>
        <w:t>详见附件，</w:t>
      </w:r>
      <w:r>
        <w:rPr>
          <w:rFonts w:hint="eastAsia" w:ascii="宋体" w:hAnsi="宋体" w:eastAsia="宋体" w:cs="宋体"/>
          <w:color w:val="auto"/>
          <w:kern w:val="0"/>
          <w:sz w:val="21"/>
          <w:szCs w:val="21"/>
          <w:highlight w:val="none"/>
          <w:u w:val="none"/>
        </w:rPr>
        <w:t>保函须经甲</w:t>
      </w:r>
      <w:r>
        <w:rPr>
          <w:rFonts w:hint="eastAsia" w:ascii="宋体" w:hAnsi="宋体" w:eastAsia="宋体" w:cs="宋体"/>
          <w:color w:val="auto"/>
          <w:kern w:val="0"/>
          <w:sz w:val="21"/>
          <w:szCs w:val="21"/>
          <w:highlight w:val="none"/>
        </w:rPr>
        <w:t>方确认并经甲方指定银行进行鉴定；乙方自行办理保函鉴定手续并承担相关费用。</w:t>
      </w:r>
    </w:p>
    <w:p w14:paraId="2C88E69C">
      <w:pPr>
        <w:tabs>
          <w:tab w:val="left" w:pos="851"/>
        </w:tabs>
        <w:adjustRightInd w:val="0"/>
        <w:snapToGrid w:val="0"/>
        <w:spacing w:beforeLines="0" w:afterLines="0" w:line="360" w:lineRule="auto"/>
        <w:ind w:firstLine="420" w:firstLineChars="200"/>
        <w:textAlignment w:val="baseline"/>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.3.履约保证金用人民币转账提交的，甲方银行账号资料如下：</w:t>
      </w:r>
    </w:p>
    <w:p w14:paraId="50E4D0A6">
      <w:pPr>
        <w:tabs>
          <w:tab w:val="left" w:pos="851"/>
        </w:tabs>
        <w:adjustRightInd w:val="0"/>
        <w:snapToGrid w:val="0"/>
        <w:spacing w:beforeLines="0" w:afterLines="0" w:line="360" w:lineRule="auto"/>
        <w:ind w:firstLine="420" w:firstLineChars="200"/>
        <w:textAlignment w:val="baseline"/>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开户名称：中国建设银行股份有限公司长沙望城坡支行</w:t>
      </w:r>
    </w:p>
    <w:p w14:paraId="698C4B18">
      <w:pPr>
        <w:tabs>
          <w:tab w:val="left" w:pos="851"/>
        </w:tabs>
        <w:adjustRightInd w:val="0"/>
        <w:snapToGrid w:val="0"/>
        <w:spacing w:beforeLines="0" w:afterLines="0" w:line="360" w:lineRule="auto"/>
        <w:ind w:firstLine="420" w:firstLineChars="200"/>
        <w:textAlignment w:val="baseline"/>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开户银行：长沙穗城轨道交通有限公司</w:t>
      </w:r>
    </w:p>
    <w:p w14:paraId="0F358967">
      <w:pPr>
        <w:tabs>
          <w:tab w:val="left" w:pos="851"/>
        </w:tabs>
        <w:adjustRightInd w:val="0"/>
        <w:snapToGrid w:val="0"/>
        <w:spacing w:beforeLines="0" w:afterLines="0" w:line="360" w:lineRule="auto"/>
        <w:ind w:firstLine="420" w:firstLineChars="200"/>
        <w:textAlignment w:val="baseline"/>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帐    号：43050178413600000646</w:t>
      </w:r>
    </w:p>
    <w:p w14:paraId="775C007E">
      <w:pPr>
        <w:tabs>
          <w:tab w:val="left" w:pos="851"/>
        </w:tabs>
        <w:adjustRightInd w:val="0"/>
        <w:snapToGrid w:val="0"/>
        <w:spacing w:beforeLines="0" w:afterLines="0" w:line="360" w:lineRule="auto"/>
        <w:ind w:firstLine="420" w:firstLineChars="200"/>
        <w:textAlignment w:val="baseline"/>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4.乙方在合同履行期间存在任何违约行为，甲方有权直接从履约保证金扣除合同约定的违约金或损害赔偿金等费用，但甲方需将这一行为及时通知乙方；乙方有权提出异议，双方无法达成一致时按合同约定的争议解决方式处理。甲方应在合同的权利义务终止后及时将剩余的履约保证金无息返还，若返还履约保证金时发生银行费用，则该费用由乙方承担且从履约保证金金额内直接扣减。</w:t>
      </w:r>
    </w:p>
    <w:p w14:paraId="283B3693">
      <w:pPr>
        <w:adjustRightInd w:val="0"/>
        <w:snapToGrid w:val="0"/>
        <w:spacing w:beforeLines="0" w:afterLines="0" w:line="360" w:lineRule="auto"/>
        <w:ind w:firstLine="422" w:firstLineChars="200"/>
        <w:outlineLvl w:val="9"/>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6、甲方</w:t>
      </w:r>
      <w:r>
        <w:rPr>
          <w:rFonts w:hint="eastAsia" w:ascii="宋体" w:hAnsi="宋体" w:eastAsia="宋体" w:cs="宋体"/>
          <w:b/>
          <w:bCs/>
          <w:color w:val="auto"/>
          <w:sz w:val="21"/>
          <w:szCs w:val="21"/>
          <w:highlight w:val="none"/>
        </w:rPr>
        <w:t>权利和义务</w:t>
      </w:r>
    </w:p>
    <w:p w14:paraId="30000F58">
      <w:pPr>
        <w:adjustRightInd w:val="0"/>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 xml:space="preserve"> 甲方有权对乙方进行定期和不定期检查，并依据检查考</w:t>
      </w:r>
      <w:r>
        <w:rPr>
          <w:rFonts w:hint="eastAsia" w:ascii="宋体" w:hAnsi="宋体" w:eastAsia="宋体" w:cs="宋体"/>
          <w:color w:val="auto"/>
          <w:sz w:val="21"/>
          <w:szCs w:val="21"/>
          <w:highlight w:val="none"/>
          <w:lang w:val="en-US" w:eastAsia="zh-CN"/>
        </w:rPr>
        <w:t>评</w:t>
      </w:r>
      <w:r>
        <w:rPr>
          <w:rFonts w:hint="eastAsia" w:ascii="宋体" w:hAnsi="宋体" w:eastAsia="宋体" w:cs="宋体"/>
          <w:color w:val="auto"/>
          <w:sz w:val="21"/>
          <w:szCs w:val="21"/>
          <w:highlight w:val="none"/>
        </w:rPr>
        <w:t>情况按照合同约定的方式向乙方办理支付手续。</w:t>
      </w:r>
    </w:p>
    <w:p w14:paraId="3E422E9C">
      <w:pPr>
        <w:numPr>
          <w:ilvl w:val="-1"/>
          <w:numId w:val="0"/>
        </w:numPr>
        <w:kinsoku/>
        <w:overflowPunct/>
        <w:autoSpaceDE/>
        <w:autoSpaceDN/>
        <w:adjustRightInd w:val="0"/>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6.1.1</w:t>
      </w:r>
      <w:r>
        <w:rPr>
          <w:rFonts w:hint="eastAsia" w:ascii="宋体" w:hAnsi="宋体" w:eastAsia="宋体" w:cs="宋体"/>
          <w:color w:val="auto"/>
          <w:sz w:val="21"/>
          <w:szCs w:val="21"/>
          <w:highlight w:val="none"/>
        </w:rPr>
        <w:t>甲方根据</w:t>
      </w:r>
      <w:r>
        <w:rPr>
          <w:rFonts w:hint="default" w:ascii="宋体" w:hAnsi="宋体" w:eastAsia="宋体" w:cs="宋体"/>
          <w:color w:val="auto"/>
          <w:sz w:val="21"/>
          <w:szCs w:val="21"/>
          <w:highlight w:val="none"/>
          <w:lang w:val="en-US"/>
        </w:rPr>
        <w:t>现场服务实际情况，</w:t>
      </w:r>
      <w:r>
        <w:rPr>
          <w:rFonts w:hint="eastAsia" w:ascii="宋体" w:hAnsi="宋体" w:eastAsia="宋体" w:cs="宋体"/>
          <w:color w:val="auto"/>
          <w:sz w:val="21"/>
          <w:szCs w:val="21"/>
          <w:highlight w:val="none"/>
        </w:rPr>
        <w:t>对乙方服务质量进行监管，甲方有权依据</w:t>
      </w:r>
      <w:r>
        <w:rPr>
          <w:rFonts w:hint="eastAsia" w:ascii="宋体" w:hAnsi="宋体" w:eastAsia="宋体" w:cs="宋体"/>
          <w:color w:val="auto"/>
          <w:sz w:val="21"/>
          <w:szCs w:val="21"/>
          <w:highlight w:val="none"/>
          <w:lang w:val="en-US" w:eastAsia="zh-CN"/>
        </w:rPr>
        <w:t>甲方相关管理制度及考评办法</w:t>
      </w:r>
      <w:r>
        <w:rPr>
          <w:rFonts w:hint="eastAsia" w:ascii="宋体" w:hAnsi="宋体" w:eastAsia="宋体" w:cs="宋体"/>
          <w:color w:val="auto"/>
          <w:sz w:val="21"/>
          <w:szCs w:val="21"/>
          <w:highlight w:val="none"/>
        </w:rPr>
        <w:t>向乙方签发考评通知书,并按相关考</w:t>
      </w:r>
      <w:r>
        <w:rPr>
          <w:rFonts w:hint="eastAsia" w:ascii="宋体" w:hAnsi="宋体" w:eastAsia="宋体" w:cs="宋体"/>
          <w:color w:val="auto"/>
          <w:sz w:val="21"/>
          <w:szCs w:val="21"/>
          <w:highlight w:val="none"/>
          <w:lang w:val="en-US" w:eastAsia="zh-CN"/>
        </w:rPr>
        <w:t>评</w:t>
      </w:r>
      <w:r>
        <w:rPr>
          <w:rFonts w:hint="eastAsia" w:ascii="宋体" w:hAnsi="宋体" w:eastAsia="宋体" w:cs="宋体"/>
          <w:color w:val="auto"/>
          <w:sz w:val="21"/>
          <w:szCs w:val="21"/>
          <w:highlight w:val="none"/>
        </w:rPr>
        <w:t>办法作相应</w:t>
      </w:r>
      <w:r>
        <w:rPr>
          <w:rFonts w:hint="eastAsia" w:ascii="宋体" w:hAnsi="宋体" w:eastAsia="宋体" w:cs="宋体"/>
          <w:color w:val="auto"/>
          <w:sz w:val="21"/>
          <w:szCs w:val="21"/>
          <w:highlight w:val="none"/>
          <w:lang w:val="en-US" w:eastAsia="zh-CN"/>
        </w:rPr>
        <w:t>奖罚</w:t>
      </w:r>
      <w:r>
        <w:rPr>
          <w:rFonts w:hint="eastAsia" w:ascii="宋体" w:hAnsi="宋体" w:eastAsia="宋体" w:cs="宋体"/>
          <w:color w:val="auto"/>
          <w:sz w:val="21"/>
          <w:szCs w:val="21"/>
          <w:highlight w:val="none"/>
        </w:rPr>
        <w:t>处理，考</w:t>
      </w:r>
      <w:r>
        <w:rPr>
          <w:rFonts w:hint="eastAsia" w:ascii="宋体" w:hAnsi="宋体" w:eastAsia="宋体" w:cs="宋体"/>
          <w:color w:val="auto"/>
          <w:sz w:val="21"/>
          <w:szCs w:val="21"/>
          <w:highlight w:val="none"/>
          <w:lang w:val="en-US" w:eastAsia="zh-CN"/>
        </w:rPr>
        <w:t>评</w:t>
      </w:r>
      <w:r>
        <w:rPr>
          <w:rFonts w:hint="eastAsia" w:ascii="宋体" w:hAnsi="宋体" w:eastAsia="宋体" w:cs="宋体"/>
          <w:color w:val="auto"/>
          <w:sz w:val="21"/>
          <w:szCs w:val="21"/>
          <w:highlight w:val="none"/>
        </w:rPr>
        <w:t>金由甲方在乙方当期应付款项中兑现。</w:t>
      </w:r>
    </w:p>
    <w:p w14:paraId="07F0FB04">
      <w:pPr>
        <w:adjustRightInd w:val="0"/>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甲方有权</w:t>
      </w:r>
      <w:r>
        <w:rPr>
          <w:rFonts w:hint="eastAsia" w:ascii="宋体" w:hAnsi="宋体" w:eastAsia="宋体" w:cs="宋体"/>
          <w:color w:val="auto"/>
          <w:sz w:val="21"/>
          <w:szCs w:val="21"/>
          <w:highlight w:val="none"/>
          <w:lang w:val="en-US" w:eastAsia="zh-CN"/>
        </w:rPr>
        <w:t>抽查</w:t>
      </w:r>
      <w:r>
        <w:rPr>
          <w:rFonts w:hint="eastAsia" w:ascii="宋体" w:hAnsi="宋体" w:eastAsia="宋体" w:cs="宋体"/>
          <w:color w:val="auto"/>
          <w:sz w:val="21"/>
          <w:szCs w:val="21"/>
          <w:highlight w:val="none"/>
        </w:rPr>
        <w:t>乙方发放给其人员的工资和相关费用以及为其人员购买的社会保险等情况,乙方</w:t>
      </w:r>
      <w:r>
        <w:rPr>
          <w:rFonts w:hint="eastAsia" w:ascii="宋体" w:hAnsi="宋体" w:eastAsia="宋体" w:cs="宋体"/>
          <w:color w:val="auto"/>
          <w:sz w:val="21"/>
          <w:szCs w:val="21"/>
          <w:highlight w:val="none"/>
          <w:lang w:val="en-US" w:eastAsia="zh-CN"/>
        </w:rPr>
        <w:t>应予以配合</w:t>
      </w:r>
      <w:r>
        <w:rPr>
          <w:rFonts w:hint="eastAsia" w:ascii="宋体" w:hAnsi="宋体" w:eastAsia="宋体" w:cs="宋体"/>
          <w:color w:val="auto"/>
          <w:sz w:val="21"/>
          <w:szCs w:val="21"/>
          <w:highlight w:val="none"/>
        </w:rPr>
        <w:t>。</w:t>
      </w:r>
    </w:p>
    <w:p w14:paraId="569E121F">
      <w:pPr>
        <w:autoSpaceDE w:val="0"/>
        <w:autoSpaceDN w:val="0"/>
        <w:adjustRightInd w:val="0"/>
        <w:snapToGrid w:val="0"/>
        <w:spacing w:beforeLines="0" w:afterLines="0" w:line="360" w:lineRule="auto"/>
        <w:ind w:firstLine="420" w:firstLineChars="200"/>
        <w:outlineLvl w:val="9"/>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甲方</w:t>
      </w:r>
      <w:r>
        <w:rPr>
          <w:rFonts w:hint="eastAsia" w:ascii="宋体" w:hAnsi="宋体" w:eastAsia="宋体" w:cs="宋体"/>
          <w:color w:val="auto"/>
          <w:sz w:val="21"/>
          <w:szCs w:val="21"/>
          <w:highlight w:val="none"/>
        </w:rPr>
        <w:t>不对</w:t>
      </w:r>
      <w:r>
        <w:rPr>
          <w:rFonts w:hint="eastAsia" w:ascii="宋体" w:hAnsi="宋体" w:cs="宋体"/>
          <w:color w:val="auto"/>
          <w:sz w:val="21"/>
          <w:szCs w:val="21"/>
          <w:highlight w:val="none"/>
          <w:lang w:val="en-US" w:eastAsia="zh-CN"/>
        </w:rPr>
        <w:t>乙方员工</w:t>
      </w:r>
      <w:r>
        <w:rPr>
          <w:rFonts w:hint="eastAsia" w:ascii="宋体" w:hAnsi="宋体" w:eastAsia="宋体" w:cs="宋体"/>
          <w:color w:val="auto"/>
          <w:sz w:val="21"/>
          <w:szCs w:val="21"/>
          <w:highlight w:val="none"/>
        </w:rPr>
        <w:t>直接进行管理</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乙方应制定员工管理相关规章制度并对相关服务人员进行管理，甲方可基于消防、安全生产、工作场所秩序等方面管理需要对乙方服务人员行使部分的指挥管理权。</w:t>
      </w:r>
    </w:p>
    <w:p w14:paraId="2A863720">
      <w:pPr>
        <w:autoSpaceDE w:val="0"/>
        <w:autoSpaceDN w:val="0"/>
        <w:adjustRightInd w:val="0"/>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6.4</w:t>
      </w:r>
      <w:r>
        <w:rPr>
          <w:rFonts w:hint="eastAsia" w:ascii="宋体" w:hAnsi="宋体" w:eastAsia="宋体" w:cs="宋体"/>
          <w:color w:val="auto"/>
          <w:sz w:val="21"/>
          <w:szCs w:val="21"/>
          <w:highlight w:val="none"/>
        </w:rPr>
        <w:t>甲方有权要求乙方更换不称职人员，乙方应积极响应并在收到甲方书面通知后3个工作日内予以调整，紧急情况下乙方应在24小时内予以更换。</w:t>
      </w:r>
    </w:p>
    <w:p w14:paraId="591266F6">
      <w:pPr>
        <w:tabs>
          <w:tab w:val="left" w:pos="851"/>
        </w:tabs>
        <w:adjustRightInd w:val="0"/>
        <w:snapToGrid w:val="0"/>
        <w:spacing w:beforeLines="0" w:afterLines="0" w:line="360" w:lineRule="auto"/>
        <w:ind w:firstLine="420" w:firstLineChars="200"/>
        <w:textAlignment w:val="baseline"/>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甲方无偿提供</w:t>
      </w:r>
      <w:r>
        <w:rPr>
          <w:rFonts w:hint="eastAsia" w:ascii="宋体" w:hAnsi="宋体" w:eastAsia="宋体" w:cs="宋体"/>
          <w:color w:val="auto"/>
          <w:sz w:val="21"/>
          <w:szCs w:val="21"/>
          <w:highlight w:val="none"/>
          <w:lang w:val="en-US" w:eastAsia="zh-CN"/>
        </w:rPr>
        <w:t>食堂运营场地、相关设备设施及</w:t>
      </w:r>
      <w:r>
        <w:rPr>
          <w:rFonts w:hint="eastAsia" w:ascii="宋体" w:hAnsi="宋体" w:eastAsia="宋体" w:cs="宋体"/>
          <w:color w:val="auto"/>
          <w:sz w:val="21"/>
          <w:szCs w:val="21"/>
          <w:highlight w:val="none"/>
        </w:rPr>
        <w:t>水、电、燃气。</w:t>
      </w:r>
    </w:p>
    <w:p w14:paraId="11AAD461">
      <w:pPr>
        <w:autoSpaceDE w:val="0"/>
        <w:autoSpaceDN w:val="0"/>
        <w:adjustRightInd w:val="0"/>
        <w:snapToGrid w:val="0"/>
        <w:spacing w:beforeLines="0" w:afterLines="0" w:line="360" w:lineRule="auto"/>
        <w:ind w:firstLine="422" w:firstLineChars="200"/>
        <w:outlineLvl w:val="9"/>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7、乙方</w:t>
      </w:r>
      <w:r>
        <w:rPr>
          <w:rFonts w:hint="eastAsia" w:ascii="宋体" w:hAnsi="宋体" w:eastAsia="宋体" w:cs="宋体"/>
          <w:b/>
          <w:bCs/>
          <w:color w:val="auto"/>
          <w:sz w:val="21"/>
          <w:szCs w:val="21"/>
          <w:highlight w:val="none"/>
        </w:rPr>
        <w:t>权利和义务</w:t>
      </w:r>
    </w:p>
    <w:p w14:paraId="001ED28F">
      <w:pPr>
        <w:adjustRightInd w:val="0"/>
        <w:snapToGrid w:val="0"/>
        <w:spacing w:beforeLines="0" w:afterLines="0" w:line="360" w:lineRule="auto"/>
        <w:ind w:firstLine="420" w:firstLineChars="200"/>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7.1 乙方应妥善协调各</w:t>
      </w:r>
      <w:r>
        <w:rPr>
          <w:rFonts w:hint="eastAsia" w:ascii="宋体" w:hAnsi="宋体" w:eastAsia="宋体" w:cs="宋体"/>
          <w:color w:val="auto"/>
          <w:sz w:val="21"/>
          <w:szCs w:val="21"/>
          <w:highlight w:val="none"/>
          <w:lang w:val="en-US" w:eastAsia="zh-CN"/>
        </w:rPr>
        <w:t>外部单位的</w:t>
      </w:r>
      <w:r>
        <w:rPr>
          <w:rFonts w:hint="eastAsia" w:ascii="宋体" w:hAnsi="宋体" w:eastAsia="宋体" w:cs="宋体"/>
          <w:color w:val="auto"/>
          <w:sz w:val="21"/>
          <w:szCs w:val="21"/>
          <w:highlight w:val="none"/>
        </w:rPr>
        <w:t>关系，乙方所提供的服务应符合行业标准和满足本合同规定，确保服务规范、安全、高质。乙方</w:t>
      </w:r>
      <w:r>
        <w:rPr>
          <w:rFonts w:hint="eastAsia" w:ascii="宋体" w:hAnsi="宋体" w:eastAsia="宋体" w:cs="宋体"/>
          <w:color w:val="auto"/>
          <w:sz w:val="21"/>
          <w:szCs w:val="21"/>
          <w:highlight w:val="none"/>
          <w:lang w:val="en-US" w:eastAsia="zh-CN"/>
        </w:rPr>
        <w:t>须对甲方食堂</w:t>
      </w:r>
      <w:r>
        <w:rPr>
          <w:rFonts w:hint="eastAsia" w:ascii="宋体" w:hAnsi="宋体" w:eastAsia="宋体" w:cs="宋体"/>
          <w:color w:val="auto"/>
          <w:sz w:val="21"/>
          <w:szCs w:val="21"/>
          <w:highlight w:val="none"/>
        </w:rPr>
        <w:t>设备设施</w:t>
      </w:r>
      <w:r>
        <w:rPr>
          <w:rFonts w:hint="eastAsia" w:ascii="宋体" w:hAnsi="宋体" w:eastAsia="宋体" w:cs="宋体"/>
          <w:color w:val="auto"/>
          <w:sz w:val="21"/>
          <w:szCs w:val="21"/>
          <w:highlight w:val="none"/>
          <w:lang w:val="en-US" w:eastAsia="zh-CN"/>
        </w:rPr>
        <w:t>进行</w:t>
      </w:r>
      <w:r>
        <w:rPr>
          <w:rFonts w:hint="eastAsia" w:ascii="宋体" w:hAnsi="宋体" w:eastAsia="宋体" w:cs="宋体"/>
          <w:color w:val="auto"/>
          <w:sz w:val="21"/>
          <w:szCs w:val="21"/>
          <w:highlight w:val="none"/>
        </w:rPr>
        <w:t>维修维护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确保食堂正常运营，</w:t>
      </w:r>
      <w:r>
        <w:rPr>
          <w:rFonts w:hint="eastAsia" w:ascii="宋体" w:hAnsi="宋体" w:eastAsia="宋体" w:cs="宋体"/>
          <w:color w:val="auto"/>
          <w:sz w:val="21"/>
          <w:szCs w:val="21"/>
          <w:highlight w:val="none"/>
          <w:lang w:eastAsia="zh-CN"/>
        </w:rPr>
        <w:t>单价不超过1000元（含）的</w:t>
      </w:r>
      <w:r>
        <w:rPr>
          <w:rFonts w:hint="eastAsia" w:ascii="宋体" w:hAnsi="宋体" w:cs="宋体"/>
          <w:color w:val="auto"/>
          <w:sz w:val="21"/>
          <w:szCs w:val="21"/>
          <w:highlight w:val="none"/>
          <w:lang w:eastAsia="zh-CN"/>
        </w:rPr>
        <w:t>设备设施耗材</w:t>
      </w:r>
      <w:r>
        <w:rPr>
          <w:rFonts w:hint="eastAsia" w:ascii="宋体" w:hAnsi="宋体" w:eastAsia="宋体" w:cs="宋体"/>
          <w:color w:val="auto"/>
          <w:sz w:val="21"/>
          <w:szCs w:val="21"/>
          <w:highlight w:val="none"/>
          <w:lang w:eastAsia="zh-CN"/>
        </w:rPr>
        <w:t>费用由乙方承担，单价超过1000元的</w:t>
      </w:r>
      <w:r>
        <w:rPr>
          <w:rFonts w:hint="eastAsia" w:ascii="宋体" w:hAnsi="宋体" w:cs="宋体"/>
          <w:color w:val="auto"/>
          <w:sz w:val="21"/>
          <w:szCs w:val="21"/>
          <w:highlight w:val="none"/>
          <w:lang w:eastAsia="zh-CN"/>
        </w:rPr>
        <w:t>设备设施耗材</w:t>
      </w:r>
      <w:r>
        <w:rPr>
          <w:rFonts w:hint="eastAsia" w:ascii="宋体" w:hAnsi="宋体" w:eastAsia="宋体" w:cs="宋体"/>
          <w:color w:val="auto"/>
          <w:sz w:val="21"/>
          <w:szCs w:val="21"/>
          <w:highlight w:val="none"/>
          <w:lang w:eastAsia="zh-CN"/>
        </w:rPr>
        <w:t>费用由甲方承担；维修维护工作开展前，应由甲方审核耗材使用的必要性及耗材金额的合理性。</w:t>
      </w:r>
    </w:p>
    <w:p w14:paraId="0222C251">
      <w:pPr>
        <w:autoSpaceDE w:val="0"/>
        <w:autoSpaceDN w:val="0"/>
        <w:adjustRightInd w:val="0"/>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乙方应按照国家、湖南省及长沙市的政策法规规定合法经营、依法用工，并确保支付给其人员的月工资不得低于长沙市最低工资标准，否则承担由此造成的一切责任。</w:t>
      </w:r>
    </w:p>
    <w:p w14:paraId="0C219D63">
      <w:pPr>
        <w:autoSpaceDE w:val="0"/>
        <w:autoSpaceDN w:val="0"/>
        <w:adjustRightInd w:val="0"/>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7.</w:t>
      </w: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rPr>
        <w:t xml:space="preserve"> </w:t>
      </w:r>
      <w:r>
        <w:rPr>
          <w:rFonts w:hint="eastAsia" w:ascii="宋体" w:hAnsi="宋体" w:eastAsia="宋体" w:cs="宋体"/>
          <w:color w:val="auto"/>
          <w:sz w:val="21"/>
          <w:szCs w:val="21"/>
          <w:highlight w:val="none"/>
        </w:rPr>
        <w:t>乙方应遵守国家法律法规及管理规定、建立健全项目现场的管理制度，对甲方提出的问题整改通知及时答复并改进。乙方应确保不发生安全事故。</w:t>
      </w:r>
    </w:p>
    <w:p w14:paraId="657E2250">
      <w:pPr>
        <w:autoSpaceDE w:val="0"/>
        <w:autoSpaceDN w:val="0"/>
        <w:adjustRightInd w:val="0"/>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kern w:val="0"/>
          <w:sz w:val="21"/>
          <w:szCs w:val="21"/>
          <w:highlight w:val="none"/>
        </w:rPr>
        <w:t>乙方为本项目配置的</w:t>
      </w:r>
      <w:r>
        <w:rPr>
          <w:rFonts w:hint="eastAsia" w:ascii="宋体" w:hAnsi="宋体" w:eastAsia="宋体" w:cs="宋体"/>
          <w:color w:val="auto"/>
          <w:kern w:val="0"/>
          <w:sz w:val="21"/>
          <w:szCs w:val="21"/>
          <w:highlight w:val="none"/>
          <w:lang w:val="en-US" w:eastAsia="zh-CN"/>
        </w:rPr>
        <w:t>劳务</w:t>
      </w:r>
      <w:r>
        <w:rPr>
          <w:rFonts w:hint="eastAsia" w:ascii="宋体" w:hAnsi="宋体" w:eastAsia="宋体" w:cs="宋体"/>
          <w:color w:val="auto"/>
          <w:kern w:val="0"/>
          <w:sz w:val="21"/>
          <w:szCs w:val="21"/>
          <w:highlight w:val="none"/>
        </w:rPr>
        <w:t>人员须满足用户需求书的要求，应</w:t>
      </w:r>
      <w:r>
        <w:rPr>
          <w:rFonts w:hint="eastAsia" w:ascii="宋体" w:hAnsi="宋体" w:eastAsia="宋体" w:cs="宋体"/>
          <w:color w:val="auto"/>
          <w:sz w:val="21"/>
          <w:szCs w:val="21"/>
          <w:highlight w:val="none"/>
        </w:rPr>
        <w:t>确保其人员思想品德良好、无犯罪记录、身体健康，</w:t>
      </w:r>
      <w:r>
        <w:rPr>
          <w:rFonts w:hint="eastAsia" w:ascii="宋体" w:hAnsi="宋体" w:eastAsia="宋体" w:cs="宋体"/>
          <w:color w:val="auto"/>
          <w:sz w:val="21"/>
          <w:szCs w:val="21"/>
          <w:highlight w:val="none"/>
          <w:lang w:val="en-US" w:eastAsia="zh-CN"/>
        </w:rPr>
        <w:t>须持有效身份证件、健康证。</w:t>
      </w:r>
    </w:p>
    <w:p w14:paraId="6B21EAC6">
      <w:pPr>
        <w:autoSpaceDE w:val="0"/>
        <w:autoSpaceDN w:val="0"/>
        <w:adjustRightInd w:val="0"/>
        <w:snapToGrid w:val="0"/>
        <w:spacing w:beforeLines="0" w:afterLines="0" w:line="360" w:lineRule="auto"/>
        <w:ind w:firstLine="420" w:firstLineChars="200"/>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sz w:val="21"/>
          <w:szCs w:val="21"/>
          <w:highlight w:val="none"/>
          <w:lang w:val="en-US" w:eastAsia="zh-CN"/>
        </w:rPr>
        <w:t>7.6</w:t>
      </w:r>
      <w:r>
        <w:rPr>
          <w:rFonts w:hint="eastAsia" w:ascii="宋体" w:hAnsi="宋体" w:eastAsia="宋体" w:cs="宋体"/>
          <w:color w:val="auto"/>
          <w:kern w:val="0"/>
          <w:sz w:val="21"/>
          <w:szCs w:val="21"/>
          <w:highlight w:val="none"/>
        </w:rPr>
        <w:t>乙方</w:t>
      </w:r>
      <w:r>
        <w:rPr>
          <w:rFonts w:hint="eastAsia" w:ascii="宋体" w:hAnsi="宋体" w:eastAsia="宋体" w:cs="宋体"/>
          <w:color w:val="auto"/>
          <w:kern w:val="0"/>
          <w:sz w:val="21"/>
          <w:szCs w:val="21"/>
          <w:highlight w:val="none"/>
          <w:lang w:val="en-US" w:eastAsia="zh-CN"/>
        </w:rPr>
        <w:t>须</w:t>
      </w:r>
      <w:r>
        <w:rPr>
          <w:rFonts w:hint="eastAsia" w:ascii="宋体" w:hAnsi="宋体" w:eastAsia="宋体" w:cs="宋体"/>
          <w:color w:val="auto"/>
          <w:sz w:val="21"/>
          <w:szCs w:val="21"/>
          <w:highlight w:val="none"/>
        </w:rPr>
        <w:t>将其</w:t>
      </w:r>
      <w:r>
        <w:rPr>
          <w:rFonts w:hint="eastAsia" w:ascii="宋体" w:hAnsi="宋体" w:eastAsia="宋体" w:cs="宋体"/>
          <w:color w:val="auto"/>
          <w:sz w:val="21"/>
          <w:szCs w:val="21"/>
          <w:highlight w:val="none"/>
          <w:lang w:val="en-US" w:eastAsia="zh-CN"/>
        </w:rPr>
        <w:t>本项目</w:t>
      </w:r>
      <w:r>
        <w:rPr>
          <w:rFonts w:hint="eastAsia" w:ascii="宋体" w:hAnsi="宋体" w:eastAsia="宋体" w:cs="宋体"/>
          <w:color w:val="auto"/>
          <w:sz w:val="21"/>
          <w:szCs w:val="21"/>
          <w:highlight w:val="none"/>
        </w:rPr>
        <w:t>人员花名册、档案和证件以及与其人员所签订的劳务合同等资料复印件存档，甲方有权随时进行抽查。</w:t>
      </w:r>
    </w:p>
    <w:p w14:paraId="124F20C1">
      <w:pPr>
        <w:autoSpaceDE w:val="0"/>
        <w:autoSpaceDN w:val="0"/>
        <w:adjustRightInd w:val="0"/>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 xml:space="preserve"> 乙方应</w:t>
      </w:r>
      <w:r>
        <w:rPr>
          <w:rFonts w:hint="eastAsia" w:ascii="宋体" w:hAnsi="宋体" w:cs="宋体"/>
          <w:color w:val="auto"/>
          <w:sz w:val="21"/>
          <w:szCs w:val="21"/>
          <w:highlight w:val="none"/>
          <w:lang w:val="en-US" w:eastAsia="zh-CN"/>
        </w:rPr>
        <w:t>制定员工管理相关规章制度并</w:t>
      </w:r>
      <w:r>
        <w:rPr>
          <w:rFonts w:hint="eastAsia" w:ascii="宋体" w:hAnsi="宋体" w:eastAsia="宋体" w:cs="宋体"/>
          <w:color w:val="auto"/>
          <w:sz w:val="21"/>
          <w:szCs w:val="21"/>
          <w:highlight w:val="none"/>
        </w:rPr>
        <w:t>对其人员进行岗前及岗中的安全生产、消防安全和操作规程等培训，使其人员熟知操作规程规则、消防知识、</w:t>
      </w:r>
      <w:r>
        <w:rPr>
          <w:rFonts w:hint="eastAsia" w:ascii="宋体" w:hAnsi="宋体" w:eastAsia="宋体" w:cs="宋体"/>
          <w:color w:val="auto"/>
          <w:sz w:val="21"/>
          <w:szCs w:val="21"/>
          <w:highlight w:val="none"/>
          <w:lang w:val="en-US" w:eastAsia="zh-CN"/>
        </w:rPr>
        <w:t>交通</w:t>
      </w:r>
      <w:r>
        <w:rPr>
          <w:rFonts w:hint="eastAsia" w:ascii="宋体" w:hAnsi="宋体" w:eastAsia="宋体" w:cs="宋体"/>
          <w:color w:val="auto"/>
          <w:sz w:val="21"/>
          <w:szCs w:val="21"/>
          <w:highlight w:val="none"/>
        </w:rPr>
        <w:t>安全规定等；由乙方自行组织培训考核，考核合格后，其人员方可上岗。</w:t>
      </w:r>
    </w:p>
    <w:p w14:paraId="147327D9">
      <w:pPr>
        <w:autoSpaceDE w:val="0"/>
        <w:autoSpaceDN w:val="0"/>
        <w:adjustRightInd w:val="0"/>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 xml:space="preserve"> 乙方应保持服务本项目人员数量及服务水平的稳定，未经甲方许可不得擅自更换管理人员；确需更换管理人员的，乙方应按甲方相关规定办理变更手续，并及时补充新进人员的资料。</w:t>
      </w:r>
    </w:p>
    <w:p w14:paraId="6114AE9D">
      <w:pPr>
        <w:autoSpaceDE w:val="0"/>
        <w:autoSpaceDN w:val="0"/>
        <w:adjustRightInd w:val="0"/>
        <w:snapToGrid w:val="0"/>
        <w:spacing w:beforeLines="0" w:afterLines="0" w:line="360" w:lineRule="auto"/>
        <w:ind w:firstLine="420" w:firstLineChars="200"/>
        <w:outlineLvl w:val="9"/>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7.9 合同履约期间，考评</w:t>
      </w:r>
      <w:r>
        <w:rPr>
          <w:rFonts w:hint="eastAsia" w:ascii="宋体" w:hAnsi="宋体" w:eastAsia="宋体" w:cs="宋体"/>
          <w:color w:val="auto"/>
          <w:sz w:val="21"/>
          <w:szCs w:val="21"/>
          <w:highlight w:val="none"/>
          <w:lang w:val="en-US" w:eastAsia="zh-CN"/>
        </w:rPr>
        <w:t>不合格</w:t>
      </w:r>
      <w:r>
        <w:rPr>
          <w:rFonts w:hint="eastAsia" w:ascii="宋体" w:hAnsi="宋体" w:cs="宋体"/>
          <w:color w:val="auto"/>
          <w:sz w:val="21"/>
          <w:szCs w:val="21"/>
          <w:highlight w:val="none"/>
          <w:lang w:val="en-US" w:eastAsia="zh-CN"/>
        </w:rPr>
        <w:t>的乙方项目团队</w:t>
      </w:r>
      <w:r>
        <w:rPr>
          <w:rFonts w:hint="eastAsia" w:ascii="宋体" w:hAnsi="宋体" w:eastAsia="宋体" w:cs="宋体"/>
          <w:color w:val="auto"/>
          <w:sz w:val="21"/>
          <w:szCs w:val="21"/>
          <w:highlight w:val="none"/>
          <w:lang w:val="en-US" w:eastAsia="zh-CN"/>
        </w:rPr>
        <w:t>人员，</w:t>
      </w: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lang w:val="en-US" w:eastAsia="zh-CN"/>
        </w:rPr>
        <w:t>须在</w:t>
      </w:r>
      <w:r>
        <w:rPr>
          <w:rFonts w:hint="eastAsia" w:ascii="Calibri" w:hAnsi="Calibri" w:cs="Calibri"/>
          <w:i w:val="0"/>
          <w:iCs w:val="0"/>
          <w:color w:val="auto"/>
          <w:sz w:val="22"/>
          <w:szCs w:val="22"/>
          <w:highlight w:val="none"/>
          <w:u w:val="none"/>
          <w:lang w:val="en-US" w:eastAsia="zh-CN"/>
        </w:rPr>
        <w:t>三个工作日内及时调整更换。</w:t>
      </w:r>
    </w:p>
    <w:p w14:paraId="05D919DF">
      <w:pPr>
        <w:autoSpaceDE w:val="0"/>
        <w:autoSpaceDN w:val="0"/>
        <w:adjustRightInd w:val="0"/>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 xml:space="preserve"> 工作期间，乙方人</w:t>
      </w:r>
      <w:r>
        <w:rPr>
          <w:rFonts w:hint="eastAsia" w:ascii="宋体" w:hAnsi="宋体" w:eastAsia="宋体" w:cs="宋体"/>
          <w:color w:val="auto"/>
          <w:sz w:val="21"/>
          <w:szCs w:val="21"/>
          <w:highlight w:val="none"/>
          <w:lang w:val="en-US" w:eastAsia="zh-CN"/>
        </w:rPr>
        <w:t>员应注意保持良好形象，</w:t>
      </w:r>
      <w:r>
        <w:rPr>
          <w:rFonts w:hint="eastAsia" w:ascii="宋体" w:hAnsi="宋体" w:eastAsia="宋体" w:cs="宋体"/>
          <w:color w:val="auto"/>
          <w:sz w:val="21"/>
          <w:szCs w:val="21"/>
          <w:highlight w:val="none"/>
        </w:rPr>
        <w:t>不得饮酒、抽烟、吃槟榔等，确保上班时精神饱满，必须穿着统一的员工制服和佩戴胸卡，作业时必须按要求做好安全防护。</w:t>
      </w:r>
    </w:p>
    <w:p w14:paraId="5B4805ED">
      <w:pPr>
        <w:autoSpaceDE w:val="0"/>
        <w:autoSpaceDN w:val="0"/>
        <w:adjustRightInd w:val="0"/>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zh-CN"/>
        </w:rPr>
        <w:t>7.</w:t>
      </w:r>
      <w:r>
        <w:rPr>
          <w:rFonts w:hint="eastAsia" w:ascii="宋体" w:hAnsi="宋体" w:cs="宋体"/>
          <w:color w:val="auto"/>
          <w:kern w:val="0"/>
          <w:sz w:val="21"/>
          <w:szCs w:val="21"/>
          <w:highlight w:val="none"/>
          <w:lang w:val="en-US" w:eastAsia="zh-CN"/>
        </w:rPr>
        <w:t>11</w:t>
      </w: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kern w:val="0"/>
          <w:sz w:val="21"/>
          <w:szCs w:val="21"/>
          <w:highlight w:val="none"/>
          <w:lang w:val="zh-CN"/>
        </w:rPr>
        <w:t>在大客流、重大活动、节假日、突发事件</w:t>
      </w:r>
      <w:r>
        <w:rPr>
          <w:rFonts w:hint="eastAsia" w:ascii="宋体" w:hAnsi="宋体" w:cs="宋体"/>
          <w:color w:val="auto"/>
          <w:kern w:val="2"/>
          <w:sz w:val="21"/>
          <w:szCs w:val="21"/>
          <w:highlight w:val="none"/>
          <w:lang w:val="zh-CN"/>
        </w:rPr>
        <w:t>、</w:t>
      </w:r>
      <w:r>
        <w:rPr>
          <w:rFonts w:hint="eastAsia" w:ascii="宋体" w:hAnsi="宋体" w:cs="宋体"/>
          <w:i w:val="0"/>
          <w:iCs w:val="0"/>
          <w:color w:val="auto"/>
          <w:sz w:val="21"/>
          <w:szCs w:val="21"/>
          <w:highlight w:val="none"/>
          <w:u w:val="none"/>
          <w:lang w:val="en-US" w:eastAsia="zh-CN"/>
        </w:rPr>
        <w:t>抗涝抢险</w:t>
      </w:r>
      <w:r>
        <w:rPr>
          <w:rFonts w:hint="eastAsia" w:ascii="宋体" w:hAnsi="宋体" w:eastAsia="宋体" w:cs="宋体"/>
          <w:color w:val="auto"/>
          <w:kern w:val="2"/>
          <w:sz w:val="21"/>
          <w:szCs w:val="21"/>
          <w:highlight w:val="none"/>
          <w:lang w:val="zh-CN"/>
        </w:rPr>
        <w:t>等</w:t>
      </w:r>
      <w:r>
        <w:rPr>
          <w:rFonts w:hint="eastAsia" w:ascii="宋体" w:hAnsi="宋体" w:eastAsia="宋体" w:cs="宋体"/>
          <w:color w:val="auto"/>
          <w:kern w:val="0"/>
          <w:sz w:val="21"/>
          <w:szCs w:val="21"/>
          <w:highlight w:val="none"/>
          <w:lang w:val="zh-CN"/>
        </w:rPr>
        <w:t>临时性工作时，乙方须无条件服从甲方的调度指挥，按质按量完成甲方要求的工作任务，相关费用已包含在签约合同价中，甲方不再另行支付。</w:t>
      </w:r>
    </w:p>
    <w:p w14:paraId="0F24A497">
      <w:pPr>
        <w:autoSpaceDE w:val="0"/>
        <w:autoSpaceDN w:val="0"/>
        <w:adjustRightInd w:val="0"/>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乙方不得将项目转让给他人，也不得将项目转包、分包给他人，不得整体委托他人实施。</w:t>
      </w:r>
    </w:p>
    <w:p w14:paraId="5BC6AC61">
      <w:pPr>
        <w:autoSpaceDE w:val="0"/>
        <w:autoSpaceDN w:val="0"/>
        <w:adjustRightInd w:val="0"/>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乙方应严格履行保密义务，对于所有与甲方有关的资料和信息，乙方均应作为秘密信息对待，并不得将该秘密信息以任何方式泄露予第三方，除非经甲方事先书面许可或因政府部门及法律法令的强制性要求而披露（需向甲方提前报备相关情况）。</w:t>
      </w:r>
    </w:p>
    <w:p w14:paraId="61281D8A">
      <w:pPr>
        <w:autoSpaceDE w:val="0"/>
        <w:autoSpaceDN w:val="0"/>
        <w:adjustRightInd w:val="0"/>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 xml:space="preserve"> 在合同履行过程中，非因甲方原因造成乙方人员发生伤亡事故或（及）造成第三方人身伤亡的或（及）造成甲方工作人员伤亡或（及）造成第三方、甲方财产损失的，乙方应立即采取有效措施防止损失扩大并承担由此产生的一切责任。</w:t>
      </w:r>
    </w:p>
    <w:p w14:paraId="24BF2FD4">
      <w:pPr>
        <w:widowControl/>
        <w:adjustRightInd w:val="0"/>
        <w:snapToGrid w:val="0"/>
        <w:spacing w:beforeLines="0" w:afterLines="0"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 xml:space="preserve"> 乙方应厉行节约使用甲方提供的所有资源，合理使用材料，爱护设备设施，不得浪费。因乙方责任导致设备设施损坏的，由乙方负责修复并承担由此产生的一切费用及责任。</w:t>
      </w:r>
    </w:p>
    <w:p w14:paraId="1687240E">
      <w:pPr>
        <w:widowControl/>
        <w:adjustRightInd w:val="0"/>
        <w:snapToGrid w:val="0"/>
        <w:spacing w:beforeLines="0" w:afterLines="0"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 xml:space="preserve"> 乙方应确保提供的银行履约保函持续有效，在银行履约保函到期前1个月内办理好续保手续，并向甲方提供新的有效的银行履约保函。</w:t>
      </w:r>
    </w:p>
    <w:p w14:paraId="4082845B">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bCs/>
          <w:color w:val="auto"/>
          <w:kern w:val="0"/>
          <w:sz w:val="21"/>
          <w:szCs w:val="21"/>
          <w:highlight w:val="none"/>
          <w:lang w:val="zh-CN"/>
        </w:rPr>
      </w:pPr>
      <w:r>
        <w:rPr>
          <w:rFonts w:hint="eastAsia" w:ascii="宋体" w:hAnsi="宋体" w:eastAsia="宋体" w:cs="宋体"/>
          <w:bCs/>
          <w:color w:val="auto"/>
          <w:kern w:val="0"/>
          <w:sz w:val="21"/>
          <w:szCs w:val="21"/>
          <w:highlight w:val="none"/>
          <w:lang w:val="zh-CN"/>
        </w:rPr>
        <w:t>7.1</w:t>
      </w:r>
      <w:r>
        <w:rPr>
          <w:rFonts w:hint="eastAsia" w:ascii="宋体" w:hAnsi="宋体" w:cs="宋体"/>
          <w:bCs/>
          <w:color w:val="auto"/>
          <w:kern w:val="0"/>
          <w:sz w:val="21"/>
          <w:szCs w:val="21"/>
          <w:highlight w:val="none"/>
          <w:lang w:val="en-US" w:eastAsia="zh-CN"/>
        </w:rPr>
        <w:t>7</w:t>
      </w:r>
      <w:r>
        <w:rPr>
          <w:rFonts w:hint="eastAsia" w:ascii="宋体" w:hAnsi="宋体" w:eastAsia="宋体" w:cs="宋体"/>
          <w:bCs/>
          <w:color w:val="auto"/>
          <w:kern w:val="0"/>
          <w:sz w:val="21"/>
          <w:szCs w:val="21"/>
          <w:highlight w:val="none"/>
        </w:rPr>
        <w:t xml:space="preserve"> </w:t>
      </w:r>
      <w:r>
        <w:rPr>
          <w:rFonts w:hint="eastAsia" w:ascii="宋体" w:hAnsi="宋体" w:eastAsia="宋体" w:cs="宋体"/>
          <w:bCs/>
          <w:color w:val="auto"/>
          <w:kern w:val="0"/>
          <w:sz w:val="21"/>
          <w:szCs w:val="21"/>
          <w:highlight w:val="none"/>
          <w:lang w:val="zh-CN"/>
        </w:rPr>
        <w:t>乙方为甲方提供服务期间，应严格按照《劳动法》、《劳动合同法》、《工资支付暂行规定》及相关法律法规的规定，合法用工并全面保障乙方员工的劳动权益。因下列情形（</w:t>
      </w:r>
      <w:r>
        <w:rPr>
          <w:rFonts w:hint="eastAsia" w:ascii="宋体" w:hAnsi="宋体" w:eastAsia="宋体" w:cs="宋体"/>
          <w:bCs/>
          <w:color w:val="auto"/>
          <w:kern w:val="0"/>
          <w:sz w:val="21"/>
          <w:szCs w:val="21"/>
          <w:highlight w:val="none"/>
        </w:rPr>
        <w:t>任一或两种及以上情形</w:t>
      </w:r>
      <w:r>
        <w:rPr>
          <w:rFonts w:hint="eastAsia" w:ascii="宋体" w:hAnsi="宋体" w:eastAsia="宋体" w:cs="宋体"/>
          <w:bCs/>
          <w:color w:val="auto"/>
          <w:kern w:val="0"/>
          <w:sz w:val="21"/>
          <w:szCs w:val="21"/>
          <w:highlight w:val="none"/>
          <w:lang w:val="zh-CN"/>
        </w:rPr>
        <w:t>）造成劳动纠纷、行政处罚的</w:t>
      </w:r>
      <w:r>
        <w:rPr>
          <w:rFonts w:hint="eastAsia" w:ascii="宋体" w:hAnsi="宋体" w:eastAsia="宋体" w:cs="宋体"/>
          <w:bCs/>
          <w:color w:val="auto"/>
          <w:kern w:val="0"/>
          <w:sz w:val="21"/>
          <w:szCs w:val="21"/>
          <w:highlight w:val="none"/>
          <w:lang w:val="en-US" w:eastAsia="zh-CN"/>
        </w:rPr>
        <w:t>均</w:t>
      </w:r>
      <w:r>
        <w:rPr>
          <w:rFonts w:hint="eastAsia" w:ascii="宋体" w:hAnsi="宋体" w:eastAsia="宋体" w:cs="宋体"/>
          <w:bCs/>
          <w:color w:val="auto"/>
          <w:kern w:val="0"/>
          <w:sz w:val="21"/>
          <w:szCs w:val="21"/>
          <w:highlight w:val="none"/>
          <w:lang w:val="zh-CN"/>
        </w:rPr>
        <w:t>由乙方自行负责并承担全部法律责任，若因此给甲方造成损失的，乙方应承担全部赔偿责任（</w:t>
      </w:r>
      <w:r>
        <w:rPr>
          <w:rFonts w:hint="eastAsia" w:ascii="宋体" w:hAnsi="宋体" w:eastAsia="宋体" w:cs="宋体"/>
          <w:bCs/>
          <w:color w:val="auto"/>
          <w:kern w:val="0"/>
          <w:sz w:val="21"/>
          <w:szCs w:val="21"/>
          <w:highlight w:val="none"/>
        </w:rPr>
        <w:t>包括但不限于甲方人员（人身损害、伤亡）或财产方面的毁损、灭失，第三方人财物方面的损伤（损害），律师费、调查取证、诉讼费、仲裁费、申请保全、申请执行的费用等）</w:t>
      </w:r>
      <w:r>
        <w:rPr>
          <w:rFonts w:hint="eastAsia" w:ascii="宋体" w:hAnsi="宋体" w:eastAsia="宋体" w:cs="宋体"/>
          <w:bCs/>
          <w:color w:val="auto"/>
          <w:kern w:val="0"/>
          <w:sz w:val="21"/>
          <w:szCs w:val="21"/>
          <w:highlight w:val="none"/>
          <w:lang w:val="zh-CN"/>
        </w:rPr>
        <w:t>。</w:t>
      </w:r>
    </w:p>
    <w:p w14:paraId="3494DE78">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bCs/>
          <w:color w:val="auto"/>
          <w:kern w:val="0"/>
          <w:sz w:val="21"/>
          <w:szCs w:val="21"/>
          <w:highlight w:val="none"/>
          <w:lang w:val="zh-CN"/>
        </w:rPr>
      </w:pPr>
      <w:r>
        <w:rPr>
          <w:rFonts w:hint="eastAsia" w:ascii="宋体" w:hAnsi="宋体" w:eastAsia="宋体" w:cs="宋体"/>
          <w:bCs/>
          <w:color w:val="auto"/>
          <w:kern w:val="0"/>
          <w:sz w:val="21"/>
          <w:szCs w:val="21"/>
          <w:highlight w:val="none"/>
          <w:lang w:val="zh-CN"/>
        </w:rPr>
        <w:t>（1）乙方拖欠员工工资的；</w:t>
      </w:r>
    </w:p>
    <w:p w14:paraId="1D6FCA44">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bCs/>
          <w:color w:val="auto"/>
          <w:kern w:val="0"/>
          <w:sz w:val="21"/>
          <w:szCs w:val="21"/>
          <w:highlight w:val="none"/>
          <w:lang w:val="zh-CN"/>
        </w:rPr>
      </w:pPr>
      <w:r>
        <w:rPr>
          <w:rFonts w:hint="eastAsia" w:ascii="宋体" w:hAnsi="宋体" w:eastAsia="宋体" w:cs="宋体"/>
          <w:bCs/>
          <w:color w:val="auto"/>
          <w:kern w:val="0"/>
          <w:sz w:val="21"/>
          <w:szCs w:val="21"/>
          <w:highlight w:val="none"/>
          <w:lang w:val="zh-CN"/>
        </w:rPr>
        <w:t>（2）乙方未按国家相关法律法规购买或未足额购买</w:t>
      </w:r>
      <w:r>
        <w:rPr>
          <w:rFonts w:hint="eastAsia" w:ascii="宋体" w:hAnsi="宋体" w:eastAsia="宋体" w:cs="宋体"/>
          <w:bCs/>
          <w:color w:val="auto"/>
          <w:kern w:val="0"/>
          <w:sz w:val="21"/>
          <w:szCs w:val="21"/>
          <w:highlight w:val="none"/>
          <w:lang w:val="en-US" w:eastAsia="zh-CN"/>
        </w:rPr>
        <w:t>社会保险</w:t>
      </w:r>
      <w:r>
        <w:rPr>
          <w:rFonts w:hint="eastAsia" w:ascii="宋体" w:hAnsi="宋体" w:eastAsia="宋体" w:cs="宋体"/>
          <w:bCs/>
          <w:color w:val="auto"/>
          <w:kern w:val="0"/>
          <w:sz w:val="21"/>
          <w:szCs w:val="21"/>
          <w:highlight w:val="none"/>
          <w:lang w:val="zh-CN"/>
        </w:rPr>
        <w:t>的；</w:t>
      </w:r>
    </w:p>
    <w:p w14:paraId="34F6756C">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bCs/>
          <w:color w:val="auto"/>
          <w:kern w:val="0"/>
          <w:sz w:val="21"/>
          <w:szCs w:val="21"/>
          <w:highlight w:val="none"/>
          <w:lang w:val="zh-CN"/>
        </w:rPr>
      </w:pPr>
      <w:r>
        <w:rPr>
          <w:rFonts w:hint="eastAsia" w:ascii="宋体" w:hAnsi="宋体" w:eastAsia="宋体" w:cs="宋体"/>
          <w:bCs/>
          <w:color w:val="auto"/>
          <w:kern w:val="0"/>
          <w:sz w:val="21"/>
          <w:szCs w:val="21"/>
          <w:highlight w:val="none"/>
          <w:lang w:val="zh-CN"/>
        </w:rPr>
        <w:t>（3）乙方超工时用工或未为员工提供劳动保护或者劳动条件的；</w:t>
      </w:r>
    </w:p>
    <w:p w14:paraId="398199A1">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bCs/>
          <w:color w:val="auto"/>
          <w:kern w:val="0"/>
          <w:sz w:val="21"/>
          <w:szCs w:val="21"/>
          <w:highlight w:val="none"/>
          <w:lang w:val="zh-CN"/>
        </w:rPr>
      </w:pPr>
      <w:r>
        <w:rPr>
          <w:rFonts w:hint="eastAsia" w:ascii="宋体" w:hAnsi="宋体" w:eastAsia="宋体" w:cs="宋体"/>
          <w:bCs/>
          <w:color w:val="auto"/>
          <w:kern w:val="0"/>
          <w:sz w:val="21"/>
          <w:szCs w:val="21"/>
          <w:highlight w:val="none"/>
          <w:lang w:val="zh-CN"/>
        </w:rPr>
        <w:t>（4）乙方员工发生工伤/安全意外事故的；</w:t>
      </w:r>
    </w:p>
    <w:p w14:paraId="2F49E673">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bCs/>
          <w:color w:val="auto"/>
          <w:kern w:val="0"/>
          <w:sz w:val="21"/>
          <w:szCs w:val="21"/>
          <w:highlight w:val="none"/>
          <w:lang w:val="zh-CN"/>
        </w:rPr>
      </w:pPr>
      <w:r>
        <w:rPr>
          <w:rFonts w:hint="eastAsia" w:ascii="宋体" w:hAnsi="宋体" w:eastAsia="宋体" w:cs="宋体"/>
          <w:bCs/>
          <w:color w:val="auto"/>
          <w:kern w:val="0"/>
          <w:sz w:val="21"/>
          <w:szCs w:val="21"/>
          <w:highlight w:val="none"/>
          <w:lang w:val="zh-CN"/>
        </w:rPr>
        <w:t>（5）乙方存在其他违反国家相关法律法规的情形的。</w:t>
      </w:r>
    </w:p>
    <w:p w14:paraId="6789AAFA">
      <w:pPr>
        <w:autoSpaceDE w:val="0"/>
        <w:autoSpaceDN w:val="0"/>
        <w:adjustRightInd w:val="0"/>
        <w:snapToGrid w:val="0"/>
        <w:spacing w:beforeLines="0" w:afterLines="0" w:line="360" w:lineRule="auto"/>
        <w:ind w:firstLine="422"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8、违约责任</w:t>
      </w:r>
    </w:p>
    <w:p w14:paraId="5849B759">
      <w:pPr>
        <w:autoSpaceDE w:val="0"/>
        <w:autoSpaceDN w:val="0"/>
        <w:adjustRightInd w:val="0"/>
        <w:snapToGrid w:val="0"/>
        <w:spacing w:beforeLines="0" w:afterLines="0" w:line="360" w:lineRule="auto"/>
        <w:ind w:firstLine="420" w:firstLineChars="200"/>
        <w:outlineLvl w:val="9"/>
        <w:rPr>
          <w:rFonts w:hint="eastAsia" w:ascii="宋体" w:hAnsi="宋体" w:eastAsia="宋体" w:cs="宋体"/>
          <w:color w:val="auto"/>
          <w:kern w:val="0"/>
          <w:sz w:val="21"/>
          <w:szCs w:val="21"/>
          <w:highlight w:val="none"/>
        </w:rPr>
      </w:pPr>
      <w:bookmarkStart w:id="39" w:name="_Toc249430000"/>
      <w:bookmarkStart w:id="40" w:name="_Toc360736722"/>
      <w:bookmarkStart w:id="41" w:name="_Toc249428991"/>
      <w:r>
        <w:rPr>
          <w:rFonts w:hint="eastAsia" w:ascii="宋体" w:hAnsi="宋体" w:eastAsia="宋体" w:cs="宋体"/>
          <w:color w:val="auto"/>
          <w:kern w:val="0"/>
          <w:sz w:val="21"/>
          <w:szCs w:val="21"/>
          <w:highlight w:val="none"/>
        </w:rPr>
        <w:t xml:space="preserve">8.1 </w:t>
      </w:r>
      <w:r>
        <w:rPr>
          <w:rFonts w:hint="eastAsia" w:ascii="宋体" w:hAnsi="宋体" w:eastAsia="宋体" w:cs="宋体"/>
          <w:color w:val="auto"/>
          <w:kern w:val="0"/>
          <w:sz w:val="21"/>
          <w:szCs w:val="21"/>
          <w:highlight w:val="none"/>
          <w:lang w:val="zh-CN"/>
        </w:rPr>
        <w:t>乙方有下列情形之一的，甲方有权解除合同和没收乙方所交履约担保，并有权追究乙方因此而给甲方造成的一切损失</w:t>
      </w:r>
      <w:r>
        <w:rPr>
          <w:rFonts w:hint="eastAsia" w:ascii="宋体" w:hAnsi="宋体" w:eastAsia="宋体" w:cs="宋体"/>
          <w:color w:val="auto"/>
          <w:kern w:val="0"/>
          <w:sz w:val="21"/>
          <w:szCs w:val="21"/>
          <w:highlight w:val="none"/>
        </w:rPr>
        <w:t>：</w:t>
      </w:r>
    </w:p>
    <w:p w14:paraId="148ED443">
      <w:pPr>
        <w:autoSpaceDE w:val="0"/>
        <w:autoSpaceDN w:val="0"/>
        <w:adjustRightInd w:val="0"/>
        <w:snapToGrid w:val="0"/>
        <w:spacing w:beforeLines="0" w:afterLines="0" w:line="360" w:lineRule="auto"/>
        <w:ind w:firstLine="420" w:firstLineChars="200"/>
        <w:outlineLvl w:val="9"/>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w:t>
      </w: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lang w:val="zh-CN"/>
        </w:rPr>
        <w:t>）乙方</w:t>
      </w:r>
      <w:r>
        <w:rPr>
          <w:rFonts w:hint="eastAsia" w:ascii="宋体" w:hAnsi="宋体" w:cs="宋体"/>
          <w:color w:val="auto"/>
          <w:kern w:val="0"/>
          <w:sz w:val="21"/>
          <w:szCs w:val="21"/>
          <w:highlight w:val="none"/>
          <w:lang w:val="en-US" w:eastAsia="zh-CN"/>
        </w:rPr>
        <w:t>在提供服务期间</w:t>
      </w:r>
      <w:r>
        <w:rPr>
          <w:rFonts w:hint="eastAsia" w:ascii="宋体" w:hAnsi="宋体" w:eastAsia="宋体" w:cs="宋体"/>
          <w:color w:val="auto"/>
          <w:kern w:val="0"/>
          <w:sz w:val="21"/>
          <w:szCs w:val="21"/>
          <w:highlight w:val="none"/>
          <w:lang w:val="zh-CN"/>
        </w:rPr>
        <w:t>违反相关法律法规及合同约定，</w:t>
      </w:r>
      <w:r>
        <w:rPr>
          <w:rFonts w:hint="eastAsia" w:ascii="宋体" w:hAnsi="宋体" w:eastAsia="宋体" w:cs="宋体"/>
          <w:color w:val="auto"/>
          <w:kern w:val="0"/>
          <w:sz w:val="21"/>
          <w:szCs w:val="21"/>
          <w:highlight w:val="none"/>
        </w:rPr>
        <w:t>造成</w:t>
      </w:r>
      <w:r>
        <w:rPr>
          <w:rFonts w:hint="eastAsia" w:ascii="宋体" w:hAnsi="宋体" w:cs="宋体"/>
          <w:color w:val="auto"/>
          <w:kern w:val="0"/>
          <w:sz w:val="21"/>
          <w:szCs w:val="21"/>
          <w:highlight w:val="none"/>
          <w:lang w:val="en-US" w:eastAsia="zh-CN"/>
        </w:rPr>
        <w:t>甲方</w:t>
      </w:r>
      <w:r>
        <w:rPr>
          <w:rFonts w:hint="eastAsia" w:ascii="宋体" w:hAnsi="宋体" w:eastAsia="宋体" w:cs="宋体"/>
          <w:color w:val="auto"/>
          <w:kern w:val="0"/>
          <w:sz w:val="21"/>
          <w:szCs w:val="21"/>
          <w:highlight w:val="none"/>
        </w:rPr>
        <w:t>人员伤亡、或重大经济损失、或</w:t>
      </w:r>
      <w:r>
        <w:rPr>
          <w:rFonts w:hint="eastAsia" w:ascii="宋体" w:hAnsi="宋体" w:eastAsia="宋体" w:cs="宋体"/>
          <w:color w:val="auto"/>
          <w:kern w:val="0"/>
          <w:sz w:val="21"/>
          <w:szCs w:val="21"/>
          <w:highlight w:val="none"/>
          <w:lang w:val="zh-CN"/>
        </w:rPr>
        <w:t>严重损害甲方的声誉或造成不良的社会影响；</w:t>
      </w:r>
    </w:p>
    <w:p w14:paraId="0350D8F2">
      <w:pPr>
        <w:autoSpaceDE w:val="0"/>
        <w:autoSpaceDN w:val="0"/>
        <w:adjustRightInd w:val="0"/>
        <w:snapToGrid w:val="0"/>
        <w:spacing w:beforeLines="0" w:afterLines="0" w:line="360" w:lineRule="auto"/>
        <w:ind w:firstLine="420" w:firstLineChars="200"/>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zh-CN"/>
        </w:rPr>
        <w:t>（</w:t>
      </w: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lang w:val="zh-CN"/>
        </w:rPr>
        <w:t>乙方将合同范围内的工作转包或分包给其他单位或个人；</w:t>
      </w:r>
    </w:p>
    <w:p w14:paraId="4FC11512">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8.2 </w:t>
      </w:r>
      <w:r>
        <w:rPr>
          <w:rFonts w:hint="eastAsia" w:ascii="宋体" w:hAnsi="宋体" w:eastAsia="宋体" w:cs="宋体"/>
          <w:color w:val="auto"/>
          <w:kern w:val="0"/>
          <w:sz w:val="21"/>
          <w:szCs w:val="21"/>
          <w:highlight w:val="none"/>
          <w:lang w:val="zh-CN"/>
        </w:rPr>
        <w:t>乙方有下列情形之一的</w:t>
      </w:r>
      <w:r>
        <w:rPr>
          <w:rFonts w:hint="eastAsia" w:ascii="宋体" w:hAnsi="宋体" w:eastAsia="宋体" w:cs="宋体"/>
          <w:color w:val="auto"/>
          <w:kern w:val="0"/>
          <w:sz w:val="21"/>
          <w:szCs w:val="21"/>
          <w:highlight w:val="none"/>
        </w:rPr>
        <w:t>，甲方有权要求乙方支付5000元/次的违约金，直至解除合同，</w:t>
      </w:r>
      <w:r>
        <w:rPr>
          <w:rFonts w:hint="eastAsia" w:ascii="宋体" w:hAnsi="宋体" w:eastAsia="宋体" w:cs="宋体"/>
          <w:color w:val="auto"/>
          <w:sz w:val="21"/>
          <w:szCs w:val="21"/>
          <w:highlight w:val="none"/>
        </w:rPr>
        <w:t>乙方除承担上述违约责任外，还需承担由此给甲方造成的一切损失及赔偿责任。</w:t>
      </w:r>
    </w:p>
    <w:p w14:paraId="4B1D9B5E">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（1）乙方人员在工作中出现监守自盗、数额较大、情节严重的；</w:t>
      </w:r>
    </w:p>
    <w:p w14:paraId="2B267642">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（2）乙方在工作范围内发现安全隐患、重大隐患、险情未及时上报的；</w:t>
      </w:r>
    </w:p>
    <w:p w14:paraId="6CFB25A0">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（3）乙方因违反操作规程或玩忽职守造成管理区域内财物失窃、毁损，数额较大的；</w:t>
      </w:r>
    </w:p>
    <w:p w14:paraId="0A93C082">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（4）当服务区域内发生紧急情况，乙方未按应急预案进行处置或未按规定予以配合的。</w:t>
      </w:r>
    </w:p>
    <w:p w14:paraId="217D9219">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bCs/>
          <w:color w:val="auto"/>
          <w:kern w:val="0"/>
          <w:sz w:val="21"/>
          <w:szCs w:val="21"/>
          <w:highlight w:val="none"/>
          <w:lang w:val="zh-CN"/>
        </w:rPr>
      </w:pPr>
      <w:r>
        <w:rPr>
          <w:rFonts w:hint="eastAsia" w:ascii="宋体" w:hAnsi="宋体" w:eastAsia="宋体" w:cs="宋体"/>
          <w:bCs/>
          <w:color w:val="auto"/>
          <w:kern w:val="0"/>
          <w:sz w:val="21"/>
          <w:szCs w:val="21"/>
          <w:highlight w:val="none"/>
          <w:lang w:val="zh-CN"/>
        </w:rPr>
        <w:t>8.</w:t>
      </w:r>
      <w:r>
        <w:rPr>
          <w:rFonts w:hint="eastAsia" w:ascii="宋体" w:hAnsi="宋体" w:eastAsia="宋体" w:cs="宋体"/>
          <w:bCs/>
          <w:color w:val="auto"/>
          <w:kern w:val="0"/>
          <w:sz w:val="21"/>
          <w:szCs w:val="21"/>
          <w:highlight w:val="none"/>
        </w:rPr>
        <w:t xml:space="preserve">3 </w:t>
      </w:r>
      <w:r>
        <w:rPr>
          <w:rFonts w:hint="eastAsia" w:ascii="宋体" w:hAnsi="宋体" w:eastAsia="宋体" w:cs="宋体"/>
          <w:color w:val="auto"/>
          <w:kern w:val="0"/>
          <w:sz w:val="21"/>
          <w:szCs w:val="21"/>
          <w:highlight w:val="none"/>
          <w:lang w:val="zh-CN"/>
        </w:rPr>
        <w:t>乙方有下列情形之一的</w:t>
      </w:r>
      <w:r>
        <w:rPr>
          <w:rFonts w:hint="eastAsia" w:ascii="宋体" w:hAnsi="宋体" w:eastAsia="宋体" w:cs="宋体"/>
          <w:color w:val="auto"/>
          <w:kern w:val="0"/>
          <w:sz w:val="21"/>
          <w:szCs w:val="21"/>
          <w:highlight w:val="none"/>
        </w:rPr>
        <w:t>，</w:t>
      </w:r>
      <w:r>
        <w:rPr>
          <w:rFonts w:hint="eastAsia" w:ascii="宋体" w:hAnsi="宋体" w:eastAsia="宋体" w:cs="宋体"/>
          <w:bCs/>
          <w:color w:val="auto"/>
          <w:kern w:val="0"/>
          <w:sz w:val="21"/>
          <w:szCs w:val="21"/>
          <w:highlight w:val="none"/>
          <w:lang w:val="zh-CN"/>
        </w:rPr>
        <w:t>甲方有权要求乙方支付</w:t>
      </w:r>
      <w:r>
        <w:rPr>
          <w:rFonts w:hint="eastAsia" w:ascii="宋体" w:hAnsi="宋体" w:eastAsia="宋体" w:cs="宋体"/>
          <w:bCs/>
          <w:color w:val="auto"/>
          <w:kern w:val="0"/>
          <w:sz w:val="21"/>
          <w:szCs w:val="21"/>
          <w:highlight w:val="none"/>
        </w:rPr>
        <w:t>2000元/次</w:t>
      </w:r>
      <w:r>
        <w:rPr>
          <w:rFonts w:hint="eastAsia" w:ascii="宋体" w:hAnsi="宋体" w:eastAsia="宋体" w:cs="宋体"/>
          <w:bCs/>
          <w:color w:val="auto"/>
          <w:kern w:val="0"/>
          <w:sz w:val="21"/>
          <w:szCs w:val="21"/>
          <w:highlight w:val="none"/>
          <w:lang w:val="zh-CN"/>
        </w:rPr>
        <w:t>的违约金：</w:t>
      </w:r>
    </w:p>
    <w:p w14:paraId="6A8297C3">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bCs/>
          <w:color w:val="auto"/>
          <w:kern w:val="0"/>
          <w:sz w:val="21"/>
          <w:szCs w:val="21"/>
          <w:highlight w:val="none"/>
          <w:lang w:val="zh-CN"/>
        </w:rPr>
      </w:pPr>
      <w:r>
        <w:rPr>
          <w:rFonts w:hint="eastAsia" w:ascii="宋体" w:hAnsi="宋体" w:eastAsia="宋体" w:cs="宋体"/>
          <w:bCs/>
          <w:color w:val="auto"/>
          <w:kern w:val="0"/>
          <w:sz w:val="21"/>
          <w:szCs w:val="21"/>
          <w:highlight w:val="none"/>
          <w:lang w:val="zh-CN"/>
        </w:rPr>
        <w:t>（</w:t>
      </w:r>
      <w:r>
        <w:rPr>
          <w:rFonts w:hint="eastAsia" w:ascii="宋体" w:hAnsi="宋体" w:eastAsia="宋体" w:cs="宋体"/>
          <w:bCs/>
          <w:color w:val="auto"/>
          <w:kern w:val="0"/>
          <w:sz w:val="21"/>
          <w:szCs w:val="21"/>
          <w:highlight w:val="none"/>
        </w:rPr>
        <w:t>1</w:t>
      </w:r>
      <w:r>
        <w:rPr>
          <w:rFonts w:hint="eastAsia" w:ascii="宋体" w:hAnsi="宋体" w:eastAsia="宋体" w:cs="宋体"/>
          <w:bCs/>
          <w:color w:val="auto"/>
          <w:kern w:val="0"/>
          <w:sz w:val="21"/>
          <w:szCs w:val="21"/>
          <w:highlight w:val="none"/>
          <w:lang w:val="zh-CN"/>
        </w:rPr>
        <w:t>）乙方</w:t>
      </w:r>
      <w:r>
        <w:rPr>
          <w:rFonts w:hint="eastAsia" w:ascii="宋体" w:hAnsi="宋体" w:cs="宋体"/>
          <w:bCs/>
          <w:color w:val="auto"/>
          <w:kern w:val="0"/>
          <w:sz w:val="21"/>
          <w:szCs w:val="21"/>
          <w:highlight w:val="none"/>
          <w:lang w:val="en-US" w:eastAsia="zh-CN"/>
        </w:rPr>
        <w:t>提供的服务</w:t>
      </w:r>
      <w:r>
        <w:rPr>
          <w:rFonts w:hint="eastAsia" w:ascii="宋体" w:hAnsi="宋体" w:eastAsia="宋体" w:cs="宋体"/>
          <w:bCs/>
          <w:color w:val="auto"/>
          <w:kern w:val="0"/>
          <w:sz w:val="21"/>
          <w:szCs w:val="21"/>
          <w:highlight w:val="none"/>
          <w:lang w:val="zh-CN"/>
        </w:rPr>
        <w:t>人员不符合甲方要求的，经甲方查出要求更换的，乙方在收到甲方更换通知之日起3个工作日内未更换完毕的；</w:t>
      </w:r>
    </w:p>
    <w:p w14:paraId="44A09EC6">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bCs/>
          <w:color w:val="auto"/>
          <w:kern w:val="0"/>
          <w:sz w:val="21"/>
          <w:szCs w:val="21"/>
          <w:highlight w:val="none"/>
          <w:lang w:val="zh-CN"/>
        </w:rPr>
      </w:pPr>
      <w:r>
        <w:rPr>
          <w:rFonts w:hint="eastAsia" w:ascii="宋体" w:hAnsi="宋体" w:eastAsia="宋体" w:cs="宋体"/>
          <w:bCs/>
          <w:color w:val="auto"/>
          <w:kern w:val="0"/>
          <w:sz w:val="21"/>
          <w:szCs w:val="21"/>
          <w:highlight w:val="none"/>
          <w:lang w:val="zh-CN"/>
        </w:rPr>
        <w:t>（</w:t>
      </w:r>
      <w:r>
        <w:rPr>
          <w:rFonts w:hint="eastAsia" w:ascii="宋体" w:hAnsi="宋体" w:eastAsia="宋体" w:cs="宋体"/>
          <w:bCs/>
          <w:color w:val="auto"/>
          <w:kern w:val="0"/>
          <w:sz w:val="21"/>
          <w:szCs w:val="21"/>
          <w:highlight w:val="none"/>
        </w:rPr>
        <w:t>2</w:t>
      </w:r>
      <w:r>
        <w:rPr>
          <w:rFonts w:hint="eastAsia" w:ascii="宋体" w:hAnsi="宋体" w:eastAsia="宋体" w:cs="宋体"/>
          <w:bCs/>
          <w:color w:val="auto"/>
          <w:kern w:val="0"/>
          <w:sz w:val="21"/>
          <w:szCs w:val="21"/>
          <w:highlight w:val="none"/>
          <w:lang w:val="zh-CN"/>
        </w:rPr>
        <w:t>）乙方服务工作的质量及服务标准，不符合合同约定的，或收到投诉的，经甲方向乙方发出整改通知后，乙方拒绝整改、超时整改或整改后仍达不到甲方要求的；</w:t>
      </w:r>
    </w:p>
    <w:p w14:paraId="480FD818">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bCs/>
          <w:color w:val="auto"/>
          <w:kern w:val="0"/>
          <w:sz w:val="21"/>
          <w:szCs w:val="21"/>
          <w:highlight w:val="none"/>
          <w:lang w:val="zh-CN"/>
        </w:rPr>
      </w:pPr>
      <w:r>
        <w:rPr>
          <w:rFonts w:hint="eastAsia" w:ascii="宋体" w:hAnsi="宋体" w:eastAsia="宋体" w:cs="宋体"/>
          <w:bCs/>
          <w:color w:val="auto"/>
          <w:kern w:val="0"/>
          <w:sz w:val="21"/>
          <w:szCs w:val="21"/>
          <w:highlight w:val="none"/>
          <w:lang w:val="zh-CN"/>
        </w:rPr>
        <w:t>（</w:t>
      </w:r>
      <w:r>
        <w:rPr>
          <w:rFonts w:hint="eastAsia" w:ascii="宋体" w:hAnsi="宋体" w:eastAsia="宋体" w:cs="宋体"/>
          <w:bCs/>
          <w:color w:val="auto"/>
          <w:kern w:val="0"/>
          <w:sz w:val="21"/>
          <w:szCs w:val="21"/>
          <w:highlight w:val="none"/>
        </w:rPr>
        <w:t>3</w:t>
      </w:r>
      <w:r>
        <w:rPr>
          <w:rFonts w:hint="eastAsia" w:ascii="宋体" w:hAnsi="宋体" w:eastAsia="宋体" w:cs="宋体"/>
          <w:bCs/>
          <w:color w:val="auto"/>
          <w:kern w:val="0"/>
          <w:sz w:val="21"/>
          <w:szCs w:val="21"/>
          <w:highlight w:val="none"/>
          <w:lang w:val="zh-CN"/>
        </w:rPr>
        <w:t>）乙方未经甲方许可擅自更换管理人员或未按要求报备人员信息的。</w:t>
      </w:r>
    </w:p>
    <w:p w14:paraId="2B6A13B2">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bCs/>
          <w:color w:val="auto"/>
          <w:kern w:val="0"/>
          <w:sz w:val="21"/>
          <w:szCs w:val="21"/>
          <w:highlight w:val="none"/>
          <w:lang w:val="zh-CN"/>
        </w:rPr>
      </w:pPr>
      <w:r>
        <w:rPr>
          <w:rFonts w:hint="eastAsia" w:ascii="宋体" w:hAnsi="宋体" w:eastAsia="宋体" w:cs="宋体"/>
          <w:bCs/>
          <w:color w:val="auto"/>
          <w:kern w:val="0"/>
          <w:sz w:val="21"/>
          <w:szCs w:val="21"/>
          <w:highlight w:val="none"/>
          <w:lang w:val="zh-CN"/>
        </w:rPr>
        <w:t>8.</w:t>
      </w:r>
      <w:r>
        <w:rPr>
          <w:rFonts w:hint="eastAsia" w:ascii="宋体" w:hAnsi="宋体" w:eastAsia="宋体" w:cs="宋体"/>
          <w:bCs/>
          <w:color w:val="auto"/>
          <w:kern w:val="0"/>
          <w:sz w:val="21"/>
          <w:szCs w:val="21"/>
          <w:highlight w:val="none"/>
        </w:rPr>
        <w:t>4</w:t>
      </w:r>
      <w:r>
        <w:rPr>
          <w:rFonts w:hint="eastAsia" w:ascii="宋体" w:hAnsi="宋体" w:eastAsia="宋体" w:cs="宋体"/>
          <w:bCs/>
          <w:color w:val="auto"/>
          <w:kern w:val="0"/>
          <w:sz w:val="21"/>
          <w:szCs w:val="21"/>
          <w:highlight w:val="none"/>
          <w:lang w:val="zh-CN"/>
        </w:rPr>
        <w:t xml:space="preserve"> 合同期内，因乙方无故单方面解除合同的，乙方应向甲方支付签约合同价的</w:t>
      </w:r>
      <w:r>
        <w:rPr>
          <w:rFonts w:hint="eastAsia" w:ascii="宋体" w:hAnsi="宋体" w:eastAsia="宋体" w:cs="宋体"/>
          <w:b w:val="0"/>
          <w:bCs/>
          <w:color w:val="auto"/>
          <w:kern w:val="0"/>
          <w:sz w:val="21"/>
          <w:szCs w:val="21"/>
          <w:highlight w:val="none"/>
          <w:lang w:val="zh-CN"/>
        </w:rPr>
        <w:t>20%</w:t>
      </w:r>
      <w:r>
        <w:rPr>
          <w:rFonts w:hint="eastAsia" w:ascii="宋体" w:hAnsi="宋体" w:eastAsia="宋体" w:cs="宋体"/>
          <w:bCs/>
          <w:color w:val="auto"/>
          <w:kern w:val="0"/>
          <w:sz w:val="21"/>
          <w:szCs w:val="21"/>
          <w:highlight w:val="none"/>
          <w:lang w:val="zh-CN"/>
        </w:rPr>
        <w:t>的违约金，并赔偿由此给甲方造成的一切损失。</w:t>
      </w:r>
    </w:p>
    <w:p w14:paraId="7B2BEFC7">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bCs/>
          <w:color w:val="auto"/>
          <w:kern w:val="0"/>
          <w:sz w:val="21"/>
          <w:szCs w:val="21"/>
          <w:highlight w:val="none"/>
          <w:lang w:val="zh-CN"/>
        </w:rPr>
      </w:pPr>
      <w:r>
        <w:rPr>
          <w:rFonts w:hint="eastAsia" w:ascii="宋体" w:hAnsi="宋体" w:eastAsia="宋体" w:cs="宋体"/>
          <w:bCs/>
          <w:color w:val="auto"/>
          <w:kern w:val="0"/>
          <w:sz w:val="21"/>
          <w:szCs w:val="21"/>
          <w:highlight w:val="none"/>
        </w:rPr>
        <w:t xml:space="preserve">8.5 </w:t>
      </w:r>
      <w:r>
        <w:rPr>
          <w:rFonts w:hint="eastAsia" w:ascii="宋体" w:hAnsi="宋体" w:eastAsia="宋体" w:cs="宋体"/>
          <w:color w:val="auto"/>
          <w:sz w:val="21"/>
          <w:szCs w:val="21"/>
          <w:highlight w:val="none"/>
        </w:rPr>
        <w:t>乙方应以转账方式交纳违约金，甲方根据税法相关规定开具收款收据或增值税发票</w:t>
      </w:r>
      <w:r>
        <w:rPr>
          <w:rFonts w:hint="eastAsia" w:ascii="宋体" w:hAnsi="宋体" w:eastAsia="宋体" w:cs="宋体"/>
          <w:bCs/>
          <w:color w:val="auto"/>
          <w:kern w:val="0"/>
          <w:sz w:val="21"/>
          <w:szCs w:val="21"/>
          <w:highlight w:val="none"/>
          <w:lang w:val="zh-CN"/>
        </w:rPr>
        <w:t>。</w:t>
      </w:r>
    </w:p>
    <w:p w14:paraId="16F41D60">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bCs/>
          <w:color w:val="auto"/>
          <w:kern w:val="0"/>
          <w:sz w:val="21"/>
          <w:szCs w:val="21"/>
          <w:highlight w:val="none"/>
          <w:lang w:val="zh-CN"/>
        </w:rPr>
      </w:pPr>
      <w:r>
        <w:rPr>
          <w:rFonts w:hint="eastAsia" w:ascii="宋体" w:hAnsi="宋体" w:eastAsia="宋体" w:cs="宋体"/>
          <w:color w:val="auto"/>
          <w:sz w:val="21"/>
          <w:szCs w:val="21"/>
          <w:highlight w:val="none"/>
        </w:rPr>
        <w:t>8.6 因乙方提供的发票导致甲方被税务部门追究相关法律责任的，乙方应承担由此给甲方造成的损失（包括但不限于未抵扣的税费、滞纳金）。</w:t>
      </w:r>
    </w:p>
    <w:p w14:paraId="555C78FC">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bCs/>
          <w:color w:val="auto"/>
          <w:kern w:val="0"/>
          <w:sz w:val="21"/>
          <w:szCs w:val="21"/>
          <w:highlight w:val="none"/>
        </w:rPr>
      </w:pPr>
      <w:r>
        <w:rPr>
          <w:rFonts w:hint="eastAsia" w:ascii="宋体" w:hAnsi="宋体" w:eastAsia="宋体" w:cs="宋体"/>
          <w:color w:val="auto"/>
          <w:kern w:val="0"/>
          <w:sz w:val="21"/>
          <w:szCs w:val="21"/>
          <w:highlight w:val="none"/>
        </w:rPr>
        <w:t>8.7 乙方接到甲方的违约通知后，应按通知要求交纳违约金</w:t>
      </w:r>
      <w:r>
        <w:rPr>
          <w:rFonts w:hint="eastAsia" w:ascii="宋体" w:hAnsi="宋体" w:eastAsia="宋体" w:cs="宋体"/>
          <w:color w:val="auto"/>
          <w:sz w:val="21"/>
          <w:szCs w:val="21"/>
          <w:highlight w:val="none"/>
        </w:rPr>
        <w:t>；否则，甲方有权暂停合同价款支付或从乙方的合同价款中扣除相应的违约金。</w:t>
      </w:r>
    </w:p>
    <w:p w14:paraId="57754988">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bCs/>
          <w:color w:val="auto"/>
          <w:kern w:val="0"/>
          <w:sz w:val="21"/>
          <w:szCs w:val="21"/>
          <w:highlight w:val="none"/>
          <w:lang w:val="zh-CN"/>
        </w:rPr>
      </w:pPr>
      <w:r>
        <w:rPr>
          <w:rFonts w:hint="eastAsia" w:ascii="宋体" w:hAnsi="宋体" w:eastAsia="宋体" w:cs="宋体"/>
          <w:bCs/>
          <w:color w:val="auto"/>
          <w:kern w:val="0"/>
          <w:sz w:val="21"/>
          <w:szCs w:val="21"/>
          <w:highlight w:val="none"/>
          <w:lang w:val="zh-CN"/>
        </w:rPr>
        <w:t>8.</w:t>
      </w:r>
      <w:r>
        <w:rPr>
          <w:rFonts w:hint="eastAsia" w:ascii="宋体" w:hAnsi="宋体" w:eastAsia="宋体" w:cs="宋体"/>
          <w:bCs/>
          <w:color w:val="auto"/>
          <w:kern w:val="0"/>
          <w:sz w:val="21"/>
          <w:szCs w:val="21"/>
          <w:highlight w:val="none"/>
        </w:rPr>
        <w:t>8</w:t>
      </w:r>
      <w:r>
        <w:rPr>
          <w:rFonts w:hint="eastAsia" w:ascii="宋体" w:hAnsi="宋体" w:eastAsia="宋体" w:cs="宋体"/>
          <w:bCs/>
          <w:color w:val="auto"/>
          <w:kern w:val="0"/>
          <w:sz w:val="21"/>
          <w:szCs w:val="21"/>
          <w:highlight w:val="none"/>
          <w:lang w:val="zh-CN"/>
        </w:rPr>
        <w:t xml:space="preserve"> 其他违约责任及考</w:t>
      </w:r>
      <w:r>
        <w:rPr>
          <w:rFonts w:hint="eastAsia" w:ascii="宋体" w:hAnsi="宋体" w:eastAsia="宋体" w:cs="宋体"/>
          <w:bCs/>
          <w:color w:val="auto"/>
          <w:kern w:val="0"/>
          <w:sz w:val="21"/>
          <w:szCs w:val="21"/>
          <w:highlight w:val="none"/>
          <w:lang w:val="en-US" w:eastAsia="zh-CN"/>
        </w:rPr>
        <w:t>评</w:t>
      </w:r>
      <w:r>
        <w:rPr>
          <w:rFonts w:hint="eastAsia" w:ascii="宋体" w:hAnsi="宋体" w:eastAsia="宋体" w:cs="宋体"/>
          <w:bCs/>
          <w:color w:val="auto"/>
          <w:kern w:val="0"/>
          <w:sz w:val="21"/>
          <w:szCs w:val="21"/>
          <w:highlight w:val="none"/>
          <w:lang w:val="zh-CN"/>
        </w:rPr>
        <w:t>标准按照甲方相关管理规定执行；甲方相关管理规定有更新的，按最新发布的版本执行。</w:t>
      </w:r>
    </w:p>
    <w:p w14:paraId="515CDEBD">
      <w:pPr>
        <w:autoSpaceDE w:val="0"/>
        <w:autoSpaceDN w:val="0"/>
        <w:adjustRightInd w:val="0"/>
        <w:snapToGrid w:val="0"/>
        <w:spacing w:beforeLines="0" w:afterLines="0" w:line="360" w:lineRule="auto"/>
        <w:ind w:firstLine="422" w:firstLineChars="200"/>
        <w:jc w:val="left"/>
        <w:outlineLvl w:val="9"/>
        <w:rPr>
          <w:rFonts w:hint="eastAsia" w:ascii="宋体" w:hAnsi="宋体" w:eastAsia="宋体" w:cs="宋体"/>
          <w:b/>
          <w:color w:val="auto"/>
          <w:kern w:val="0"/>
          <w:sz w:val="21"/>
          <w:szCs w:val="21"/>
          <w:highlight w:val="none"/>
          <w:lang w:val="zh-CN"/>
        </w:rPr>
      </w:pPr>
      <w:r>
        <w:rPr>
          <w:rFonts w:hint="eastAsia" w:ascii="宋体" w:hAnsi="宋体" w:eastAsia="宋体" w:cs="宋体"/>
          <w:b/>
          <w:color w:val="auto"/>
          <w:kern w:val="0"/>
          <w:sz w:val="21"/>
          <w:szCs w:val="21"/>
          <w:highlight w:val="none"/>
          <w:lang w:val="zh-CN"/>
        </w:rPr>
        <w:t>9、不可抗力</w:t>
      </w:r>
    </w:p>
    <w:p w14:paraId="7AF0B82C">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bCs/>
          <w:color w:val="auto"/>
          <w:kern w:val="0"/>
          <w:sz w:val="21"/>
          <w:szCs w:val="21"/>
          <w:highlight w:val="none"/>
          <w:lang w:val="zh-CN"/>
        </w:rPr>
      </w:pPr>
      <w:r>
        <w:rPr>
          <w:rFonts w:hint="eastAsia" w:ascii="宋体" w:hAnsi="宋体" w:eastAsia="宋体" w:cs="宋体"/>
          <w:bCs/>
          <w:color w:val="auto"/>
          <w:kern w:val="0"/>
          <w:sz w:val="21"/>
          <w:szCs w:val="21"/>
          <w:highlight w:val="none"/>
          <w:lang w:val="zh-CN"/>
        </w:rPr>
        <w:t>9.1不可抗力的确认</w:t>
      </w:r>
    </w:p>
    <w:p w14:paraId="2AF492B9">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bCs/>
          <w:color w:val="auto"/>
          <w:kern w:val="0"/>
          <w:sz w:val="21"/>
          <w:szCs w:val="21"/>
          <w:highlight w:val="none"/>
          <w:lang w:val="zh-CN"/>
        </w:rPr>
      </w:pPr>
      <w:r>
        <w:rPr>
          <w:rFonts w:hint="eastAsia" w:ascii="宋体" w:hAnsi="宋体" w:eastAsia="宋体" w:cs="宋体"/>
          <w:bCs/>
          <w:color w:val="auto"/>
          <w:kern w:val="0"/>
          <w:sz w:val="21"/>
          <w:szCs w:val="21"/>
          <w:highlight w:val="none"/>
          <w:lang w:val="zh-CN"/>
        </w:rPr>
        <w:t>不可抗力发生后，合同当事人应收集证明不可抗力发生及不可抗力造成损失的证据，并及时认真统计所造成的损失。合同当事人对是否属于不可抗力或其损失发生争议时，按第1</w:t>
      </w:r>
      <w:r>
        <w:rPr>
          <w:rFonts w:hint="eastAsia" w:ascii="宋体" w:hAnsi="宋体" w:eastAsia="宋体" w:cs="宋体"/>
          <w:bCs/>
          <w:color w:val="auto"/>
          <w:kern w:val="0"/>
          <w:sz w:val="21"/>
          <w:szCs w:val="21"/>
          <w:highlight w:val="none"/>
        </w:rPr>
        <w:t>2</w:t>
      </w:r>
      <w:r>
        <w:rPr>
          <w:rFonts w:hint="eastAsia" w:ascii="宋体" w:hAnsi="宋体" w:eastAsia="宋体" w:cs="宋体"/>
          <w:bCs/>
          <w:color w:val="auto"/>
          <w:kern w:val="0"/>
          <w:sz w:val="21"/>
          <w:szCs w:val="21"/>
          <w:highlight w:val="none"/>
          <w:lang w:val="zh-CN"/>
        </w:rPr>
        <w:t>条〔争议解决〕的约定处理。</w:t>
      </w:r>
    </w:p>
    <w:p w14:paraId="2E8C914F">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bCs/>
          <w:color w:val="auto"/>
          <w:kern w:val="0"/>
          <w:sz w:val="21"/>
          <w:szCs w:val="21"/>
          <w:highlight w:val="none"/>
          <w:lang w:val="zh-CN"/>
        </w:rPr>
      </w:pPr>
      <w:r>
        <w:rPr>
          <w:rFonts w:hint="eastAsia" w:ascii="宋体" w:hAnsi="宋体" w:eastAsia="宋体" w:cs="宋体"/>
          <w:bCs/>
          <w:color w:val="auto"/>
          <w:kern w:val="0"/>
          <w:sz w:val="21"/>
          <w:szCs w:val="21"/>
          <w:highlight w:val="none"/>
          <w:lang w:val="zh-CN"/>
        </w:rPr>
        <w:t>9.2不可抗力的通知</w:t>
      </w:r>
    </w:p>
    <w:p w14:paraId="744B145D">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bCs/>
          <w:color w:val="auto"/>
          <w:kern w:val="0"/>
          <w:sz w:val="21"/>
          <w:szCs w:val="21"/>
          <w:highlight w:val="none"/>
          <w:lang w:val="zh-CN"/>
        </w:rPr>
      </w:pPr>
      <w:r>
        <w:rPr>
          <w:rFonts w:hint="eastAsia" w:ascii="宋体" w:hAnsi="宋体" w:eastAsia="宋体" w:cs="宋体"/>
          <w:bCs/>
          <w:color w:val="auto"/>
          <w:kern w:val="0"/>
          <w:sz w:val="21"/>
          <w:szCs w:val="21"/>
          <w:highlight w:val="none"/>
          <w:lang w:val="zh-CN"/>
        </w:rPr>
        <w:t>合同一方当事人遇到不可抗力事件，使其履行合同义务受到阻碍时，应立即通知合同另一方当事人，书面说明不可抗力和受阻碍的详细情况，并在合理期限内提供必要的证明。</w:t>
      </w:r>
    </w:p>
    <w:p w14:paraId="13516434">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bCs/>
          <w:color w:val="auto"/>
          <w:kern w:val="0"/>
          <w:sz w:val="21"/>
          <w:szCs w:val="21"/>
          <w:highlight w:val="none"/>
          <w:lang w:val="zh-CN"/>
        </w:rPr>
      </w:pPr>
      <w:r>
        <w:rPr>
          <w:rFonts w:hint="eastAsia" w:ascii="宋体" w:hAnsi="宋体" w:eastAsia="宋体" w:cs="宋体"/>
          <w:bCs/>
          <w:color w:val="auto"/>
          <w:kern w:val="0"/>
          <w:sz w:val="21"/>
          <w:szCs w:val="21"/>
          <w:highlight w:val="none"/>
          <w:lang w:val="zh-CN"/>
        </w:rPr>
        <w:t>不可抗力持续发生的，合同一方当事人应及时向合同另一方当事人提交中间报告，说明不可抗力和履行合同受阻的情况，并于不可抗力事件结束后28天内提交最终报告及有关资料。</w:t>
      </w:r>
    </w:p>
    <w:p w14:paraId="6B924ED2">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bCs/>
          <w:color w:val="auto"/>
          <w:kern w:val="0"/>
          <w:sz w:val="21"/>
          <w:szCs w:val="21"/>
          <w:highlight w:val="none"/>
          <w:lang w:val="zh-CN"/>
        </w:rPr>
      </w:pPr>
      <w:r>
        <w:rPr>
          <w:rFonts w:hint="eastAsia" w:ascii="宋体" w:hAnsi="宋体" w:eastAsia="宋体" w:cs="宋体"/>
          <w:bCs/>
          <w:color w:val="auto"/>
          <w:kern w:val="0"/>
          <w:sz w:val="21"/>
          <w:szCs w:val="21"/>
          <w:highlight w:val="none"/>
          <w:lang w:val="zh-CN"/>
        </w:rPr>
        <w:t>9.3不可抗力后果的承担</w:t>
      </w:r>
    </w:p>
    <w:p w14:paraId="167A3D0F">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bCs/>
          <w:color w:val="auto"/>
          <w:kern w:val="0"/>
          <w:sz w:val="21"/>
          <w:szCs w:val="21"/>
          <w:highlight w:val="none"/>
          <w:lang w:val="zh-CN"/>
        </w:rPr>
      </w:pPr>
      <w:r>
        <w:rPr>
          <w:rFonts w:hint="eastAsia" w:ascii="宋体" w:hAnsi="宋体" w:eastAsia="宋体" w:cs="宋体"/>
          <w:bCs/>
          <w:color w:val="auto"/>
          <w:kern w:val="0"/>
          <w:sz w:val="21"/>
          <w:szCs w:val="21"/>
          <w:highlight w:val="none"/>
          <w:lang w:val="zh-CN"/>
        </w:rPr>
        <w:t>不可抗力引起的后果及造成的损失由合同当事人按照法律规定及合同约定各自承担。不可抗力发生前已完成的工作应当按照合同约定进行支付。</w:t>
      </w:r>
    </w:p>
    <w:p w14:paraId="18CBC915">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bCs/>
          <w:color w:val="auto"/>
          <w:kern w:val="0"/>
          <w:sz w:val="21"/>
          <w:szCs w:val="21"/>
          <w:highlight w:val="none"/>
          <w:lang w:val="zh-CN"/>
        </w:rPr>
      </w:pPr>
      <w:r>
        <w:rPr>
          <w:rFonts w:hint="eastAsia" w:ascii="宋体" w:hAnsi="宋体" w:eastAsia="宋体" w:cs="宋体"/>
          <w:bCs/>
          <w:color w:val="auto"/>
          <w:kern w:val="0"/>
          <w:sz w:val="21"/>
          <w:szCs w:val="21"/>
          <w:highlight w:val="none"/>
          <w:lang w:val="zh-CN"/>
        </w:rPr>
        <w:t>不可抗力发生后，合同当事人均应采取措施尽量避免和减少损失的扩大，任何一方当事人没有采取有效措施导致损失扩大的，应对扩大的损失承担责任。</w:t>
      </w:r>
    </w:p>
    <w:p w14:paraId="68DC9613">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bCs/>
          <w:color w:val="auto"/>
          <w:kern w:val="0"/>
          <w:sz w:val="21"/>
          <w:szCs w:val="21"/>
          <w:highlight w:val="none"/>
          <w:lang w:val="zh-CN"/>
        </w:rPr>
      </w:pPr>
      <w:r>
        <w:rPr>
          <w:rFonts w:hint="eastAsia" w:ascii="宋体" w:hAnsi="宋体" w:eastAsia="宋体" w:cs="宋体"/>
          <w:bCs/>
          <w:color w:val="auto"/>
          <w:kern w:val="0"/>
          <w:sz w:val="21"/>
          <w:szCs w:val="21"/>
          <w:highlight w:val="none"/>
          <w:lang w:val="zh-CN"/>
        </w:rPr>
        <w:t>因合同一方迟延履行合同义务，在迟延履行期间遭遇不可抗力的，不免除其违约责任。</w:t>
      </w:r>
    </w:p>
    <w:bookmarkEnd w:id="39"/>
    <w:bookmarkEnd w:id="40"/>
    <w:bookmarkEnd w:id="41"/>
    <w:p w14:paraId="1C001119">
      <w:pPr>
        <w:widowControl w:val="0"/>
        <w:snapToGrid w:val="0"/>
        <w:spacing w:beforeLines="0" w:after="0" w:afterLines="0" w:line="360" w:lineRule="auto"/>
        <w:ind w:firstLine="422" w:firstLineChars="200"/>
        <w:jc w:val="both"/>
        <w:outlineLvl w:val="9"/>
        <w:rPr>
          <w:rFonts w:hint="eastAsia" w:ascii="宋体" w:hAnsi="宋体" w:eastAsia="宋体" w:cs="宋体"/>
          <w:b/>
          <w:bCs/>
          <w:color w:val="auto"/>
          <w:kern w:val="0"/>
          <w:sz w:val="21"/>
          <w:szCs w:val="21"/>
          <w:highlight w:val="none"/>
          <w:lang w:val="en-US" w:eastAsia="zh-CN" w:bidi="ar-SA"/>
        </w:rPr>
      </w:pPr>
      <w:bookmarkStart w:id="42" w:name="_Toc5613"/>
      <w:bookmarkStart w:id="43" w:name="_Toc24616"/>
      <w:r>
        <w:rPr>
          <w:rFonts w:hint="eastAsia" w:ascii="宋体" w:hAnsi="宋体" w:eastAsia="宋体" w:cs="宋体"/>
          <w:b/>
          <w:bCs/>
          <w:color w:val="auto"/>
          <w:kern w:val="0"/>
          <w:sz w:val="21"/>
          <w:szCs w:val="21"/>
          <w:highlight w:val="none"/>
          <w:lang w:val="en-US" w:eastAsia="zh-CN" w:bidi="ar-SA"/>
        </w:rPr>
        <w:t>10、合同终止</w:t>
      </w:r>
    </w:p>
    <w:p w14:paraId="4F886347">
      <w:pPr>
        <w:widowControl w:val="0"/>
        <w:snapToGrid w:val="0"/>
        <w:spacing w:beforeLines="0" w:after="0" w:afterLines="0" w:line="360" w:lineRule="auto"/>
        <w:ind w:firstLine="420" w:firstLineChars="200"/>
        <w:jc w:val="both"/>
        <w:outlineLvl w:val="9"/>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10.1 甲方、乙方履行合同全部义务，合同价款支付完毕，本合同即告终止。</w:t>
      </w:r>
    </w:p>
    <w:p w14:paraId="6621616A">
      <w:pPr>
        <w:widowControl w:val="0"/>
        <w:snapToGrid w:val="0"/>
        <w:spacing w:beforeLines="0" w:after="0" w:afterLines="0" w:line="360" w:lineRule="auto"/>
        <w:ind w:firstLine="420" w:firstLineChars="200"/>
        <w:jc w:val="both"/>
        <w:outlineLvl w:val="9"/>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10.2合同的权利义务终止后，合同当事人应遵循诚实信用原则，履行通知、协助和保密等义务。</w:t>
      </w:r>
    </w:p>
    <w:p w14:paraId="7F3E24A6">
      <w:pPr>
        <w:widowControl w:val="0"/>
        <w:spacing w:beforeLines="0" w:after="0" w:afterLines="0" w:line="360" w:lineRule="auto"/>
        <w:ind w:firstLine="422" w:firstLineChars="200"/>
        <w:jc w:val="both"/>
        <w:outlineLvl w:val="9"/>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11、合同解除</w:t>
      </w:r>
      <w:bookmarkEnd w:id="42"/>
      <w:bookmarkEnd w:id="43"/>
    </w:p>
    <w:p w14:paraId="08D0AEBA">
      <w:pPr>
        <w:widowControl w:val="0"/>
        <w:spacing w:beforeLines="0" w:after="0" w:afterLines="0" w:line="360" w:lineRule="auto"/>
        <w:ind w:firstLine="420" w:firstLineChars="200"/>
        <w:jc w:val="both"/>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11.1 有下列情形之一的，合同当事人一方或双方可以解除合同：</w:t>
      </w:r>
    </w:p>
    <w:p w14:paraId="2DAD027B">
      <w:pPr>
        <w:widowControl w:val="0"/>
        <w:spacing w:beforeLines="0" w:after="0" w:afterLines="0" w:line="360" w:lineRule="auto"/>
        <w:ind w:firstLine="420" w:firstLineChars="200"/>
        <w:jc w:val="both"/>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（1）乙方将本合同约定的工作全部或部分转包给他人，甲方有权解除合同；</w:t>
      </w:r>
    </w:p>
    <w:p w14:paraId="1629EEBB">
      <w:pPr>
        <w:widowControl w:val="0"/>
        <w:spacing w:beforeLines="0" w:after="0" w:afterLines="0" w:line="360" w:lineRule="auto"/>
        <w:ind w:firstLine="420" w:firstLineChars="200"/>
        <w:jc w:val="both"/>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（2）乙方提供的服务不符合合同约定的要求，经甲方催告仍不能达到合同约定要求的，甲方有权将未按要求执行的服务工作委托第三方服务及或解除合同；</w:t>
      </w:r>
    </w:p>
    <w:p w14:paraId="5B9DD598">
      <w:pPr>
        <w:widowControl w:val="0"/>
        <w:spacing w:beforeLines="0" w:after="0" w:afterLines="0" w:line="360" w:lineRule="auto"/>
        <w:ind w:firstLine="420" w:firstLineChars="200"/>
        <w:jc w:val="both"/>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（3）因不可抗力致使合同无法履行；</w:t>
      </w:r>
    </w:p>
    <w:p w14:paraId="6EB91DEA">
      <w:pPr>
        <w:widowControl w:val="0"/>
        <w:spacing w:beforeLines="0" w:after="0" w:afterLines="0" w:line="360" w:lineRule="auto"/>
        <w:ind w:firstLine="420" w:firstLineChars="200"/>
        <w:jc w:val="both"/>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（4）因一方违约致使合同无法实际履行或实际履行已无必要；</w:t>
      </w:r>
    </w:p>
    <w:p w14:paraId="2E41ABF6">
      <w:pPr>
        <w:widowControl w:val="0"/>
        <w:spacing w:beforeLines="0" w:after="0" w:afterLines="0" w:line="360" w:lineRule="auto"/>
        <w:ind w:firstLine="420" w:firstLineChars="200"/>
        <w:jc w:val="both"/>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（5）违约金总额超过合同签约价的20%，甲方有权解除合同。</w:t>
      </w:r>
    </w:p>
    <w:p w14:paraId="0BA2FE70">
      <w:pPr>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11.2任何一方提出解除合同的，应提前30天书面通知对方，违约方应赔偿由此给守约方造成的直接损失和间接损失。因不可抗力导致的合同解除，双方各自承担自身的损失。</w:t>
      </w:r>
    </w:p>
    <w:p w14:paraId="1F57A6A5">
      <w:pPr>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因乙方原因提前终止合同的，乙方应承担由此给甲方造成的损失，甲方有权没收乙方所交履约担保（如有），同时甲方有权要求乙方按签约合同价的20%交纳违约金。解除部分合同的，甲方有权另行委托因部分解除合同而乙方未履行部分，乙方应承担甲方由此产生的费用并继续履行合同中未解除的部分。</w:t>
      </w:r>
    </w:p>
    <w:p w14:paraId="53532EB7">
      <w:pPr>
        <w:widowControl w:val="0"/>
        <w:snapToGrid w:val="0"/>
        <w:spacing w:beforeLines="0" w:after="0" w:afterLines="0" w:line="360" w:lineRule="auto"/>
        <w:ind w:firstLine="420" w:firstLineChars="200"/>
        <w:jc w:val="both"/>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11.4合同解除后，本合同约定的有关结算、争议解决方式的条款仍然有效。</w:t>
      </w:r>
    </w:p>
    <w:p w14:paraId="2B04EF51">
      <w:pPr>
        <w:autoSpaceDE w:val="0"/>
        <w:autoSpaceDN w:val="0"/>
        <w:adjustRightInd w:val="0"/>
        <w:snapToGrid w:val="0"/>
        <w:spacing w:beforeLines="0" w:afterLines="0" w:line="360" w:lineRule="auto"/>
        <w:ind w:firstLine="422"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b/>
          <w:color w:val="auto"/>
          <w:kern w:val="0"/>
          <w:sz w:val="21"/>
          <w:szCs w:val="21"/>
          <w:highlight w:val="none"/>
        </w:rPr>
        <w:t>12</w:t>
      </w:r>
      <w:r>
        <w:rPr>
          <w:rFonts w:hint="eastAsia" w:ascii="宋体" w:hAnsi="宋体" w:eastAsia="宋体" w:cs="宋体"/>
          <w:b/>
          <w:color w:val="auto"/>
          <w:kern w:val="0"/>
          <w:sz w:val="21"/>
          <w:szCs w:val="21"/>
          <w:highlight w:val="none"/>
          <w:lang w:val="zh-CN"/>
        </w:rPr>
        <w:t>、</w:t>
      </w:r>
      <w:r>
        <w:rPr>
          <w:rFonts w:hint="eastAsia" w:ascii="宋体" w:hAnsi="宋体" w:eastAsia="宋体" w:cs="宋体"/>
          <w:b/>
          <w:bCs/>
          <w:color w:val="auto"/>
          <w:sz w:val="21"/>
          <w:szCs w:val="21"/>
          <w:highlight w:val="none"/>
        </w:rPr>
        <w:t>争议解决</w:t>
      </w:r>
    </w:p>
    <w:p w14:paraId="0FF7E993">
      <w:pPr>
        <w:adjustRightInd w:val="0"/>
        <w:snapToGrid w:val="0"/>
        <w:spacing w:beforeLines="0" w:afterLines="0" w:line="360" w:lineRule="auto"/>
        <w:ind w:firstLine="420" w:firstLineChars="200"/>
        <w:jc w:val="left"/>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因本合同以及与本合同有关事项发生争议的，双方可以就争议自行和解，也可以就争议请求行政主管部门、行业协会或其他第三方进行调解。自行和解或双方调解达成协议的，经</w:t>
      </w:r>
      <w:r>
        <w:rPr>
          <w:rFonts w:hint="eastAsia" w:ascii="宋体" w:hAnsi="宋体" w:cs="宋体"/>
          <w:color w:val="auto"/>
          <w:kern w:val="0"/>
          <w:sz w:val="21"/>
          <w:szCs w:val="21"/>
          <w:highlight w:val="none"/>
          <w:lang w:eastAsia="zh-CN"/>
        </w:rPr>
        <w:t>签字并盖章</w:t>
      </w:r>
      <w:r>
        <w:rPr>
          <w:rFonts w:hint="eastAsia" w:ascii="宋体" w:hAnsi="宋体" w:eastAsia="宋体" w:cs="宋体"/>
          <w:color w:val="auto"/>
          <w:kern w:val="0"/>
          <w:sz w:val="21"/>
          <w:szCs w:val="21"/>
          <w:highlight w:val="none"/>
        </w:rPr>
        <w:t>后作为合同补充文件，双方均应遵照执行。当事人不愿和解、调解或者和解、调解不成的，采取下列第</w:t>
      </w:r>
      <w:r>
        <w:rPr>
          <w:rFonts w:hint="eastAsia" w:ascii="宋体" w:hAnsi="宋体" w:eastAsia="宋体" w:cs="宋体"/>
          <w:color w:val="auto"/>
          <w:kern w:val="0"/>
          <w:sz w:val="21"/>
          <w:szCs w:val="21"/>
          <w:highlight w:val="none"/>
          <w:u w:val="single"/>
        </w:rPr>
        <w:t>（2）</w:t>
      </w:r>
      <w:r>
        <w:rPr>
          <w:rFonts w:hint="eastAsia" w:ascii="宋体" w:hAnsi="宋体" w:eastAsia="宋体" w:cs="宋体"/>
          <w:color w:val="auto"/>
          <w:kern w:val="0"/>
          <w:sz w:val="21"/>
          <w:szCs w:val="21"/>
          <w:highlight w:val="none"/>
        </w:rPr>
        <w:t>种方式解决：</w:t>
      </w:r>
    </w:p>
    <w:p w14:paraId="1081705D">
      <w:pPr>
        <w:tabs>
          <w:tab w:val="left" w:pos="0"/>
        </w:tabs>
        <w:adjustRightInd w:val="0"/>
        <w:snapToGrid w:val="0"/>
        <w:spacing w:beforeLines="0" w:afterLines="0"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（1）向</w:t>
      </w:r>
      <w:r>
        <w:rPr>
          <w:rFonts w:hint="eastAsia" w:ascii="宋体" w:hAnsi="宋体" w:eastAsia="宋体" w:cs="宋体"/>
          <w:color w:val="auto"/>
          <w:kern w:val="0"/>
          <w:sz w:val="21"/>
          <w:szCs w:val="21"/>
          <w:highlight w:val="none"/>
          <w:u w:val="single"/>
        </w:rPr>
        <w:t>长沙</w:t>
      </w:r>
      <w:r>
        <w:rPr>
          <w:rFonts w:hint="eastAsia" w:ascii="宋体" w:hAnsi="宋体" w:eastAsia="宋体" w:cs="宋体"/>
          <w:color w:val="auto"/>
          <w:kern w:val="0"/>
          <w:sz w:val="21"/>
          <w:szCs w:val="21"/>
          <w:highlight w:val="none"/>
        </w:rPr>
        <w:t>仲裁委员会申请仲裁；</w:t>
      </w:r>
    </w:p>
    <w:p w14:paraId="4818BD5A">
      <w:pPr>
        <w:tabs>
          <w:tab w:val="left" w:pos="0"/>
        </w:tabs>
        <w:adjustRightInd w:val="0"/>
        <w:snapToGrid w:val="0"/>
        <w:spacing w:beforeLines="0" w:afterLines="0"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u w:val="single"/>
        </w:rPr>
        <w:t>甲方所在地</w:t>
      </w:r>
      <w:r>
        <w:rPr>
          <w:rFonts w:hint="eastAsia" w:ascii="宋体" w:hAnsi="宋体" w:eastAsia="宋体" w:cs="宋体"/>
          <w:color w:val="auto"/>
          <w:sz w:val="21"/>
          <w:szCs w:val="21"/>
          <w:highlight w:val="none"/>
        </w:rPr>
        <w:t>人民法院起诉。</w:t>
      </w:r>
    </w:p>
    <w:p w14:paraId="3C54FF7D">
      <w:pPr>
        <w:spacing w:beforeLines="0" w:afterLines="0" w:line="360" w:lineRule="auto"/>
        <w:ind w:firstLine="422" w:firstLineChars="200"/>
        <w:outlineLvl w:val="9"/>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13、通知</w:t>
      </w:r>
    </w:p>
    <w:p w14:paraId="4E7602EE">
      <w:pPr>
        <w:widowControl/>
        <w:snapToGrid w:val="0"/>
        <w:spacing w:before="0" w:beforeLines="0" w:beforeAutospacing="0" w:after="0" w:afterLines="0" w:afterAutospacing="0" w:line="360" w:lineRule="auto"/>
        <w:ind w:firstLine="420" w:firstLineChars="200"/>
        <w:jc w:val="left"/>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13.1本合同一方给另一方的通知均应采用书面形式，传真或快递送到本合同中规定的对方的地址和办理签收手续。</w:t>
      </w:r>
    </w:p>
    <w:p w14:paraId="77A1EAC0">
      <w:pPr>
        <w:widowControl/>
        <w:snapToGrid w:val="0"/>
        <w:spacing w:before="0" w:beforeLines="0" w:beforeAutospacing="0" w:after="0" w:afterLines="0" w:afterAutospacing="0" w:line="360" w:lineRule="auto"/>
        <w:ind w:firstLine="420" w:firstLineChars="200"/>
        <w:jc w:val="left"/>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13.2通知以送到之日或通知书中规定的生效之日起生效，两者中以较迟之日为准。</w:t>
      </w:r>
    </w:p>
    <w:p w14:paraId="3AA3A2E3">
      <w:pPr>
        <w:autoSpaceDE w:val="0"/>
        <w:autoSpaceDN w:val="0"/>
        <w:adjustRightInd w:val="0"/>
        <w:snapToGrid w:val="0"/>
        <w:spacing w:beforeLines="0" w:afterLines="0" w:line="360" w:lineRule="auto"/>
        <w:ind w:firstLine="422" w:firstLineChars="200"/>
        <w:jc w:val="left"/>
        <w:outlineLvl w:val="9"/>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14、其他</w:t>
      </w:r>
    </w:p>
    <w:p w14:paraId="428D312A">
      <w:pPr>
        <w:adjustRightInd w:val="0"/>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 发生不可抗力致使本合同的履行成为不必要或不可能的，经双方协商可以解除本合同。</w:t>
      </w:r>
    </w:p>
    <w:p w14:paraId="3CC3E014">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 本合同未尽事宜，由双方协商解决，或签订补充协议，补充协议与本合同具有同等法律效力。</w:t>
      </w:r>
    </w:p>
    <w:p w14:paraId="4BC98117">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color w:val="auto"/>
          <w:sz w:val="21"/>
          <w:szCs w:val="21"/>
          <w:highlight w:val="none"/>
          <w:u w:val="none"/>
        </w:rPr>
      </w:pPr>
      <w:r>
        <w:rPr>
          <w:rFonts w:hint="eastAsia" w:ascii="宋体" w:hAnsi="宋体" w:eastAsia="宋体" w:cs="宋体"/>
          <w:b w:val="0"/>
          <w:bCs w:val="0"/>
          <w:color w:val="auto"/>
          <w:kern w:val="2"/>
          <w:sz w:val="21"/>
          <w:szCs w:val="21"/>
          <w:highlight w:val="none"/>
        </w:rPr>
        <w:t xml:space="preserve">14.3 </w:t>
      </w:r>
      <w:r>
        <w:rPr>
          <w:rFonts w:hint="eastAsia" w:ascii="宋体" w:hAnsi="宋体" w:eastAsia="宋体" w:cs="宋体"/>
          <w:b w:val="0"/>
          <w:bCs w:val="0"/>
          <w:color w:val="auto"/>
          <w:sz w:val="21"/>
          <w:szCs w:val="21"/>
          <w:highlight w:val="none"/>
        </w:rPr>
        <w:t>双方约定的其他事项</w:t>
      </w:r>
      <w:r>
        <w:rPr>
          <w:rFonts w:hint="eastAsia" w:ascii="宋体" w:hAnsi="宋体" w:eastAsia="宋体" w:cs="宋体"/>
          <w:b w:val="0"/>
          <w:bCs w:val="0"/>
          <w:color w:val="auto"/>
          <w:kern w:val="2"/>
          <w:sz w:val="21"/>
          <w:szCs w:val="21"/>
          <w:highlight w:val="none"/>
        </w:rPr>
        <w:t>（本条约定与合同条款中其他约定不一致时，以本条为准）</w:t>
      </w:r>
      <w:r>
        <w:rPr>
          <w:rFonts w:hint="eastAsia" w:ascii="宋体" w:hAnsi="宋体" w:eastAsia="宋体" w:cs="宋体"/>
          <w:color w:val="auto"/>
          <w:kern w:val="0"/>
          <w:sz w:val="21"/>
          <w:szCs w:val="21"/>
          <w:highlight w:val="none"/>
        </w:rPr>
        <w:t>：</w:t>
      </w:r>
      <w:r>
        <w:rPr>
          <w:rFonts w:hint="eastAsia" w:ascii="宋体" w:hAnsi="宋体" w:eastAsia="宋体" w:cs="宋体"/>
          <w:b w:val="0"/>
          <w:color w:val="auto"/>
          <w:sz w:val="21"/>
          <w:szCs w:val="21"/>
          <w:highlight w:val="none"/>
          <w:u w:val="single"/>
        </w:rPr>
        <w:t>1.</w:t>
      </w:r>
      <w:r>
        <w:rPr>
          <w:rFonts w:hint="eastAsia" w:ascii="宋体" w:hAnsi="宋体" w:eastAsia="宋体" w:cs="宋体"/>
          <w:color w:val="auto"/>
          <w:sz w:val="21"/>
          <w:szCs w:val="21"/>
          <w:highlight w:val="none"/>
          <w:u w:val="single"/>
        </w:rPr>
        <w:t>甲乙双方权利义务约定如有与用户需求书要求不一致的，以用户需求书要求为准</w:t>
      </w:r>
      <w:r>
        <w:rPr>
          <w:rFonts w:hint="eastAsia" w:ascii="宋体" w:hAnsi="宋体" w:eastAsia="宋体" w:cs="宋体"/>
          <w:color w:val="auto"/>
          <w:sz w:val="21"/>
          <w:szCs w:val="21"/>
          <w:highlight w:val="none"/>
          <w:u w:val="none"/>
        </w:rPr>
        <w:t>。</w:t>
      </w:r>
    </w:p>
    <w:p w14:paraId="352F0562">
      <w:pPr>
        <w:numPr>
          <w:ilvl w:val="-1"/>
          <w:numId w:val="0"/>
        </w:numPr>
        <w:autoSpaceDE w:val="0"/>
        <w:autoSpaceDN w:val="0"/>
        <w:adjustRightInd w:val="0"/>
        <w:snapToGrid w:val="0"/>
        <w:spacing w:beforeLines="0" w:afterLines="0" w:line="360" w:lineRule="auto"/>
        <w:ind w:firstLine="422" w:firstLineChars="200"/>
        <w:jc w:val="left"/>
        <w:outlineLvl w:val="9"/>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lang w:val="en-US" w:eastAsia="zh-CN"/>
        </w:rPr>
        <w:t>合同附件</w:t>
      </w:r>
      <w:r>
        <w:rPr>
          <w:rFonts w:hint="eastAsia" w:ascii="宋体" w:hAnsi="宋体" w:eastAsia="宋体" w:cs="宋体"/>
          <w:b/>
          <w:color w:val="auto"/>
          <w:kern w:val="0"/>
          <w:sz w:val="21"/>
          <w:szCs w:val="21"/>
          <w:highlight w:val="none"/>
        </w:rPr>
        <w:t>：</w:t>
      </w:r>
    </w:p>
    <w:p w14:paraId="3CB9C50C">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b w:val="0"/>
          <w:bCs/>
          <w:color w:val="auto"/>
          <w:kern w:val="0"/>
          <w:sz w:val="21"/>
          <w:szCs w:val="21"/>
          <w:highlight w:val="none"/>
        </w:rPr>
      </w:pPr>
      <w:r>
        <w:rPr>
          <w:rFonts w:hint="eastAsia" w:ascii="宋体" w:hAnsi="宋体" w:eastAsia="宋体" w:cs="宋体"/>
          <w:b w:val="0"/>
          <w:bCs/>
          <w:snapToGrid/>
          <w:color w:val="auto"/>
          <w:kern w:val="0"/>
          <w:sz w:val="21"/>
          <w:szCs w:val="21"/>
          <w:highlight w:val="none"/>
          <w:lang w:val="en-US" w:eastAsia="zh-CN"/>
        </w:rPr>
        <w:t>1.《</w:t>
      </w:r>
      <w:r>
        <w:rPr>
          <w:rFonts w:hint="eastAsia" w:ascii="宋体" w:hAnsi="宋体" w:eastAsia="宋体" w:cs="宋体"/>
          <w:b w:val="0"/>
          <w:bCs/>
          <w:color w:val="auto"/>
          <w:kern w:val="0"/>
          <w:sz w:val="21"/>
          <w:szCs w:val="21"/>
          <w:highlight w:val="none"/>
        </w:rPr>
        <w:t>用户需求书</w:t>
      </w:r>
      <w:r>
        <w:rPr>
          <w:rFonts w:hint="eastAsia" w:ascii="宋体" w:hAnsi="宋体" w:eastAsia="宋体" w:cs="宋体"/>
          <w:b w:val="0"/>
          <w:bCs/>
          <w:color w:val="auto"/>
          <w:kern w:val="0"/>
          <w:sz w:val="21"/>
          <w:szCs w:val="21"/>
          <w:highlight w:val="none"/>
          <w:lang w:eastAsia="zh-CN"/>
        </w:rPr>
        <w:t>》</w:t>
      </w:r>
    </w:p>
    <w:p w14:paraId="69DFB339">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b w:val="0"/>
          <w:bCs/>
          <w:color w:val="auto"/>
          <w:kern w:val="0"/>
          <w:sz w:val="21"/>
          <w:szCs w:val="21"/>
          <w:highlight w:val="none"/>
          <w:lang w:eastAsia="zh-CN"/>
        </w:rPr>
      </w:pPr>
      <w:r>
        <w:rPr>
          <w:rFonts w:hint="eastAsia" w:ascii="宋体" w:hAnsi="宋体" w:eastAsia="宋体" w:cs="宋体"/>
          <w:b w:val="0"/>
          <w:bCs/>
          <w:snapToGrid/>
          <w:color w:val="auto"/>
          <w:kern w:val="0"/>
          <w:sz w:val="21"/>
          <w:szCs w:val="21"/>
          <w:highlight w:val="none"/>
          <w:lang w:val="en-US" w:eastAsia="zh-CN"/>
        </w:rPr>
        <w:t>2.《</w:t>
      </w:r>
      <w:r>
        <w:rPr>
          <w:rFonts w:hint="eastAsia" w:ascii="宋体" w:hAnsi="宋体" w:eastAsia="宋体" w:cs="宋体"/>
          <w:b w:val="0"/>
          <w:bCs/>
          <w:color w:val="auto"/>
          <w:kern w:val="0"/>
          <w:sz w:val="21"/>
          <w:szCs w:val="21"/>
          <w:highlight w:val="none"/>
        </w:rPr>
        <w:t>合同总价构成清单</w:t>
      </w:r>
      <w:r>
        <w:rPr>
          <w:rFonts w:hint="eastAsia" w:ascii="宋体" w:hAnsi="宋体" w:eastAsia="宋体" w:cs="宋体"/>
          <w:b w:val="0"/>
          <w:bCs/>
          <w:color w:val="auto"/>
          <w:kern w:val="0"/>
          <w:sz w:val="21"/>
          <w:szCs w:val="21"/>
          <w:highlight w:val="none"/>
          <w:lang w:eastAsia="zh-CN"/>
        </w:rPr>
        <w:t>》</w:t>
      </w:r>
    </w:p>
    <w:p w14:paraId="14851B20">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b w:val="0"/>
          <w:bCs/>
          <w:color w:val="auto"/>
          <w:kern w:val="0"/>
          <w:sz w:val="21"/>
          <w:szCs w:val="21"/>
          <w:highlight w:val="none"/>
          <w:lang w:val="en-US" w:eastAsia="zh-CN"/>
        </w:rPr>
      </w:pPr>
      <w:r>
        <w:rPr>
          <w:rFonts w:hint="eastAsia" w:ascii="宋体" w:hAnsi="宋体" w:eastAsia="宋体" w:cs="宋体"/>
          <w:b w:val="0"/>
          <w:bCs/>
          <w:color w:val="auto"/>
          <w:kern w:val="0"/>
          <w:sz w:val="21"/>
          <w:szCs w:val="21"/>
          <w:highlight w:val="none"/>
          <w:lang w:val="en-US" w:eastAsia="zh-CN"/>
        </w:rPr>
        <w:t>3.《廉洁协议》</w:t>
      </w:r>
    </w:p>
    <w:p w14:paraId="02D62998">
      <w:pPr>
        <w:autoSpaceDE w:val="0"/>
        <w:autoSpaceDN w:val="0"/>
        <w:adjustRightInd w:val="0"/>
        <w:snapToGrid w:val="0"/>
        <w:spacing w:beforeLines="0" w:afterLines="0" w:line="360" w:lineRule="auto"/>
        <w:ind w:firstLine="420" w:firstLineChars="200"/>
        <w:jc w:val="left"/>
        <w:outlineLvl w:val="9"/>
        <w:rPr>
          <w:rFonts w:hint="eastAsia" w:ascii="宋体" w:hAnsi="宋体" w:eastAsia="宋体" w:cs="宋体"/>
          <w:b w:val="0"/>
          <w:bCs/>
          <w:color w:val="auto"/>
          <w:kern w:val="0"/>
          <w:sz w:val="21"/>
          <w:szCs w:val="21"/>
          <w:highlight w:val="none"/>
          <w:lang w:eastAsia="zh-CN"/>
        </w:rPr>
      </w:pPr>
      <w:r>
        <w:rPr>
          <w:rFonts w:hint="eastAsia" w:ascii="宋体" w:hAnsi="宋体" w:eastAsia="宋体" w:cs="宋体"/>
          <w:b w:val="0"/>
          <w:bCs/>
          <w:color w:val="auto"/>
          <w:kern w:val="0"/>
          <w:sz w:val="21"/>
          <w:szCs w:val="21"/>
          <w:highlight w:val="none"/>
          <w:lang w:val="en-US" w:eastAsia="zh-CN"/>
        </w:rPr>
        <w:t>4.《</w:t>
      </w:r>
      <w:r>
        <w:rPr>
          <w:rFonts w:hint="eastAsia" w:ascii="宋体" w:hAnsi="宋体" w:eastAsia="宋体" w:cs="宋体"/>
          <w:b w:val="0"/>
          <w:bCs/>
          <w:color w:val="auto"/>
          <w:kern w:val="0"/>
          <w:sz w:val="21"/>
          <w:szCs w:val="21"/>
          <w:highlight w:val="none"/>
        </w:rPr>
        <w:t>履约保函</w:t>
      </w:r>
      <w:r>
        <w:rPr>
          <w:rFonts w:hint="eastAsia" w:ascii="宋体" w:hAnsi="宋体" w:eastAsia="宋体" w:cs="宋体"/>
          <w:b w:val="0"/>
          <w:bCs/>
          <w:color w:val="auto"/>
          <w:kern w:val="0"/>
          <w:sz w:val="21"/>
          <w:szCs w:val="21"/>
          <w:highlight w:val="none"/>
          <w:lang w:eastAsia="zh-CN"/>
        </w:rPr>
        <w:t>》</w:t>
      </w:r>
    </w:p>
    <w:p w14:paraId="1972FBB4">
      <w:pPr>
        <w:spacing w:beforeLines="0" w:afterLines="0" w:line="360" w:lineRule="auto"/>
        <w:outlineLvl w:val="9"/>
        <w:rPr>
          <w:rFonts w:hint="eastAsia" w:ascii="宋体" w:hAnsi="宋体" w:eastAsia="宋体" w:cs="宋体"/>
          <w:color w:val="auto"/>
          <w:szCs w:val="21"/>
          <w:highlight w:val="none"/>
        </w:rPr>
      </w:pPr>
    </w:p>
    <w:p w14:paraId="3DEED6D5">
      <w:pPr>
        <w:outlineLvl w:val="9"/>
        <w:rPr>
          <w:rFonts w:hint="eastAsia" w:ascii="宋体" w:hAnsi="宋体" w:eastAsia="宋体" w:cs="宋体"/>
          <w:snapToGrid/>
          <w:color w:val="auto"/>
          <w:kern w:val="0"/>
          <w:sz w:val="21"/>
          <w:szCs w:val="21"/>
          <w:highlight w:val="none"/>
          <w:lang w:val="en-US" w:eastAsia="zh-CN" w:bidi="ar-SA"/>
        </w:rPr>
      </w:pPr>
      <w:r>
        <w:rPr>
          <w:rFonts w:hint="eastAsia" w:ascii="宋体" w:hAnsi="宋体" w:eastAsia="宋体" w:cs="宋体"/>
          <w:snapToGrid/>
          <w:color w:val="auto"/>
          <w:kern w:val="0"/>
          <w:sz w:val="21"/>
          <w:szCs w:val="21"/>
          <w:highlight w:val="none"/>
          <w:lang w:val="en-US" w:eastAsia="zh-CN" w:bidi="ar-SA"/>
        </w:rPr>
        <w:br w:type="page"/>
      </w:r>
    </w:p>
    <w:p w14:paraId="15BB8B89">
      <w:pPr>
        <w:spacing w:beforeLines="0" w:afterLines="0" w:line="360" w:lineRule="auto"/>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snapToGrid/>
          <w:color w:val="auto"/>
          <w:kern w:val="0"/>
          <w:sz w:val="21"/>
          <w:szCs w:val="21"/>
          <w:highlight w:val="none"/>
          <w:lang w:val="en-US" w:eastAsia="zh-CN" w:bidi="ar-SA"/>
        </w:rPr>
        <w:t>附件一：用户需求书</w:t>
      </w:r>
    </w:p>
    <w:p w14:paraId="6FA9CB9A">
      <w:pPr>
        <w:outlineLvl w:val="9"/>
        <w:rPr>
          <w:rFonts w:hint="default" w:ascii="Times New Roman" w:hAnsi="Times New Roman" w:eastAsia="宋体" w:cs="Times New Roman"/>
          <w:snapToGrid/>
          <w:color w:val="auto"/>
          <w:kern w:val="0"/>
          <w:sz w:val="21"/>
          <w:szCs w:val="21"/>
          <w:highlight w:val="none"/>
          <w:lang w:val="en-US" w:eastAsia="zh-CN" w:bidi="ar-SA"/>
        </w:rPr>
      </w:pPr>
      <w:r>
        <w:rPr>
          <w:rFonts w:hint="default" w:ascii="Times New Roman" w:hAnsi="Times New Roman" w:eastAsia="宋体" w:cs="Times New Roman"/>
          <w:snapToGrid/>
          <w:color w:val="auto"/>
          <w:kern w:val="0"/>
          <w:sz w:val="21"/>
          <w:szCs w:val="21"/>
          <w:highlight w:val="none"/>
          <w:lang w:val="en-US" w:eastAsia="zh-CN" w:bidi="ar-SA"/>
        </w:rPr>
        <w:br w:type="page"/>
      </w:r>
    </w:p>
    <w:p w14:paraId="6E5D73F9">
      <w:pPr>
        <w:jc w:val="left"/>
        <w:outlineLvl w:val="9"/>
        <w:rPr>
          <w:rFonts w:hint="default" w:ascii="Times New Roman" w:hAnsi="Times New Roman" w:eastAsia="宋体" w:cs="Times New Roman"/>
          <w:snapToGrid/>
          <w:color w:val="auto"/>
          <w:kern w:val="0"/>
          <w:sz w:val="21"/>
          <w:szCs w:val="21"/>
          <w:highlight w:val="none"/>
          <w:lang w:val="en-US" w:eastAsia="zh-CN" w:bidi="ar-SA"/>
        </w:rPr>
      </w:pPr>
      <w:r>
        <w:rPr>
          <w:rFonts w:hint="default" w:ascii="Times New Roman" w:hAnsi="Times New Roman" w:eastAsia="宋体" w:cs="Times New Roman"/>
          <w:snapToGrid/>
          <w:color w:val="auto"/>
          <w:kern w:val="0"/>
          <w:sz w:val="21"/>
          <w:szCs w:val="21"/>
          <w:highlight w:val="none"/>
          <w:lang w:val="en-US" w:eastAsia="zh-CN" w:bidi="ar-SA"/>
        </w:rPr>
        <w:t>附件三：廉洁协议</w:t>
      </w:r>
    </w:p>
    <w:p w14:paraId="06B277CB">
      <w:pPr>
        <w:spacing w:beforeLines="0" w:afterLines="0" w:line="360" w:lineRule="auto"/>
        <w:ind w:firstLine="422" w:firstLineChars="200"/>
        <w:jc w:val="center"/>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廉 洁 协 议</w:t>
      </w:r>
    </w:p>
    <w:p w14:paraId="62645CB1">
      <w:pPr>
        <w:spacing w:beforeLines="0" w:afterLines="0" w:line="360" w:lineRule="auto"/>
        <w:ind w:firstLine="422" w:firstLineChars="200"/>
        <w:jc w:val="center"/>
        <w:outlineLvl w:val="9"/>
        <w:rPr>
          <w:rFonts w:hint="eastAsia" w:ascii="宋体" w:hAnsi="宋体" w:eastAsia="宋体" w:cs="宋体"/>
          <w:b/>
          <w:color w:val="auto"/>
          <w:sz w:val="21"/>
          <w:szCs w:val="21"/>
          <w:highlight w:val="none"/>
        </w:rPr>
      </w:pPr>
    </w:p>
    <w:p w14:paraId="531F54F8">
      <w:pPr>
        <w:spacing w:beforeLines="0" w:afterLines="0" w:line="360" w:lineRule="auto"/>
        <w:ind w:firstLine="472" w:firstLineChars="225"/>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u w:val="single"/>
        </w:rPr>
        <w:t>长沙穗城轨道交通有限公司</w:t>
      </w:r>
    </w:p>
    <w:p w14:paraId="71373625">
      <w:pPr>
        <w:spacing w:beforeLines="0" w:afterLines="0" w:line="360" w:lineRule="auto"/>
        <w:ind w:firstLine="472" w:firstLineChars="225"/>
        <w:jc w:val="left"/>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乙方：</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p>
    <w:p w14:paraId="5B43BB6C">
      <w:pPr>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根据国家法律、法规以及有关廉政建设的规定，为做好合同执行过程中党风廉政建设，保证建设及运营资金的安全和有效使用及投资效益，甲、乙双方特订立如下廉政协议：</w:t>
      </w:r>
    </w:p>
    <w:p w14:paraId="1864D39B">
      <w:pPr>
        <w:spacing w:beforeLines="0" w:afterLines="0" w:line="360" w:lineRule="auto"/>
        <w:ind w:firstLine="422" w:firstLineChars="200"/>
        <w:outlineLvl w:val="9"/>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第一条 共同责任</w:t>
      </w:r>
    </w:p>
    <w:p w14:paraId="6BD57F24">
      <w:pPr>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（一）严格遵守党和国家有关法律法规及湖南省、长沙市的相关规定。</w:t>
      </w:r>
    </w:p>
    <w:p w14:paraId="460F5F30">
      <w:pPr>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（二）严格执行《</w:t>
      </w:r>
      <w:r>
        <w:rPr>
          <w:rFonts w:hint="eastAsia" w:ascii="宋体" w:hAnsi="宋体" w:eastAsia="宋体" w:cs="宋体"/>
          <w:color w:val="auto"/>
          <w:sz w:val="21"/>
          <w:szCs w:val="21"/>
          <w:highlight w:val="none"/>
          <w:u w:val="none"/>
        </w:rPr>
        <w:t>2026-2028年员工食堂劳务外包合同</w:t>
      </w:r>
      <w:r>
        <w:rPr>
          <w:rFonts w:hint="eastAsia" w:ascii="宋体" w:hAnsi="宋体" w:eastAsia="宋体" w:cs="宋体"/>
          <w:color w:val="auto"/>
          <w:sz w:val="21"/>
          <w:szCs w:val="21"/>
          <w:highlight w:val="none"/>
        </w:rPr>
        <w:t>》（以下简称主合同）的合同文件，自觉履行合同约定的相关义务。</w:t>
      </w:r>
    </w:p>
    <w:p w14:paraId="1E06E2EA">
      <w:pPr>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（三）双方的业务活动坚持公开、公正、诚信、透明的原则（除法律认定的商业秘密和合同文件另有规定外），不得损害国家和集体利益，违反工程建设规章制度。</w:t>
      </w:r>
    </w:p>
    <w:p w14:paraId="309B8FAA">
      <w:pPr>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（四）建立健全廉政制度，开展廉政教育，设立廉政告示牌，公布举报电话，监督并认真查处违法违纪行为。</w:t>
      </w:r>
    </w:p>
    <w:p w14:paraId="1FB3FBAB">
      <w:pPr>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（五）发现对方在业务活动中有违反廉政规定的行为，有及时提醒对方纠正的权利和义务。</w:t>
      </w:r>
    </w:p>
    <w:p w14:paraId="1FFE8489">
      <w:pPr>
        <w:spacing w:beforeLines="0" w:afterLines="0" w:line="360" w:lineRule="auto"/>
        <w:ind w:firstLine="422" w:firstLineChars="200"/>
        <w:outlineLvl w:val="9"/>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第二条 共同权利</w:t>
      </w:r>
    </w:p>
    <w:p w14:paraId="739E92F6">
      <w:pPr>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发现对方严重违反本协议义务条款的行为，有向其上级有关部门举报、建议给予处理并有权要求告知处理结果的权利。</w:t>
      </w:r>
    </w:p>
    <w:p w14:paraId="47938A05">
      <w:pPr>
        <w:spacing w:beforeLines="0" w:afterLines="0" w:line="360" w:lineRule="auto"/>
        <w:ind w:firstLine="422" w:firstLineChars="200"/>
        <w:outlineLvl w:val="9"/>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第三条 甲方的义务</w:t>
      </w:r>
    </w:p>
    <w:p w14:paraId="6F79B12E">
      <w:pPr>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（一）甲方及其工作人员不得索要或接受乙方的礼金、有价证券和贵重物品。</w:t>
      </w:r>
    </w:p>
    <w:p w14:paraId="096F1E6B">
      <w:pPr>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（二）甲方及其工作人员不得在乙方报销任何应由甲方或个人支付的费用等。</w:t>
      </w:r>
    </w:p>
    <w:p w14:paraId="7FAB0E1F">
      <w:pPr>
        <w:spacing w:beforeLines="0" w:afterLines="0" w:line="360" w:lineRule="auto"/>
        <w:ind w:left="15" w:leftChars="7"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（三）甲方及其工作人员不得参加乙方安排的超标准宴请和娱乐活动。</w:t>
      </w:r>
    </w:p>
    <w:p w14:paraId="0996F335">
      <w:pPr>
        <w:spacing w:beforeLines="0" w:afterLines="0" w:line="360" w:lineRule="auto"/>
        <w:ind w:left="15" w:leftChars="7"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（四）甲方及其工作人员不得接受乙方提供的通讯工具、交通工具和高档办公用品等。</w:t>
      </w:r>
    </w:p>
    <w:p w14:paraId="40A22004">
      <w:pPr>
        <w:spacing w:beforeLines="0" w:afterLines="0" w:line="360" w:lineRule="auto"/>
        <w:ind w:left="15" w:leftChars="7"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（五）甲方及其工作人员不得要求或者接受乙方为其住房装修、婚丧嫁娶活动、配偶子女的工作安排以及出国出境、旅游等提供方便等。</w:t>
      </w:r>
    </w:p>
    <w:p w14:paraId="7BEEF8DE">
      <w:pPr>
        <w:spacing w:beforeLines="0" w:afterLines="0" w:line="360" w:lineRule="auto"/>
        <w:ind w:left="15" w:leftChars="7"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（六）甲方及其工作人员不得有违反法律、法规、廉洁从业规定的其他行为。</w:t>
      </w:r>
    </w:p>
    <w:p w14:paraId="0D9DB9F3">
      <w:pPr>
        <w:spacing w:beforeLines="0" w:afterLines="0" w:line="360" w:lineRule="auto"/>
        <w:ind w:firstLine="422" w:firstLineChars="200"/>
        <w:outlineLvl w:val="9"/>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第四条 乙方的义务</w:t>
      </w:r>
    </w:p>
    <w:p w14:paraId="4F374CBC">
      <w:pPr>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（一）乙方不得以任何理由向甲方及其工作人员行贿或馈赠礼金、有价证券、贵重礼品。</w:t>
      </w:r>
    </w:p>
    <w:p w14:paraId="0A7312FD">
      <w:pPr>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（二）乙方不得以任何名义为甲方及其工作人员报销应由甲方单位或个人支付的任何费用。</w:t>
      </w:r>
    </w:p>
    <w:p w14:paraId="64032160">
      <w:pPr>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（三）乙方不得以任何理由安排甲方工作人员参加超标准宴请、健身及娱乐活动。</w:t>
      </w:r>
    </w:p>
    <w:p w14:paraId="5F328D50">
      <w:pPr>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（四）乙方不得为甲方及其工作人员购置或提供通讯工具、交通工具和高档办公用品等。</w:t>
      </w:r>
    </w:p>
    <w:p w14:paraId="510BB675">
      <w:pPr>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（五）乙方不得为甲方及其工作人员住房装修、婚丧嫁娶活动、配偶子女的工作安排以及出国出境、旅游等提供方便等。</w:t>
      </w:r>
    </w:p>
    <w:p w14:paraId="2E15E4EE">
      <w:pPr>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（六）乙方不得有违反法律、法规、廉洁从业规定的其他行为。</w:t>
      </w:r>
    </w:p>
    <w:p w14:paraId="4D0DEA03">
      <w:pPr>
        <w:spacing w:beforeLines="0" w:afterLines="0" w:line="360" w:lineRule="auto"/>
        <w:ind w:firstLine="422" w:firstLineChars="200"/>
        <w:outlineLvl w:val="9"/>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第五条 违约责任</w:t>
      </w:r>
    </w:p>
    <w:p w14:paraId="1B380F08">
      <w:pPr>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（一）甲方及其工作人员违反本协议，视情节轻重按管理权限，依据有关规定给予党纪、政纪或组织处理，调离其工作岗位；涉嫌犯罪的，移交司法机关追究刑事责任；给乙方造成经济损失的，应予以赔偿。</w:t>
      </w:r>
    </w:p>
    <w:p w14:paraId="1065ABA4">
      <w:pPr>
        <w:snapToGrid w:val="0"/>
        <w:spacing w:beforeLines="0" w:afterLines="0"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乙方及其工作人员违反本协议，视情节轻重按管理权限，依据有关规定，给予党纪、政纪或组织处理；给甲方单位造成经济损失的，应予以赔偿；情节严重的，甲方可以单方面解除与乙方的合同，并给予乙方两年内不得对甲方组织的项目进行投标的处罚。</w:t>
      </w:r>
    </w:p>
    <w:p w14:paraId="5913A90D">
      <w:pPr>
        <w:spacing w:beforeLines="0" w:afterLines="0" w:line="360" w:lineRule="auto"/>
        <w:ind w:firstLine="422" w:firstLineChars="200"/>
        <w:outlineLvl w:val="9"/>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第六条 </w:t>
      </w:r>
      <w:r>
        <w:rPr>
          <w:rFonts w:hint="eastAsia" w:ascii="宋体" w:hAnsi="宋体" w:eastAsia="宋体" w:cs="宋体"/>
          <w:color w:val="auto"/>
          <w:sz w:val="21"/>
          <w:szCs w:val="21"/>
          <w:highlight w:val="none"/>
        </w:rPr>
        <w:t>双方约定：本合同由双方或双方上级单位的纪检监察机关负责监督执行。由甲方或甲方上级单位的纪检监察机关约请乙方或乙方上级单位纪检监察机关对本合同执行情况进行检查；提出在本合同约定范围内的裁定意见。</w:t>
      </w:r>
    </w:p>
    <w:p w14:paraId="06F22E4D">
      <w:pPr>
        <w:spacing w:beforeLines="0" w:afterLines="0" w:line="360" w:lineRule="auto"/>
        <w:ind w:firstLine="413" w:firstLineChars="196"/>
        <w:outlineLvl w:val="9"/>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第七条</w:t>
      </w:r>
      <w:r>
        <w:rPr>
          <w:rFonts w:hint="eastAsia" w:ascii="宋体" w:hAnsi="宋体" w:eastAsia="宋体" w:cs="宋体"/>
          <w:color w:val="auto"/>
          <w:sz w:val="21"/>
          <w:szCs w:val="21"/>
          <w:highlight w:val="none"/>
        </w:rPr>
        <w:t xml:space="preserve"> 本协议有效期为甲乙双方签署之日起至主合同完全履行完毕之日止。  </w:t>
      </w:r>
    </w:p>
    <w:p w14:paraId="2C981950">
      <w:pPr>
        <w:spacing w:beforeLines="0" w:afterLines="0" w:line="360" w:lineRule="auto"/>
        <w:ind w:firstLine="413" w:firstLineChars="196"/>
        <w:outlineLvl w:val="9"/>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第八条</w:t>
      </w:r>
      <w:r>
        <w:rPr>
          <w:rFonts w:hint="eastAsia" w:ascii="宋体" w:hAnsi="宋体" w:eastAsia="宋体" w:cs="宋体"/>
          <w:color w:val="auto"/>
          <w:sz w:val="21"/>
          <w:szCs w:val="21"/>
          <w:highlight w:val="none"/>
        </w:rPr>
        <w:t xml:space="preserve"> 本协议作为主合同的附件，与主合同具有同等的法律效力，经合同双方签署立即生效。</w:t>
      </w:r>
    </w:p>
    <w:p w14:paraId="4068EDE3">
      <w:pP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3D29238E">
      <w:pPr>
        <w:spacing w:line="360" w:lineRule="auto"/>
        <w:jc w:val="left"/>
        <w:outlineLvl w:val="9"/>
        <w:rPr>
          <w:rFonts w:hint="default" w:ascii="Times New Roman" w:hAnsi="Times New Roman" w:eastAsia="宋体" w:cs="Times New Roman"/>
          <w:snapToGrid/>
          <w:color w:val="auto"/>
          <w:kern w:val="0"/>
          <w:sz w:val="21"/>
          <w:szCs w:val="21"/>
          <w:highlight w:val="none"/>
          <w:lang w:val="en-US" w:eastAsia="zh-CN" w:bidi="ar-SA"/>
        </w:rPr>
      </w:pPr>
      <w:bookmarkStart w:id="44" w:name="_Hlt13044995"/>
      <w:bookmarkEnd w:id="44"/>
      <w:bookmarkStart w:id="45" w:name="_Toc103780889"/>
      <w:bookmarkStart w:id="46" w:name="_Toc103780575"/>
      <w:bookmarkStart w:id="47" w:name="_Toc106731644"/>
      <w:r>
        <w:rPr>
          <w:rFonts w:hint="default" w:ascii="Times New Roman" w:hAnsi="Times New Roman" w:eastAsia="宋体" w:cs="Times New Roman"/>
          <w:snapToGrid/>
          <w:color w:val="auto"/>
          <w:kern w:val="0"/>
          <w:sz w:val="21"/>
          <w:szCs w:val="21"/>
          <w:highlight w:val="none"/>
          <w:lang w:val="en-US" w:eastAsia="zh-CN" w:bidi="ar-SA"/>
        </w:rPr>
        <w:t>附件四：履约保函</w:t>
      </w:r>
    </w:p>
    <w:p w14:paraId="31657365">
      <w:pPr>
        <w:spacing w:line="360" w:lineRule="auto"/>
        <w:jc w:val="center"/>
        <w:outlineLvl w:val="9"/>
        <w:rPr>
          <w:rFonts w:hint="default" w:ascii="Times New Roman" w:hAnsi="Times New Roman" w:eastAsia="宋体" w:cs="Times New Roman"/>
          <w:b w:val="0"/>
          <w:color w:val="auto"/>
          <w:kern w:val="0"/>
          <w:sz w:val="21"/>
          <w:szCs w:val="21"/>
          <w:highlight w:val="none"/>
          <w:lang w:val="en-US" w:eastAsia="zh-CN" w:bidi="ar-SA"/>
        </w:rPr>
      </w:pPr>
      <w:r>
        <w:rPr>
          <w:rFonts w:hint="default" w:ascii="Times New Roman" w:hAnsi="Times New Roman" w:eastAsia="宋体" w:cs="Times New Roman"/>
          <w:b w:val="0"/>
          <w:color w:val="auto"/>
          <w:kern w:val="0"/>
          <w:sz w:val="21"/>
          <w:szCs w:val="21"/>
          <w:highlight w:val="none"/>
          <w:lang w:val="en-US" w:eastAsia="zh-CN" w:bidi="ar-SA"/>
        </w:rPr>
        <w:t>履约保函</w:t>
      </w:r>
      <w:bookmarkEnd w:id="45"/>
      <w:bookmarkEnd w:id="46"/>
      <w:bookmarkEnd w:id="47"/>
    </w:p>
    <w:p w14:paraId="21A8288F">
      <w:pPr>
        <w:tabs>
          <w:tab w:val="left" w:pos="8364"/>
        </w:tabs>
        <w:snapToGrid w:val="0"/>
        <w:spacing w:line="360" w:lineRule="auto"/>
        <w:ind w:right="-58"/>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（合同签订之日起六十天内开具）</w:t>
      </w:r>
    </w:p>
    <w:p w14:paraId="6B812D94">
      <w:pPr>
        <w:tabs>
          <w:tab w:val="left" w:pos="8364"/>
        </w:tabs>
        <w:snapToGrid w:val="0"/>
        <w:spacing w:line="360" w:lineRule="auto"/>
        <w:ind w:right="-58"/>
        <w:jc w:val="center"/>
        <w:outlineLvl w:val="9"/>
        <w:rPr>
          <w:rFonts w:hint="eastAsia" w:ascii="宋体" w:hAnsi="宋体" w:eastAsia="宋体" w:cs="宋体"/>
          <w:color w:val="auto"/>
          <w:sz w:val="21"/>
          <w:szCs w:val="21"/>
          <w:highlight w:val="none"/>
        </w:rPr>
      </w:pPr>
    </w:p>
    <w:p w14:paraId="7F3FA240">
      <w:pPr>
        <w:tabs>
          <w:tab w:val="left" w:pos="8364"/>
        </w:tabs>
        <w:snapToGrid w:val="0"/>
        <w:spacing w:line="360" w:lineRule="auto"/>
        <w:ind w:right="-5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开证日期：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银行保函编号：</w:t>
      </w:r>
      <w:r>
        <w:rPr>
          <w:rFonts w:hint="eastAsia" w:ascii="宋体" w:hAnsi="宋体" w:eastAsia="宋体" w:cs="宋体"/>
          <w:color w:val="auto"/>
          <w:sz w:val="21"/>
          <w:szCs w:val="21"/>
          <w:highlight w:val="none"/>
          <w:u w:val="single"/>
        </w:rPr>
        <w:t xml:space="preserve">        </w:t>
      </w:r>
    </w:p>
    <w:p w14:paraId="7831CCF5">
      <w:pPr>
        <w:tabs>
          <w:tab w:val="left" w:pos="8364"/>
        </w:tabs>
        <w:snapToGrid w:val="0"/>
        <w:spacing w:line="360" w:lineRule="auto"/>
        <w:ind w:right="-5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致：长沙穗城轨道交通有限公司</w:t>
      </w:r>
    </w:p>
    <w:p w14:paraId="1BFBA22E">
      <w:pPr>
        <w:tabs>
          <w:tab w:val="left" w:pos="8364"/>
        </w:tabs>
        <w:snapToGrid w:val="0"/>
        <w:spacing w:line="360" w:lineRule="auto"/>
        <w:ind w:right="-58"/>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合同履约保函</w:t>
      </w:r>
    </w:p>
    <w:p w14:paraId="22F4A0BF">
      <w:pPr>
        <w:tabs>
          <w:tab w:val="left" w:pos="8364"/>
        </w:tabs>
        <w:snapToGrid w:val="0"/>
        <w:spacing w:line="360" w:lineRule="auto"/>
        <w:ind w:right="-58" w:firstLine="555"/>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本保函作为贵方与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（乙方名称、地址、以下简称乙方）于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日签订的合同金额为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（货币名称）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元（货币数量、大小写）合同号为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的               合同（以下简称合同）的履约保函。</w:t>
      </w:r>
    </w:p>
    <w:p w14:paraId="3D599ED7">
      <w:pPr>
        <w:tabs>
          <w:tab w:val="left" w:pos="8364"/>
        </w:tabs>
        <w:snapToGrid w:val="0"/>
        <w:spacing w:line="360" w:lineRule="auto"/>
        <w:ind w:right="-5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注册于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（银行地址）的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银行（以下简称本行）无条件地、不可撤销地具结保证本行、其继承人和受让人无追索地向贵方以</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（货币名称）支付总额不超过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元（货币数量、大小写）的金额，即相当于合同价格的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83C6FB0">
      <w:pPr>
        <w:tabs>
          <w:tab w:val="left" w:pos="8364"/>
        </w:tabs>
        <w:snapToGrid w:val="0"/>
        <w:spacing w:line="360" w:lineRule="auto"/>
        <w:ind w:right="-5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并以此约定如下：</w:t>
      </w:r>
    </w:p>
    <w:p w14:paraId="360E2FC0">
      <w:pPr>
        <w:numPr>
          <w:ilvl w:val="0"/>
          <w:numId w:val="12"/>
        </w:numPr>
        <w:tabs>
          <w:tab w:val="left" w:pos="720"/>
          <w:tab w:val="clear" w:pos="600"/>
        </w:tabs>
        <w:snapToGrid w:val="0"/>
        <w:spacing w:line="360" w:lineRule="auto"/>
        <w:ind w:right="-5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未能忠实地履行所有合同文件的规定和双方此后一致同意的修改、补充和变动，包括更换或修补贵方认为有缺陷的货物（以下简称违约），只要贵方确定，无论乙方有任何反对，本行将凭贵方的书面违约通知，立即按贵方提出的不超过上述累计总额的金额和按该通知中规定的方式付给贵方；</w:t>
      </w:r>
    </w:p>
    <w:p w14:paraId="6BF6C182">
      <w:pPr>
        <w:numPr>
          <w:ilvl w:val="0"/>
          <w:numId w:val="12"/>
        </w:numPr>
        <w:tabs>
          <w:tab w:val="left" w:pos="720"/>
          <w:tab w:val="clear" w:pos="600"/>
        </w:tabs>
        <w:snapToGrid w:val="0"/>
        <w:spacing w:line="360" w:lineRule="auto"/>
        <w:ind w:right="-5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本保函项下的任何支付应为免税和净值，无论任何人以何种理由提出扣减现有或未来的税费、关税、费用或扣款，均不能从本保函中扣除；</w:t>
      </w:r>
    </w:p>
    <w:p w14:paraId="289A364D">
      <w:pPr>
        <w:numPr>
          <w:ilvl w:val="0"/>
          <w:numId w:val="12"/>
        </w:numPr>
        <w:tabs>
          <w:tab w:val="left" w:pos="720"/>
          <w:tab w:val="clear" w:pos="600"/>
        </w:tabs>
        <w:snapToGrid w:val="0"/>
        <w:spacing w:line="360" w:lineRule="auto"/>
        <w:ind w:right="1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保函的规定构成本行无条件的、不可撤销的直接义务。今后任何对合同条款的修改、贵方在时间上的通融、其他宽容、让步或由贵方采取的除了本款以外都适用的可能免除本行责任的任何删除或其他行为，均不能解除或免除本行在本保证函项下的责任；</w:t>
      </w:r>
    </w:p>
    <w:p w14:paraId="7F14A2EE">
      <w:pPr>
        <w:numPr>
          <w:ilvl w:val="0"/>
          <w:numId w:val="12"/>
        </w:numPr>
        <w:tabs>
          <w:tab w:val="left" w:pos="720"/>
          <w:tab w:val="clear" w:pos="600"/>
        </w:tabs>
        <w:snapToGrid w:val="0"/>
        <w:spacing w:line="360" w:lineRule="auto"/>
        <w:ind w:right="1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本保函在出证行代表签字和加盖公章后生效，</w:t>
      </w:r>
      <w:r>
        <w:rPr>
          <w:rFonts w:hint="eastAsia" w:ascii="宋体" w:hAnsi="宋体" w:eastAsia="宋体" w:cs="宋体"/>
          <w:color w:val="auto"/>
          <w:sz w:val="21"/>
          <w:szCs w:val="21"/>
          <w:highlight w:val="none"/>
          <w:shd w:val="clear" w:color="auto" w:fill="FFFFFF"/>
        </w:rPr>
        <w:t>本保函的有效期及担保期限最晚不超过</w:t>
      </w:r>
      <w:r>
        <w:rPr>
          <w:rFonts w:hint="eastAsia" w:ascii="宋体" w:hAnsi="宋体" w:eastAsia="宋体" w:cs="宋体"/>
          <w:color w:val="auto"/>
          <w:sz w:val="21"/>
          <w:szCs w:val="21"/>
          <w:highlight w:val="none"/>
          <w:u w:val="single"/>
          <w:shd w:val="clear" w:color="auto" w:fill="FFFFFF"/>
        </w:rPr>
        <w:t xml:space="preserve">      </w:t>
      </w:r>
      <w:r>
        <w:rPr>
          <w:rFonts w:hint="eastAsia" w:ascii="宋体" w:hAnsi="宋体" w:eastAsia="宋体" w:cs="宋体"/>
          <w:color w:val="auto"/>
          <w:sz w:val="21"/>
          <w:szCs w:val="21"/>
          <w:highlight w:val="none"/>
          <w:shd w:val="clear" w:color="auto" w:fill="FFFFFF"/>
        </w:rPr>
        <w:t>年</w:t>
      </w:r>
      <w:r>
        <w:rPr>
          <w:rFonts w:hint="eastAsia" w:ascii="宋体" w:hAnsi="宋体" w:eastAsia="宋体" w:cs="宋体"/>
          <w:color w:val="auto"/>
          <w:sz w:val="21"/>
          <w:szCs w:val="21"/>
          <w:highlight w:val="none"/>
          <w:u w:val="single"/>
          <w:shd w:val="clear" w:color="auto" w:fill="FFFFFF"/>
        </w:rPr>
        <w:t xml:space="preserve">    </w:t>
      </w:r>
      <w:r>
        <w:rPr>
          <w:rFonts w:hint="eastAsia" w:ascii="宋体" w:hAnsi="宋体" w:eastAsia="宋体" w:cs="宋体"/>
          <w:color w:val="auto"/>
          <w:sz w:val="21"/>
          <w:szCs w:val="21"/>
          <w:highlight w:val="none"/>
          <w:shd w:val="clear" w:color="auto" w:fill="FFFFFF"/>
        </w:rPr>
        <w:t>月</w:t>
      </w:r>
      <w:r>
        <w:rPr>
          <w:rFonts w:hint="eastAsia" w:ascii="宋体" w:hAnsi="宋体" w:eastAsia="宋体" w:cs="宋体"/>
          <w:color w:val="auto"/>
          <w:sz w:val="21"/>
          <w:szCs w:val="21"/>
          <w:highlight w:val="none"/>
          <w:u w:val="single"/>
          <w:shd w:val="clear" w:color="auto" w:fill="FFFFFF"/>
        </w:rPr>
        <w:t xml:space="preserve">    </w:t>
      </w:r>
      <w:r>
        <w:rPr>
          <w:rFonts w:hint="eastAsia" w:ascii="宋体" w:hAnsi="宋体" w:eastAsia="宋体" w:cs="宋体"/>
          <w:color w:val="auto"/>
          <w:sz w:val="21"/>
          <w:szCs w:val="21"/>
          <w:highlight w:val="none"/>
          <w:shd w:val="clear" w:color="auto" w:fill="FFFFFF"/>
        </w:rPr>
        <w:t>日</w:t>
      </w:r>
      <w:r>
        <w:rPr>
          <w:rFonts w:hint="eastAsia" w:ascii="宋体" w:hAnsi="宋体" w:eastAsia="宋体" w:cs="宋体"/>
          <w:color w:val="auto"/>
          <w:sz w:val="21"/>
          <w:szCs w:val="21"/>
          <w:highlight w:val="none"/>
        </w:rPr>
        <w:t>。如需延长有效期，只须乙方在本保函到期前书面通知我行即可。</w:t>
      </w:r>
    </w:p>
    <w:p w14:paraId="76391C3A">
      <w:pPr>
        <w:tabs>
          <w:tab w:val="left" w:pos="720"/>
        </w:tabs>
        <w:snapToGrid w:val="0"/>
        <w:spacing w:line="360" w:lineRule="auto"/>
        <w:ind w:left="564" w:right="1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本保函的验证行为甲方指定的银行。</w:t>
      </w:r>
    </w:p>
    <w:p w14:paraId="3E150FB1">
      <w:pPr>
        <w:tabs>
          <w:tab w:val="left" w:pos="720"/>
        </w:tabs>
        <w:snapToGrid w:val="0"/>
        <w:spacing w:line="360" w:lineRule="auto"/>
        <w:ind w:right="1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谨启</w:t>
      </w:r>
    </w:p>
    <w:p w14:paraId="7594166A">
      <w:pPr>
        <w:tabs>
          <w:tab w:val="left" w:pos="8364"/>
        </w:tabs>
        <w:snapToGrid w:val="0"/>
        <w:spacing w:line="360" w:lineRule="auto"/>
        <w:ind w:right="-58"/>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出证行名称：</w:t>
      </w:r>
      <w:r>
        <w:rPr>
          <w:rFonts w:hint="eastAsia" w:ascii="宋体" w:hAnsi="宋体" w:eastAsia="宋体" w:cs="宋体"/>
          <w:color w:val="auto"/>
          <w:sz w:val="21"/>
          <w:szCs w:val="21"/>
          <w:highlight w:val="none"/>
          <w:u w:val="single"/>
        </w:rPr>
        <w:t xml:space="preserve">                           </w:t>
      </w:r>
    </w:p>
    <w:p w14:paraId="4799C7B4">
      <w:pPr>
        <w:tabs>
          <w:tab w:val="left" w:pos="8364"/>
        </w:tabs>
        <w:snapToGrid w:val="0"/>
        <w:spacing w:line="360" w:lineRule="auto"/>
        <w:ind w:right="-58"/>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签字人姓名和职务：</w:t>
      </w:r>
      <w:r>
        <w:rPr>
          <w:rFonts w:hint="eastAsia" w:ascii="宋体" w:hAnsi="宋体" w:eastAsia="宋体" w:cs="宋体"/>
          <w:color w:val="auto"/>
          <w:sz w:val="21"/>
          <w:szCs w:val="21"/>
          <w:highlight w:val="none"/>
          <w:u w:val="single"/>
        </w:rPr>
        <w:t xml:space="preserve">                     </w:t>
      </w:r>
    </w:p>
    <w:p w14:paraId="18E86187">
      <w:pPr>
        <w:tabs>
          <w:tab w:val="left" w:pos="8364"/>
        </w:tabs>
        <w:snapToGrid w:val="0"/>
        <w:spacing w:line="360" w:lineRule="auto"/>
        <w:ind w:right="-58"/>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签字：</w:t>
      </w:r>
      <w:r>
        <w:rPr>
          <w:rFonts w:hint="eastAsia" w:ascii="宋体" w:hAnsi="宋体" w:eastAsia="宋体" w:cs="宋体"/>
          <w:color w:val="auto"/>
          <w:sz w:val="21"/>
          <w:szCs w:val="21"/>
          <w:highlight w:val="none"/>
          <w:u w:val="single"/>
        </w:rPr>
        <w:t xml:space="preserve">                                 </w:t>
      </w:r>
    </w:p>
    <w:p w14:paraId="25AA58B0">
      <w:pPr>
        <w:tabs>
          <w:tab w:val="left" w:pos="8364"/>
        </w:tabs>
        <w:snapToGrid w:val="0"/>
        <w:spacing w:line="360" w:lineRule="auto"/>
        <w:ind w:right="-5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公章或业务专用章：</w:t>
      </w:r>
      <w:r>
        <w:rPr>
          <w:rFonts w:hint="eastAsia" w:ascii="宋体" w:hAnsi="宋体" w:eastAsia="宋体" w:cs="宋体"/>
          <w:color w:val="auto"/>
          <w:sz w:val="21"/>
          <w:szCs w:val="21"/>
          <w:highlight w:val="none"/>
          <w:u w:val="single"/>
        </w:rPr>
        <w:t xml:space="preserve">                      </w:t>
      </w:r>
      <w:bookmarkStart w:id="48" w:name="_Hlt10530625"/>
      <w:bookmarkEnd w:id="48"/>
      <w:bookmarkStart w:id="49" w:name="_Hlt13044997"/>
      <w:bookmarkEnd w:id="49"/>
    </w:p>
    <w:p w14:paraId="00046FE6">
      <w:pPr>
        <w:tabs>
          <w:tab w:val="left" w:pos="8364"/>
        </w:tabs>
        <w:adjustRightInd w:val="0"/>
        <w:snapToGrid w:val="0"/>
        <w:spacing w:line="360" w:lineRule="auto"/>
        <w:jc w:val="center"/>
        <w:outlineLvl w:val="9"/>
        <w:rPr>
          <w:rFonts w:hint="eastAsia" w:ascii="黑体" w:hAnsi="黑体" w:eastAsia="黑体"/>
          <w:b/>
          <w:color w:val="auto"/>
          <w:sz w:val="28"/>
          <w:szCs w:val="32"/>
          <w:highlight w:val="none"/>
          <w:u w:val="single"/>
          <w:lang w:val="en-US" w:eastAsia="zh-CN"/>
        </w:rPr>
      </w:pPr>
    </w:p>
    <w:p w14:paraId="33AD71DB">
      <w:pPr>
        <w:spacing w:line="360" w:lineRule="auto"/>
        <w:ind w:firstLine="5341" w:firstLineChars="1900"/>
        <w:rPr>
          <w:rFonts w:hint="eastAsia" w:ascii="宋体" w:hAnsi="宋体" w:eastAsia="宋体" w:cs="宋体"/>
          <w:sz w:val="28"/>
          <w:szCs w:val="24"/>
          <w:highlight w:val="none"/>
          <w:lang w:val="en-US" w:eastAsia="zh-CN"/>
        </w:rPr>
      </w:pPr>
      <w:r>
        <w:rPr>
          <w:rFonts w:ascii="黑体" w:hAnsi="Times New Roman" w:eastAsia="黑体" w:cs="Times New Roman"/>
          <w:b/>
          <w:snapToGrid w:val="0"/>
          <w:color w:val="000000"/>
          <w:kern w:val="0"/>
          <w:sz w:val="28"/>
          <w:szCs w:val="28"/>
          <w:highlight w:val="none"/>
          <w:lang w:val="en-US" w:eastAsia="zh-CN" w:bidi="ar-SA"/>
        </w:rPr>
        <w:br w:type="page"/>
      </w:r>
      <w:r>
        <w:rPr>
          <w:rFonts w:hint="eastAsia" w:ascii="宋体" w:hAnsi="宋体" w:eastAsia="宋体" w:cs="宋体"/>
          <w:sz w:val="28"/>
          <w:szCs w:val="24"/>
          <w:highlight w:val="none"/>
          <w:lang w:val="en-US" w:eastAsia="zh-CN"/>
        </w:rPr>
        <w:t>合同编号：</w:t>
      </w:r>
      <w:r>
        <w:rPr>
          <w:rFonts w:hint="eastAsia" w:ascii="宋体" w:hAnsi="宋体" w:eastAsia="宋体" w:cs="宋体"/>
          <w:sz w:val="28"/>
          <w:szCs w:val="24"/>
          <w:highlight w:val="none"/>
          <w:u w:val="single"/>
          <w:lang w:val="en-US" w:eastAsia="zh-CN"/>
        </w:rPr>
        <w:t xml:space="preserve">                    </w:t>
      </w:r>
    </w:p>
    <w:p w14:paraId="4C392645">
      <w:pPr>
        <w:bidi w:val="0"/>
        <w:rPr>
          <w:rFonts w:hint="eastAsia"/>
          <w:highlight w:val="none"/>
          <w:lang w:val="en-US" w:eastAsia="zh-CN"/>
        </w:rPr>
      </w:pPr>
    </w:p>
    <w:p w14:paraId="64881AC4">
      <w:pPr>
        <w:widowControl w:val="0"/>
        <w:jc w:val="center"/>
        <w:outlineLvl w:val="1"/>
        <w:rPr>
          <w:rFonts w:hint="eastAsia" w:ascii="宋体" w:hAnsi="宋体" w:eastAsia="宋体" w:cs="宋体"/>
          <w:b/>
          <w:bCs w:val="0"/>
          <w:color w:val="000000"/>
          <w:sz w:val="48"/>
          <w:szCs w:val="21"/>
          <w:highlight w:val="none"/>
          <w:u w:val="none"/>
          <w:lang w:val="en-US" w:eastAsia="zh-CN" w:bidi="en-US"/>
        </w:rPr>
      </w:pPr>
      <w:r>
        <w:rPr>
          <w:rFonts w:hint="eastAsia" w:ascii="宋体" w:hAnsi="宋体" w:eastAsia="宋体" w:cs="宋体"/>
          <w:b/>
          <w:bCs w:val="0"/>
          <w:color w:val="000000"/>
          <w:sz w:val="48"/>
          <w:szCs w:val="21"/>
          <w:highlight w:val="none"/>
          <w:u w:val="none"/>
          <w:lang w:val="en-US" w:eastAsia="zh-CN" w:bidi="en-US"/>
        </w:rPr>
        <w:t>二标段：食堂物资供应（干货商品类）</w:t>
      </w:r>
    </w:p>
    <w:p w14:paraId="7E32A4E0">
      <w:pPr>
        <w:snapToGrid w:val="0"/>
        <w:spacing w:line="360" w:lineRule="auto"/>
        <w:jc w:val="center"/>
        <w:rPr>
          <w:rFonts w:hint="eastAsia" w:ascii="宋体" w:hAnsi="宋体" w:eastAsia="宋体" w:cs="宋体"/>
          <w:b/>
          <w:color w:val="000000"/>
          <w:sz w:val="40"/>
          <w:szCs w:val="40"/>
          <w:highlight w:val="none"/>
        </w:rPr>
      </w:pPr>
    </w:p>
    <w:p w14:paraId="6A65C927">
      <w:pPr>
        <w:snapToGrid w:val="0"/>
        <w:spacing w:line="360" w:lineRule="auto"/>
        <w:jc w:val="center"/>
        <w:rPr>
          <w:rFonts w:hint="eastAsia" w:ascii="宋体" w:hAnsi="宋体" w:eastAsia="宋体" w:cs="宋体"/>
          <w:b/>
          <w:color w:val="000000"/>
          <w:sz w:val="40"/>
          <w:szCs w:val="40"/>
          <w:highlight w:val="none"/>
        </w:rPr>
      </w:pPr>
    </w:p>
    <w:p w14:paraId="7F9EAD77">
      <w:pPr>
        <w:snapToGrid w:val="0"/>
        <w:spacing w:line="360" w:lineRule="auto"/>
        <w:jc w:val="center"/>
        <w:rPr>
          <w:rFonts w:hint="eastAsia" w:ascii="宋体" w:hAnsi="宋体" w:eastAsia="宋体" w:cs="宋体"/>
          <w:b/>
          <w:color w:val="000000"/>
          <w:sz w:val="40"/>
          <w:szCs w:val="40"/>
          <w:highlight w:val="none"/>
        </w:rPr>
      </w:pPr>
    </w:p>
    <w:p w14:paraId="2DE6D197">
      <w:pPr>
        <w:widowControl w:val="0"/>
        <w:jc w:val="center"/>
        <w:rPr>
          <w:rFonts w:hint="eastAsia" w:ascii="宋体" w:hAnsi="宋体" w:eastAsia="宋体" w:cs="宋体"/>
          <w:b/>
          <w:color w:val="000000"/>
          <w:sz w:val="52"/>
          <w:szCs w:val="22"/>
          <w:highlight w:val="none"/>
          <w:u w:val="single"/>
          <w:lang w:val="en-US" w:eastAsia="zh-CN" w:bidi="en-US"/>
        </w:rPr>
      </w:pPr>
      <w:r>
        <w:rPr>
          <w:rFonts w:hint="eastAsia" w:ascii="宋体" w:hAnsi="宋体" w:eastAsia="宋体" w:cs="宋体"/>
          <w:b/>
          <w:color w:val="000000"/>
          <w:sz w:val="52"/>
          <w:szCs w:val="22"/>
          <w:highlight w:val="none"/>
          <w:u w:val="single"/>
          <w:lang w:val="en-US" w:eastAsia="zh-CN" w:bidi="en-US"/>
        </w:rPr>
        <w:t>2026-2028年员工食堂</w:t>
      </w:r>
      <w:r>
        <w:rPr>
          <w:rFonts w:hint="eastAsia" w:ascii="宋体" w:hAnsi="宋体" w:cs="宋体"/>
          <w:b/>
          <w:color w:val="000000"/>
          <w:sz w:val="52"/>
          <w:szCs w:val="22"/>
          <w:highlight w:val="none"/>
          <w:u w:val="single"/>
          <w:lang w:val="en-US" w:eastAsia="zh-CN" w:bidi="en-US"/>
        </w:rPr>
        <w:t>物资供应</w:t>
      </w:r>
      <w:r>
        <w:rPr>
          <w:rFonts w:hint="eastAsia" w:ascii="宋体" w:hAnsi="宋体" w:eastAsia="宋体" w:cs="宋体"/>
          <w:b/>
          <w:color w:val="000000"/>
          <w:sz w:val="52"/>
          <w:szCs w:val="22"/>
          <w:highlight w:val="none"/>
          <w:u w:val="single"/>
          <w:lang w:val="en-US" w:eastAsia="zh-CN" w:bidi="en-US"/>
        </w:rPr>
        <w:t>合同</w:t>
      </w:r>
    </w:p>
    <w:p w14:paraId="4B4CAD62">
      <w:pPr>
        <w:widowControl w:val="0"/>
        <w:jc w:val="center"/>
        <w:outlineLvl w:val="9"/>
        <w:rPr>
          <w:rFonts w:hint="eastAsia" w:ascii="宋体" w:hAnsi="宋体" w:eastAsia="宋体" w:cs="宋体"/>
          <w:b/>
          <w:color w:val="000000"/>
          <w:sz w:val="52"/>
          <w:szCs w:val="22"/>
          <w:highlight w:val="none"/>
          <w:u w:val="single"/>
          <w:lang w:val="en-US" w:eastAsia="zh-CN" w:bidi="en-US"/>
        </w:rPr>
      </w:pPr>
      <w:r>
        <w:rPr>
          <w:rFonts w:hint="eastAsia" w:ascii="宋体" w:hAnsi="宋体" w:cs="宋体"/>
          <w:b/>
          <w:color w:val="000000"/>
          <w:sz w:val="52"/>
          <w:szCs w:val="22"/>
          <w:highlight w:val="none"/>
          <w:u w:val="single"/>
          <w:lang w:val="en-US" w:eastAsia="zh-CN" w:bidi="en-US"/>
        </w:rPr>
        <w:t>（干货商品类）</w:t>
      </w:r>
    </w:p>
    <w:p w14:paraId="03DFC019">
      <w:pPr>
        <w:widowControl w:val="0"/>
        <w:jc w:val="both"/>
        <w:rPr>
          <w:rFonts w:hint="eastAsia" w:ascii="宋体" w:hAnsi="宋体" w:eastAsia="宋体" w:cs="宋体"/>
          <w:color w:val="000000"/>
          <w:kern w:val="0"/>
          <w:sz w:val="28"/>
          <w:szCs w:val="24"/>
          <w:highlight w:val="none"/>
          <w:lang w:val="en-US" w:eastAsia="zh-CN" w:bidi="ar-SA"/>
        </w:rPr>
      </w:pPr>
    </w:p>
    <w:p w14:paraId="5F9F075D">
      <w:pPr>
        <w:widowControl w:val="0"/>
        <w:jc w:val="both"/>
        <w:rPr>
          <w:rFonts w:hint="eastAsia" w:ascii="宋体" w:hAnsi="宋体" w:eastAsia="宋体" w:cs="宋体"/>
          <w:color w:val="000000"/>
          <w:kern w:val="0"/>
          <w:sz w:val="28"/>
          <w:szCs w:val="24"/>
          <w:highlight w:val="none"/>
          <w:lang w:val="en-US" w:eastAsia="zh-CN" w:bidi="ar-SA"/>
        </w:rPr>
      </w:pPr>
    </w:p>
    <w:p w14:paraId="483B59E0">
      <w:pPr>
        <w:widowControl/>
        <w:adjustRightInd w:val="0"/>
        <w:snapToGrid w:val="0"/>
        <w:spacing w:line="360" w:lineRule="auto"/>
        <w:ind w:firstLine="835" w:firstLineChars="297"/>
        <w:jc w:val="left"/>
        <w:rPr>
          <w:rFonts w:hint="eastAsia" w:ascii="宋体" w:hAnsi="宋体" w:eastAsia="宋体" w:cs="宋体"/>
          <w:b/>
          <w:color w:val="000000"/>
          <w:sz w:val="28"/>
          <w:szCs w:val="28"/>
          <w:highlight w:val="none"/>
          <w:u w:val="single"/>
          <w:lang w:val="en-US" w:eastAsia="zh-CN"/>
        </w:rPr>
      </w:pPr>
    </w:p>
    <w:p w14:paraId="1D2B1631">
      <w:pPr>
        <w:widowControl/>
        <w:adjustRightInd w:val="0"/>
        <w:snapToGrid w:val="0"/>
        <w:spacing w:line="360" w:lineRule="auto"/>
        <w:ind w:firstLine="835" w:firstLineChars="297"/>
        <w:jc w:val="left"/>
        <w:rPr>
          <w:rFonts w:hint="eastAsia" w:ascii="宋体" w:hAnsi="宋体" w:eastAsia="宋体" w:cs="宋体"/>
          <w:b/>
          <w:color w:val="000000"/>
          <w:sz w:val="28"/>
          <w:szCs w:val="28"/>
          <w:highlight w:val="none"/>
          <w:lang w:bidi="en-US"/>
        </w:rPr>
      </w:pPr>
      <w:r>
        <w:rPr>
          <w:rFonts w:hint="eastAsia" w:ascii="宋体" w:hAnsi="宋体" w:eastAsia="宋体" w:cs="宋体"/>
          <w:b/>
          <w:color w:val="000000"/>
          <w:sz w:val="28"/>
          <w:szCs w:val="28"/>
          <w:highlight w:val="none"/>
          <w:lang w:bidi="en-US"/>
        </w:rPr>
        <w:t>项目地点：</w:t>
      </w:r>
      <w:r>
        <w:rPr>
          <w:rFonts w:hint="eastAsia" w:ascii="宋体" w:hAnsi="宋体" w:eastAsia="宋体" w:cs="宋体"/>
          <w:b/>
          <w:color w:val="000000"/>
          <w:sz w:val="28"/>
          <w:szCs w:val="28"/>
          <w:highlight w:val="none"/>
          <w:u w:val="single"/>
        </w:rPr>
        <w:t xml:space="preserve">           湖南省长沙市              </w:t>
      </w:r>
    </w:p>
    <w:p w14:paraId="6576A6A2">
      <w:pPr>
        <w:widowControl/>
        <w:adjustRightInd w:val="0"/>
        <w:snapToGrid w:val="0"/>
        <w:spacing w:line="360" w:lineRule="auto"/>
        <w:ind w:firstLine="835" w:firstLineChars="297"/>
        <w:jc w:val="left"/>
        <w:rPr>
          <w:rFonts w:hint="eastAsia" w:ascii="宋体" w:hAnsi="宋体" w:eastAsia="宋体" w:cs="宋体"/>
          <w:b/>
          <w:color w:val="000000"/>
          <w:sz w:val="28"/>
          <w:szCs w:val="28"/>
          <w:highlight w:val="none"/>
          <w:lang w:bidi="en-US"/>
        </w:rPr>
      </w:pPr>
    </w:p>
    <w:p w14:paraId="54FB6152">
      <w:pPr>
        <w:widowControl/>
        <w:adjustRightInd w:val="0"/>
        <w:snapToGrid w:val="0"/>
        <w:spacing w:line="360" w:lineRule="auto"/>
        <w:ind w:firstLine="835" w:firstLineChars="297"/>
        <w:jc w:val="left"/>
        <w:rPr>
          <w:rFonts w:hint="eastAsia" w:ascii="宋体" w:hAnsi="宋体" w:eastAsia="宋体" w:cs="宋体"/>
          <w:b/>
          <w:color w:val="000000"/>
          <w:sz w:val="28"/>
          <w:szCs w:val="28"/>
          <w:highlight w:val="none"/>
          <w:lang w:bidi="en-US"/>
        </w:rPr>
      </w:pPr>
      <w:r>
        <w:rPr>
          <w:rFonts w:hint="eastAsia" w:ascii="宋体" w:hAnsi="宋体" w:eastAsia="宋体" w:cs="宋体"/>
          <w:b/>
          <w:color w:val="000000"/>
          <w:sz w:val="28"/>
          <w:szCs w:val="28"/>
          <w:highlight w:val="none"/>
          <w:lang w:bidi="en-US"/>
        </w:rPr>
        <w:t>采 购 人：</w:t>
      </w:r>
      <w:r>
        <w:rPr>
          <w:rFonts w:hint="eastAsia" w:ascii="宋体" w:hAnsi="宋体" w:eastAsia="宋体" w:cs="宋体"/>
          <w:b/>
          <w:color w:val="000000"/>
          <w:sz w:val="28"/>
          <w:szCs w:val="28"/>
          <w:highlight w:val="none"/>
          <w:u w:val="single"/>
        </w:rPr>
        <w:t xml:space="preserve">  </w:t>
      </w:r>
      <w:r>
        <w:rPr>
          <w:rFonts w:hint="eastAsia" w:ascii="宋体" w:hAnsi="宋体" w:eastAsia="宋体" w:cs="宋体"/>
          <w:b/>
          <w:color w:val="000000"/>
          <w:sz w:val="28"/>
          <w:szCs w:val="28"/>
          <w:highlight w:val="none"/>
          <w:u w:val="single"/>
          <w:lang w:val="en-US" w:eastAsia="zh-CN"/>
        </w:rPr>
        <w:t xml:space="preserve"> </w:t>
      </w:r>
      <w:r>
        <w:rPr>
          <w:rFonts w:hint="eastAsia" w:ascii="宋体" w:hAnsi="宋体" w:eastAsia="宋体" w:cs="宋体"/>
          <w:b/>
          <w:color w:val="000000"/>
          <w:sz w:val="28"/>
          <w:szCs w:val="28"/>
          <w:highlight w:val="none"/>
          <w:u w:val="single"/>
        </w:rPr>
        <w:t xml:space="preserve">  长沙穗城轨道交通有限公司   </w:t>
      </w:r>
      <w:r>
        <w:rPr>
          <w:rFonts w:hint="eastAsia" w:ascii="宋体" w:hAnsi="宋体" w:eastAsia="宋体" w:cs="宋体"/>
          <w:b/>
          <w:color w:val="000000"/>
          <w:sz w:val="28"/>
          <w:szCs w:val="28"/>
          <w:highlight w:val="none"/>
          <w:u w:val="single"/>
          <w:lang w:val="en-US" w:eastAsia="zh-CN"/>
        </w:rPr>
        <w:t xml:space="preserve">  </w:t>
      </w:r>
      <w:r>
        <w:rPr>
          <w:rFonts w:hint="eastAsia" w:ascii="宋体" w:hAnsi="宋体" w:eastAsia="宋体" w:cs="宋体"/>
          <w:b/>
          <w:color w:val="000000"/>
          <w:sz w:val="28"/>
          <w:szCs w:val="28"/>
          <w:highlight w:val="none"/>
          <w:u w:val="single"/>
        </w:rPr>
        <w:t xml:space="preserve">   </w:t>
      </w:r>
    </w:p>
    <w:p w14:paraId="2CA00834">
      <w:pPr>
        <w:widowControl/>
        <w:adjustRightInd w:val="0"/>
        <w:snapToGrid w:val="0"/>
        <w:spacing w:line="360" w:lineRule="auto"/>
        <w:ind w:firstLine="835" w:firstLineChars="297"/>
        <w:jc w:val="left"/>
        <w:rPr>
          <w:rFonts w:hint="eastAsia" w:ascii="宋体" w:hAnsi="宋体" w:eastAsia="宋体" w:cs="宋体"/>
          <w:b/>
          <w:color w:val="000000"/>
          <w:sz w:val="28"/>
          <w:szCs w:val="28"/>
          <w:highlight w:val="none"/>
          <w:lang w:bidi="en-US"/>
        </w:rPr>
      </w:pPr>
    </w:p>
    <w:p w14:paraId="080B1D0E">
      <w:pPr>
        <w:widowControl/>
        <w:adjustRightInd w:val="0"/>
        <w:snapToGrid w:val="0"/>
        <w:spacing w:line="360" w:lineRule="auto"/>
        <w:ind w:firstLine="835" w:firstLineChars="297"/>
        <w:jc w:val="left"/>
        <w:rPr>
          <w:rFonts w:hint="default" w:ascii="宋体" w:hAnsi="宋体" w:eastAsia="宋体" w:cs="宋体"/>
          <w:b/>
          <w:sz w:val="28"/>
          <w:szCs w:val="28"/>
          <w:highlight w:val="none"/>
          <w:u w:val="single"/>
          <w:lang w:val="en-US" w:eastAsia="zh-CN" w:bidi="en-US"/>
        </w:rPr>
      </w:pPr>
      <w:r>
        <w:rPr>
          <w:rFonts w:hint="eastAsia" w:ascii="宋体" w:hAnsi="宋体" w:eastAsia="宋体" w:cs="宋体"/>
          <w:b/>
          <w:color w:val="000000"/>
          <w:sz w:val="28"/>
          <w:szCs w:val="28"/>
          <w:highlight w:val="none"/>
          <w:lang w:bidi="en-US"/>
        </w:rPr>
        <w:t>供 应 商：</w:t>
      </w:r>
      <w:r>
        <w:rPr>
          <w:rFonts w:hint="eastAsia" w:ascii="宋体" w:hAnsi="宋体" w:eastAsia="宋体" w:cs="宋体"/>
          <w:b/>
          <w:color w:val="000000"/>
          <w:sz w:val="28"/>
          <w:szCs w:val="28"/>
          <w:highlight w:val="none"/>
          <w:u w:val="single"/>
        </w:rPr>
        <w:t xml:space="preserve">   </w:t>
      </w:r>
      <w:r>
        <w:rPr>
          <w:rFonts w:hint="eastAsia" w:ascii="宋体" w:hAnsi="宋体" w:cs="宋体"/>
          <w:b/>
          <w:color w:val="000000"/>
          <w:sz w:val="28"/>
          <w:szCs w:val="28"/>
          <w:highlight w:val="none"/>
          <w:u w:val="single"/>
          <w:lang w:val="en-US" w:eastAsia="zh-CN"/>
        </w:rPr>
        <w:t xml:space="preserve">                             </w:t>
      </w:r>
      <w:r>
        <w:rPr>
          <w:rFonts w:hint="eastAsia" w:ascii="宋体" w:hAnsi="宋体" w:eastAsia="宋体" w:cs="宋体"/>
          <w:b/>
          <w:color w:val="000000"/>
          <w:sz w:val="28"/>
          <w:szCs w:val="28"/>
          <w:highlight w:val="none"/>
          <w:u w:val="single"/>
        </w:rPr>
        <w:t xml:space="preserve">  </w:t>
      </w:r>
      <w:r>
        <w:rPr>
          <w:rFonts w:hint="eastAsia" w:ascii="宋体" w:hAnsi="宋体" w:eastAsia="宋体" w:cs="宋体"/>
          <w:b/>
          <w:sz w:val="28"/>
          <w:szCs w:val="28"/>
          <w:highlight w:val="none"/>
          <w:u w:val="single"/>
        </w:rPr>
        <w:t xml:space="preserve"> </w:t>
      </w:r>
      <w:r>
        <w:rPr>
          <w:rFonts w:hint="eastAsia" w:ascii="宋体" w:hAnsi="宋体" w:cs="宋体"/>
          <w:b/>
          <w:sz w:val="28"/>
          <w:szCs w:val="28"/>
          <w:highlight w:val="none"/>
          <w:u w:val="single"/>
          <w:lang w:val="en-US" w:eastAsia="zh-CN"/>
        </w:rPr>
        <w:t xml:space="preserve">  </w:t>
      </w:r>
    </w:p>
    <w:p w14:paraId="55BEB717">
      <w:pPr>
        <w:widowControl/>
        <w:ind w:firstLine="420"/>
        <w:jc w:val="left"/>
        <w:rPr>
          <w:rFonts w:hint="eastAsia" w:ascii="宋体" w:hAnsi="宋体" w:eastAsia="宋体" w:cs="宋体"/>
          <w:color w:val="0D0D0D" w:themeColor="text1" w:themeTint="F2"/>
          <w:kern w:val="0"/>
          <w:sz w:val="20"/>
          <w:highlight w:val="none"/>
          <w:lang w:val="en-US" w:eastAsia="zh-CN" w:bidi="ar-SA"/>
          <w14:textFill>
            <w14:solidFill>
              <w14:schemeClr w14:val="tx1">
                <w14:lumMod w14:val="95000"/>
                <w14:lumOff w14:val="5000"/>
              </w14:schemeClr>
            </w14:solidFill>
          </w14:textFill>
        </w:rPr>
      </w:pPr>
    </w:p>
    <w:p w14:paraId="349C5212">
      <w:pPr>
        <w:widowControl/>
        <w:jc w:val="left"/>
        <w:rPr>
          <w:rFonts w:hint="eastAsia" w:ascii="宋体" w:hAnsi="宋体" w:eastAsia="宋体" w:cs="宋体"/>
          <w:color w:val="0D0D0D" w:themeColor="text1" w:themeTint="F2"/>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highlight w:val="none"/>
          <w14:textFill>
            <w14:solidFill>
              <w14:schemeClr w14:val="tx1">
                <w14:lumMod w14:val="95000"/>
                <w14:lumOff w14:val="5000"/>
              </w14:schemeClr>
            </w14:solidFill>
          </w14:textFill>
        </w:rPr>
        <w:br w:type="page"/>
      </w:r>
    </w:p>
    <w:p w14:paraId="3F096BF1">
      <w:pPr>
        <w:spacing w:line="360" w:lineRule="auto"/>
        <w:jc w:val="center"/>
        <w:outlineLvl w:val="9"/>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第一部分 合同协议书</w:t>
      </w:r>
    </w:p>
    <w:p w14:paraId="4F096510">
      <w:pPr>
        <w:spacing w:line="360" w:lineRule="auto"/>
        <w:outlineLvl w:val="9"/>
        <w:rPr>
          <w:rFonts w:hint="eastAsia" w:ascii="宋体" w:hAnsi="宋体" w:eastAsia="宋体" w:cs="宋体"/>
          <w:sz w:val="21"/>
          <w:szCs w:val="21"/>
          <w:highlight w:val="none"/>
        </w:rPr>
      </w:pPr>
    </w:p>
    <w:p w14:paraId="601D499D">
      <w:pPr>
        <w:spacing w:line="440" w:lineRule="exact"/>
        <w:outlineLvl w:val="9"/>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采购人（以下简称甲方）：</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长沙穗城轨道交通有限公司</w:t>
      </w:r>
    </w:p>
    <w:p w14:paraId="2122EBF8">
      <w:pPr>
        <w:spacing w:line="440" w:lineRule="exact"/>
        <w:outlineLvl w:val="9"/>
        <w:rPr>
          <w:rFonts w:hint="default"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供应商（以下简称乙方）：</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p>
    <w:p w14:paraId="13BD5A86">
      <w:pPr>
        <w:spacing w:line="440" w:lineRule="exact"/>
        <w:ind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本合同由甲乙双方依照《中华人民共和国民法典》及其他有关法律、行政法规，遵循平等、自愿、公平和诚实信用的原则，双方就下述项目食品物资采购及有关事项协商一致，共同签订本合同。</w:t>
      </w:r>
    </w:p>
    <w:p w14:paraId="1AC16F2E">
      <w:pPr>
        <w:adjustRightInd w:val="0"/>
        <w:snapToGrid w:val="0"/>
        <w:spacing w:line="440" w:lineRule="exact"/>
        <w:ind w:firstLine="422" w:firstLineChars="200"/>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一、项目概况</w:t>
      </w:r>
    </w:p>
    <w:p w14:paraId="681925CD">
      <w:pPr>
        <w:adjustRightInd w:val="0"/>
        <w:snapToGrid w:val="0"/>
        <w:spacing w:line="440" w:lineRule="exact"/>
        <w:ind w:firstLine="420" w:firstLineChars="200"/>
        <w:outlineLvl w:val="9"/>
        <w:rPr>
          <w:rFonts w:hint="default" w:ascii="宋体" w:hAnsi="宋体" w:eastAsia="宋体" w:cs="宋体"/>
          <w:bCs/>
          <w:color w:val="000000" w:themeColor="text1"/>
          <w:sz w:val="21"/>
          <w:szCs w:val="21"/>
          <w:highlight w:val="none"/>
          <w:u w:val="single"/>
          <w:lang w:val="en-US"/>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1、项目名称：</w:t>
      </w:r>
      <w:r>
        <w:rPr>
          <w:rFonts w:hint="eastAsia" w:ascii="宋体" w:hAnsi="宋体" w:eastAsia="宋体" w:cs="宋体"/>
          <w:color w:val="auto"/>
          <w:kern w:val="0"/>
          <w:sz w:val="21"/>
          <w:szCs w:val="21"/>
          <w:highlight w:val="none"/>
          <w:u w:val="single"/>
          <w:lang w:val="en-US" w:eastAsia="zh-CN"/>
        </w:rPr>
        <w:t>202</w:t>
      </w:r>
      <w:r>
        <w:rPr>
          <w:rFonts w:hint="eastAsia" w:ascii="宋体" w:hAnsi="宋体" w:cs="宋体"/>
          <w:color w:val="auto"/>
          <w:kern w:val="0"/>
          <w:sz w:val="21"/>
          <w:szCs w:val="21"/>
          <w:highlight w:val="none"/>
          <w:u w:val="single"/>
          <w:lang w:val="en-US" w:eastAsia="zh-CN"/>
        </w:rPr>
        <w:t>6</w:t>
      </w:r>
      <w:r>
        <w:rPr>
          <w:rFonts w:hint="eastAsia" w:ascii="宋体" w:hAnsi="宋体" w:eastAsia="宋体" w:cs="宋体"/>
          <w:color w:val="auto"/>
          <w:kern w:val="0"/>
          <w:sz w:val="21"/>
          <w:szCs w:val="21"/>
          <w:highlight w:val="none"/>
          <w:u w:val="single"/>
          <w:lang w:val="en-US" w:eastAsia="zh-CN"/>
        </w:rPr>
        <w:t>-202</w:t>
      </w:r>
      <w:r>
        <w:rPr>
          <w:rFonts w:hint="eastAsia" w:ascii="宋体" w:hAnsi="宋体" w:cs="宋体"/>
          <w:color w:val="auto"/>
          <w:kern w:val="0"/>
          <w:sz w:val="21"/>
          <w:szCs w:val="21"/>
          <w:highlight w:val="none"/>
          <w:u w:val="single"/>
          <w:lang w:val="en-US" w:eastAsia="zh-CN"/>
        </w:rPr>
        <w:t>8</w:t>
      </w:r>
      <w:r>
        <w:rPr>
          <w:rFonts w:hint="eastAsia" w:ascii="宋体" w:hAnsi="宋体" w:eastAsia="宋体" w:cs="宋体"/>
          <w:color w:val="auto"/>
          <w:kern w:val="0"/>
          <w:sz w:val="21"/>
          <w:szCs w:val="21"/>
          <w:highlight w:val="none"/>
          <w:u w:val="single"/>
          <w:lang w:val="en-US" w:eastAsia="zh-CN"/>
        </w:rPr>
        <w:t>年</w:t>
      </w:r>
      <w:r>
        <w:rPr>
          <w:rFonts w:hint="eastAsia" w:ascii="宋体" w:hAnsi="宋体" w:cs="宋体"/>
          <w:color w:val="auto"/>
          <w:kern w:val="0"/>
          <w:sz w:val="21"/>
          <w:szCs w:val="21"/>
          <w:highlight w:val="none"/>
          <w:u w:val="single"/>
          <w:lang w:val="en-US" w:eastAsia="zh-CN"/>
        </w:rPr>
        <w:t>员工食堂</w:t>
      </w:r>
      <w:r>
        <w:rPr>
          <w:rFonts w:hint="eastAsia" w:ascii="宋体" w:hAnsi="宋体" w:eastAsia="宋体" w:cs="宋体"/>
          <w:color w:val="auto"/>
          <w:kern w:val="0"/>
          <w:sz w:val="21"/>
          <w:szCs w:val="21"/>
          <w:highlight w:val="none"/>
          <w:u w:val="single"/>
          <w:lang w:val="en-US" w:eastAsia="zh-CN"/>
        </w:rPr>
        <w:t>劳务外包、物资供应项目</w:t>
      </w:r>
      <w:r>
        <w:rPr>
          <w:rFonts w:hint="eastAsia" w:ascii="宋体" w:hAnsi="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lang w:val="en-US" w:eastAsia="zh-CN"/>
        </w:rPr>
        <w:t>干货商品</w:t>
      </w:r>
      <w:r>
        <w:rPr>
          <w:rFonts w:hint="eastAsia" w:ascii="宋体" w:hAnsi="宋体" w:cs="宋体"/>
          <w:color w:val="auto"/>
          <w:kern w:val="0"/>
          <w:sz w:val="21"/>
          <w:szCs w:val="21"/>
          <w:highlight w:val="none"/>
          <w:u w:val="single"/>
          <w:lang w:val="en-US" w:eastAsia="zh-CN"/>
        </w:rPr>
        <w:t>类）</w:t>
      </w:r>
    </w:p>
    <w:p w14:paraId="6C65E991">
      <w:pPr>
        <w:tabs>
          <w:tab w:val="left" w:pos="1248"/>
        </w:tabs>
        <w:adjustRightInd w:val="0"/>
        <w:snapToGrid w:val="0"/>
        <w:spacing w:line="440" w:lineRule="exact"/>
        <w:ind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r>
        <w:rPr>
          <w:rFonts w:hint="eastAsia" w:ascii="宋体" w:hAnsi="宋体" w:eastAsia="宋体" w:cs="宋体"/>
          <w:color w:val="000000" w:themeColor="text1"/>
          <w:sz w:val="21"/>
          <w:szCs w:val="21"/>
          <w:highlight w:val="none"/>
          <w:lang w:val="en-US"/>
          <w14:textFill>
            <w14:solidFill>
              <w14:schemeClr w14:val="tx1"/>
            </w14:solidFill>
          </w14:textFill>
        </w:rPr>
        <w:t>采购范围及内容：</w:t>
      </w:r>
      <w:r>
        <w:rPr>
          <w:rFonts w:hint="eastAsia" w:ascii="宋体" w:hAnsi="宋体" w:eastAsia="宋体" w:cs="宋体"/>
          <w:color w:val="000000" w:themeColor="text1"/>
          <w:szCs w:val="21"/>
          <w:highlight w:val="none"/>
          <w:lang w:val="en-US" w:eastAsia="zh-CN"/>
          <w14:textFill>
            <w14:solidFill>
              <w14:schemeClr w14:val="tx1"/>
            </w14:solidFill>
          </w14:textFill>
        </w:rPr>
        <w:t>黄梨路车辆段和梧桐路停车场食堂日常经营所需干货商品类物资，包括但不限于干货类食品原材料（粮油、奶及奶制品、大豆类、调味品及其他常用干货食材等）；食堂耗材（清洁卫生用品、厨具用品、餐具用品（含一次性餐具）等）；辅助类商品（日用日化品、水饮、饼干、面包、剁辣椒、老干妈、泡面、食堂场所活动布置所需物料等零星物资等）；</w:t>
      </w:r>
      <w:r>
        <w:rPr>
          <w:rFonts w:hint="eastAsia" w:ascii="宋体" w:hAnsi="宋体" w:eastAsia="宋体" w:cs="Times New Roman"/>
          <w:color w:val="auto"/>
          <w:szCs w:val="21"/>
          <w:highlight w:val="none"/>
          <w:lang w:val="en-US" w:eastAsia="zh-CN"/>
        </w:rPr>
        <w:t>上述物资中包含乡村振兴</w:t>
      </w:r>
      <w:r>
        <w:rPr>
          <w:rFonts w:hint="default" w:ascii="宋体" w:hAnsi="宋体" w:eastAsia="宋体" w:cs="Times New Roman"/>
          <w:color w:val="auto"/>
          <w:szCs w:val="21"/>
          <w:highlight w:val="none"/>
          <w:lang w:val="en-US"/>
        </w:rPr>
        <w:t>农副产品</w:t>
      </w:r>
      <w:r>
        <w:rPr>
          <w:rFonts w:hint="eastAsia" w:ascii="宋体" w:hAnsi="宋体" w:eastAsia="宋体" w:cs="Times New Roman"/>
          <w:color w:val="auto"/>
          <w:szCs w:val="21"/>
          <w:highlight w:val="none"/>
          <w:lang w:val="en-US" w:eastAsia="zh-CN"/>
        </w:rPr>
        <w:t>。</w:t>
      </w:r>
      <w:r>
        <w:rPr>
          <w:rFonts w:hint="eastAsia" w:ascii="宋体" w:hAnsi="宋体" w:eastAsia="宋体" w:cs="宋体"/>
          <w:color w:val="000000" w:themeColor="text1"/>
          <w:szCs w:val="21"/>
          <w:highlight w:val="none"/>
          <w:lang w:val="en-US" w:eastAsia="zh-CN"/>
          <w14:textFill>
            <w14:solidFill>
              <w14:schemeClr w14:val="tx1"/>
            </w14:solidFill>
          </w14:textFill>
        </w:rPr>
        <w:t>具体内容详见招标文件用户需求书</w:t>
      </w:r>
      <w:r>
        <w:rPr>
          <w:rFonts w:hint="eastAsia" w:ascii="宋体" w:hAnsi="宋体" w:eastAsia="宋体" w:cs="宋体"/>
          <w:color w:val="000000" w:themeColor="text1"/>
          <w:sz w:val="21"/>
          <w:szCs w:val="21"/>
          <w:highlight w:val="none"/>
          <w14:textFill>
            <w14:solidFill>
              <w14:schemeClr w14:val="tx1"/>
            </w14:solidFill>
          </w14:textFill>
        </w:rPr>
        <w:t>。最终实际供货品类及数量以供货前甲方书面通知并经最终验收合格为准。</w:t>
      </w:r>
    </w:p>
    <w:p w14:paraId="7C76A845">
      <w:pPr>
        <w:keepNext w:val="0"/>
        <w:keepLines w:val="0"/>
        <w:pageBreakBefore w:val="0"/>
        <w:widowControl w:val="0"/>
        <w:kinsoku/>
        <w:wordWrap/>
        <w:overflowPunct w:val="0"/>
        <w:topLinePunct w:val="0"/>
        <w:autoSpaceDE w:val="0"/>
        <w:autoSpaceDN w:val="0"/>
        <w:bidi w:val="0"/>
        <w:adjustRightInd w:val="0"/>
        <w:snapToGrid w:val="0"/>
        <w:spacing w:line="440" w:lineRule="exact"/>
        <w:ind w:left="0" w:leftChars="0" w:firstLine="420" w:firstLineChars="200"/>
        <w:textAlignment w:val="auto"/>
        <w:outlineLvl w:val="9"/>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3、交付方式：</w:t>
      </w:r>
      <w:r>
        <w:rPr>
          <w:rFonts w:hint="eastAsia" w:ascii="宋体" w:hAnsi="宋体" w:eastAsia="宋体" w:cs="宋体"/>
          <w:color w:val="000000" w:themeColor="text1"/>
          <w:sz w:val="21"/>
          <w:szCs w:val="21"/>
          <w:highlight w:val="none"/>
          <w:lang w:val="zh-CN"/>
          <w14:textFill>
            <w14:solidFill>
              <w14:schemeClr w14:val="tx1"/>
            </w14:solidFill>
          </w14:textFill>
        </w:rPr>
        <w:t>具体以用户需求书为准。</w:t>
      </w:r>
    </w:p>
    <w:p w14:paraId="21AE236A">
      <w:pPr>
        <w:adjustRightInd w:val="0"/>
        <w:snapToGrid w:val="0"/>
        <w:spacing w:line="440" w:lineRule="exact"/>
        <w:ind w:firstLine="420" w:firstLineChars="200"/>
        <w:outlineLvl w:val="9"/>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4、服务期限：</w:t>
      </w:r>
      <w:r>
        <w:rPr>
          <w:rFonts w:hint="eastAsia" w:ascii="宋体" w:hAnsi="宋体" w:eastAsia="宋体" w:cs="宋体"/>
          <w:color w:val="auto"/>
          <w:kern w:val="0"/>
          <w:sz w:val="21"/>
          <w:szCs w:val="21"/>
          <w:highlight w:val="none"/>
          <w:u w:val="none"/>
        </w:rPr>
        <w:t>三年，实际服务时间以乙方接到甲方发出开工通知书并正式进场服务开始计算</w:t>
      </w:r>
      <w:r>
        <w:rPr>
          <w:rFonts w:hint="eastAsia" w:ascii="宋体" w:hAnsi="宋体" w:eastAsia="宋体" w:cs="宋体"/>
          <w:color w:val="000000" w:themeColor="text1"/>
          <w:sz w:val="21"/>
          <w:szCs w:val="21"/>
          <w:highlight w:val="none"/>
          <w:u w:val="none"/>
          <w:lang w:val="zh-CN" w:eastAsia="zh-CN"/>
          <w14:textFill>
            <w14:solidFill>
              <w14:schemeClr w14:val="tx1"/>
            </w14:solidFill>
          </w14:textFill>
        </w:rPr>
        <w:t>。</w:t>
      </w:r>
    </w:p>
    <w:p w14:paraId="479837C5">
      <w:pPr>
        <w:adjustRightInd w:val="0"/>
        <w:snapToGrid w:val="0"/>
        <w:spacing w:line="440" w:lineRule="exact"/>
        <w:ind w:firstLine="422" w:firstLineChars="200"/>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二、合同价款</w:t>
      </w:r>
    </w:p>
    <w:p w14:paraId="1CFC907A">
      <w:pPr>
        <w:widowControl/>
        <w:numPr>
          <w:ilvl w:val="0"/>
          <w:numId w:val="0"/>
        </w:numPr>
        <w:kinsoku w:val="0"/>
        <w:wordWrap/>
        <w:autoSpaceDE w:val="0"/>
        <w:autoSpaceDN w:val="0"/>
        <w:adjustRightInd w:val="0"/>
        <w:snapToGrid w:val="0"/>
        <w:spacing w:line="440" w:lineRule="exact"/>
        <w:ind w:firstLine="420" w:firstLineChars="200"/>
        <w:textAlignment w:val="baseline"/>
        <w:outlineLvl w:val="9"/>
        <w:rPr>
          <w:rFonts w:hint="eastAsia" w:ascii="宋体" w:hAnsi="宋体" w:cs="宋体"/>
          <w:snapToGrid/>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合同金额：</w:t>
      </w:r>
      <w:r>
        <w:rPr>
          <w:rFonts w:hint="eastAsia" w:ascii="宋体" w:hAnsi="宋体" w:cs="宋体"/>
          <w:snapToGrid/>
          <w:color w:val="000000" w:themeColor="text1"/>
          <w:kern w:val="2"/>
          <w:sz w:val="21"/>
          <w:szCs w:val="21"/>
          <w:highlight w:val="none"/>
          <w:lang w:val="en-US" w:eastAsia="zh-CN" w:bidi="ar-SA"/>
          <w14:textFill>
            <w14:solidFill>
              <w14:schemeClr w14:val="tx1"/>
            </w14:solidFill>
          </w14:textFill>
        </w:rPr>
        <w:t>合同含税暂定总价为人民币（大写）****元整 （¥***），</w:t>
      </w:r>
      <w:r>
        <w:rPr>
          <w:rFonts w:hint="eastAsia" w:ascii="宋体" w:hAnsi="宋体" w:eastAsia="宋体" w:cs="宋体"/>
          <w:snapToGrid/>
          <w:color w:val="000000" w:themeColor="text1"/>
          <w:kern w:val="2"/>
          <w:sz w:val="21"/>
          <w:szCs w:val="21"/>
          <w:highlight w:val="none"/>
          <w:lang w:val="en-US" w:eastAsia="zh-CN" w:bidi="ar-SA"/>
          <w14:textFill>
            <w14:solidFill>
              <w14:schemeClr w14:val="tx1"/>
            </w14:solidFill>
          </w14:textFill>
        </w:rPr>
        <w:t>项目结算按照物资供应情况结合中标优惠率据实结算</w:t>
      </w:r>
    </w:p>
    <w:p w14:paraId="534810A7">
      <w:pPr>
        <w:tabs>
          <w:tab w:val="left" w:pos="1248"/>
        </w:tabs>
        <w:adjustRightInd w:val="0"/>
        <w:snapToGrid w:val="0"/>
        <w:spacing w:line="440" w:lineRule="exact"/>
        <w:ind w:firstLine="420" w:firstLineChars="200"/>
        <w:outlineLvl w:val="9"/>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2、合同价格为含税价，增值税根据乙方提供给甲方的增值税发票中的税额据实支付和结算。</w:t>
      </w:r>
    </w:p>
    <w:p w14:paraId="031A5DB8">
      <w:pPr>
        <w:tabs>
          <w:tab w:val="left" w:pos="1248"/>
        </w:tabs>
        <w:adjustRightInd w:val="0"/>
        <w:snapToGrid w:val="0"/>
        <w:spacing w:line="440" w:lineRule="exact"/>
        <w:ind w:firstLine="420" w:firstLineChars="200"/>
        <w:outlineLvl w:val="9"/>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3、合同价格包括乙方履行合同且满足用户需求书全部要求所产生的成本、费用、税金、利润、保险、专利、风险等。</w:t>
      </w:r>
    </w:p>
    <w:p w14:paraId="78AC1F1E">
      <w:pPr>
        <w:snapToGrid w:val="0"/>
        <w:spacing w:line="440" w:lineRule="exact"/>
        <w:ind w:firstLine="422" w:firstLineChars="200"/>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三、合同文件构成</w:t>
      </w:r>
    </w:p>
    <w:p w14:paraId="12F99A5C">
      <w:pPr>
        <w:snapToGrid w:val="0"/>
        <w:spacing w:line="440" w:lineRule="exact"/>
        <w:ind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本合同文件组成及优先顺序为：</w:t>
      </w:r>
    </w:p>
    <w:p w14:paraId="60552578">
      <w:pPr>
        <w:snapToGrid w:val="0"/>
        <w:spacing w:line="440" w:lineRule="exact"/>
        <w:ind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（1）补充协议（如有）；</w:t>
      </w:r>
    </w:p>
    <w:p w14:paraId="7C32763F">
      <w:pPr>
        <w:snapToGrid w:val="0"/>
        <w:spacing w:line="440" w:lineRule="exact"/>
        <w:ind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（2）合同协议书；</w:t>
      </w:r>
    </w:p>
    <w:p w14:paraId="678C798A">
      <w:pPr>
        <w:snapToGrid w:val="0"/>
        <w:spacing w:line="440" w:lineRule="exact"/>
        <w:ind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（3）中标通知书；</w:t>
      </w:r>
    </w:p>
    <w:p w14:paraId="6D7D50DB">
      <w:pPr>
        <w:snapToGrid w:val="0"/>
        <w:spacing w:line="440" w:lineRule="exact"/>
        <w:ind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（4）用户需求书；</w:t>
      </w:r>
    </w:p>
    <w:p w14:paraId="572D671D">
      <w:pPr>
        <w:snapToGrid w:val="0"/>
        <w:spacing w:line="440" w:lineRule="exact"/>
        <w:ind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（5）合同附件及乙方按合同附录格式及要求出具的文件；</w:t>
      </w:r>
    </w:p>
    <w:p w14:paraId="3B627774">
      <w:pPr>
        <w:snapToGrid w:val="0"/>
        <w:spacing w:line="440" w:lineRule="exact"/>
        <w:ind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（6）招标文件、澄清与答疑文件及其它补充资料；</w:t>
      </w:r>
    </w:p>
    <w:p w14:paraId="43F283B2">
      <w:pPr>
        <w:snapToGrid w:val="0"/>
        <w:spacing w:line="440" w:lineRule="exact"/>
        <w:ind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（7）投标文件及其它补充资料；</w:t>
      </w:r>
    </w:p>
    <w:p w14:paraId="7080F34D">
      <w:pPr>
        <w:snapToGrid w:val="0"/>
        <w:spacing w:line="440" w:lineRule="exact"/>
        <w:ind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（8）其他构成本合同的文件。</w:t>
      </w:r>
    </w:p>
    <w:p w14:paraId="49B5BD74">
      <w:pPr>
        <w:snapToGrid w:val="0"/>
        <w:spacing w:line="440" w:lineRule="exact"/>
        <w:ind w:firstLine="420" w:firstLineChars="20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上述各项合同文件包括合同当事人就该项合同文件所作出的补充和修改，属于同一类内容的文件，应以最新签署的为准。</w:t>
      </w:r>
    </w:p>
    <w:p w14:paraId="2C691EB5">
      <w:pPr>
        <w:widowControl/>
        <w:snapToGrid w:val="0"/>
        <w:spacing w:line="440" w:lineRule="exact"/>
        <w:ind w:firstLine="420" w:firstLineChars="200"/>
        <w:jc w:val="lef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在合同履行过程中形成的与合同有关的文件均构成合同文件组成部分，并根据其性质确定优先解释顺序。</w:t>
      </w:r>
    </w:p>
    <w:p w14:paraId="7EDD81AF">
      <w:pPr>
        <w:widowControl/>
        <w:snapToGrid w:val="0"/>
        <w:spacing w:line="440" w:lineRule="exact"/>
        <w:ind w:firstLine="422" w:firstLineChars="200"/>
        <w:jc w:val="left"/>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四、承诺</w:t>
      </w:r>
    </w:p>
    <w:p w14:paraId="02836FF8">
      <w:pPr>
        <w:widowControl/>
        <w:snapToGrid w:val="0"/>
        <w:spacing w:line="440" w:lineRule="exact"/>
        <w:ind w:firstLine="420" w:firstLineChars="200"/>
        <w:jc w:val="lef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1、甲方承诺按照合同约定履行相关合同义务。</w:t>
      </w:r>
    </w:p>
    <w:p w14:paraId="64EC38E2">
      <w:pPr>
        <w:widowControl/>
        <w:snapToGrid w:val="0"/>
        <w:spacing w:line="440" w:lineRule="exact"/>
        <w:ind w:firstLine="420" w:firstLineChars="200"/>
        <w:jc w:val="lef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2、乙方承诺按照合同约定及用户需求书的要求提供物资及相关服务、履行义务。</w:t>
      </w:r>
    </w:p>
    <w:p w14:paraId="4895652B">
      <w:pPr>
        <w:widowControl/>
        <w:snapToGrid w:val="0"/>
        <w:spacing w:line="440" w:lineRule="exact"/>
        <w:ind w:firstLine="422" w:firstLineChars="200"/>
        <w:jc w:val="left"/>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五、词语定义</w:t>
      </w:r>
    </w:p>
    <w:p w14:paraId="71AE10DE">
      <w:pPr>
        <w:snapToGrid w:val="0"/>
        <w:spacing w:line="440" w:lineRule="exact"/>
        <w:ind w:firstLine="367" w:firstLineChars="175"/>
        <w:jc w:val="lef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本合同协议书中词语含义与合同条款中的词语含义相同。</w:t>
      </w:r>
    </w:p>
    <w:p w14:paraId="4C822908">
      <w:pPr>
        <w:snapToGrid w:val="0"/>
        <w:spacing w:line="440" w:lineRule="exact"/>
        <w:ind w:firstLine="369" w:firstLineChars="175"/>
        <w:jc w:val="left"/>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六、合同签订时间</w:t>
      </w:r>
    </w:p>
    <w:p w14:paraId="41277675">
      <w:pPr>
        <w:snapToGrid w:val="0"/>
        <w:spacing w:line="440" w:lineRule="exact"/>
        <w:ind w:firstLine="367" w:firstLineChars="175"/>
        <w:jc w:val="left"/>
        <w:outlineLvl w:val="9"/>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本合同于</w:t>
      </w:r>
      <w:r>
        <w:rPr>
          <w:rFonts w:hint="eastAsia" w:ascii="宋体" w:hAnsi="宋体" w:cs="宋体"/>
          <w:bCs/>
          <w:color w:val="000000" w:themeColor="text1"/>
          <w:sz w:val="21"/>
          <w:szCs w:val="21"/>
          <w:highlight w:val="none"/>
          <w:u w:val="single"/>
          <w:lang w:val="en-US" w:eastAsia="zh-CN"/>
          <w14:textFill>
            <w14:solidFill>
              <w14:schemeClr w14:val="tx1"/>
            </w14:solidFill>
          </w14:textFill>
        </w:rPr>
        <w:t>2025</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1"/>
          <w:szCs w:val="21"/>
          <w:highlight w:val="none"/>
          <w14:textFill>
            <w14:solidFill>
              <w14:schemeClr w14:val="tx1"/>
            </w14:solidFill>
          </w14:textFill>
        </w:rPr>
        <w:t>年</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1"/>
          <w:szCs w:val="21"/>
          <w:highlight w:val="none"/>
          <w14:textFill>
            <w14:solidFill>
              <w14:schemeClr w14:val="tx1"/>
            </w14:solidFill>
          </w14:textFill>
        </w:rPr>
        <w:t>月</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1"/>
          <w:szCs w:val="21"/>
          <w:highlight w:val="none"/>
          <w14:textFill>
            <w14:solidFill>
              <w14:schemeClr w14:val="tx1"/>
            </w14:solidFill>
          </w14:textFill>
        </w:rPr>
        <w:t>日签订。</w:t>
      </w:r>
    </w:p>
    <w:p w14:paraId="7B5E72D7">
      <w:pPr>
        <w:snapToGrid w:val="0"/>
        <w:spacing w:line="440" w:lineRule="exact"/>
        <w:ind w:firstLine="369" w:firstLineChars="175"/>
        <w:jc w:val="left"/>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七、合同签订地点</w:t>
      </w:r>
    </w:p>
    <w:p w14:paraId="280ED840">
      <w:pPr>
        <w:snapToGrid w:val="0"/>
        <w:spacing w:line="440" w:lineRule="exact"/>
        <w:ind w:firstLine="367" w:firstLineChars="175"/>
        <w:jc w:val="left"/>
        <w:outlineLvl w:val="9"/>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本合同在</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湖南省长沙市</w:t>
      </w:r>
      <w:r>
        <w:rPr>
          <w:rFonts w:hint="eastAsia" w:ascii="宋体" w:hAnsi="宋体" w:eastAsia="宋体" w:cs="宋体"/>
          <w:bCs/>
          <w:color w:val="000000" w:themeColor="text1"/>
          <w:sz w:val="21"/>
          <w:szCs w:val="21"/>
          <w:highlight w:val="none"/>
          <w:u w:val="single"/>
          <w:lang w:val="en-US" w:eastAsia="zh-CN"/>
          <w14:textFill>
            <w14:solidFill>
              <w14:schemeClr w14:val="tx1"/>
            </w14:solidFill>
          </w14:textFill>
        </w:rPr>
        <w:t>长沙县</w:t>
      </w:r>
      <w:r>
        <w:rPr>
          <w:rFonts w:hint="eastAsia" w:ascii="宋体" w:hAnsi="宋体" w:eastAsia="宋体" w:cs="宋体"/>
          <w:bCs/>
          <w:color w:val="000000" w:themeColor="text1"/>
          <w:sz w:val="21"/>
          <w:szCs w:val="21"/>
          <w:highlight w:val="none"/>
          <w14:textFill>
            <w14:solidFill>
              <w14:schemeClr w14:val="tx1"/>
            </w14:solidFill>
          </w14:textFill>
        </w:rPr>
        <w:t>签订。</w:t>
      </w:r>
    </w:p>
    <w:p w14:paraId="466139F3">
      <w:pPr>
        <w:snapToGrid w:val="0"/>
        <w:spacing w:line="440" w:lineRule="exact"/>
        <w:ind w:firstLine="369" w:firstLineChars="175"/>
        <w:jc w:val="left"/>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八、合同生效</w:t>
      </w:r>
    </w:p>
    <w:p w14:paraId="7F2BD5F7">
      <w:pPr>
        <w:snapToGrid w:val="0"/>
        <w:spacing w:line="440" w:lineRule="exact"/>
        <w:ind w:firstLine="367" w:firstLineChars="175"/>
        <w:jc w:val="left"/>
        <w:outlineLvl w:val="9"/>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本合同自</w:t>
      </w:r>
      <w:r>
        <w:rPr>
          <w:rFonts w:hint="eastAsia" w:ascii="宋体" w:hAnsi="宋体" w:eastAsia="宋体" w:cs="宋体"/>
          <w:color w:val="000000" w:themeColor="text1"/>
          <w:sz w:val="21"/>
          <w:szCs w:val="21"/>
          <w:highlight w:val="none"/>
          <w:u w:val="single"/>
          <w14:textFill>
            <w14:solidFill>
              <w14:schemeClr w14:val="tx1"/>
            </w14:solidFill>
          </w14:textFill>
        </w:rPr>
        <w:t>合同双方法定代表人或其授权代表</w:t>
      </w:r>
      <w:r>
        <w:rPr>
          <w:rFonts w:hint="eastAsia" w:ascii="宋体" w:hAnsi="宋体" w:cs="宋体"/>
          <w:color w:val="000000" w:themeColor="text1"/>
          <w:sz w:val="21"/>
          <w:szCs w:val="21"/>
          <w:highlight w:val="none"/>
          <w:u w:val="single"/>
          <w:lang w:eastAsia="zh-CN"/>
          <w14:textFill>
            <w14:solidFill>
              <w14:schemeClr w14:val="tx1"/>
            </w14:solidFill>
          </w14:textFill>
        </w:rPr>
        <w:t>签字并盖章</w:t>
      </w:r>
      <w:r>
        <w:rPr>
          <w:rFonts w:hint="eastAsia" w:ascii="宋体" w:hAnsi="宋体" w:eastAsia="宋体" w:cs="宋体"/>
          <w:bCs/>
          <w:color w:val="000000" w:themeColor="text1"/>
          <w:sz w:val="21"/>
          <w:szCs w:val="21"/>
          <w:highlight w:val="none"/>
          <w14:textFill>
            <w14:solidFill>
              <w14:schemeClr w14:val="tx1"/>
            </w14:solidFill>
          </w14:textFill>
        </w:rPr>
        <w:t>生效。</w:t>
      </w:r>
    </w:p>
    <w:p w14:paraId="7FA4546C">
      <w:pPr>
        <w:snapToGrid w:val="0"/>
        <w:spacing w:line="440" w:lineRule="exact"/>
        <w:ind w:firstLine="369" w:firstLineChars="175"/>
        <w:jc w:val="left"/>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九、合同份数</w:t>
      </w:r>
    </w:p>
    <w:p w14:paraId="6FC4BBE5">
      <w:pPr>
        <w:widowControl/>
        <w:snapToGrid w:val="0"/>
        <w:spacing w:line="440" w:lineRule="exact"/>
        <w:ind w:firstLine="420" w:firstLineChars="200"/>
        <w:jc w:val="lef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本合同一式</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捌</w:t>
      </w:r>
      <w:r>
        <w:rPr>
          <w:rFonts w:hint="eastAsia" w:ascii="宋体" w:hAnsi="宋体" w:eastAsia="宋体" w:cs="宋体"/>
          <w:color w:val="000000" w:themeColor="text1"/>
          <w:sz w:val="21"/>
          <w:szCs w:val="21"/>
          <w:highlight w:val="none"/>
          <w14:textFill>
            <w14:solidFill>
              <w14:schemeClr w14:val="tx1"/>
            </w14:solidFill>
          </w14:textFill>
        </w:rPr>
        <w:t>份（其中正本</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贰</w:t>
      </w:r>
      <w:r>
        <w:rPr>
          <w:rFonts w:hint="eastAsia" w:ascii="宋体" w:hAnsi="宋体" w:eastAsia="宋体" w:cs="宋体"/>
          <w:color w:val="000000" w:themeColor="text1"/>
          <w:sz w:val="21"/>
          <w:szCs w:val="21"/>
          <w:highlight w:val="none"/>
          <w14:textFill>
            <w14:solidFill>
              <w14:schemeClr w14:val="tx1"/>
            </w14:solidFill>
          </w14:textFill>
        </w:rPr>
        <w:t>份、副本</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陆</w:t>
      </w:r>
      <w:r>
        <w:rPr>
          <w:rFonts w:hint="eastAsia" w:ascii="宋体" w:hAnsi="宋体" w:eastAsia="宋体" w:cs="宋体"/>
          <w:color w:val="000000" w:themeColor="text1"/>
          <w:sz w:val="21"/>
          <w:szCs w:val="21"/>
          <w:highlight w:val="none"/>
          <w14:textFill>
            <w14:solidFill>
              <w14:schemeClr w14:val="tx1"/>
            </w14:solidFill>
          </w14:textFill>
        </w:rPr>
        <w:t>份），甲方执</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肆</w:t>
      </w:r>
      <w:r>
        <w:rPr>
          <w:rFonts w:hint="eastAsia" w:ascii="宋体" w:hAnsi="宋体" w:eastAsia="宋体" w:cs="宋体"/>
          <w:color w:val="000000" w:themeColor="text1"/>
          <w:sz w:val="21"/>
          <w:szCs w:val="21"/>
          <w:highlight w:val="none"/>
          <w14:textFill>
            <w14:solidFill>
              <w14:schemeClr w14:val="tx1"/>
            </w14:solidFill>
          </w14:textFill>
        </w:rPr>
        <w:t>份（</w:t>
      </w:r>
      <w:r>
        <w:rPr>
          <w:rFonts w:hint="eastAsia" w:ascii="宋体" w:hAnsi="宋体" w:cs="宋体"/>
          <w:sz w:val="21"/>
          <w:szCs w:val="21"/>
          <w:highlight w:val="none"/>
          <w:lang w:eastAsia="zh-CN"/>
        </w:rPr>
        <w:t>壹</w:t>
      </w:r>
      <w:r>
        <w:rPr>
          <w:rFonts w:hint="eastAsia" w:ascii="宋体" w:hAnsi="宋体" w:eastAsia="宋体" w:cs="宋体"/>
          <w:color w:val="000000" w:themeColor="text1"/>
          <w:sz w:val="21"/>
          <w:szCs w:val="21"/>
          <w:highlight w:val="none"/>
          <w14:textFill>
            <w14:solidFill>
              <w14:schemeClr w14:val="tx1"/>
            </w14:solidFill>
          </w14:textFill>
        </w:rPr>
        <w:t>正</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叁</w:t>
      </w:r>
      <w:r>
        <w:rPr>
          <w:rFonts w:hint="eastAsia" w:ascii="宋体" w:hAnsi="宋体" w:eastAsia="宋体" w:cs="宋体"/>
          <w:color w:val="000000" w:themeColor="text1"/>
          <w:sz w:val="21"/>
          <w:szCs w:val="21"/>
          <w:highlight w:val="none"/>
          <w14:textFill>
            <w14:solidFill>
              <w14:schemeClr w14:val="tx1"/>
            </w14:solidFill>
          </w14:textFill>
        </w:rPr>
        <w:t>副），乙方执</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肆</w:t>
      </w:r>
      <w:r>
        <w:rPr>
          <w:rFonts w:hint="eastAsia" w:ascii="宋体" w:hAnsi="宋体" w:eastAsia="宋体" w:cs="宋体"/>
          <w:color w:val="000000" w:themeColor="text1"/>
          <w:sz w:val="21"/>
          <w:szCs w:val="21"/>
          <w:highlight w:val="none"/>
          <w14:textFill>
            <w14:solidFill>
              <w14:schemeClr w14:val="tx1"/>
            </w14:solidFill>
          </w14:textFill>
        </w:rPr>
        <w:t>份（</w:t>
      </w:r>
      <w:r>
        <w:rPr>
          <w:rFonts w:hint="eastAsia" w:ascii="宋体" w:hAnsi="宋体" w:cs="宋体"/>
          <w:sz w:val="21"/>
          <w:szCs w:val="21"/>
          <w:highlight w:val="none"/>
          <w:lang w:eastAsia="zh-CN"/>
        </w:rPr>
        <w:t>壹</w:t>
      </w:r>
      <w:r>
        <w:rPr>
          <w:rFonts w:hint="eastAsia" w:ascii="宋体" w:hAnsi="宋体" w:eastAsia="宋体" w:cs="宋体"/>
          <w:color w:val="000000" w:themeColor="text1"/>
          <w:sz w:val="21"/>
          <w:szCs w:val="21"/>
          <w:highlight w:val="none"/>
          <w14:textFill>
            <w14:solidFill>
              <w14:schemeClr w14:val="tx1"/>
            </w14:solidFill>
          </w14:textFill>
        </w:rPr>
        <w:t>正</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叁</w:t>
      </w:r>
      <w:r>
        <w:rPr>
          <w:rFonts w:hint="eastAsia" w:ascii="宋体" w:hAnsi="宋体" w:eastAsia="宋体" w:cs="宋体"/>
          <w:color w:val="000000" w:themeColor="text1"/>
          <w:sz w:val="21"/>
          <w:szCs w:val="21"/>
          <w:highlight w:val="none"/>
          <w14:textFill>
            <w14:solidFill>
              <w14:schemeClr w14:val="tx1"/>
            </w14:solidFill>
          </w14:textFill>
        </w:rPr>
        <w:t>副）。合同正本与副本具有同等效力，当合同副本与正本之间存有差异时，以合同正本为准。</w:t>
      </w:r>
    </w:p>
    <w:p w14:paraId="132AED64">
      <w:pPr>
        <w:adjustRightInd w:val="0"/>
        <w:snapToGrid w:val="0"/>
        <w:spacing w:beforeLines="0" w:afterLines="0" w:line="360" w:lineRule="auto"/>
        <w:ind w:firstLine="367" w:firstLineChars="175"/>
        <w:jc w:val="left"/>
        <w:rPr>
          <w:rFonts w:hint="eastAsia" w:ascii="宋体" w:hAnsi="宋体" w:eastAsia="宋体" w:cs="宋体"/>
          <w:color w:val="auto"/>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本页以下无正文</w:t>
      </w:r>
      <w:r>
        <w:rPr>
          <w:rFonts w:hint="eastAsia" w:ascii="宋体" w:hAnsi="宋体" w:cs="宋体"/>
          <w:color w:val="auto"/>
          <w:sz w:val="21"/>
          <w:szCs w:val="21"/>
          <w:highlight w:val="none"/>
          <w:lang w:eastAsia="zh-CN"/>
        </w:rPr>
        <w:t>）</w:t>
      </w:r>
    </w:p>
    <w:p w14:paraId="14F17890">
      <w:pPr>
        <w:widowControl/>
        <w:spacing w:line="440" w:lineRule="exact"/>
        <w:jc w:val="left"/>
        <w:outlineLvl w:val="9"/>
        <w:rPr>
          <w:rFonts w:hint="eastAsia" w:ascii="宋体" w:hAnsi="宋体" w:eastAsia="宋体" w:cs="宋体"/>
          <w:sz w:val="21"/>
          <w:szCs w:val="21"/>
          <w:highlight w:val="none"/>
        </w:rPr>
      </w:pPr>
    </w:p>
    <w:p w14:paraId="3A7EA842">
      <w:pPr>
        <w:widowControl/>
        <w:spacing w:line="440" w:lineRule="exact"/>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r>
    </w:p>
    <w:p w14:paraId="1DDC34D8">
      <w:pPr>
        <w:adjustRightInd w:val="0"/>
        <w:snapToGrid w:val="0"/>
        <w:spacing w:line="360" w:lineRule="auto"/>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（本页无正文）</w:t>
      </w:r>
    </w:p>
    <w:p w14:paraId="1B616411">
      <w:pPr>
        <w:adjustRightInd w:val="0"/>
        <w:snapToGrid w:val="0"/>
        <w:spacing w:line="360" w:lineRule="auto"/>
        <w:jc w:val="left"/>
        <w:outlineLvl w:val="9"/>
        <w:rPr>
          <w:rFonts w:hint="eastAsia" w:ascii="宋体" w:hAnsi="宋体" w:eastAsia="宋体" w:cs="宋体"/>
          <w:sz w:val="21"/>
          <w:szCs w:val="21"/>
          <w:highlight w:val="none"/>
        </w:rPr>
      </w:pPr>
    </w:p>
    <w:p w14:paraId="57708814">
      <w:pPr>
        <w:adjustRightInd w:val="0"/>
        <w:snapToGrid w:val="0"/>
        <w:spacing w:line="360" w:lineRule="auto"/>
        <w:ind w:firstLine="420" w:firstLineChars="200"/>
        <w:outlineLvl w:val="9"/>
        <w:rPr>
          <w:rFonts w:hint="eastAsia" w:ascii="宋体" w:hAnsi="宋体" w:eastAsia="宋体" w:cs="宋体"/>
          <w:sz w:val="21"/>
          <w:szCs w:val="21"/>
          <w:highlight w:val="none"/>
        </w:rPr>
      </w:pPr>
    </w:p>
    <w:p w14:paraId="2CF7EC09">
      <w:pPr>
        <w:adjustRightInd w:val="0"/>
        <w:snapToGrid w:val="0"/>
        <w:spacing w:line="360" w:lineRule="auto"/>
        <w:ind w:firstLine="420" w:firstLineChars="200"/>
        <w:outlineLvl w:val="9"/>
        <w:rPr>
          <w:rFonts w:hint="eastAsia" w:ascii="宋体" w:hAnsi="宋体" w:eastAsia="宋体" w:cs="宋体"/>
          <w:sz w:val="21"/>
          <w:szCs w:val="21"/>
          <w:highlight w:val="none"/>
        </w:rPr>
      </w:pPr>
    </w:p>
    <w:tbl>
      <w:tblPr>
        <w:tblStyle w:val="64"/>
        <w:tblW w:w="8715" w:type="dxa"/>
        <w:jc w:val="center"/>
        <w:tblLayout w:type="fixed"/>
        <w:tblCellMar>
          <w:top w:w="0" w:type="dxa"/>
          <w:left w:w="108" w:type="dxa"/>
          <w:bottom w:w="0" w:type="dxa"/>
          <w:right w:w="108" w:type="dxa"/>
        </w:tblCellMar>
      </w:tblPr>
      <w:tblGrid>
        <w:gridCol w:w="4465"/>
        <w:gridCol w:w="4250"/>
      </w:tblGrid>
      <w:tr w14:paraId="2038749B">
        <w:trPr>
          <w:trHeight w:val="803" w:hRule="atLeast"/>
          <w:jc w:val="center"/>
        </w:trPr>
        <w:tc>
          <w:tcPr>
            <w:tcW w:w="4465" w:type="dxa"/>
          </w:tcPr>
          <w:p w14:paraId="11F54239">
            <w:pPr>
              <w:widowControl w:val="0"/>
              <w:snapToGrid w:val="0"/>
              <w:spacing w:line="360" w:lineRule="auto"/>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甲方：(盖章)</w:t>
            </w:r>
          </w:p>
          <w:p w14:paraId="14AC1459">
            <w:pPr>
              <w:widowControl w:val="0"/>
              <w:snapToGrid w:val="0"/>
              <w:spacing w:after="0" w:line="360" w:lineRule="auto"/>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 </w:t>
            </w:r>
          </w:p>
        </w:tc>
        <w:tc>
          <w:tcPr>
            <w:tcW w:w="4250" w:type="dxa"/>
          </w:tcPr>
          <w:p w14:paraId="54E9CDB4">
            <w:pPr>
              <w:widowControl w:val="0"/>
              <w:snapToGrid w:val="0"/>
              <w:spacing w:line="360" w:lineRule="auto"/>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乙方：（盖章）</w:t>
            </w:r>
          </w:p>
          <w:p w14:paraId="19F62F0F">
            <w:pPr>
              <w:widowControl w:val="0"/>
              <w:snapToGrid w:val="0"/>
              <w:spacing w:after="0" w:line="360" w:lineRule="auto"/>
              <w:jc w:val="both"/>
              <w:outlineLvl w:val="9"/>
              <w:rPr>
                <w:rFonts w:hint="eastAsia" w:ascii="宋体" w:hAnsi="宋体" w:eastAsia="宋体" w:cs="宋体"/>
                <w:kern w:val="2"/>
                <w:sz w:val="21"/>
                <w:szCs w:val="21"/>
                <w:highlight w:val="none"/>
                <w:lang w:val="en-US" w:eastAsia="zh-CN" w:bidi="ar-SA"/>
              </w:rPr>
            </w:pPr>
          </w:p>
        </w:tc>
      </w:tr>
      <w:tr w14:paraId="735317E5">
        <w:tblPrEx>
          <w:tblCellMar>
            <w:top w:w="0" w:type="dxa"/>
            <w:left w:w="108" w:type="dxa"/>
            <w:bottom w:w="0" w:type="dxa"/>
            <w:right w:w="108" w:type="dxa"/>
          </w:tblCellMar>
        </w:tblPrEx>
        <w:trPr>
          <w:trHeight w:val="858" w:hRule="atLeast"/>
          <w:jc w:val="center"/>
        </w:trPr>
        <w:tc>
          <w:tcPr>
            <w:tcW w:w="4465" w:type="dxa"/>
          </w:tcPr>
          <w:p w14:paraId="701C70B7">
            <w:pPr>
              <w:widowControl w:val="0"/>
              <w:snapToGrid w:val="0"/>
              <w:spacing w:line="360" w:lineRule="auto"/>
              <w:ind w:left="19" w:leftChars="9"/>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法定代表人或其授权代表：</w:t>
            </w:r>
          </w:p>
          <w:p w14:paraId="69F2933E">
            <w:pPr>
              <w:widowControl w:val="0"/>
              <w:snapToGrid w:val="0"/>
              <w:spacing w:after="0" w:line="360" w:lineRule="auto"/>
              <w:ind w:left="19" w:leftChars="9"/>
              <w:jc w:val="both"/>
              <w:outlineLvl w:val="9"/>
              <w:rPr>
                <w:rFonts w:hint="eastAsia" w:ascii="宋体" w:hAnsi="宋体" w:eastAsia="宋体" w:cs="宋体"/>
                <w:kern w:val="2"/>
                <w:sz w:val="21"/>
                <w:szCs w:val="21"/>
                <w:highlight w:val="none"/>
                <w:lang w:val="en-US" w:eastAsia="zh-CN" w:bidi="ar-SA"/>
              </w:rPr>
            </w:pPr>
          </w:p>
        </w:tc>
        <w:tc>
          <w:tcPr>
            <w:tcW w:w="4250" w:type="dxa"/>
          </w:tcPr>
          <w:p w14:paraId="2D170397">
            <w:pPr>
              <w:widowControl w:val="0"/>
              <w:snapToGrid w:val="0"/>
              <w:spacing w:after="0" w:line="360" w:lineRule="auto"/>
              <w:ind w:left="34" w:leftChars="16"/>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法定代表人或其授权代表：</w:t>
            </w:r>
          </w:p>
        </w:tc>
      </w:tr>
      <w:tr w14:paraId="5931CBAC">
        <w:tblPrEx>
          <w:tblCellMar>
            <w:top w:w="0" w:type="dxa"/>
            <w:left w:w="108" w:type="dxa"/>
            <w:bottom w:w="0" w:type="dxa"/>
            <w:right w:w="108" w:type="dxa"/>
          </w:tblCellMar>
        </w:tblPrEx>
        <w:trPr>
          <w:trHeight w:val="833" w:hRule="atLeast"/>
          <w:jc w:val="center"/>
        </w:trPr>
        <w:tc>
          <w:tcPr>
            <w:tcW w:w="4465" w:type="dxa"/>
          </w:tcPr>
          <w:p w14:paraId="6B6B1311">
            <w:pPr>
              <w:widowControl w:val="0"/>
              <w:snapToGrid w:val="0"/>
              <w:spacing w:after="0" w:line="360" w:lineRule="auto"/>
              <w:jc w:val="both"/>
              <w:outlineLvl w:val="9"/>
              <w:rPr>
                <w:rFonts w:hint="eastAsia" w:ascii="宋体" w:hAnsi="宋体" w:eastAsia="宋体" w:cs="宋体"/>
                <w:kern w:val="2"/>
                <w:sz w:val="21"/>
                <w:szCs w:val="21"/>
                <w:highlight w:val="none"/>
                <w:lang w:val="en-US" w:eastAsia="zh-CN" w:bidi="ar-SA"/>
              </w:rPr>
            </w:pPr>
          </w:p>
          <w:p w14:paraId="2037D48F">
            <w:pPr>
              <w:widowControl w:val="0"/>
              <w:snapToGrid w:val="0"/>
              <w:spacing w:after="0" w:line="360" w:lineRule="auto"/>
              <w:ind w:left="19" w:leftChars="9"/>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时间：</w:t>
            </w:r>
          </w:p>
        </w:tc>
        <w:tc>
          <w:tcPr>
            <w:tcW w:w="4250" w:type="dxa"/>
          </w:tcPr>
          <w:p w14:paraId="2268F713">
            <w:pPr>
              <w:widowControl w:val="0"/>
              <w:snapToGrid w:val="0"/>
              <w:spacing w:after="0" w:line="360" w:lineRule="auto"/>
              <w:jc w:val="both"/>
              <w:outlineLvl w:val="9"/>
              <w:rPr>
                <w:rFonts w:hint="eastAsia" w:ascii="宋体" w:hAnsi="宋体" w:eastAsia="宋体" w:cs="宋体"/>
                <w:kern w:val="2"/>
                <w:sz w:val="21"/>
                <w:szCs w:val="21"/>
                <w:highlight w:val="none"/>
                <w:lang w:val="en-US" w:eastAsia="zh-CN" w:bidi="ar-SA"/>
              </w:rPr>
            </w:pPr>
          </w:p>
          <w:p w14:paraId="27E7E744">
            <w:pPr>
              <w:widowControl w:val="0"/>
              <w:snapToGrid w:val="0"/>
              <w:spacing w:after="0" w:line="360" w:lineRule="auto"/>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时间：</w:t>
            </w:r>
          </w:p>
        </w:tc>
      </w:tr>
    </w:tbl>
    <w:p w14:paraId="3D7A30C9">
      <w:pPr>
        <w:widowControl/>
        <w:spacing w:line="360" w:lineRule="auto"/>
        <w:jc w:val="left"/>
        <w:outlineLvl w:val="9"/>
        <w:rPr>
          <w:rFonts w:hint="eastAsia" w:ascii="宋体" w:hAnsi="宋体" w:eastAsia="宋体" w:cs="宋体"/>
          <w:color w:val="0D0D0D" w:themeColor="text1" w:themeTint="F2"/>
          <w:szCs w:val="21"/>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Cs w:val="21"/>
          <w:highlight w:val="none"/>
          <w14:textFill>
            <w14:solidFill>
              <w14:schemeClr w14:val="tx1">
                <w14:lumMod w14:val="95000"/>
                <w14:lumOff w14:val="5000"/>
              </w14:schemeClr>
            </w14:solidFill>
          </w14:textFill>
        </w:rPr>
        <w:br w:type="page"/>
      </w:r>
    </w:p>
    <w:p w14:paraId="4C377C98">
      <w:pPr>
        <w:spacing w:line="360" w:lineRule="auto"/>
        <w:jc w:val="center"/>
        <w:outlineLvl w:val="9"/>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第二部分  合同条款</w:t>
      </w:r>
    </w:p>
    <w:p w14:paraId="78B62038">
      <w:pPr>
        <w:adjustRightInd/>
        <w:snapToGrid/>
        <w:spacing w:line="360" w:lineRule="auto"/>
        <w:ind w:firstLine="0" w:firstLineChars="0"/>
        <w:outlineLvl w:val="9"/>
        <w:rPr>
          <w:rFonts w:hint="eastAsia" w:ascii="宋体" w:hAnsi="宋体" w:cs="宋体"/>
          <w:szCs w:val="21"/>
          <w:highlight w:val="none"/>
        </w:rPr>
      </w:pPr>
    </w:p>
    <w:p w14:paraId="1DDE191B">
      <w:pPr>
        <w:snapToGrid w:val="0"/>
        <w:spacing w:line="440" w:lineRule="exact"/>
        <w:ind w:firstLine="422" w:firstLineChars="200"/>
        <w:outlineLvl w:val="9"/>
        <w:rPr>
          <w:rFonts w:hint="eastAsia" w:ascii="宋体" w:hAnsi="宋体" w:eastAsia="宋体" w:cs="宋体"/>
          <w:b/>
          <w:sz w:val="21"/>
          <w:szCs w:val="21"/>
          <w:highlight w:val="none"/>
        </w:rPr>
      </w:pPr>
      <w:r>
        <w:rPr>
          <w:rFonts w:hint="eastAsia" w:ascii="宋体" w:hAnsi="宋体" w:eastAsia="宋体" w:cs="宋体"/>
          <w:b/>
          <w:sz w:val="21"/>
          <w:szCs w:val="21"/>
          <w:highlight w:val="none"/>
        </w:rPr>
        <w:t>1、词语定义及解释</w:t>
      </w:r>
    </w:p>
    <w:p w14:paraId="3B262FFE">
      <w:pPr>
        <w:snapToGrid w:val="0"/>
        <w:spacing w:line="440" w:lineRule="exact"/>
        <w:ind w:firstLine="411" w:firstLineChars="196"/>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1.1“合同”是指甲乙双方签署的、合同格式中载明的甲乙双方所达成的协议，包括合同协议书、合同条款及合同附件、合同附录和上述文件所提到的构成合同的所有文件。</w:t>
      </w:r>
    </w:p>
    <w:p w14:paraId="4BFB96AC">
      <w:pPr>
        <w:snapToGrid w:val="0"/>
        <w:spacing w:line="440" w:lineRule="exact"/>
        <w:ind w:firstLine="411" w:firstLineChars="196"/>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1.2“</w:t>
      </w:r>
      <w:r>
        <w:rPr>
          <w:rFonts w:hint="eastAsia" w:ascii="宋体" w:hAnsi="宋体" w:eastAsia="宋体" w:cs="宋体"/>
          <w:sz w:val="21"/>
          <w:szCs w:val="21"/>
          <w:highlight w:val="none"/>
          <w:lang w:eastAsia="zh-CN"/>
        </w:rPr>
        <w:t>优惠率</w:t>
      </w:r>
      <w:r>
        <w:rPr>
          <w:rFonts w:hint="eastAsia" w:ascii="宋体" w:hAnsi="宋体" w:eastAsia="宋体" w:cs="宋体"/>
          <w:sz w:val="21"/>
          <w:szCs w:val="21"/>
          <w:highlight w:val="none"/>
        </w:rPr>
        <w:t>”是指甲方和乙方在合同协议书中确定的</w:t>
      </w:r>
      <w:r>
        <w:rPr>
          <w:rFonts w:hint="eastAsia" w:ascii="宋体" w:hAnsi="宋体" w:eastAsia="宋体" w:cs="宋体"/>
          <w:sz w:val="21"/>
          <w:szCs w:val="21"/>
          <w:highlight w:val="none"/>
          <w:lang w:eastAsia="zh-CN"/>
        </w:rPr>
        <w:t>优惠率</w:t>
      </w:r>
      <w:r>
        <w:rPr>
          <w:rFonts w:hint="eastAsia" w:ascii="宋体" w:hAnsi="宋体" w:eastAsia="宋体" w:cs="宋体"/>
          <w:sz w:val="21"/>
          <w:szCs w:val="21"/>
          <w:highlight w:val="none"/>
        </w:rPr>
        <w:t>，即本项目的中标</w:t>
      </w:r>
      <w:r>
        <w:rPr>
          <w:rFonts w:hint="eastAsia" w:ascii="宋体" w:hAnsi="宋体" w:eastAsia="宋体" w:cs="宋体"/>
          <w:sz w:val="21"/>
          <w:szCs w:val="21"/>
          <w:highlight w:val="none"/>
          <w:lang w:eastAsia="zh-CN"/>
        </w:rPr>
        <w:t>优惠率</w:t>
      </w:r>
      <w:r>
        <w:rPr>
          <w:rFonts w:hint="eastAsia" w:ascii="宋体" w:hAnsi="宋体" w:eastAsia="宋体" w:cs="宋体"/>
          <w:sz w:val="21"/>
          <w:szCs w:val="21"/>
          <w:highlight w:val="none"/>
        </w:rPr>
        <w:t>。</w:t>
      </w:r>
    </w:p>
    <w:p w14:paraId="5C9BBA7B">
      <w:pPr>
        <w:snapToGrid w:val="0"/>
        <w:spacing w:line="440" w:lineRule="exact"/>
        <w:ind w:firstLine="411" w:firstLineChars="196"/>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1.3“合同价格”系指根据本合同规定乙方在正确地完全履行合同义务后，按照长沙市政府或其职能部门相关规定，履约验收合格确定的最终价款。</w:t>
      </w:r>
    </w:p>
    <w:p w14:paraId="50250C89">
      <w:pPr>
        <w:tabs>
          <w:tab w:val="left" w:pos="1248"/>
        </w:tabs>
        <w:adjustRightInd w:val="0"/>
        <w:snapToGrid w:val="0"/>
        <w:spacing w:line="440" w:lineRule="exact"/>
        <w:ind w:firstLine="420" w:firstLineChars="20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1.4“物资”系指乙方根据本合同规定向甲方提供的食品或货物。</w:t>
      </w:r>
    </w:p>
    <w:p w14:paraId="344D27C1">
      <w:pPr>
        <w:tabs>
          <w:tab w:val="left" w:pos="1248"/>
        </w:tabs>
        <w:adjustRightInd w:val="0"/>
        <w:snapToGrid w:val="0"/>
        <w:spacing w:line="440" w:lineRule="exact"/>
        <w:ind w:firstLine="420" w:firstLineChars="20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1.5“服务”系指根据本合同规定乙方承担与所供物资物有关的服务，包括运输、保险、装卸、质量保证、提供技术协助和合同中规定乙方应承担的其它义务。</w:t>
      </w:r>
    </w:p>
    <w:p w14:paraId="0DA4E570">
      <w:pPr>
        <w:snapToGrid w:val="0"/>
        <w:spacing w:line="440" w:lineRule="exact"/>
        <w:ind w:firstLine="411" w:firstLineChars="196"/>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1.6“甲方”是指委托服务的一方以及其合法继承人，即合同协议书中所述的甲方。</w:t>
      </w:r>
    </w:p>
    <w:p w14:paraId="0D5BFFF2">
      <w:pPr>
        <w:snapToGrid w:val="0"/>
        <w:spacing w:line="440" w:lineRule="exact"/>
        <w:ind w:firstLine="411" w:firstLineChars="196"/>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1.7“乙方”是指承担服务的一方以及其合法继承人，即合同协议书中所述的乙方。</w:t>
      </w:r>
    </w:p>
    <w:p w14:paraId="6F079289">
      <w:pPr>
        <w:snapToGrid w:val="0"/>
        <w:spacing w:line="440" w:lineRule="exact"/>
        <w:ind w:firstLine="48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1.8“现场”是指合同协议书中明确的履行服务的现场。</w:t>
      </w:r>
    </w:p>
    <w:p w14:paraId="744EFE0F">
      <w:pPr>
        <w:snapToGrid w:val="0"/>
        <w:spacing w:line="440" w:lineRule="exact"/>
        <w:ind w:firstLine="48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1.9“日”是指任何一天零时至第二天零时的时间段。</w:t>
      </w:r>
    </w:p>
    <w:p w14:paraId="1C6B2D6E">
      <w:pPr>
        <w:snapToGrid w:val="0"/>
        <w:spacing w:line="440" w:lineRule="exact"/>
        <w:ind w:firstLine="48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1.10“月”是指根据公历从一个月份中任何一天开始到下一个月相应日期的前一天的时间段。</w:t>
      </w:r>
    </w:p>
    <w:p w14:paraId="2DD0613B">
      <w:pPr>
        <w:snapToGrid w:val="0"/>
        <w:spacing w:line="440" w:lineRule="exact"/>
        <w:ind w:firstLine="48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1.11“书面形式”是指合同书、信件和数据电文（包括电报、电传、传真、电子数据交换和电子邮件）等可以有形地表现所载内容的形式。</w:t>
      </w:r>
    </w:p>
    <w:p w14:paraId="18239A71">
      <w:pPr>
        <w:snapToGrid w:val="0"/>
        <w:spacing w:line="440" w:lineRule="exact"/>
        <w:ind w:firstLine="48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1.12“不可抗力”是指甲方和乙方在订立本合同时不可预见，在合同履行过程中不可避免并不能克服的自然灾害和社会性突发事件，如地震、海啸、瘟疫、水灾、骚乱、暴动、战争等情形。</w:t>
      </w:r>
    </w:p>
    <w:p w14:paraId="16388394">
      <w:pPr>
        <w:snapToGrid w:val="0"/>
        <w:spacing w:line="440" w:lineRule="exact"/>
        <w:ind w:firstLine="48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1.1</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“基准价”为用户需求书中约定</w:t>
      </w:r>
      <w:r>
        <w:rPr>
          <w:rFonts w:hint="eastAsia" w:ascii="宋体" w:hAnsi="宋体" w:eastAsia="宋体" w:cs="宋体"/>
          <w:sz w:val="21"/>
          <w:szCs w:val="21"/>
          <w:highlight w:val="none"/>
          <w:lang w:val="en-US" w:eastAsia="zh-CN"/>
        </w:rPr>
        <w:t>商品</w:t>
      </w:r>
      <w:r>
        <w:rPr>
          <w:rFonts w:hint="eastAsia" w:ascii="宋体" w:hAnsi="宋体" w:eastAsia="宋体" w:cs="宋体"/>
          <w:sz w:val="21"/>
          <w:szCs w:val="21"/>
          <w:highlight w:val="none"/>
        </w:rPr>
        <w:t>基准价，即本项目</w:t>
      </w:r>
      <w:r>
        <w:rPr>
          <w:rFonts w:hint="eastAsia" w:ascii="宋体" w:hAnsi="宋体" w:eastAsia="宋体" w:cs="宋体"/>
          <w:sz w:val="21"/>
          <w:szCs w:val="21"/>
          <w:highlight w:val="none"/>
          <w:lang w:val="en-US" w:eastAsia="zh-CN"/>
        </w:rPr>
        <w:t>商品</w:t>
      </w:r>
      <w:r>
        <w:rPr>
          <w:rFonts w:hint="eastAsia" w:ascii="宋体" w:hAnsi="宋体" w:eastAsia="宋体" w:cs="宋体"/>
          <w:sz w:val="21"/>
          <w:szCs w:val="21"/>
          <w:highlight w:val="none"/>
        </w:rPr>
        <w:t>结算的基准价格。</w:t>
      </w:r>
    </w:p>
    <w:p w14:paraId="442C91FC">
      <w:pPr>
        <w:snapToGrid w:val="0"/>
        <w:spacing w:line="440" w:lineRule="exact"/>
        <w:ind w:firstLine="422" w:firstLineChars="200"/>
        <w:outlineLvl w:val="9"/>
        <w:rPr>
          <w:rFonts w:hint="eastAsia" w:ascii="宋体" w:hAnsi="宋体" w:eastAsia="宋体" w:cs="宋体"/>
          <w:sz w:val="21"/>
          <w:szCs w:val="21"/>
          <w:highlight w:val="none"/>
        </w:rPr>
      </w:pPr>
      <w:r>
        <w:rPr>
          <w:rFonts w:hint="eastAsia" w:ascii="宋体" w:hAnsi="宋体" w:eastAsia="宋体" w:cs="宋体"/>
          <w:b/>
          <w:bCs/>
          <w:sz w:val="21"/>
          <w:szCs w:val="21"/>
          <w:highlight w:val="none"/>
          <w:lang w:val="zh-CN" w:bidi="en-US"/>
        </w:rPr>
        <w:t>2、</w:t>
      </w:r>
      <w:r>
        <w:rPr>
          <w:rFonts w:hint="eastAsia" w:ascii="宋体" w:hAnsi="宋体" w:eastAsia="宋体" w:cs="宋体"/>
          <w:b/>
          <w:sz w:val="21"/>
          <w:szCs w:val="21"/>
          <w:highlight w:val="none"/>
        </w:rPr>
        <w:t>法律适用</w:t>
      </w:r>
    </w:p>
    <w:p w14:paraId="6D0C7260">
      <w:pPr>
        <w:adjustRightInd w:val="0"/>
        <w:snapToGrid w:val="0"/>
        <w:spacing w:line="440" w:lineRule="exact"/>
        <w:ind w:firstLine="420" w:firstLineChars="200"/>
        <w:outlineLvl w:val="9"/>
        <w:rPr>
          <w:rFonts w:hint="eastAsia" w:ascii="宋体" w:hAnsi="宋体" w:eastAsia="宋体" w:cs="宋体"/>
          <w:b/>
          <w:bCs/>
          <w:sz w:val="21"/>
          <w:szCs w:val="21"/>
          <w:highlight w:val="none"/>
          <w:lang w:val="zh-CN" w:bidi="en-US"/>
        </w:rPr>
      </w:pPr>
      <w:r>
        <w:rPr>
          <w:rFonts w:hint="eastAsia" w:ascii="宋体" w:hAnsi="宋体" w:eastAsia="宋体" w:cs="宋体"/>
          <w:sz w:val="21"/>
          <w:szCs w:val="21"/>
          <w:highlight w:val="none"/>
        </w:rPr>
        <w:t>本合同适用中华人民共和国现行法律、行政法规和规章，如合同条款与法律、行政法规和规章不一致的，按照法律、行政法规和规章修改本合同。</w:t>
      </w:r>
    </w:p>
    <w:p w14:paraId="73D1D850">
      <w:pPr>
        <w:adjustRightInd w:val="0"/>
        <w:snapToGrid w:val="0"/>
        <w:spacing w:line="440" w:lineRule="exact"/>
        <w:ind w:firstLine="422" w:firstLineChars="200"/>
        <w:outlineLvl w:val="9"/>
        <w:rPr>
          <w:rFonts w:hint="eastAsia" w:ascii="宋体" w:hAnsi="宋体" w:eastAsia="宋体" w:cs="宋体"/>
          <w:b/>
          <w:bCs/>
          <w:sz w:val="21"/>
          <w:szCs w:val="21"/>
          <w:highlight w:val="none"/>
          <w:lang w:val="zh-CN" w:bidi="en-US"/>
        </w:rPr>
      </w:pPr>
      <w:r>
        <w:rPr>
          <w:rFonts w:hint="eastAsia" w:ascii="宋体" w:hAnsi="宋体" w:eastAsia="宋体" w:cs="宋体"/>
          <w:b/>
          <w:bCs/>
          <w:sz w:val="21"/>
          <w:szCs w:val="21"/>
          <w:highlight w:val="none"/>
          <w:lang w:val="zh-CN" w:bidi="en-US"/>
        </w:rPr>
        <w:t>3、标准和规范</w:t>
      </w:r>
    </w:p>
    <w:p w14:paraId="18FB97AD">
      <w:pPr>
        <w:adjustRightInd w:val="0"/>
        <w:snapToGrid w:val="0"/>
        <w:spacing w:line="440" w:lineRule="exact"/>
        <w:ind w:firstLine="420" w:firstLineChars="200"/>
        <w:outlineLvl w:val="9"/>
        <w:rPr>
          <w:rFonts w:hint="eastAsia" w:ascii="宋体" w:hAnsi="宋体" w:eastAsia="宋体" w:cs="宋体"/>
          <w:sz w:val="21"/>
          <w:szCs w:val="21"/>
          <w:highlight w:val="none"/>
          <w:lang w:val="zh-CN" w:bidi="en-US"/>
        </w:rPr>
      </w:pPr>
      <w:r>
        <w:rPr>
          <w:rFonts w:hint="eastAsia" w:ascii="宋体" w:hAnsi="宋体" w:eastAsia="宋体" w:cs="宋体"/>
          <w:sz w:val="21"/>
          <w:szCs w:val="21"/>
          <w:highlight w:val="none"/>
          <w:lang w:val="zh-CN" w:bidi="en-US"/>
        </w:rPr>
        <w:t>3.1 适用国家标准、行业标准、项目所在地的地方性标准，以及相应的规范、规程等。</w:t>
      </w:r>
    </w:p>
    <w:p w14:paraId="64B90852">
      <w:pPr>
        <w:adjustRightInd w:val="0"/>
        <w:snapToGrid w:val="0"/>
        <w:spacing w:line="440" w:lineRule="exact"/>
        <w:ind w:firstLine="420" w:firstLineChars="200"/>
        <w:outlineLvl w:val="9"/>
        <w:rPr>
          <w:rFonts w:hint="eastAsia" w:ascii="宋体" w:hAnsi="宋体" w:eastAsia="宋体" w:cs="宋体"/>
          <w:sz w:val="21"/>
          <w:szCs w:val="21"/>
          <w:highlight w:val="none"/>
          <w:lang w:val="zh-CN" w:bidi="en-US"/>
        </w:rPr>
      </w:pPr>
      <w:r>
        <w:rPr>
          <w:rFonts w:hint="eastAsia" w:ascii="宋体" w:hAnsi="宋体" w:eastAsia="宋体" w:cs="宋体"/>
          <w:sz w:val="21"/>
          <w:szCs w:val="21"/>
          <w:highlight w:val="none"/>
          <w:lang w:val="zh-CN" w:bidi="en-US"/>
        </w:rPr>
        <w:t>3.2 甲方对本项目的技术标准或功能的其他要求以用户需求书为准。</w:t>
      </w:r>
    </w:p>
    <w:p w14:paraId="406C577F">
      <w:pPr>
        <w:snapToGrid w:val="0"/>
        <w:spacing w:line="440" w:lineRule="exact"/>
        <w:ind w:firstLine="422" w:firstLineChars="200"/>
        <w:outlineLvl w:val="9"/>
        <w:rPr>
          <w:rFonts w:hint="eastAsia" w:ascii="宋体" w:hAnsi="宋体" w:eastAsia="宋体" w:cs="宋体"/>
          <w:b/>
          <w:sz w:val="21"/>
          <w:szCs w:val="21"/>
          <w:highlight w:val="none"/>
        </w:rPr>
      </w:pPr>
      <w:r>
        <w:rPr>
          <w:rFonts w:hint="eastAsia" w:ascii="宋体" w:hAnsi="宋体" w:eastAsia="宋体" w:cs="宋体"/>
          <w:b/>
          <w:sz w:val="21"/>
          <w:szCs w:val="21"/>
          <w:highlight w:val="none"/>
        </w:rPr>
        <w:t>4、双方项目联系人</w:t>
      </w:r>
    </w:p>
    <w:p w14:paraId="1D483993">
      <w:pPr>
        <w:widowControl/>
        <w:snapToGrid w:val="0"/>
        <w:spacing w:line="440" w:lineRule="exact"/>
        <w:ind w:firstLine="420" w:firstLineChars="200"/>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4.1在本合同有效期内，甲乙双方以书面形式确定项目联系人。</w:t>
      </w:r>
    </w:p>
    <w:p w14:paraId="0C1C0E24">
      <w:pPr>
        <w:widowControl/>
        <w:snapToGrid w:val="0"/>
        <w:spacing w:line="440" w:lineRule="exact"/>
        <w:ind w:firstLine="420" w:firstLineChars="200"/>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4.2一方变更项目联系人的，应当及时以书面形式通知另一方。未及时通知并影响本合同履行或造成损失的，应承担相应的责任。</w:t>
      </w:r>
    </w:p>
    <w:p w14:paraId="047F5E46">
      <w:pPr>
        <w:snapToGrid w:val="0"/>
        <w:spacing w:line="440" w:lineRule="exact"/>
        <w:ind w:firstLine="422" w:firstLineChars="200"/>
        <w:outlineLvl w:val="9"/>
        <w:rPr>
          <w:rFonts w:hint="eastAsia" w:ascii="宋体" w:hAnsi="宋体" w:eastAsia="宋体" w:cs="宋体"/>
          <w:b/>
          <w:sz w:val="21"/>
          <w:szCs w:val="21"/>
          <w:highlight w:val="none"/>
        </w:rPr>
      </w:pPr>
      <w:r>
        <w:rPr>
          <w:rFonts w:hint="eastAsia" w:ascii="宋体" w:hAnsi="宋体" w:eastAsia="宋体" w:cs="宋体"/>
          <w:b/>
          <w:sz w:val="21"/>
          <w:szCs w:val="21"/>
          <w:highlight w:val="none"/>
        </w:rPr>
        <w:t>5、通知</w:t>
      </w:r>
    </w:p>
    <w:p w14:paraId="1E4E102A">
      <w:pPr>
        <w:widowControl/>
        <w:snapToGrid w:val="0"/>
        <w:spacing w:line="440" w:lineRule="exact"/>
        <w:ind w:firstLine="420" w:firstLineChars="200"/>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5.1本合同一方给另一方的通知均应采用书面形式，传真或快递送到本合同中规定的对方的地址和办理签收手续。</w:t>
      </w:r>
    </w:p>
    <w:p w14:paraId="5FA91BBF">
      <w:pPr>
        <w:widowControl/>
        <w:snapToGrid w:val="0"/>
        <w:spacing w:line="440" w:lineRule="exact"/>
        <w:ind w:firstLine="420" w:firstLineChars="200"/>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5.2通知以送到之日或通知书中规定的生效之日起生效，两者中以较迟之日为准。</w:t>
      </w:r>
    </w:p>
    <w:p w14:paraId="604EE22C">
      <w:pPr>
        <w:widowControl w:val="0"/>
        <w:numPr>
          <w:ilvl w:val="0"/>
          <w:numId w:val="13"/>
        </w:numPr>
        <w:adjustRightInd/>
        <w:snapToGrid w:val="0"/>
        <w:spacing w:line="440" w:lineRule="exact"/>
        <w:ind w:firstLine="422" w:firstLineChars="200"/>
        <w:jc w:val="both"/>
        <w:outlineLvl w:val="9"/>
        <w:rPr>
          <w:rFonts w:hint="eastAsia" w:ascii="宋体" w:hAnsi="宋体" w:eastAsia="宋体" w:cs="宋体"/>
          <w:b/>
          <w:kern w:val="2"/>
          <w:sz w:val="21"/>
          <w:szCs w:val="21"/>
          <w:highlight w:val="none"/>
          <w:lang w:val="en-US" w:eastAsia="zh-CN" w:bidi="ar"/>
        </w:rPr>
      </w:pPr>
      <w:r>
        <w:rPr>
          <w:rFonts w:hint="eastAsia" w:ascii="宋体" w:hAnsi="宋体" w:eastAsia="宋体" w:cs="宋体"/>
          <w:b/>
          <w:kern w:val="2"/>
          <w:sz w:val="21"/>
          <w:szCs w:val="21"/>
          <w:highlight w:val="none"/>
          <w:lang w:val="en-US" w:eastAsia="zh-CN" w:bidi="ar-SA"/>
        </w:rPr>
        <w:t>价款支付</w:t>
      </w:r>
    </w:p>
    <w:p w14:paraId="69175142">
      <w:pPr>
        <w:adjustRightInd w:val="0"/>
        <w:snapToGrid w:val="0"/>
        <w:spacing w:line="440" w:lineRule="exact"/>
        <w:ind w:firstLine="420" w:firstLineChars="200"/>
        <w:outlineLvl w:val="9"/>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val="en-US" w:eastAsia="zh-CN" w:bidi="ar"/>
        </w:rPr>
        <w:t>6.</w:t>
      </w:r>
      <w:r>
        <w:rPr>
          <w:rFonts w:hint="eastAsia" w:ascii="宋体" w:hAnsi="宋体" w:cs="宋体"/>
          <w:sz w:val="21"/>
          <w:szCs w:val="21"/>
          <w:highlight w:val="none"/>
          <w:lang w:val="en-US" w:eastAsia="zh-CN" w:bidi="ar"/>
        </w:rPr>
        <w:t>1</w:t>
      </w:r>
      <w:r>
        <w:rPr>
          <w:rFonts w:hint="eastAsia" w:ascii="宋体" w:hAnsi="宋体" w:eastAsia="宋体" w:cs="宋体"/>
          <w:sz w:val="21"/>
          <w:szCs w:val="21"/>
          <w:highlight w:val="none"/>
          <w:lang w:bidi="ar"/>
        </w:rPr>
        <w:t>计价规则</w:t>
      </w:r>
    </w:p>
    <w:p w14:paraId="2FDB6219">
      <w:pPr>
        <w:adjustRightInd w:val="0"/>
        <w:snapToGrid w:val="0"/>
        <w:spacing w:line="440" w:lineRule="exact"/>
        <w:ind w:firstLine="420" w:firstLineChars="200"/>
        <w:outlineLvl w:val="9"/>
        <w:rPr>
          <w:rFonts w:hint="eastAsia" w:ascii="宋体" w:hAnsi="宋体" w:eastAsia="宋体" w:cs="宋体"/>
          <w:sz w:val="21"/>
          <w:szCs w:val="21"/>
          <w:highlight w:val="none"/>
          <w:lang w:eastAsia="zh-CN" w:bidi="ar"/>
        </w:rPr>
      </w:pPr>
      <w:r>
        <w:rPr>
          <w:rFonts w:hint="eastAsia" w:ascii="宋体" w:hAnsi="宋体" w:eastAsia="宋体" w:cs="宋体"/>
          <w:sz w:val="21"/>
          <w:szCs w:val="21"/>
          <w:highlight w:val="none"/>
          <w:lang w:val="en-US" w:eastAsia="zh-CN" w:bidi="ar"/>
        </w:rPr>
        <w:t>以甲方在乙方进场</w:t>
      </w:r>
      <w:r>
        <w:rPr>
          <w:rFonts w:hint="eastAsia" w:ascii="宋体" w:hAnsi="宋体" w:cs="宋体"/>
          <w:sz w:val="21"/>
          <w:szCs w:val="21"/>
          <w:highlight w:val="none"/>
          <w:lang w:val="en-US" w:eastAsia="zh-CN" w:bidi="ar"/>
        </w:rPr>
        <w:t>起，每年一月首个工作日</w:t>
      </w:r>
      <w:r>
        <w:rPr>
          <w:rFonts w:hint="eastAsia" w:ascii="宋体" w:hAnsi="宋体" w:eastAsia="宋体" w:cs="宋体"/>
          <w:sz w:val="21"/>
          <w:szCs w:val="21"/>
          <w:highlight w:val="none"/>
          <w:lang w:val="en-US" w:eastAsia="zh-CN" w:bidi="ar"/>
        </w:rPr>
        <w:t>采集的</w:t>
      </w:r>
      <w:r>
        <w:rPr>
          <w:rFonts w:hint="eastAsia" w:ascii="宋体" w:hAnsi="宋体" w:eastAsia="宋体" w:cs="宋体"/>
          <w:sz w:val="21"/>
          <w:szCs w:val="21"/>
          <w:highlight w:val="none"/>
          <w:lang w:bidi="ar"/>
        </w:rPr>
        <w:t>步步高超市、</w:t>
      </w:r>
      <w:r>
        <w:rPr>
          <w:rFonts w:hint="eastAsia" w:ascii="宋体" w:hAnsi="宋体" w:cs="宋体"/>
          <w:sz w:val="21"/>
          <w:szCs w:val="21"/>
          <w:highlight w:val="none"/>
          <w:lang w:val="en-US" w:eastAsia="zh-CN" w:bidi="ar"/>
        </w:rPr>
        <w:t>沃尔玛</w:t>
      </w:r>
      <w:r>
        <w:rPr>
          <w:rFonts w:hint="eastAsia" w:ascii="宋体" w:hAnsi="宋体" w:eastAsia="宋体" w:cs="宋体"/>
          <w:sz w:val="21"/>
          <w:szCs w:val="21"/>
          <w:highlight w:val="none"/>
          <w:lang w:val="en-US" w:eastAsia="zh-CN" w:bidi="ar"/>
        </w:rPr>
        <w:t>超市</w:t>
      </w:r>
      <w:r>
        <w:rPr>
          <w:rFonts w:hint="eastAsia" w:ascii="宋体" w:hAnsi="宋体" w:eastAsia="宋体" w:cs="宋体"/>
          <w:sz w:val="21"/>
          <w:szCs w:val="21"/>
          <w:highlight w:val="none"/>
          <w:lang w:bidi="ar"/>
        </w:rPr>
        <w:t>、大润发</w:t>
      </w:r>
      <w:r>
        <w:rPr>
          <w:rFonts w:hint="eastAsia" w:ascii="宋体" w:hAnsi="宋体" w:eastAsia="宋体" w:cs="宋体"/>
          <w:sz w:val="21"/>
          <w:szCs w:val="21"/>
          <w:highlight w:val="none"/>
          <w:lang w:val="en-US" w:eastAsia="zh-CN" w:bidi="ar"/>
        </w:rPr>
        <w:t>超市干货类商品平均价</w:t>
      </w:r>
      <w:r>
        <w:rPr>
          <w:rFonts w:hint="eastAsia" w:ascii="宋体" w:hAnsi="宋体" w:cs="宋体"/>
          <w:sz w:val="21"/>
          <w:szCs w:val="21"/>
          <w:highlight w:val="none"/>
          <w:lang w:val="en-US" w:eastAsia="zh-CN" w:bidi="ar"/>
        </w:rPr>
        <w:t>（</w:t>
      </w:r>
      <w:r>
        <w:rPr>
          <w:rFonts w:hint="eastAsia" w:ascii="宋体" w:hAnsi="宋体" w:eastAsia="宋体" w:cs="宋体"/>
          <w:sz w:val="21"/>
          <w:szCs w:val="21"/>
          <w:highlight w:val="none"/>
          <w:lang w:val="en-US" w:eastAsia="zh-CN" w:bidi="ar"/>
        </w:rPr>
        <w:t>超市同期公示的非促销零售价/超市当期无任何附加条件的常规零售价</w:t>
      </w:r>
      <w:r>
        <w:rPr>
          <w:rFonts w:hint="eastAsia" w:ascii="宋体" w:hAnsi="宋体" w:cs="宋体"/>
          <w:sz w:val="21"/>
          <w:szCs w:val="21"/>
          <w:highlight w:val="none"/>
          <w:lang w:val="en-US" w:eastAsia="zh-CN" w:bidi="ar"/>
        </w:rPr>
        <w:t>）</w:t>
      </w:r>
      <w:r>
        <w:rPr>
          <w:rFonts w:hint="eastAsia" w:ascii="宋体" w:hAnsi="宋体" w:eastAsia="宋体" w:cs="宋体"/>
          <w:sz w:val="21"/>
          <w:szCs w:val="21"/>
          <w:highlight w:val="none"/>
          <w:lang w:val="en-US" w:eastAsia="zh-CN" w:bidi="ar"/>
        </w:rPr>
        <w:t>为合同履约期的干货类商品的基准价</w:t>
      </w:r>
      <w:r>
        <w:rPr>
          <w:rFonts w:hint="eastAsia" w:ascii="宋体" w:hAnsi="宋体" w:cs="宋体"/>
          <w:sz w:val="21"/>
          <w:szCs w:val="21"/>
          <w:highlight w:val="none"/>
          <w:lang w:val="en-US" w:eastAsia="zh-CN" w:bidi="ar"/>
        </w:rPr>
        <w:t>；若存在无法同时从三家超市询价的情况，此时以能询到的两家或一家超市的</w:t>
      </w:r>
      <w:r>
        <w:rPr>
          <w:rFonts w:hint="eastAsia" w:ascii="宋体" w:hAnsi="宋体" w:eastAsia="宋体" w:cs="宋体"/>
          <w:sz w:val="21"/>
          <w:szCs w:val="21"/>
          <w:highlight w:val="none"/>
          <w:lang w:val="en-US" w:eastAsia="zh-CN" w:bidi="ar"/>
        </w:rPr>
        <w:t>非促销零售价</w:t>
      </w:r>
      <w:r>
        <w:rPr>
          <w:rFonts w:hint="eastAsia" w:ascii="宋体" w:hAnsi="宋体" w:cs="宋体"/>
          <w:sz w:val="21"/>
          <w:szCs w:val="21"/>
          <w:highlight w:val="none"/>
          <w:lang w:val="en-US" w:eastAsia="zh-CN" w:bidi="ar"/>
        </w:rPr>
        <w:t>/</w:t>
      </w:r>
      <w:r>
        <w:rPr>
          <w:rFonts w:hint="eastAsia" w:ascii="宋体" w:hAnsi="宋体" w:eastAsia="宋体" w:cs="宋体"/>
          <w:sz w:val="21"/>
          <w:szCs w:val="21"/>
          <w:highlight w:val="none"/>
          <w:lang w:val="en-US" w:eastAsia="zh-CN" w:bidi="ar"/>
        </w:rPr>
        <w:t>常规零售价</w:t>
      </w:r>
      <w:r>
        <w:rPr>
          <w:rFonts w:hint="eastAsia" w:ascii="宋体" w:hAnsi="宋体" w:cs="宋体"/>
          <w:sz w:val="21"/>
          <w:szCs w:val="21"/>
          <w:highlight w:val="none"/>
          <w:lang w:val="en-US" w:eastAsia="zh-CN" w:bidi="ar"/>
        </w:rPr>
        <w:t>为基准价；各品类</w:t>
      </w:r>
      <w:r>
        <w:rPr>
          <w:rFonts w:hint="eastAsia" w:ascii="宋体" w:hAnsi="宋体" w:eastAsia="宋体" w:cs="宋体"/>
          <w:sz w:val="21"/>
          <w:szCs w:val="21"/>
          <w:highlight w:val="none"/>
          <w:lang w:bidi="ar"/>
        </w:rPr>
        <w:t>结算</w:t>
      </w:r>
      <w:r>
        <w:rPr>
          <w:rFonts w:hint="eastAsia" w:ascii="宋体" w:hAnsi="宋体" w:cs="宋体"/>
          <w:sz w:val="21"/>
          <w:szCs w:val="21"/>
          <w:highlight w:val="none"/>
          <w:lang w:val="en-US" w:eastAsia="zh-CN" w:bidi="ar"/>
        </w:rPr>
        <w:t>单</w:t>
      </w:r>
      <w:r>
        <w:rPr>
          <w:rFonts w:hint="eastAsia" w:ascii="宋体" w:hAnsi="宋体" w:eastAsia="宋体" w:cs="宋体"/>
          <w:sz w:val="21"/>
          <w:szCs w:val="21"/>
          <w:highlight w:val="none"/>
          <w:lang w:val="en-US" w:eastAsia="zh-CN" w:bidi="ar"/>
        </w:rPr>
        <w:t>价=</w:t>
      </w:r>
      <w:r>
        <w:rPr>
          <w:rFonts w:hint="eastAsia" w:ascii="宋体" w:hAnsi="宋体" w:cs="宋体"/>
          <w:sz w:val="21"/>
          <w:szCs w:val="21"/>
          <w:highlight w:val="none"/>
          <w:lang w:val="en-US" w:eastAsia="zh-CN" w:bidi="ar"/>
        </w:rPr>
        <w:t>各品类</w:t>
      </w:r>
      <w:r>
        <w:rPr>
          <w:rFonts w:hint="eastAsia" w:ascii="宋体" w:hAnsi="宋体" w:eastAsia="宋体" w:cs="宋体"/>
          <w:sz w:val="21"/>
          <w:szCs w:val="21"/>
          <w:highlight w:val="none"/>
          <w:lang w:bidi="ar"/>
        </w:rPr>
        <w:t>基准价*（1-</w:t>
      </w:r>
      <w:r>
        <w:rPr>
          <w:rFonts w:hint="eastAsia" w:ascii="宋体" w:hAnsi="宋体" w:cs="宋体"/>
          <w:sz w:val="21"/>
          <w:szCs w:val="21"/>
          <w:highlight w:val="none"/>
          <w:lang w:val="en-US" w:eastAsia="zh-CN" w:bidi="ar"/>
        </w:rPr>
        <w:t>**%</w:t>
      </w:r>
      <w:r>
        <w:rPr>
          <w:rFonts w:hint="eastAsia" w:ascii="宋体" w:hAnsi="宋体" w:eastAsia="宋体" w:cs="宋体"/>
          <w:sz w:val="21"/>
          <w:szCs w:val="21"/>
          <w:highlight w:val="none"/>
          <w:lang w:bidi="ar"/>
        </w:rPr>
        <w:t>）</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bidi="ar"/>
        </w:rPr>
        <w:t>此价格</w:t>
      </w:r>
      <w:r>
        <w:rPr>
          <w:rFonts w:hint="eastAsia" w:ascii="宋体" w:hAnsi="宋体" w:cs="宋体"/>
          <w:sz w:val="21"/>
          <w:szCs w:val="21"/>
          <w:highlight w:val="none"/>
          <w:lang w:val="en-US" w:eastAsia="zh-CN" w:bidi="ar"/>
        </w:rPr>
        <w:t>包括但不限于</w:t>
      </w:r>
      <w:r>
        <w:rPr>
          <w:rFonts w:hint="eastAsia" w:ascii="宋体" w:hAnsi="宋体" w:eastAsia="宋体" w:cs="宋体"/>
          <w:sz w:val="21"/>
          <w:szCs w:val="21"/>
          <w:highlight w:val="none"/>
          <w:lang w:bidi="ar"/>
        </w:rPr>
        <w:t>：税费、运费、干货食材费、</w:t>
      </w:r>
      <w:r>
        <w:rPr>
          <w:rFonts w:hint="eastAsia" w:ascii="宋体" w:hAnsi="宋体" w:cs="宋体"/>
          <w:sz w:val="21"/>
          <w:szCs w:val="21"/>
          <w:highlight w:val="none"/>
          <w:lang w:val="en-US" w:eastAsia="zh-CN" w:bidi="ar"/>
        </w:rPr>
        <w:t>仓储费、</w:t>
      </w:r>
      <w:r>
        <w:rPr>
          <w:rFonts w:hint="eastAsia" w:ascii="宋体" w:hAnsi="宋体" w:eastAsia="宋体" w:cs="宋体"/>
          <w:sz w:val="21"/>
          <w:szCs w:val="21"/>
          <w:highlight w:val="none"/>
          <w:lang w:bidi="ar"/>
        </w:rPr>
        <w:t>人工费、管理费等费用，双方确定价格后的月度按此价格执行，不得另行调高价格</w:t>
      </w:r>
      <w:r>
        <w:rPr>
          <w:rFonts w:hint="eastAsia" w:ascii="宋体" w:hAnsi="宋体" w:eastAsia="宋体" w:cs="宋体"/>
          <w:sz w:val="21"/>
          <w:szCs w:val="21"/>
          <w:highlight w:val="none"/>
          <w:lang w:eastAsia="zh-CN"/>
        </w:rPr>
        <w:t>。</w:t>
      </w:r>
      <w:r>
        <w:rPr>
          <w:rFonts w:hint="eastAsia" w:ascii="宋体" w:hAnsi="宋体" w:cs="宋体"/>
          <w:sz w:val="21"/>
          <w:szCs w:val="21"/>
          <w:highlight w:val="none"/>
          <w:lang w:val="en-US" w:eastAsia="zh-CN" w:bidi="ar"/>
        </w:rPr>
        <w:t>若三家超市均无法提供商品价格，则以当期市场询价后双方确定的价格为结算价。</w:t>
      </w:r>
    </w:p>
    <w:p w14:paraId="61FA1A90">
      <w:pPr>
        <w:widowControl w:val="0"/>
        <w:numPr>
          <w:ilvl w:val="-1"/>
          <w:numId w:val="0"/>
        </w:numPr>
        <w:adjustRightInd/>
        <w:snapToGrid w:val="0"/>
        <w:spacing w:line="440" w:lineRule="exact"/>
        <w:ind w:firstLine="420" w:firstLineChars="200"/>
        <w:jc w:val="both"/>
        <w:outlineLvl w:val="9"/>
        <w:rPr>
          <w:rFonts w:hint="eastAsia" w:ascii="宋体" w:hAnsi="宋体" w:eastAsia="宋体" w:cs="宋体"/>
          <w:b/>
          <w:kern w:val="2"/>
          <w:sz w:val="21"/>
          <w:szCs w:val="21"/>
          <w:highlight w:val="none"/>
          <w:lang w:val="en-US" w:eastAsia="zh-CN" w:bidi="ar-SA"/>
        </w:rPr>
      </w:pPr>
      <w:r>
        <w:rPr>
          <w:rFonts w:hint="eastAsia" w:ascii="宋体" w:hAnsi="宋体" w:eastAsia="宋体" w:cs="宋体"/>
          <w:b w:val="0"/>
          <w:bCs/>
          <w:kern w:val="2"/>
          <w:sz w:val="21"/>
          <w:szCs w:val="21"/>
          <w:highlight w:val="none"/>
          <w:lang w:val="en-US" w:eastAsia="zh-CN" w:bidi="ar"/>
        </w:rPr>
        <w:t>6.</w:t>
      </w:r>
      <w:r>
        <w:rPr>
          <w:rFonts w:hint="eastAsia" w:ascii="宋体" w:hAnsi="宋体" w:cs="宋体"/>
          <w:b w:val="0"/>
          <w:bCs/>
          <w:kern w:val="2"/>
          <w:sz w:val="21"/>
          <w:szCs w:val="21"/>
          <w:highlight w:val="none"/>
          <w:lang w:val="en-US" w:eastAsia="zh-CN" w:bidi="ar"/>
        </w:rPr>
        <w:t>2</w:t>
      </w:r>
      <w:r>
        <w:rPr>
          <w:rFonts w:hint="eastAsia" w:ascii="宋体" w:hAnsi="宋体" w:eastAsia="宋体" w:cs="宋体"/>
          <w:kern w:val="2"/>
          <w:sz w:val="21"/>
          <w:szCs w:val="21"/>
          <w:highlight w:val="none"/>
          <w:u w:val="none"/>
          <w:lang w:val="en-US" w:eastAsia="zh-CN" w:bidi="ar-SA"/>
        </w:rPr>
        <w:t>进度款支付</w:t>
      </w:r>
    </w:p>
    <w:p w14:paraId="1E299177">
      <w:pPr>
        <w:adjustRightInd w:val="0"/>
        <w:snapToGrid w:val="0"/>
        <w:spacing w:line="440" w:lineRule="exact"/>
        <w:ind w:firstLine="420" w:firstLineChars="200"/>
        <w:outlineLvl w:val="9"/>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按月支付：</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当月支付金额=∑</w:t>
      </w:r>
      <w:r>
        <w:rPr>
          <w:rFonts w:hint="eastAsia" w:ascii="宋体" w:hAnsi="宋体" w:cs="宋体"/>
          <w:color w:val="000000" w:themeColor="text1"/>
          <w:sz w:val="21"/>
          <w:szCs w:val="21"/>
          <w:highlight w:val="none"/>
          <w:lang w:val="en-US" w:eastAsia="zh-CN" w:bidi="ar"/>
          <w14:textFill>
            <w14:solidFill>
              <w14:schemeClr w14:val="tx1"/>
            </w14:solidFill>
          </w14:textFill>
        </w:rPr>
        <w:t>（各品类</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当月供货验收数量*</w:t>
      </w:r>
      <w:r>
        <w:rPr>
          <w:rFonts w:hint="eastAsia" w:ascii="宋体" w:hAnsi="宋体" w:cs="宋体"/>
          <w:color w:val="000000" w:themeColor="text1"/>
          <w:sz w:val="21"/>
          <w:szCs w:val="21"/>
          <w:highlight w:val="none"/>
          <w:lang w:val="en-US" w:eastAsia="zh-CN" w:bidi="ar"/>
          <w14:textFill>
            <w14:solidFill>
              <w14:schemeClr w14:val="tx1"/>
            </w14:solidFill>
          </w14:textFill>
        </w:rPr>
        <w:t>各品类结算单价）</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+当月考评金额。当月考评金额</w:t>
      </w:r>
      <w:r>
        <w:rPr>
          <w:rFonts w:hint="eastAsia" w:ascii="宋体" w:hAnsi="宋体" w:cs="宋体"/>
          <w:color w:val="000000" w:themeColor="text1"/>
          <w:sz w:val="21"/>
          <w:szCs w:val="21"/>
          <w:highlight w:val="none"/>
          <w:lang w:val="en-US" w:eastAsia="zh-CN" w:bidi="ar"/>
          <w14:textFill>
            <w14:solidFill>
              <w14:schemeClr w14:val="tx1"/>
            </w14:solidFill>
          </w14:textFill>
        </w:rPr>
        <w:t>按照</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甲方相关管理制度及考评办法中规定的考评通知书裁定结果执行。</w:t>
      </w:r>
    </w:p>
    <w:p w14:paraId="3635C465">
      <w:pPr>
        <w:adjustRightInd w:val="0"/>
        <w:snapToGrid w:val="0"/>
        <w:spacing w:line="440" w:lineRule="exact"/>
        <w:ind w:firstLine="420" w:firstLineChars="200"/>
        <w:outlineLvl w:val="9"/>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进度款支付乙方应在次月10日前提报支付申请，乙方凭当次应支付款额度100%的增值税发票原件、货品验收单，办理每月的请款手续；甲方在收到乙方的上述请款材料并确认无误后的28个工作日内向乙方进行支付。</w:t>
      </w:r>
    </w:p>
    <w:p w14:paraId="7AC5C418">
      <w:pPr>
        <w:adjustRightInd w:val="0"/>
        <w:snapToGrid w:val="0"/>
        <w:spacing w:line="440" w:lineRule="exact"/>
        <w:ind w:firstLine="420" w:firstLineChars="200"/>
        <w:outlineLvl w:val="9"/>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乙方按照甲方下单的货物种类和数量，按时足量送货。具体以实际需求为准。</w:t>
      </w:r>
    </w:p>
    <w:p w14:paraId="103D40B7">
      <w:pPr>
        <w:widowControl w:val="0"/>
        <w:adjustRightInd w:val="0"/>
        <w:snapToGrid w:val="0"/>
        <w:spacing w:line="440" w:lineRule="exact"/>
        <w:ind w:firstLine="0" w:firstLineChars="0"/>
        <w:jc w:val="both"/>
        <w:outlineLvl w:val="9"/>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 xml:space="preserve">    7.履约保证金</w:t>
      </w:r>
    </w:p>
    <w:p w14:paraId="409CD627">
      <w:pPr>
        <w:adjustRightInd w:val="0"/>
        <w:snapToGrid w:val="0"/>
        <w:spacing w:line="440" w:lineRule="exact"/>
        <w:ind w:firstLine="420" w:firstLineChars="200"/>
        <w:outlineLvl w:val="9"/>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7.1.</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乙方应在本合同签订后按合同暂定</w:t>
      </w:r>
      <w:r>
        <w:rPr>
          <w:rFonts w:hint="eastAsia" w:ascii="宋体" w:hAnsi="宋体" w:cs="宋体"/>
          <w:color w:val="000000" w:themeColor="text1"/>
          <w:sz w:val="21"/>
          <w:szCs w:val="21"/>
          <w:highlight w:val="none"/>
          <w:lang w:val="en-US" w:eastAsia="zh-CN" w:bidi="ar"/>
          <w14:textFill>
            <w14:solidFill>
              <w14:schemeClr w14:val="tx1"/>
            </w14:solidFill>
          </w14:textFill>
        </w:rPr>
        <w:t>含税总价</w:t>
      </w:r>
      <w:r>
        <w:rPr>
          <w:rFonts w:hint="eastAsia" w:ascii="宋体" w:hAnsi="宋体" w:eastAsia="宋体" w:cs="宋体"/>
          <w:sz w:val="21"/>
          <w:szCs w:val="21"/>
          <w:highlight w:val="none"/>
          <w:lang w:val="en-US" w:eastAsia="zh-CN" w:bidi="ar"/>
        </w:rPr>
        <w:t>的</w:t>
      </w:r>
      <w:r>
        <w:rPr>
          <w:rFonts w:hint="eastAsia" w:ascii="宋体" w:hAnsi="宋体" w:cs="宋体"/>
          <w:sz w:val="21"/>
          <w:szCs w:val="21"/>
          <w:highlight w:val="none"/>
          <w:lang w:val="en-US" w:eastAsia="zh-CN" w:bidi="ar"/>
        </w:rPr>
        <w:t>10</w:t>
      </w:r>
      <w:r>
        <w:rPr>
          <w:rFonts w:hint="eastAsia" w:ascii="宋体" w:hAnsi="宋体" w:eastAsia="宋体" w:cs="宋体"/>
          <w:sz w:val="21"/>
          <w:szCs w:val="21"/>
          <w:highlight w:val="none"/>
          <w:lang w:val="en-US" w:eastAsia="zh-CN" w:bidi="ar"/>
        </w:rPr>
        <w:t>%向甲方缴纳履约保证金。履约保证金须在合同的权利义务终止前保持有效。</w:t>
      </w:r>
    </w:p>
    <w:p w14:paraId="491E9811">
      <w:pPr>
        <w:adjustRightInd w:val="0"/>
        <w:snapToGrid w:val="0"/>
        <w:spacing w:line="440" w:lineRule="exact"/>
        <w:ind w:firstLine="420" w:firstLineChars="200"/>
        <w:outlineLvl w:val="9"/>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7.2.履约保证金用银行保函提交的，保函格式详见附件，保函须经甲方确认并经甲方指定银行进行鉴定；乙方自行办理保函鉴定手续并承担相关费用。</w:t>
      </w:r>
    </w:p>
    <w:p w14:paraId="307BFF7D">
      <w:pPr>
        <w:adjustRightInd w:val="0"/>
        <w:snapToGrid w:val="0"/>
        <w:spacing w:line="440" w:lineRule="exact"/>
        <w:ind w:firstLine="420" w:firstLineChars="200"/>
        <w:outlineLvl w:val="9"/>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7.3.履约保证金用人民币转账提交的，甲方银行账号资料如下：</w:t>
      </w:r>
    </w:p>
    <w:p w14:paraId="729BDCAA">
      <w:pPr>
        <w:adjustRightInd w:val="0"/>
        <w:snapToGrid w:val="0"/>
        <w:spacing w:line="440" w:lineRule="exact"/>
        <w:ind w:firstLine="420" w:firstLineChars="200"/>
        <w:outlineLvl w:val="9"/>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开户名称：</w:t>
      </w:r>
      <w:r>
        <w:rPr>
          <w:rFonts w:hint="eastAsia" w:ascii="宋体" w:hAnsi="宋体" w:eastAsia="宋体" w:cs="宋体"/>
          <w:color w:val="000000" w:themeColor="text1"/>
          <w:kern w:val="0"/>
          <w:sz w:val="21"/>
          <w:szCs w:val="21"/>
          <w:highlight w:val="none"/>
          <w14:textFill>
            <w14:solidFill>
              <w14:schemeClr w14:val="tx1"/>
            </w14:solidFill>
          </w14:textFill>
        </w:rPr>
        <w:t>中国建设银行股份有限公司长沙望城坡支行</w:t>
      </w:r>
    </w:p>
    <w:p w14:paraId="5115E761">
      <w:pPr>
        <w:adjustRightInd w:val="0"/>
        <w:snapToGrid w:val="0"/>
        <w:spacing w:line="440" w:lineRule="exact"/>
        <w:ind w:firstLine="420" w:firstLineChars="200"/>
        <w:outlineLvl w:val="9"/>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开户银行：</w:t>
      </w:r>
      <w:r>
        <w:rPr>
          <w:rFonts w:hint="eastAsia" w:ascii="宋体" w:hAnsi="宋体" w:eastAsia="宋体" w:cs="宋体"/>
          <w:color w:val="000000" w:themeColor="text1"/>
          <w:kern w:val="0"/>
          <w:sz w:val="21"/>
          <w:szCs w:val="21"/>
          <w:highlight w:val="none"/>
          <w14:textFill>
            <w14:solidFill>
              <w14:schemeClr w14:val="tx1"/>
            </w14:solidFill>
          </w14:textFill>
        </w:rPr>
        <w:t>长沙穗城轨道交通有限公司</w:t>
      </w:r>
    </w:p>
    <w:p w14:paraId="0B2BCF3C">
      <w:pPr>
        <w:adjustRightInd w:val="0"/>
        <w:snapToGrid w:val="0"/>
        <w:spacing w:line="440" w:lineRule="exact"/>
        <w:ind w:firstLine="420" w:firstLineChars="200"/>
        <w:outlineLvl w:val="9"/>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帐    号：</w:t>
      </w:r>
      <w:r>
        <w:rPr>
          <w:rFonts w:hint="eastAsia" w:ascii="宋体" w:hAnsi="宋体" w:eastAsia="宋体" w:cs="宋体"/>
          <w:color w:val="000000" w:themeColor="text1"/>
          <w:kern w:val="0"/>
          <w:sz w:val="21"/>
          <w:szCs w:val="21"/>
          <w:highlight w:val="none"/>
          <w14:textFill>
            <w14:solidFill>
              <w14:schemeClr w14:val="tx1"/>
            </w14:solidFill>
          </w14:textFill>
        </w:rPr>
        <w:t>43050178413600000646</w:t>
      </w:r>
    </w:p>
    <w:p w14:paraId="13D6021E">
      <w:pPr>
        <w:adjustRightInd w:val="0"/>
        <w:snapToGrid w:val="0"/>
        <w:spacing w:line="440" w:lineRule="exact"/>
        <w:ind w:firstLine="420" w:firstLineChars="200"/>
        <w:outlineLvl w:val="9"/>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7.4.乙方在合同履行期间存在任何违约行为，甲方有权直接从履约保证金扣除合同约定的违约金或损害赔偿金等费用，但甲方需将这一行为及时通知乙方；乙方有权提出异议，双方无法达成一致时按合同约定的争议解决方式处理。甲方应在合同的权利义务终止后及时将剩余的履约保证金无息返还，若返还履约保证金时发生银行费用，则该费用由乙方承担且从履约保证金金额内直接扣减。</w:t>
      </w:r>
    </w:p>
    <w:p w14:paraId="002E8EF7">
      <w:pPr>
        <w:snapToGrid w:val="0"/>
        <w:spacing w:line="440" w:lineRule="exact"/>
        <w:ind w:firstLine="482"/>
        <w:outlineLvl w:val="9"/>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8</w:t>
      </w:r>
      <w:r>
        <w:rPr>
          <w:rFonts w:hint="eastAsia" w:ascii="宋体" w:hAnsi="宋体" w:eastAsia="宋体" w:cs="宋体"/>
          <w:b/>
          <w:sz w:val="21"/>
          <w:szCs w:val="21"/>
          <w:highlight w:val="none"/>
        </w:rPr>
        <w:t>、双方的权利义务</w:t>
      </w:r>
    </w:p>
    <w:p w14:paraId="4AEAD070">
      <w:pPr>
        <w:widowControl w:val="0"/>
        <w:tabs>
          <w:tab w:val="left" w:pos="1248"/>
        </w:tabs>
        <w:adjustRightInd w:val="0"/>
        <w:snapToGrid w:val="0"/>
        <w:spacing w:line="440" w:lineRule="exact"/>
        <w:ind w:firstLine="420" w:firstLineChars="200"/>
        <w:jc w:val="both"/>
        <w:outlineLvl w:val="9"/>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SA"/>
        </w:rPr>
        <w:t>详见用户需求书。</w:t>
      </w:r>
    </w:p>
    <w:p w14:paraId="1E697992">
      <w:pPr>
        <w:widowControl w:val="0"/>
        <w:adjustRightInd w:val="0"/>
        <w:snapToGrid w:val="0"/>
        <w:spacing w:line="440" w:lineRule="exact"/>
        <w:ind w:firstLine="422" w:firstLineChars="200"/>
        <w:jc w:val="both"/>
        <w:outlineLvl w:val="9"/>
        <w:rPr>
          <w:rFonts w:hint="eastAsia" w:ascii="宋体" w:hAnsi="宋体" w:eastAsia="宋体" w:cs="宋体"/>
          <w:b/>
          <w:bCs/>
          <w:kern w:val="2"/>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9</w:t>
      </w:r>
      <w:r>
        <w:rPr>
          <w:rFonts w:hint="eastAsia" w:ascii="宋体" w:hAnsi="宋体" w:eastAsia="宋体" w:cs="宋体"/>
          <w:b/>
          <w:kern w:val="2"/>
          <w:sz w:val="21"/>
          <w:szCs w:val="21"/>
          <w:highlight w:val="none"/>
          <w:lang w:val="en-US" w:eastAsia="zh-CN" w:bidi="ar-SA"/>
        </w:rPr>
        <w:t>、违约及赔偿责任</w:t>
      </w:r>
    </w:p>
    <w:p w14:paraId="1F6B8686">
      <w:pPr>
        <w:spacing w:line="440" w:lineRule="exact"/>
        <w:ind w:firstLine="420" w:firstLineChars="20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9.1因乙方原因提前终止合同的，乙方应</w:t>
      </w:r>
      <w:r>
        <w:rPr>
          <w:rFonts w:hint="eastAsia" w:ascii="宋体" w:hAnsi="宋体" w:eastAsia="宋体" w:cs="宋体"/>
          <w:sz w:val="21"/>
          <w:szCs w:val="21"/>
          <w:highlight w:val="none"/>
          <w:lang w:val="en-US" w:eastAsia="zh-CN"/>
        </w:rPr>
        <w:t>至少提前四个月向甲方提出书面申请，经甲方同意后方可退场</w:t>
      </w:r>
      <w:r>
        <w:rPr>
          <w:rFonts w:hint="eastAsia" w:ascii="宋体" w:hAnsi="宋体" w:cs="宋体"/>
          <w:sz w:val="21"/>
          <w:szCs w:val="21"/>
          <w:highlight w:val="none"/>
          <w:lang w:val="en-US" w:eastAsia="zh-CN"/>
        </w:rPr>
        <w:t>，甲方有权扣除履约保证金</w:t>
      </w:r>
      <w:r>
        <w:rPr>
          <w:rFonts w:hint="eastAsia" w:ascii="宋体" w:hAnsi="宋体" w:eastAsia="宋体" w:cs="宋体"/>
          <w:sz w:val="21"/>
          <w:szCs w:val="21"/>
          <w:highlight w:val="none"/>
        </w:rPr>
        <w:t>。</w:t>
      </w:r>
    </w:p>
    <w:p w14:paraId="35BC28E4">
      <w:pPr>
        <w:spacing w:line="440" w:lineRule="exact"/>
        <w:ind w:firstLine="420" w:firstLineChars="20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9.2乙方在接到甲方发出的违约通知后，应按通知要求交纳违约金；否则，甲方有权暂停合同价款支付或从乙方的合同价款中扣除相应的违约金。</w:t>
      </w:r>
    </w:p>
    <w:p w14:paraId="31B6B913">
      <w:pPr>
        <w:spacing w:line="440" w:lineRule="exact"/>
        <w:ind w:firstLine="420" w:firstLineChars="20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9.3乙方应以转账方式交纳违约金，甲方根据税法相关规定开具收款收据或增值税发票。</w:t>
      </w:r>
    </w:p>
    <w:p w14:paraId="5AEE0088">
      <w:pPr>
        <w:snapToGrid w:val="0"/>
        <w:spacing w:line="440" w:lineRule="exact"/>
        <w:ind w:firstLine="420" w:firstLineChars="20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9.4因乙方提供的发票导致甲方被税务部门追究相关法律责任的，乙方应承担由此给甲方造成的损失（包括但不限于未抵扣的税费、滞纳金）。</w:t>
      </w:r>
    </w:p>
    <w:p w14:paraId="02B2F714">
      <w:pPr>
        <w:snapToGrid w:val="0"/>
        <w:spacing w:line="440" w:lineRule="exact"/>
        <w:ind w:firstLine="420" w:firstLineChars="20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9.5因乙方提供的物资不符合国家规定的质量、卫生、安全标准导致食品/健康/卫生方面的安全或质量问题（包括不符合甲方要求或存在缺陷等），或因乙方货物引发食品/健康/卫生方面的安全或质量事故的，由乙方承担全部的经济和法律责任。</w:t>
      </w:r>
    </w:p>
    <w:p w14:paraId="4DE5CF95">
      <w:pPr>
        <w:snapToGrid w:val="0"/>
        <w:spacing w:line="440" w:lineRule="exact"/>
        <w:ind w:firstLine="422" w:firstLineChars="200"/>
        <w:outlineLvl w:val="9"/>
        <w:rPr>
          <w:rFonts w:hint="eastAsia" w:ascii="宋体" w:hAnsi="宋体" w:eastAsia="宋体" w:cs="宋体"/>
          <w:b/>
          <w:sz w:val="21"/>
          <w:szCs w:val="21"/>
          <w:highlight w:val="none"/>
        </w:rPr>
      </w:pPr>
      <w:r>
        <w:rPr>
          <w:rFonts w:hint="eastAsia" w:ascii="宋体" w:hAnsi="宋体" w:eastAsia="宋体" w:cs="宋体"/>
          <w:b/>
          <w:sz w:val="21"/>
          <w:szCs w:val="21"/>
          <w:highlight w:val="none"/>
        </w:rPr>
        <w:t>10、合同变更</w:t>
      </w:r>
    </w:p>
    <w:p w14:paraId="1C98D699">
      <w:pPr>
        <w:widowControl/>
        <w:snapToGrid w:val="0"/>
        <w:spacing w:line="440" w:lineRule="exact"/>
        <w:ind w:firstLine="420" w:firstLineChars="200"/>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10.1双方经平等协商一致，可就本合同约定进行相应变更，但双方应签订相应书面补充协议。</w:t>
      </w:r>
    </w:p>
    <w:p w14:paraId="11517D4F">
      <w:pPr>
        <w:snapToGrid w:val="0"/>
        <w:spacing w:line="440" w:lineRule="exact"/>
        <w:ind w:firstLine="422" w:firstLineChars="200"/>
        <w:outlineLvl w:val="9"/>
        <w:rPr>
          <w:rFonts w:hint="eastAsia" w:ascii="宋体" w:hAnsi="宋体" w:eastAsia="宋体" w:cs="宋体"/>
          <w:b/>
          <w:sz w:val="21"/>
          <w:szCs w:val="21"/>
          <w:highlight w:val="none"/>
        </w:rPr>
      </w:pPr>
      <w:r>
        <w:rPr>
          <w:rFonts w:hint="eastAsia" w:ascii="宋体" w:hAnsi="宋体" w:eastAsia="宋体" w:cs="宋体"/>
          <w:b/>
          <w:sz w:val="21"/>
          <w:szCs w:val="21"/>
          <w:highlight w:val="none"/>
        </w:rPr>
        <w:t>11、合同解除</w:t>
      </w:r>
    </w:p>
    <w:p w14:paraId="32A0D016">
      <w:pPr>
        <w:snapToGrid w:val="0"/>
        <w:spacing w:line="440" w:lineRule="exact"/>
        <w:ind w:firstLine="420" w:firstLineChars="20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11.1出现下列情形之一，致使本合同的履行成为不必要或不可能的，可以解除本合同：</w:t>
      </w:r>
    </w:p>
    <w:p w14:paraId="5FC96084">
      <w:pPr>
        <w:snapToGrid w:val="0"/>
        <w:spacing w:line="440" w:lineRule="exact"/>
        <w:ind w:firstLine="420" w:firstLineChars="200"/>
        <w:outlineLvl w:val="9"/>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（1）发生不可抗力。</w:t>
      </w:r>
    </w:p>
    <w:p w14:paraId="362899A2">
      <w:pPr>
        <w:snapToGrid w:val="0"/>
        <w:spacing w:line="440" w:lineRule="exact"/>
        <w:ind w:firstLine="420" w:firstLineChars="200"/>
        <w:outlineLvl w:val="9"/>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（2）上级部门有重大决策或明确指示将项目取消的。</w:t>
      </w:r>
    </w:p>
    <w:p w14:paraId="4C858504">
      <w:pPr>
        <w:snapToGrid w:val="0"/>
        <w:spacing w:line="440" w:lineRule="exact"/>
        <w:ind w:firstLine="420" w:firstLineChars="200"/>
        <w:outlineLvl w:val="9"/>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（3）乙方未经甲方书面同意，擅自委托其它任何第三方单位或人员代为履行本合同，将本合同项目转包、分包、转租或变相转包的、分包、转租，甲方有权解除合同。</w:t>
      </w:r>
    </w:p>
    <w:p w14:paraId="707BC981">
      <w:pPr>
        <w:snapToGrid w:val="0"/>
        <w:spacing w:line="440" w:lineRule="exact"/>
        <w:ind w:firstLine="420" w:firstLineChars="200"/>
        <w:outlineLvl w:val="9"/>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（4）乙方人员利用工作之便收集或窃取甲方商业秘密和（或）对外透露，甲方有权解除合同。</w:t>
      </w:r>
    </w:p>
    <w:p w14:paraId="34F32AB3">
      <w:pPr>
        <w:snapToGrid w:val="0"/>
        <w:spacing w:line="440" w:lineRule="exact"/>
        <w:ind w:firstLine="420" w:firstLineChars="200"/>
        <w:outlineLvl w:val="9"/>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（5）乙方服务的质量、响应等不到位，在甲方提出整改要求后乙方仍拒不配合落实或未按甲方要求落实，甲方有权解除合同。</w:t>
      </w:r>
    </w:p>
    <w:p w14:paraId="44E97B01">
      <w:pPr>
        <w:snapToGrid w:val="0"/>
        <w:spacing w:line="440" w:lineRule="exact"/>
        <w:ind w:firstLine="420" w:firstLineChars="200"/>
        <w:outlineLvl w:val="9"/>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6</w:t>
      </w:r>
      <w:r>
        <w:rPr>
          <w:rFonts w:hint="eastAsia" w:ascii="宋体" w:hAnsi="宋体" w:eastAsia="宋体" w:cs="宋体"/>
          <w:sz w:val="21"/>
          <w:szCs w:val="21"/>
          <w:highlight w:val="none"/>
          <w:u w:val="single"/>
        </w:rPr>
        <w:t>）用户需求书明确的解除合同的其他情形。</w:t>
      </w:r>
    </w:p>
    <w:p w14:paraId="189B4A70">
      <w:pPr>
        <w:widowControl/>
        <w:snapToGrid w:val="0"/>
        <w:spacing w:line="440" w:lineRule="exact"/>
        <w:ind w:firstLine="420" w:firstLineChars="200"/>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11.2乙方违反本合同约定，根据其违约情况，甲方有权决定解除部分或全部合同，并有权通过没收履约担保追究其违约责任；因乙方违约导致甲方解除部分合同的，甲方有权另行委托因部分解除合同而乙方未履行部分，乙方应承担甲方由此产生的费用并继续履行合同中未解除的部分。</w:t>
      </w:r>
    </w:p>
    <w:p w14:paraId="5A148689">
      <w:pPr>
        <w:widowControl/>
        <w:snapToGrid w:val="0"/>
        <w:spacing w:line="440" w:lineRule="exact"/>
        <w:ind w:firstLine="420" w:firstLineChars="200"/>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11.3合同解除后，本合同约定的有关结算、争议解决方式的条款仍然有效。</w:t>
      </w:r>
    </w:p>
    <w:p w14:paraId="64F7E774">
      <w:pPr>
        <w:snapToGrid w:val="0"/>
        <w:spacing w:line="440" w:lineRule="exact"/>
        <w:ind w:firstLine="422" w:firstLineChars="200"/>
        <w:outlineLvl w:val="9"/>
        <w:rPr>
          <w:rFonts w:hint="eastAsia" w:ascii="宋体" w:hAnsi="宋体" w:eastAsia="宋体" w:cs="宋体"/>
          <w:b/>
          <w:sz w:val="21"/>
          <w:szCs w:val="21"/>
          <w:highlight w:val="none"/>
        </w:rPr>
      </w:pPr>
      <w:r>
        <w:rPr>
          <w:rFonts w:hint="eastAsia" w:ascii="宋体" w:hAnsi="宋体" w:eastAsia="宋体" w:cs="宋体"/>
          <w:b/>
          <w:sz w:val="21"/>
          <w:szCs w:val="21"/>
          <w:highlight w:val="none"/>
        </w:rPr>
        <w:t>12、合同终止</w:t>
      </w:r>
    </w:p>
    <w:p w14:paraId="6B24FD90">
      <w:pPr>
        <w:widowControl/>
        <w:snapToGrid w:val="0"/>
        <w:spacing w:line="440" w:lineRule="exact"/>
        <w:ind w:firstLine="420" w:firstLineChars="200"/>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12.1甲方、乙方履行合同全部义务，本合同即告终止。</w:t>
      </w:r>
    </w:p>
    <w:p w14:paraId="245759DA">
      <w:pPr>
        <w:widowControl/>
        <w:snapToGrid w:val="0"/>
        <w:spacing w:line="440" w:lineRule="exact"/>
        <w:ind w:firstLine="420" w:firstLineChars="200"/>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12.2合同的权利义务终止后，合同当事人应遵循诚实信用原则，履行通知、协助和保密等义务。</w:t>
      </w:r>
    </w:p>
    <w:p w14:paraId="0C597C3E">
      <w:pPr>
        <w:snapToGrid w:val="0"/>
        <w:spacing w:line="440" w:lineRule="exact"/>
        <w:ind w:firstLine="422" w:firstLineChars="200"/>
        <w:outlineLvl w:val="9"/>
        <w:rPr>
          <w:rFonts w:hint="eastAsia" w:ascii="宋体" w:hAnsi="宋体" w:eastAsia="宋体" w:cs="宋体"/>
          <w:b/>
          <w:sz w:val="21"/>
          <w:szCs w:val="21"/>
          <w:highlight w:val="none"/>
        </w:rPr>
      </w:pPr>
      <w:r>
        <w:rPr>
          <w:rFonts w:hint="eastAsia" w:ascii="宋体" w:hAnsi="宋体" w:eastAsia="宋体" w:cs="宋体"/>
          <w:b/>
          <w:sz w:val="21"/>
          <w:szCs w:val="21"/>
          <w:highlight w:val="none"/>
        </w:rPr>
        <w:t>13、不可抗力</w:t>
      </w:r>
    </w:p>
    <w:p w14:paraId="576EE94F">
      <w:pPr>
        <w:snapToGrid w:val="0"/>
        <w:spacing w:line="440" w:lineRule="exact"/>
        <w:ind w:firstLine="420" w:firstLineChars="20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13.1不可抗力的确认</w:t>
      </w:r>
    </w:p>
    <w:p w14:paraId="4809DA14">
      <w:pPr>
        <w:snapToGrid w:val="0"/>
        <w:spacing w:line="440" w:lineRule="exact"/>
        <w:ind w:firstLine="420" w:firstLineChars="20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不可抗力发生后，合同当事人应收集证明不可抗力发生及不可抗力造成损失的证据，并及时认真统计所造成的损失。合同当事人对是否属于不可抗力或其损失发生争议时，按“14、争议解决”的约定处理。</w:t>
      </w:r>
    </w:p>
    <w:p w14:paraId="7FE69BC9">
      <w:pPr>
        <w:snapToGrid w:val="0"/>
        <w:spacing w:line="440" w:lineRule="exact"/>
        <w:ind w:firstLine="420" w:firstLineChars="20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13.2不可抗力的通知</w:t>
      </w:r>
    </w:p>
    <w:p w14:paraId="589023E4">
      <w:pPr>
        <w:snapToGrid w:val="0"/>
        <w:spacing w:line="440" w:lineRule="exact"/>
        <w:ind w:firstLine="420" w:firstLineChars="20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合同一方当事人遇到不可抗力事件，使其履行合同义务受到阻碍时，应立即通知合同另一方当事人，书面说明不可抗力和受阻碍的详细情况，并在合理期限内提供必要的证明。</w:t>
      </w:r>
    </w:p>
    <w:p w14:paraId="054B54D6">
      <w:pPr>
        <w:snapToGrid w:val="0"/>
        <w:spacing w:line="440" w:lineRule="exact"/>
        <w:ind w:firstLine="420" w:firstLineChars="20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不可抗力持续发生的，合同一方当事人应及时向合同另一方当事人提交中间报告，说明不可抗力和履行合同受阻的情况，并于不可抗力事件结束后28天内提交最终报告及有关资料。</w:t>
      </w:r>
    </w:p>
    <w:p w14:paraId="2035FC57">
      <w:pPr>
        <w:snapToGrid w:val="0"/>
        <w:spacing w:line="440" w:lineRule="exact"/>
        <w:ind w:firstLine="420" w:firstLineChars="20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13.3不可抗力后果的承担</w:t>
      </w:r>
    </w:p>
    <w:p w14:paraId="3988893F">
      <w:pPr>
        <w:snapToGrid w:val="0"/>
        <w:spacing w:line="440" w:lineRule="exact"/>
        <w:ind w:firstLine="420" w:firstLineChars="20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不可抗力引起的后果及造成的损失由合同当事人按照法律规定及合同约定各自承担。不可抗力发生前已完成的工作应当按照合同约定进行支付。</w:t>
      </w:r>
    </w:p>
    <w:p w14:paraId="5A57DB9F">
      <w:pPr>
        <w:snapToGrid w:val="0"/>
        <w:spacing w:line="440" w:lineRule="exact"/>
        <w:ind w:firstLine="420" w:firstLineChars="20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不可抗力发生后，合同当事人均应采取措施尽量避免和减少损失的扩大，任何一方当事人没有采取有效措施导致损失扩大的，应对扩大的损失承担责任。</w:t>
      </w:r>
    </w:p>
    <w:p w14:paraId="14666244">
      <w:pPr>
        <w:snapToGrid w:val="0"/>
        <w:spacing w:line="440" w:lineRule="exact"/>
        <w:ind w:firstLine="420" w:firstLineChars="200"/>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因合同一方迟延履行合同义务，在迟延履行期间遭遇不可抗力的，不免除其违约责任。</w:t>
      </w:r>
    </w:p>
    <w:p w14:paraId="4E417259">
      <w:pPr>
        <w:snapToGrid w:val="0"/>
        <w:spacing w:line="440" w:lineRule="exact"/>
        <w:ind w:firstLine="422" w:firstLineChars="200"/>
        <w:outlineLvl w:val="9"/>
        <w:rPr>
          <w:rFonts w:hint="eastAsia" w:ascii="宋体" w:hAnsi="宋体" w:eastAsia="宋体" w:cs="宋体"/>
          <w:b/>
          <w:sz w:val="21"/>
          <w:szCs w:val="21"/>
          <w:highlight w:val="none"/>
        </w:rPr>
      </w:pPr>
      <w:r>
        <w:rPr>
          <w:rFonts w:hint="eastAsia" w:ascii="宋体" w:hAnsi="宋体" w:eastAsia="宋体" w:cs="宋体"/>
          <w:b/>
          <w:sz w:val="21"/>
          <w:szCs w:val="21"/>
          <w:highlight w:val="none"/>
        </w:rPr>
        <w:t>14、争议解决</w:t>
      </w:r>
    </w:p>
    <w:p w14:paraId="72D8903F">
      <w:pPr>
        <w:adjustRightInd w:val="0"/>
        <w:snapToGrid w:val="0"/>
        <w:spacing w:line="440" w:lineRule="exact"/>
        <w:ind w:firstLine="420" w:firstLineChars="200"/>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因本合同以及与本合同有关事项发生争议的，双方可以就争议自行和解或请求行政主管部门、行业协会或其他第三方进行调解。自行和解或经调解达成协议的，经</w:t>
      </w:r>
      <w:r>
        <w:rPr>
          <w:rFonts w:hint="eastAsia" w:ascii="宋体" w:hAnsi="宋体" w:cs="宋体"/>
          <w:sz w:val="21"/>
          <w:szCs w:val="21"/>
          <w:highlight w:val="none"/>
          <w:lang w:eastAsia="zh-CN"/>
        </w:rPr>
        <w:t>签字并盖章</w:t>
      </w:r>
      <w:r>
        <w:rPr>
          <w:rFonts w:hint="eastAsia" w:ascii="宋体" w:hAnsi="宋体" w:eastAsia="宋体" w:cs="宋体"/>
          <w:sz w:val="21"/>
          <w:szCs w:val="21"/>
          <w:highlight w:val="none"/>
        </w:rPr>
        <w:t>后作为合同补充文件，双方均应遵照执行。若当事人不愿和解、调解或者和解、调解不成的，确定采取下列</w:t>
      </w:r>
      <w:r>
        <w:rPr>
          <w:rFonts w:hint="eastAsia" w:ascii="宋体" w:hAnsi="宋体" w:eastAsia="宋体" w:cs="宋体"/>
          <w:sz w:val="21"/>
          <w:szCs w:val="21"/>
          <w:highlight w:val="none"/>
          <w:u w:val="single"/>
        </w:rPr>
        <w:t>第（2）种</w:t>
      </w:r>
      <w:r>
        <w:rPr>
          <w:rFonts w:hint="eastAsia" w:ascii="宋体" w:hAnsi="宋体" w:eastAsia="宋体" w:cs="宋体"/>
          <w:sz w:val="21"/>
          <w:szCs w:val="21"/>
          <w:highlight w:val="none"/>
        </w:rPr>
        <w:t>方式解决：</w:t>
      </w:r>
    </w:p>
    <w:p w14:paraId="602DE6C8">
      <w:pPr>
        <w:adjustRightInd w:val="0"/>
        <w:snapToGrid w:val="0"/>
        <w:spacing w:line="440" w:lineRule="exact"/>
        <w:ind w:firstLine="420" w:firstLineChars="200"/>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（1）向长沙仲裁委员会提请仲裁；</w:t>
      </w:r>
    </w:p>
    <w:p w14:paraId="7938717C">
      <w:pPr>
        <w:widowControl/>
        <w:snapToGrid w:val="0"/>
        <w:spacing w:line="440" w:lineRule="exact"/>
        <w:ind w:firstLine="420" w:firstLineChars="200"/>
        <w:jc w:val="left"/>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（2）向</w:t>
      </w:r>
      <w:r>
        <w:rPr>
          <w:rFonts w:hint="eastAsia" w:ascii="宋体" w:hAnsi="宋体" w:eastAsia="宋体" w:cs="宋体"/>
          <w:sz w:val="21"/>
          <w:szCs w:val="21"/>
          <w:highlight w:val="none"/>
          <w:u w:val="single"/>
        </w:rPr>
        <w:t>甲方所在地</w:t>
      </w:r>
      <w:r>
        <w:rPr>
          <w:rFonts w:hint="eastAsia" w:ascii="宋体" w:hAnsi="宋体" w:eastAsia="宋体" w:cs="宋体"/>
          <w:sz w:val="21"/>
          <w:szCs w:val="21"/>
          <w:highlight w:val="none"/>
        </w:rPr>
        <w:t>人民法院提起诉讼。</w:t>
      </w:r>
    </w:p>
    <w:p w14:paraId="5F8F5C87">
      <w:pPr>
        <w:numPr>
          <w:ilvl w:val="-1"/>
          <w:numId w:val="0"/>
        </w:numPr>
        <w:autoSpaceDE w:val="0"/>
        <w:autoSpaceDN w:val="0"/>
        <w:adjustRightInd w:val="0"/>
        <w:snapToGrid w:val="0"/>
        <w:spacing w:beforeLines="-2147483648" w:afterLines="-2147483648" w:line="440" w:lineRule="exact"/>
        <w:ind w:firstLine="422" w:firstLineChars="200"/>
        <w:jc w:val="left"/>
        <w:outlineLvl w:val="9"/>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lang w:val="en-US" w:eastAsia="zh-CN"/>
        </w:rPr>
        <w:t>合同附件</w:t>
      </w:r>
      <w:r>
        <w:rPr>
          <w:rFonts w:hint="eastAsia" w:ascii="宋体" w:hAnsi="宋体" w:eastAsia="宋体" w:cs="宋体"/>
          <w:b/>
          <w:kern w:val="0"/>
          <w:sz w:val="21"/>
          <w:szCs w:val="21"/>
          <w:highlight w:val="none"/>
        </w:rPr>
        <w:t>：</w:t>
      </w:r>
    </w:p>
    <w:p w14:paraId="324A71EA">
      <w:pPr>
        <w:autoSpaceDE w:val="0"/>
        <w:autoSpaceDN w:val="0"/>
        <w:adjustRightInd w:val="0"/>
        <w:snapToGrid w:val="0"/>
        <w:spacing w:beforeLines="-2147483648" w:afterLines="-2147483648" w:line="440" w:lineRule="exact"/>
        <w:ind w:firstLine="420" w:firstLineChars="200"/>
        <w:jc w:val="left"/>
        <w:outlineLvl w:val="9"/>
        <w:rPr>
          <w:rFonts w:hint="eastAsia" w:ascii="宋体" w:hAnsi="宋体" w:eastAsia="宋体" w:cs="宋体"/>
          <w:b w:val="0"/>
          <w:bCs/>
          <w:color w:val="auto"/>
          <w:kern w:val="0"/>
          <w:sz w:val="21"/>
          <w:szCs w:val="21"/>
          <w:highlight w:val="none"/>
        </w:rPr>
      </w:pPr>
      <w:r>
        <w:rPr>
          <w:rFonts w:hint="eastAsia" w:ascii="宋体" w:hAnsi="宋体" w:eastAsia="宋体" w:cs="宋体"/>
          <w:b w:val="0"/>
          <w:bCs/>
          <w:snapToGrid/>
          <w:color w:val="auto"/>
          <w:kern w:val="0"/>
          <w:sz w:val="21"/>
          <w:szCs w:val="21"/>
          <w:highlight w:val="none"/>
          <w:lang w:val="en-US" w:eastAsia="zh-CN"/>
        </w:rPr>
        <w:t>1.</w:t>
      </w:r>
      <w:r>
        <w:rPr>
          <w:rFonts w:hint="eastAsia" w:ascii="宋体" w:hAnsi="宋体" w:eastAsia="宋体" w:cs="宋体"/>
          <w:b w:val="0"/>
          <w:bCs/>
          <w:snapToGrid/>
          <w:kern w:val="0"/>
          <w:sz w:val="21"/>
          <w:szCs w:val="21"/>
          <w:highlight w:val="none"/>
          <w:lang w:val="en-US" w:eastAsia="zh-CN"/>
        </w:rPr>
        <w:t>《</w:t>
      </w:r>
      <w:r>
        <w:rPr>
          <w:rFonts w:hint="eastAsia" w:ascii="宋体" w:hAnsi="宋体" w:eastAsia="宋体" w:cs="宋体"/>
          <w:b w:val="0"/>
          <w:bCs/>
          <w:color w:val="auto"/>
          <w:kern w:val="0"/>
          <w:sz w:val="21"/>
          <w:szCs w:val="21"/>
          <w:highlight w:val="none"/>
        </w:rPr>
        <w:t>用户需求书</w:t>
      </w:r>
      <w:r>
        <w:rPr>
          <w:rFonts w:hint="eastAsia" w:ascii="宋体" w:hAnsi="宋体" w:eastAsia="宋体" w:cs="宋体"/>
          <w:b w:val="0"/>
          <w:bCs/>
          <w:kern w:val="0"/>
          <w:sz w:val="21"/>
          <w:szCs w:val="21"/>
          <w:highlight w:val="none"/>
          <w:lang w:eastAsia="zh-CN"/>
        </w:rPr>
        <w:t>》</w:t>
      </w:r>
    </w:p>
    <w:p w14:paraId="0A55C5DE">
      <w:pPr>
        <w:autoSpaceDE w:val="0"/>
        <w:autoSpaceDN w:val="0"/>
        <w:adjustRightInd w:val="0"/>
        <w:snapToGrid w:val="0"/>
        <w:spacing w:beforeLines="-2147483648" w:afterLines="-2147483648" w:line="440" w:lineRule="exact"/>
        <w:ind w:firstLine="420" w:firstLineChars="200"/>
        <w:jc w:val="left"/>
        <w:outlineLvl w:val="9"/>
        <w:rPr>
          <w:rFonts w:hint="eastAsia" w:ascii="宋体" w:hAnsi="宋体" w:eastAsia="宋体" w:cs="宋体"/>
          <w:b w:val="0"/>
          <w:bCs/>
          <w:kern w:val="0"/>
          <w:sz w:val="21"/>
          <w:szCs w:val="21"/>
          <w:highlight w:val="none"/>
          <w:lang w:val="en-US" w:eastAsia="zh-CN"/>
        </w:rPr>
      </w:pPr>
      <w:r>
        <w:rPr>
          <w:rFonts w:hint="eastAsia" w:ascii="宋体" w:hAnsi="宋体" w:eastAsia="宋体" w:cs="宋体"/>
          <w:b w:val="0"/>
          <w:bCs/>
          <w:kern w:val="0"/>
          <w:sz w:val="21"/>
          <w:szCs w:val="21"/>
          <w:highlight w:val="none"/>
          <w:lang w:val="en-US" w:eastAsia="zh-CN"/>
        </w:rPr>
        <w:t>2.《廉洁协议》</w:t>
      </w:r>
    </w:p>
    <w:p w14:paraId="676B22AE">
      <w:pPr>
        <w:autoSpaceDE w:val="0"/>
        <w:autoSpaceDN w:val="0"/>
        <w:adjustRightInd w:val="0"/>
        <w:snapToGrid w:val="0"/>
        <w:spacing w:line="440" w:lineRule="exact"/>
        <w:ind w:firstLine="420" w:firstLineChars="200"/>
        <w:jc w:val="left"/>
        <w:outlineLvl w:val="9"/>
        <w:rPr>
          <w:rFonts w:hint="eastAsia" w:ascii="宋体" w:hAnsi="宋体" w:eastAsia="宋体" w:cs="宋体"/>
          <w:b w:val="0"/>
          <w:bCs/>
          <w:kern w:val="0"/>
          <w:sz w:val="21"/>
          <w:szCs w:val="21"/>
          <w:highlight w:val="none"/>
          <w:lang w:eastAsia="zh-CN"/>
        </w:rPr>
      </w:pPr>
      <w:r>
        <w:rPr>
          <w:rFonts w:hint="eastAsia" w:ascii="宋体" w:hAnsi="宋体" w:eastAsia="宋体" w:cs="宋体"/>
          <w:b w:val="0"/>
          <w:bCs/>
          <w:kern w:val="0"/>
          <w:sz w:val="21"/>
          <w:szCs w:val="21"/>
          <w:highlight w:val="none"/>
          <w:lang w:val="en-US" w:eastAsia="zh-CN"/>
        </w:rPr>
        <w:t>3.《</w:t>
      </w:r>
      <w:r>
        <w:rPr>
          <w:rFonts w:hint="eastAsia" w:ascii="宋体" w:hAnsi="宋体" w:eastAsia="宋体" w:cs="宋体"/>
          <w:b w:val="0"/>
          <w:bCs/>
          <w:kern w:val="0"/>
          <w:sz w:val="21"/>
          <w:szCs w:val="21"/>
          <w:highlight w:val="none"/>
        </w:rPr>
        <w:t>履约保函</w:t>
      </w:r>
      <w:r>
        <w:rPr>
          <w:rFonts w:hint="eastAsia" w:ascii="宋体" w:hAnsi="宋体" w:eastAsia="宋体" w:cs="宋体"/>
          <w:b w:val="0"/>
          <w:bCs/>
          <w:kern w:val="0"/>
          <w:sz w:val="21"/>
          <w:szCs w:val="21"/>
          <w:highlight w:val="none"/>
          <w:lang w:eastAsia="zh-CN"/>
        </w:rPr>
        <w:t>》</w:t>
      </w:r>
    </w:p>
    <w:p w14:paraId="3D1FA236">
      <w:pPr>
        <w:widowControl/>
        <w:spacing w:line="440" w:lineRule="exact"/>
        <w:jc w:val="left"/>
        <w:outlineLvl w:val="9"/>
        <w:rPr>
          <w:rFonts w:hint="eastAsia" w:ascii="宋体" w:hAnsi="宋体" w:eastAsia="宋体" w:cs="宋体"/>
          <w:color w:val="0D0D0D" w:themeColor="text1" w:themeTint="F2"/>
          <w:szCs w:val="21"/>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Cs w:val="21"/>
          <w:highlight w:val="none"/>
          <w14:textFill>
            <w14:solidFill>
              <w14:schemeClr w14:val="tx1">
                <w14:lumMod w14:val="95000"/>
                <w14:lumOff w14:val="5000"/>
              </w14:schemeClr>
            </w14:solidFill>
          </w14:textFill>
        </w:rPr>
        <w:br w:type="page"/>
      </w:r>
    </w:p>
    <w:p w14:paraId="15558284">
      <w:pP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附件一：用户需求书</w:t>
      </w:r>
    </w:p>
    <w:p w14:paraId="426CC17B">
      <w:pPr>
        <w:rPr>
          <w:rFonts w:hint="eastAsia" w:ascii="宋体" w:hAnsi="宋体" w:eastAsia="宋体" w:cs="宋体"/>
          <w:b w:val="0"/>
          <w:snapToGrid/>
          <w:kern w:val="2"/>
          <w:sz w:val="21"/>
          <w:szCs w:val="21"/>
          <w:highlight w:val="none"/>
          <w:lang w:val="en-US" w:eastAsia="zh-CN" w:bidi="ar-SA"/>
        </w:rPr>
      </w:pPr>
      <w:r>
        <w:rPr>
          <w:rFonts w:hint="eastAsia" w:ascii="宋体" w:hAnsi="宋体" w:eastAsia="宋体" w:cs="宋体"/>
          <w:b w:val="0"/>
          <w:snapToGrid/>
          <w:kern w:val="2"/>
          <w:sz w:val="21"/>
          <w:szCs w:val="21"/>
          <w:highlight w:val="none"/>
          <w:lang w:val="en-US" w:eastAsia="zh-CN" w:bidi="ar-SA"/>
        </w:rPr>
        <w:br w:type="page"/>
      </w:r>
    </w:p>
    <w:p w14:paraId="6D434085">
      <w:pPr>
        <w:spacing w:line="360" w:lineRule="auto"/>
        <w:rPr>
          <w:rFonts w:hint="eastAsia" w:ascii="宋体" w:hAnsi="宋体" w:eastAsia="宋体" w:cs="宋体"/>
          <w:b w:val="0"/>
          <w:snapToGrid/>
          <w:kern w:val="2"/>
          <w:sz w:val="21"/>
          <w:szCs w:val="21"/>
          <w:highlight w:val="none"/>
          <w:lang w:val="en-US" w:eastAsia="zh-CN" w:bidi="ar-SA"/>
        </w:rPr>
      </w:pPr>
      <w:r>
        <w:rPr>
          <w:rFonts w:hint="eastAsia" w:ascii="宋体" w:hAnsi="宋体" w:eastAsia="宋体" w:cs="宋体"/>
          <w:b w:val="0"/>
          <w:snapToGrid/>
          <w:kern w:val="2"/>
          <w:sz w:val="21"/>
          <w:szCs w:val="21"/>
          <w:highlight w:val="none"/>
          <w:lang w:val="en-US" w:eastAsia="zh-CN" w:bidi="ar-SA"/>
        </w:rPr>
        <w:t>附件二：廉洁协议</w:t>
      </w:r>
    </w:p>
    <w:p w14:paraId="1216F10E">
      <w:pPr>
        <w:spacing w:line="360" w:lineRule="auto"/>
        <w:ind w:firstLine="422" w:firstLineChars="200"/>
        <w:jc w:val="center"/>
        <w:rPr>
          <w:rFonts w:hint="eastAsia" w:ascii="宋体" w:hAnsi="宋体" w:eastAsia="宋体" w:cs="宋体"/>
          <w:b/>
          <w:bCs/>
          <w:color w:val="0D0D0D"/>
          <w:sz w:val="21"/>
          <w:szCs w:val="21"/>
          <w:highlight w:val="none"/>
        </w:rPr>
      </w:pPr>
      <w:r>
        <w:rPr>
          <w:rFonts w:hint="eastAsia" w:ascii="宋体" w:hAnsi="宋体" w:eastAsia="宋体" w:cs="宋体"/>
          <w:b/>
          <w:bCs/>
          <w:color w:val="0D0D0D"/>
          <w:sz w:val="21"/>
          <w:szCs w:val="21"/>
          <w:highlight w:val="none"/>
        </w:rPr>
        <w:t>廉 洁 协 议</w:t>
      </w:r>
    </w:p>
    <w:p w14:paraId="33C3CE76">
      <w:pPr>
        <w:spacing w:line="360" w:lineRule="auto"/>
        <w:ind w:firstLine="422" w:firstLineChars="200"/>
        <w:jc w:val="center"/>
        <w:rPr>
          <w:rFonts w:hint="eastAsia" w:ascii="宋体" w:hAnsi="宋体" w:eastAsia="宋体" w:cs="宋体"/>
          <w:b/>
          <w:bCs/>
          <w:color w:val="0D0D0D"/>
          <w:sz w:val="21"/>
          <w:szCs w:val="21"/>
          <w:highlight w:val="none"/>
        </w:rPr>
      </w:pPr>
    </w:p>
    <w:p w14:paraId="031ADD86">
      <w:pPr>
        <w:snapToGrid w:val="0"/>
        <w:spacing w:line="440" w:lineRule="exact"/>
        <w:ind w:firstLine="420" w:firstLineChars="200"/>
        <w:jc w:val="left"/>
        <w:rPr>
          <w:rFonts w:hint="eastAsia" w:ascii="宋体" w:hAnsi="宋体" w:eastAsia="宋体" w:cs="宋体"/>
          <w:color w:val="0D0D0D"/>
          <w:sz w:val="21"/>
          <w:szCs w:val="21"/>
          <w:highlight w:val="none"/>
        </w:rPr>
      </w:pPr>
      <w:r>
        <w:rPr>
          <w:rFonts w:hint="eastAsia" w:ascii="宋体" w:hAnsi="宋体" w:eastAsia="宋体" w:cs="宋体"/>
          <w:color w:val="0D0D0D"/>
          <w:sz w:val="21"/>
          <w:szCs w:val="21"/>
          <w:highlight w:val="none"/>
        </w:rPr>
        <w:t>甲方：长沙穗城轨道交通有限公司</w:t>
      </w:r>
    </w:p>
    <w:p w14:paraId="0488C986">
      <w:pPr>
        <w:snapToGrid w:val="0"/>
        <w:spacing w:line="440" w:lineRule="exact"/>
        <w:ind w:firstLine="420" w:firstLineChars="200"/>
        <w:jc w:val="left"/>
        <w:rPr>
          <w:rFonts w:hint="eastAsia" w:ascii="宋体" w:hAnsi="宋体" w:eastAsia="宋体" w:cs="宋体"/>
          <w:color w:val="0D0D0D"/>
          <w:sz w:val="21"/>
          <w:szCs w:val="21"/>
          <w:highlight w:val="none"/>
          <w:u w:val="none"/>
        </w:rPr>
      </w:pPr>
      <w:r>
        <w:rPr>
          <w:rFonts w:hint="eastAsia" w:ascii="宋体" w:hAnsi="宋体" w:eastAsia="宋体" w:cs="宋体"/>
          <w:color w:val="0D0D0D"/>
          <w:sz w:val="21"/>
          <w:szCs w:val="21"/>
          <w:highlight w:val="none"/>
        </w:rPr>
        <w:t>乙方：</w:t>
      </w:r>
      <w:r>
        <w:rPr>
          <w:rFonts w:hint="eastAsia" w:ascii="宋体" w:hAnsi="宋体" w:cs="宋体"/>
          <w:color w:val="0D0D0D"/>
          <w:sz w:val="21"/>
          <w:szCs w:val="21"/>
          <w:highlight w:val="none"/>
          <w:u w:val="none"/>
          <w:lang w:val="en-US" w:eastAsia="zh-CN"/>
        </w:rPr>
        <w:t xml:space="preserve"> </w:t>
      </w:r>
    </w:p>
    <w:p w14:paraId="4E84E666">
      <w:pPr>
        <w:spacing w:line="440" w:lineRule="exact"/>
        <w:ind w:firstLine="420" w:firstLineChars="200"/>
        <w:rPr>
          <w:rFonts w:hint="eastAsia" w:ascii="宋体" w:hAnsi="宋体" w:eastAsia="宋体" w:cs="宋体"/>
          <w:color w:val="0D0D0D"/>
          <w:sz w:val="21"/>
          <w:szCs w:val="21"/>
          <w:highlight w:val="none"/>
        </w:rPr>
      </w:pPr>
      <w:r>
        <w:rPr>
          <w:rFonts w:hint="eastAsia" w:ascii="宋体" w:hAnsi="宋体" w:eastAsia="宋体" w:cs="宋体"/>
          <w:color w:val="0D0D0D"/>
          <w:sz w:val="21"/>
          <w:szCs w:val="21"/>
          <w:highlight w:val="none"/>
        </w:rPr>
        <w:t>根据国家法律、法规以及有关廉政建设的规定，为做好合同执行过程中党风廉政建设，保证建设及运营资金的安全和有效使用及投资效益，甲、乙双方特订立如下廉政协议：</w:t>
      </w:r>
    </w:p>
    <w:p w14:paraId="2E291F5D">
      <w:pPr>
        <w:snapToGrid w:val="0"/>
        <w:spacing w:line="440" w:lineRule="exact"/>
        <w:ind w:firstLine="422" w:firstLineChars="200"/>
        <w:rPr>
          <w:rFonts w:hint="eastAsia" w:ascii="宋体" w:hAnsi="宋体" w:eastAsia="宋体" w:cs="宋体"/>
          <w:b/>
          <w:bCs/>
          <w:color w:val="0D0D0D"/>
          <w:sz w:val="21"/>
          <w:szCs w:val="21"/>
          <w:highlight w:val="none"/>
        </w:rPr>
      </w:pPr>
      <w:r>
        <w:rPr>
          <w:rFonts w:hint="eastAsia" w:ascii="宋体" w:hAnsi="宋体" w:eastAsia="宋体" w:cs="宋体"/>
          <w:b/>
          <w:bCs/>
          <w:color w:val="0D0D0D"/>
          <w:sz w:val="21"/>
          <w:szCs w:val="21"/>
          <w:highlight w:val="none"/>
        </w:rPr>
        <w:t>第一条 共同责任</w:t>
      </w:r>
    </w:p>
    <w:p w14:paraId="260E7523">
      <w:pPr>
        <w:spacing w:line="440" w:lineRule="exact"/>
        <w:ind w:firstLine="420" w:firstLineChars="200"/>
        <w:rPr>
          <w:rFonts w:hint="eastAsia" w:ascii="宋体" w:hAnsi="宋体" w:eastAsia="宋体" w:cs="宋体"/>
          <w:color w:val="0D0D0D"/>
          <w:sz w:val="21"/>
          <w:szCs w:val="21"/>
          <w:highlight w:val="none"/>
        </w:rPr>
      </w:pPr>
      <w:r>
        <w:rPr>
          <w:rFonts w:hint="eastAsia" w:ascii="宋体" w:hAnsi="宋体" w:eastAsia="宋体" w:cs="宋体"/>
          <w:color w:val="0D0D0D"/>
          <w:sz w:val="21"/>
          <w:szCs w:val="21"/>
          <w:highlight w:val="none"/>
        </w:rPr>
        <w:t>（一）严格遵守党和国家有关法律法规及湖南省、长沙市的相关规定。</w:t>
      </w:r>
    </w:p>
    <w:p w14:paraId="54459F63">
      <w:pPr>
        <w:spacing w:line="440" w:lineRule="exact"/>
        <w:ind w:firstLine="420" w:firstLineChars="200"/>
        <w:rPr>
          <w:rFonts w:hint="eastAsia" w:ascii="宋体" w:hAnsi="宋体" w:eastAsia="宋体" w:cs="宋体"/>
          <w:color w:val="0D0D0D"/>
          <w:sz w:val="21"/>
          <w:szCs w:val="21"/>
          <w:highlight w:val="none"/>
        </w:rPr>
      </w:pPr>
      <w:r>
        <w:rPr>
          <w:rFonts w:hint="eastAsia" w:ascii="宋体" w:hAnsi="宋体" w:eastAsia="宋体" w:cs="宋体"/>
          <w:color w:val="0D0D0D"/>
          <w:sz w:val="21"/>
          <w:szCs w:val="21"/>
          <w:highlight w:val="none"/>
        </w:rPr>
        <w:t>（二）严格执行《</w:t>
      </w:r>
      <w:r>
        <w:rPr>
          <w:rFonts w:hint="eastAsia" w:ascii="宋体" w:hAnsi="宋体" w:eastAsia="宋体" w:cs="宋体"/>
          <w:color w:val="0D0D0D"/>
          <w:sz w:val="21"/>
          <w:szCs w:val="21"/>
          <w:highlight w:val="none"/>
          <w:u w:val="none"/>
        </w:rPr>
        <w:t>2024-2025年员工食堂物资供应项目</w:t>
      </w:r>
      <w:r>
        <w:rPr>
          <w:rFonts w:hint="eastAsia" w:ascii="宋体" w:hAnsi="宋体" w:eastAsia="宋体" w:cs="宋体"/>
          <w:color w:val="0D0D0D"/>
          <w:sz w:val="21"/>
          <w:szCs w:val="21"/>
          <w:highlight w:val="none"/>
        </w:rPr>
        <w:t>合同</w:t>
      </w:r>
      <w:r>
        <w:rPr>
          <w:rFonts w:hint="eastAsia" w:ascii="宋体" w:hAnsi="宋体" w:eastAsia="宋体" w:cs="宋体"/>
          <w:color w:val="0D0D0D"/>
          <w:sz w:val="21"/>
          <w:szCs w:val="21"/>
          <w:highlight w:val="none"/>
          <w:u w:val="none"/>
        </w:rPr>
        <w:t>（干货商品类）</w:t>
      </w:r>
      <w:r>
        <w:rPr>
          <w:rFonts w:hint="eastAsia" w:ascii="宋体" w:hAnsi="宋体" w:eastAsia="宋体" w:cs="宋体"/>
          <w:color w:val="0D0D0D"/>
          <w:sz w:val="21"/>
          <w:szCs w:val="21"/>
          <w:highlight w:val="none"/>
        </w:rPr>
        <w:t>》（以下简称主合同）的合同文件，自觉履行合同约定的相关义务。</w:t>
      </w:r>
    </w:p>
    <w:p w14:paraId="2AB4177D">
      <w:pPr>
        <w:spacing w:line="440" w:lineRule="exact"/>
        <w:ind w:firstLine="420" w:firstLineChars="200"/>
        <w:rPr>
          <w:rFonts w:hint="eastAsia" w:ascii="宋体" w:hAnsi="宋体" w:eastAsia="宋体" w:cs="宋体"/>
          <w:color w:val="0D0D0D"/>
          <w:sz w:val="21"/>
          <w:szCs w:val="21"/>
          <w:highlight w:val="none"/>
        </w:rPr>
      </w:pPr>
      <w:r>
        <w:rPr>
          <w:rFonts w:hint="eastAsia" w:ascii="宋体" w:hAnsi="宋体" w:eastAsia="宋体" w:cs="宋体"/>
          <w:color w:val="0D0D0D"/>
          <w:sz w:val="21"/>
          <w:szCs w:val="21"/>
          <w:highlight w:val="none"/>
        </w:rPr>
        <w:t>（三）双方的业务活动坚持公开、公正、诚信、透明的原则（除法律认定的商业秘密和合同文件另有规定外），不得损害国家和集体利益，违反工程建设规章制度。</w:t>
      </w:r>
    </w:p>
    <w:p w14:paraId="1511322A">
      <w:pPr>
        <w:snapToGrid w:val="0"/>
        <w:spacing w:line="440" w:lineRule="exact"/>
        <w:ind w:firstLine="420" w:firstLineChars="200"/>
        <w:rPr>
          <w:rFonts w:hint="eastAsia" w:ascii="宋体" w:hAnsi="宋体" w:eastAsia="宋体" w:cs="宋体"/>
          <w:color w:val="0D0D0D"/>
          <w:sz w:val="21"/>
          <w:szCs w:val="21"/>
          <w:highlight w:val="none"/>
        </w:rPr>
      </w:pPr>
      <w:r>
        <w:rPr>
          <w:rFonts w:hint="eastAsia" w:ascii="宋体" w:hAnsi="宋体" w:eastAsia="宋体" w:cs="宋体"/>
          <w:color w:val="0D0D0D"/>
          <w:sz w:val="21"/>
          <w:szCs w:val="21"/>
          <w:highlight w:val="none"/>
        </w:rPr>
        <w:t>（四）建立健全廉政制度，开展廉政教育，设立廉政告示牌，公布举报电话，监督并认真查处违法违纪行为。</w:t>
      </w:r>
    </w:p>
    <w:p w14:paraId="3820C0DD">
      <w:pPr>
        <w:spacing w:line="440" w:lineRule="exact"/>
        <w:ind w:firstLine="420" w:firstLineChars="200"/>
        <w:rPr>
          <w:rFonts w:hint="eastAsia" w:ascii="宋体" w:hAnsi="宋体" w:eastAsia="宋体" w:cs="宋体"/>
          <w:color w:val="0D0D0D"/>
          <w:sz w:val="21"/>
          <w:szCs w:val="21"/>
          <w:highlight w:val="none"/>
        </w:rPr>
      </w:pPr>
      <w:r>
        <w:rPr>
          <w:rFonts w:hint="eastAsia" w:ascii="宋体" w:hAnsi="宋体" w:eastAsia="宋体" w:cs="宋体"/>
          <w:color w:val="0D0D0D"/>
          <w:sz w:val="21"/>
          <w:szCs w:val="21"/>
          <w:highlight w:val="none"/>
        </w:rPr>
        <w:t>（五）发现对方在业务活动中有违反廉政规定的行为，有及时提醒对方纠正的权利和义务。</w:t>
      </w:r>
    </w:p>
    <w:p w14:paraId="52672772">
      <w:pPr>
        <w:snapToGrid w:val="0"/>
        <w:spacing w:line="440" w:lineRule="exact"/>
        <w:ind w:firstLine="422" w:firstLineChars="200"/>
        <w:rPr>
          <w:rFonts w:hint="eastAsia" w:ascii="宋体" w:hAnsi="宋体" w:eastAsia="宋体" w:cs="宋体"/>
          <w:b/>
          <w:bCs/>
          <w:color w:val="0D0D0D"/>
          <w:sz w:val="21"/>
          <w:szCs w:val="21"/>
          <w:highlight w:val="none"/>
        </w:rPr>
      </w:pPr>
      <w:r>
        <w:rPr>
          <w:rFonts w:hint="eastAsia" w:ascii="宋体" w:hAnsi="宋体" w:eastAsia="宋体" w:cs="宋体"/>
          <w:b/>
          <w:bCs/>
          <w:color w:val="0D0D0D"/>
          <w:sz w:val="21"/>
          <w:szCs w:val="21"/>
          <w:highlight w:val="none"/>
        </w:rPr>
        <w:t>第二条 共同权利</w:t>
      </w:r>
    </w:p>
    <w:p w14:paraId="696E0A7C">
      <w:pPr>
        <w:spacing w:line="440" w:lineRule="exact"/>
        <w:ind w:firstLine="420" w:firstLineChars="200"/>
        <w:rPr>
          <w:rFonts w:hint="eastAsia" w:ascii="宋体" w:hAnsi="宋体" w:eastAsia="宋体" w:cs="宋体"/>
          <w:color w:val="0D0D0D"/>
          <w:sz w:val="21"/>
          <w:szCs w:val="21"/>
          <w:highlight w:val="none"/>
        </w:rPr>
      </w:pPr>
      <w:r>
        <w:rPr>
          <w:rFonts w:hint="eastAsia" w:ascii="宋体" w:hAnsi="宋体" w:eastAsia="宋体" w:cs="宋体"/>
          <w:color w:val="0D0D0D"/>
          <w:sz w:val="21"/>
          <w:szCs w:val="21"/>
          <w:highlight w:val="none"/>
        </w:rPr>
        <w:t>发现对方严重违反本协议义务条款的行为，有向其上级有关部门举报、建议给予处理并有权要求告知处理结果的权利。</w:t>
      </w:r>
    </w:p>
    <w:p w14:paraId="3032C678">
      <w:pPr>
        <w:snapToGrid w:val="0"/>
        <w:spacing w:line="440" w:lineRule="exact"/>
        <w:ind w:firstLine="422" w:firstLineChars="200"/>
        <w:rPr>
          <w:rFonts w:hint="eastAsia" w:ascii="宋体" w:hAnsi="宋体" w:eastAsia="宋体" w:cs="宋体"/>
          <w:b/>
          <w:bCs/>
          <w:color w:val="0D0D0D"/>
          <w:sz w:val="21"/>
          <w:szCs w:val="21"/>
          <w:highlight w:val="none"/>
        </w:rPr>
      </w:pPr>
      <w:r>
        <w:rPr>
          <w:rFonts w:hint="eastAsia" w:ascii="宋体" w:hAnsi="宋体" w:eastAsia="宋体" w:cs="宋体"/>
          <w:b/>
          <w:bCs/>
          <w:color w:val="0D0D0D"/>
          <w:sz w:val="21"/>
          <w:szCs w:val="21"/>
          <w:highlight w:val="none"/>
        </w:rPr>
        <w:t>第三条 甲方的义务</w:t>
      </w:r>
    </w:p>
    <w:p w14:paraId="439044BD">
      <w:pPr>
        <w:spacing w:line="440" w:lineRule="exact"/>
        <w:ind w:firstLine="420" w:firstLineChars="200"/>
        <w:rPr>
          <w:rFonts w:hint="eastAsia" w:ascii="宋体" w:hAnsi="宋体" w:eastAsia="宋体" w:cs="宋体"/>
          <w:color w:val="0D0D0D"/>
          <w:sz w:val="21"/>
          <w:szCs w:val="21"/>
          <w:highlight w:val="none"/>
        </w:rPr>
      </w:pPr>
      <w:r>
        <w:rPr>
          <w:rFonts w:hint="eastAsia" w:ascii="宋体" w:hAnsi="宋体" w:eastAsia="宋体" w:cs="宋体"/>
          <w:color w:val="0D0D0D"/>
          <w:sz w:val="21"/>
          <w:szCs w:val="21"/>
          <w:highlight w:val="none"/>
        </w:rPr>
        <w:t>（一）甲方及其工作人员不得索要或接受乙方的礼金、有价证券和贵重物品。</w:t>
      </w:r>
    </w:p>
    <w:p w14:paraId="04442351">
      <w:pPr>
        <w:spacing w:line="440" w:lineRule="exact"/>
        <w:ind w:firstLine="420" w:firstLineChars="200"/>
        <w:rPr>
          <w:rFonts w:hint="eastAsia" w:ascii="宋体" w:hAnsi="宋体" w:eastAsia="宋体" w:cs="宋体"/>
          <w:color w:val="0D0D0D"/>
          <w:sz w:val="21"/>
          <w:szCs w:val="21"/>
          <w:highlight w:val="none"/>
        </w:rPr>
      </w:pPr>
      <w:r>
        <w:rPr>
          <w:rFonts w:hint="eastAsia" w:ascii="宋体" w:hAnsi="宋体" w:eastAsia="宋体" w:cs="宋体"/>
          <w:color w:val="0D0D0D"/>
          <w:sz w:val="21"/>
          <w:szCs w:val="21"/>
          <w:highlight w:val="none"/>
        </w:rPr>
        <w:t>（二）甲方及其工作人员不得在乙方报销任何应由甲方或个人支付的费用等。</w:t>
      </w:r>
    </w:p>
    <w:p w14:paraId="754BF8EE">
      <w:pPr>
        <w:snapToGrid w:val="0"/>
        <w:spacing w:line="440" w:lineRule="exact"/>
        <w:ind w:left="0" w:leftChars="0" w:firstLine="420" w:firstLineChars="200"/>
        <w:rPr>
          <w:rFonts w:hint="eastAsia" w:ascii="宋体" w:hAnsi="宋体" w:eastAsia="宋体" w:cs="宋体"/>
          <w:color w:val="0D0D0D"/>
          <w:sz w:val="21"/>
          <w:szCs w:val="21"/>
          <w:highlight w:val="none"/>
        </w:rPr>
      </w:pPr>
      <w:r>
        <w:rPr>
          <w:rFonts w:hint="eastAsia" w:ascii="宋体" w:hAnsi="宋体" w:eastAsia="宋体" w:cs="宋体"/>
          <w:color w:val="0D0D0D"/>
          <w:sz w:val="21"/>
          <w:szCs w:val="21"/>
          <w:highlight w:val="none"/>
        </w:rPr>
        <w:t>（三）甲方及其工作人员不得参加乙方安排的超标准宴请和娱乐活动。</w:t>
      </w:r>
    </w:p>
    <w:p w14:paraId="62E5002E">
      <w:pPr>
        <w:snapToGrid w:val="0"/>
        <w:spacing w:line="440" w:lineRule="exact"/>
        <w:ind w:left="0" w:leftChars="0" w:firstLine="420" w:firstLineChars="200"/>
        <w:rPr>
          <w:rFonts w:hint="eastAsia" w:ascii="宋体" w:hAnsi="宋体" w:eastAsia="宋体" w:cs="宋体"/>
          <w:color w:val="0D0D0D"/>
          <w:sz w:val="21"/>
          <w:szCs w:val="21"/>
          <w:highlight w:val="none"/>
        </w:rPr>
      </w:pPr>
      <w:r>
        <w:rPr>
          <w:rFonts w:hint="eastAsia" w:ascii="宋体" w:hAnsi="宋体" w:eastAsia="宋体" w:cs="宋体"/>
          <w:color w:val="0D0D0D"/>
          <w:sz w:val="21"/>
          <w:szCs w:val="21"/>
          <w:highlight w:val="none"/>
        </w:rPr>
        <w:t>（四）甲方及其工作人员不得接受乙方提供的通讯工具、交通工具和高档办公用品等。</w:t>
      </w:r>
    </w:p>
    <w:p w14:paraId="5FBC6817">
      <w:pPr>
        <w:snapToGrid w:val="0"/>
        <w:spacing w:line="440" w:lineRule="exact"/>
        <w:ind w:left="0" w:leftChars="0" w:firstLine="420" w:firstLineChars="200"/>
        <w:rPr>
          <w:rFonts w:hint="eastAsia" w:ascii="宋体" w:hAnsi="宋体" w:eastAsia="宋体" w:cs="宋体"/>
          <w:color w:val="0D0D0D"/>
          <w:sz w:val="21"/>
          <w:szCs w:val="21"/>
          <w:highlight w:val="none"/>
        </w:rPr>
      </w:pPr>
      <w:r>
        <w:rPr>
          <w:rFonts w:hint="eastAsia" w:ascii="宋体" w:hAnsi="宋体" w:eastAsia="宋体" w:cs="宋体"/>
          <w:color w:val="0D0D0D"/>
          <w:sz w:val="21"/>
          <w:szCs w:val="21"/>
          <w:highlight w:val="none"/>
        </w:rPr>
        <w:t>（五）甲方及其工作人员不得要求或者接受乙方为其住房装修、婚丧嫁娶活动、配偶子女的工作安排以及出国出境、旅游等提供方便等。</w:t>
      </w:r>
    </w:p>
    <w:p w14:paraId="78B0CA71">
      <w:pPr>
        <w:snapToGrid w:val="0"/>
        <w:spacing w:line="440" w:lineRule="exact"/>
        <w:ind w:left="0" w:leftChars="0" w:firstLine="420" w:firstLineChars="200"/>
        <w:rPr>
          <w:rFonts w:hint="eastAsia" w:ascii="宋体" w:hAnsi="宋体" w:eastAsia="宋体" w:cs="宋体"/>
          <w:color w:val="0D0D0D"/>
          <w:sz w:val="21"/>
          <w:szCs w:val="21"/>
          <w:highlight w:val="none"/>
        </w:rPr>
      </w:pPr>
      <w:r>
        <w:rPr>
          <w:rFonts w:hint="eastAsia" w:ascii="宋体" w:hAnsi="宋体" w:eastAsia="宋体" w:cs="宋体"/>
          <w:color w:val="0D0D0D"/>
          <w:sz w:val="21"/>
          <w:szCs w:val="21"/>
          <w:highlight w:val="none"/>
        </w:rPr>
        <w:t>（六）甲方及其工作人员不得有违反法律、法规、廉洁从业规定的其他行为。</w:t>
      </w:r>
    </w:p>
    <w:p w14:paraId="1D3940FD">
      <w:pPr>
        <w:spacing w:line="440" w:lineRule="exact"/>
        <w:ind w:firstLine="422" w:firstLineChars="200"/>
        <w:rPr>
          <w:rFonts w:hint="eastAsia" w:ascii="宋体" w:hAnsi="宋体" w:eastAsia="宋体" w:cs="宋体"/>
          <w:color w:val="0D0D0D"/>
          <w:sz w:val="21"/>
          <w:szCs w:val="21"/>
          <w:highlight w:val="none"/>
        </w:rPr>
      </w:pPr>
      <w:r>
        <w:rPr>
          <w:rFonts w:hint="eastAsia" w:ascii="宋体" w:hAnsi="宋体" w:eastAsia="宋体" w:cs="宋体"/>
          <w:b/>
          <w:bCs/>
          <w:color w:val="0D0D0D"/>
          <w:sz w:val="21"/>
          <w:szCs w:val="21"/>
          <w:highlight w:val="none"/>
        </w:rPr>
        <w:t>第四条 乙方的义务</w:t>
      </w:r>
    </w:p>
    <w:p w14:paraId="0D9BE992">
      <w:pPr>
        <w:snapToGrid w:val="0"/>
        <w:spacing w:line="440" w:lineRule="exact"/>
        <w:ind w:firstLine="420" w:firstLineChars="200"/>
        <w:rPr>
          <w:rFonts w:hint="eastAsia" w:ascii="宋体" w:hAnsi="宋体" w:eastAsia="宋体" w:cs="宋体"/>
          <w:color w:val="0D0D0D"/>
          <w:sz w:val="21"/>
          <w:szCs w:val="21"/>
          <w:highlight w:val="none"/>
        </w:rPr>
      </w:pPr>
      <w:r>
        <w:rPr>
          <w:rFonts w:hint="eastAsia" w:ascii="宋体" w:hAnsi="宋体" w:eastAsia="宋体" w:cs="宋体"/>
          <w:color w:val="0D0D0D"/>
          <w:sz w:val="21"/>
          <w:szCs w:val="21"/>
          <w:highlight w:val="none"/>
        </w:rPr>
        <w:t>（一）乙方不得以任何理由向甲方及其工作人员行贿或馈赠礼金、有价证券、贵重礼品。</w:t>
      </w:r>
    </w:p>
    <w:p w14:paraId="269F85D4">
      <w:pPr>
        <w:snapToGrid w:val="0"/>
        <w:spacing w:line="440" w:lineRule="exact"/>
        <w:ind w:firstLine="420" w:firstLineChars="200"/>
        <w:rPr>
          <w:rFonts w:hint="eastAsia" w:ascii="宋体" w:hAnsi="宋体" w:eastAsia="宋体" w:cs="宋体"/>
          <w:color w:val="0D0D0D"/>
          <w:sz w:val="21"/>
          <w:szCs w:val="21"/>
          <w:highlight w:val="none"/>
        </w:rPr>
      </w:pPr>
      <w:r>
        <w:rPr>
          <w:rFonts w:hint="eastAsia" w:ascii="宋体" w:hAnsi="宋体" w:eastAsia="宋体" w:cs="宋体"/>
          <w:color w:val="0D0D0D"/>
          <w:sz w:val="21"/>
          <w:szCs w:val="21"/>
          <w:highlight w:val="none"/>
        </w:rPr>
        <w:t>（二）乙方不得以任何名义为甲方及其工作人员报销应由甲方单位或个人支付的任何费用。</w:t>
      </w:r>
    </w:p>
    <w:p w14:paraId="5A2C402E">
      <w:pPr>
        <w:snapToGrid w:val="0"/>
        <w:spacing w:line="440" w:lineRule="exact"/>
        <w:ind w:firstLine="420" w:firstLineChars="200"/>
        <w:rPr>
          <w:rFonts w:hint="eastAsia" w:ascii="宋体" w:hAnsi="宋体" w:eastAsia="宋体" w:cs="宋体"/>
          <w:color w:val="0D0D0D"/>
          <w:sz w:val="21"/>
          <w:szCs w:val="21"/>
          <w:highlight w:val="none"/>
        </w:rPr>
      </w:pPr>
      <w:r>
        <w:rPr>
          <w:rFonts w:hint="eastAsia" w:ascii="宋体" w:hAnsi="宋体" w:eastAsia="宋体" w:cs="宋体"/>
          <w:color w:val="0D0D0D"/>
          <w:sz w:val="21"/>
          <w:szCs w:val="21"/>
          <w:highlight w:val="none"/>
        </w:rPr>
        <w:t>（三）乙方不得以任何理由安排甲方工作人员参加超标准宴请、健身及娱乐活动。</w:t>
      </w:r>
    </w:p>
    <w:p w14:paraId="523D77D2">
      <w:pPr>
        <w:snapToGrid w:val="0"/>
        <w:spacing w:line="440" w:lineRule="exact"/>
        <w:ind w:firstLine="420" w:firstLineChars="200"/>
        <w:rPr>
          <w:rFonts w:hint="eastAsia" w:ascii="宋体" w:hAnsi="宋体" w:eastAsia="宋体" w:cs="宋体"/>
          <w:color w:val="0D0D0D"/>
          <w:sz w:val="21"/>
          <w:szCs w:val="21"/>
          <w:highlight w:val="none"/>
        </w:rPr>
      </w:pPr>
      <w:r>
        <w:rPr>
          <w:rFonts w:hint="eastAsia" w:ascii="宋体" w:hAnsi="宋体" w:eastAsia="宋体" w:cs="宋体"/>
          <w:color w:val="0D0D0D"/>
          <w:sz w:val="21"/>
          <w:szCs w:val="21"/>
          <w:highlight w:val="none"/>
        </w:rPr>
        <w:t>（四）乙方不得为甲方及其工作人员购置或提供通讯工具、交通工具和高档办公用品等。</w:t>
      </w:r>
    </w:p>
    <w:p w14:paraId="16438A57">
      <w:pPr>
        <w:snapToGrid w:val="0"/>
        <w:spacing w:line="440" w:lineRule="exact"/>
        <w:ind w:firstLine="420" w:firstLineChars="200"/>
        <w:rPr>
          <w:rFonts w:hint="eastAsia" w:ascii="宋体" w:hAnsi="宋体" w:eastAsia="宋体" w:cs="宋体"/>
          <w:color w:val="0D0D0D"/>
          <w:sz w:val="21"/>
          <w:szCs w:val="21"/>
          <w:highlight w:val="none"/>
        </w:rPr>
      </w:pPr>
      <w:r>
        <w:rPr>
          <w:rFonts w:hint="eastAsia" w:ascii="宋体" w:hAnsi="宋体" w:eastAsia="宋体" w:cs="宋体"/>
          <w:color w:val="0D0D0D"/>
          <w:sz w:val="21"/>
          <w:szCs w:val="21"/>
          <w:highlight w:val="none"/>
        </w:rPr>
        <w:t>（五）乙方不得为甲方及其工作人员住房装修、婚丧嫁娶活动、配偶子女的工作安排以及出国出境、旅游等提供方便等。</w:t>
      </w:r>
    </w:p>
    <w:p w14:paraId="1EFE2EE9">
      <w:pPr>
        <w:snapToGrid w:val="0"/>
        <w:spacing w:line="440" w:lineRule="exact"/>
        <w:ind w:firstLine="420" w:firstLineChars="200"/>
        <w:rPr>
          <w:rFonts w:hint="eastAsia" w:ascii="宋体" w:hAnsi="宋体" w:eastAsia="宋体" w:cs="宋体"/>
          <w:color w:val="0D0D0D"/>
          <w:sz w:val="21"/>
          <w:szCs w:val="21"/>
          <w:highlight w:val="none"/>
        </w:rPr>
      </w:pPr>
      <w:r>
        <w:rPr>
          <w:rFonts w:hint="eastAsia" w:ascii="宋体" w:hAnsi="宋体" w:eastAsia="宋体" w:cs="宋体"/>
          <w:color w:val="0D0D0D"/>
          <w:sz w:val="21"/>
          <w:szCs w:val="21"/>
          <w:highlight w:val="none"/>
        </w:rPr>
        <w:t>（六）乙方不得有违反法律、法规、廉洁从业规定的其他行为。</w:t>
      </w:r>
    </w:p>
    <w:p w14:paraId="2F887F15">
      <w:pPr>
        <w:spacing w:line="440" w:lineRule="exact"/>
        <w:ind w:firstLine="422" w:firstLineChars="200"/>
        <w:rPr>
          <w:rFonts w:hint="eastAsia" w:ascii="宋体" w:hAnsi="宋体" w:eastAsia="宋体" w:cs="宋体"/>
          <w:color w:val="0D0D0D"/>
          <w:sz w:val="21"/>
          <w:szCs w:val="21"/>
          <w:highlight w:val="none"/>
        </w:rPr>
      </w:pPr>
      <w:r>
        <w:rPr>
          <w:rFonts w:hint="eastAsia" w:ascii="宋体" w:hAnsi="宋体" w:eastAsia="宋体" w:cs="宋体"/>
          <w:b/>
          <w:bCs/>
          <w:color w:val="0D0D0D"/>
          <w:sz w:val="21"/>
          <w:szCs w:val="21"/>
          <w:highlight w:val="none"/>
        </w:rPr>
        <w:t>第五条 违约责任</w:t>
      </w:r>
    </w:p>
    <w:p w14:paraId="23CB2B6E">
      <w:pPr>
        <w:snapToGrid w:val="0"/>
        <w:spacing w:line="440" w:lineRule="exact"/>
        <w:ind w:firstLine="420" w:firstLineChars="200"/>
        <w:rPr>
          <w:rFonts w:hint="eastAsia" w:ascii="宋体" w:hAnsi="宋体" w:eastAsia="宋体" w:cs="宋体"/>
          <w:color w:val="0D0D0D"/>
          <w:sz w:val="21"/>
          <w:szCs w:val="21"/>
          <w:highlight w:val="none"/>
        </w:rPr>
      </w:pPr>
      <w:r>
        <w:rPr>
          <w:rFonts w:hint="eastAsia" w:ascii="宋体" w:hAnsi="宋体" w:eastAsia="宋体" w:cs="宋体"/>
          <w:color w:val="0D0D0D"/>
          <w:sz w:val="21"/>
          <w:szCs w:val="21"/>
          <w:highlight w:val="none"/>
        </w:rPr>
        <w:t>（一）甲方及其工作人员违反本协议，视情节轻重按管理权限，依据有关规定给予党纪、政纪或组织处理，调离其工作岗位；涉嫌犯罪的，移交司法机关追究刑事责任；给乙方造成经济损失的，应予以赔偿。</w:t>
      </w:r>
    </w:p>
    <w:p w14:paraId="5AD81442">
      <w:pPr>
        <w:snapToGrid w:val="0"/>
        <w:spacing w:line="440" w:lineRule="exact"/>
        <w:ind w:firstLine="420" w:firstLineChars="200"/>
        <w:rPr>
          <w:rFonts w:hint="eastAsia" w:ascii="宋体" w:hAnsi="宋体" w:eastAsia="宋体" w:cs="宋体"/>
          <w:color w:val="0D0D0D"/>
          <w:sz w:val="21"/>
          <w:szCs w:val="21"/>
          <w:highlight w:val="none"/>
        </w:rPr>
      </w:pPr>
      <w:r>
        <w:rPr>
          <w:rFonts w:hint="eastAsia" w:ascii="宋体" w:hAnsi="宋体" w:eastAsia="宋体" w:cs="宋体"/>
          <w:color w:val="0D0D0D"/>
          <w:sz w:val="21"/>
          <w:szCs w:val="21"/>
          <w:highlight w:val="none"/>
        </w:rPr>
        <w:t>（二）乙方及其工作人员违反本协议，视情节轻重按管理权限，依据有关规定，给予党纪、政纪或组织处理；给甲方单位造成经济损失的，应予以赔偿；情节严重的，甲方可以单方面解除与乙方的合同，并给予乙方两年内不得对甲方组织的项目进行投标的处罚。</w:t>
      </w:r>
    </w:p>
    <w:p w14:paraId="120449DE">
      <w:pPr>
        <w:spacing w:line="440" w:lineRule="exact"/>
        <w:ind w:firstLine="422" w:firstLineChars="200"/>
        <w:rPr>
          <w:rFonts w:hint="eastAsia" w:ascii="宋体" w:hAnsi="宋体" w:eastAsia="宋体" w:cs="宋体"/>
          <w:color w:val="0D0D0D"/>
          <w:sz w:val="21"/>
          <w:szCs w:val="21"/>
          <w:highlight w:val="none"/>
        </w:rPr>
      </w:pPr>
      <w:r>
        <w:rPr>
          <w:rFonts w:hint="eastAsia" w:ascii="宋体" w:hAnsi="宋体" w:eastAsia="宋体" w:cs="宋体"/>
          <w:b/>
          <w:bCs/>
          <w:color w:val="0D0D0D"/>
          <w:sz w:val="21"/>
          <w:szCs w:val="21"/>
          <w:highlight w:val="none"/>
        </w:rPr>
        <w:t xml:space="preserve">第六条 </w:t>
      </w:r>
      <w:r>
        <w:rPr>
          <w:rFonts w:hint="eastAsia" w:ascii="宋体" w:hAnsi="宋体" w:eastAsia="宋体" w:cs="宋体"/>
          <w:color w:val="0D0D0D"/>
          <w:sz w:val="21"/>
          <w:szCs w:val="21"/>
          <w:highlight w:val="none"/>
        </w:rPr>
        <w:t>双方约定：本合同由双方或双方上级单位的纪检监察机关负责监督执行。由甲方或甲方上级单位的纪检监察机关约请乙方或乙方上级单位纪检监察机关对本合同执行情况进行检查；提出在本合同约定范围内的裁定意见。</w:t>
      </w:r>
    </w:p>
    <w:p w14:paraId="033F24B6">
      <w:pPr>
        <w:spacing w:line="440" w:lineRule="exact"/>
        <w:ind w:firstLine="413" w:firstLineChars="196"/>
        <w:rPr>
          <w:rFonts w:hint="eastAsia" w:ascii="宋体" w:hAnsi="宋体" w:eastAsia="宋体" w:cs="宋体"/>
          <w:color w:val="0D0D0D"/>
          <w:sz w:val="21"/>
          <w:szCs w:val="21"/>
          <w:highlight w:val="none"/>
        </w:rPr>
      </w:pPr>
      <w:r>
        <w:rPr>
          <w:rFonts w:hint="eastAsia" w:ascii="宋体" w:hAnsi="宋体" w:eastAsia="宋体" w:cs="宋体"/>
          <w:b/>
          <w:bCs/>
          <w:color w:val="0D0D0D"/>
          <w:sz w:val="21"/>
          <w:szCs w:val="21"/>
          <w:highlight w:val="none"/>
        </w:rPr>
        <w:t>第七条</w:t>
      </w:r>
      <w:r>
        <w:rPr>
          <w:rFonts w:hint="eastAsia" w:ascii="宋体" w:hAnsi="宋体" w:eastAsia="宋体" w:cs="宋体"/>
          <w:color w:val="0D0D0D"/>
          <w:sz w:val="21"/>
          <w:szCs w:val="21"/>
          <w:highlight w:val="none"/>
        </w:rPr>
        <w:t xml:space="preserve"> 本协议有效期为甲乙双方签署之日起至主合同完全履行完毕之日止。  </w:t>
      </w:r>
    </w:p>
    <w:p w14:paraId="3D0D403F">
      <w:pPr>
        <w:spacing w:line="440" w:lineRule="exact"/>
        <w:ind w:firstLine="413" w:firstLineChars="196"/>
        <w:rPr>
          <w:rFonts w:hint="eastAsia" w:ascii="宋体" w:hAnsi="宋体" w:eastAsia="宋体" w:cs="宋体"/>
          <w:color w:val="0D0D0D"/>
          <w:sz w:val="21"/>
          <w:szCs w:val="21"/>
          <w:highlight w:val="none"/>
          <w:u w:val="single"/>
        </w:rPr>
      </w:pPr>
      <w:r>
        <w:rPr>
          <w:rFonts w:hint="eastAsia" w:ascii="宋体" w:hAnsi="宋体" w:eastAsia="宋体" w:cs="宋体"/>
          <w:b/>
          <w:bCs/>
          <w:color w:val="0D0D0D"/>
          <w:sz w:val="21"/>
          <w:szCs w:val="21"/>
          <w:highlight w:val="none"/>
        </w:rPr>
        <w:t>第八条</w:t>
      </w:r>
      <w:r>
        <w:rPr>
          <w:rFonts w:hint="eastAsia" w:ascii="宋体" w:hAnsi="宋体" w:eastAsia="宋体" w:cs="宋体"/>
          <w:color w:val="0D0D0D"/>
          <w:sz w:val="21"/>
          <w:szCs w:val="21"/>
          <w:highlight w:val="none"/>
        </w:rPr>
        <w:t xml:space="preserve"> 本协议作为主合同的附件，与主合同具有同等的法律效力，经合同双方签署立即生效。</w:t>
      </w:r>
    </w:p>
    <w:p w14:paraId="6987D0A2">
      <w:pPr>
        <w:rPr>
          <w:rFonts w:hint="eastAsia" w:ascii="宋体" w:hAnsi="宋体" w:eastAsia="宋体" w:cs="宋体"/>
          <w:snapToGrid w:val="0"/>
          <w:color w:val="0D0D0D"/>
          <w:kern w:val="0"/>
          <w:sz w:val="21"/>
          <w:szCs w:val="21"/>
          <w:highlight w:val="none"/>
        </w:rPr>
      </w:pPr>
      <w:r>
        <w:rPr>
          <w:rFonts w:hint="eastAsia" w:ascii="宋体" w:hAnsi="宋体" w:eastAsia="宋体" w:cs="宋体"/>
          <w:snapToGrid w:val="0"/>
          <w:color w:val="0D0D0D"/>
          <w:kern w:val="0"/>
          <w:sz w:val="21"/>
          <w:szCs w:val="21"/>
          <w:highlight w:val="none"/>
        </w:rPr>
        <w:br w:type="page"/>
      </w:r>
    </w:p>
    <w:p w14:paraId="0D350B4F">
      <w:pPr>
        <w:spacing w:line="360" w:lineRule="auto"/>
        <w:rPr>
          <w:rFonts w:hint="eastAsia" w:ascii="宋体" w:hAnsi="宋体" w:eastAsia="宋体" w:cs="宋体"/>
          <w:snapToGrid/>
          <w:kern w:val="2"/>
          <w:sz w:val="21"/>
          <w:szCs w:val="21"/>
          <w:highlight w:val="none"/>
          <w:lang w:val="en-US" w:eastAsia="zh-CN"/>
        </w:rPr>
      </w:pPr>
      <w:r>
        <w:rPr>
          <w:rFonts w:hint="eastAsia" w:ascii="宋体" w:hAnsi="宋体" w:eastAsia="宋体" w:cs="宋体"/>
          <w:snapToGrid/>
          <w:kern w:val="2"/>
          <w:sz w:val="21"/>
          <w:szCs w:val="21"/>
          <w:highlight w:val="none"/>
          <w:lang w:val="en-US" w:eastAsia="zh-CN"/>
        </w:rPr>
        <w:t>附件三：</w:t>
      </w:r>
      <w:r>
        <w:rPr>
          <w:rFonts w:hint="eastAsia" w:ascii="宋体" w:hAnsi="宋体" w:eastAsia="宋体" w:cs="宋体"/>
          <w:snapToGrid/>
          <w:kern w:val="2"/>
          <w:sz w:val="21"/>
          <w:szCs w:val="21"/>
          <w:highlight w:val="none"/>
        </w:rPr>
        <w:t>履约保函</w:t>
      </w:r>
    </w:p>
    <w:p w14:paraId="0B564DA0">
      <w:pPr>
        <w:jc w:val="center"/>
        <w:rPr>
          <w:rFonts w:hint="eastAsia" w:ascii="宋体" w:hAnsi="宋体" w:eastAsia="宋体" w:cs="宋体"/>
          <w:b w:val="0"/>
          <w:kern w:val="2"/>
          <w:sz w:val="21"/>
          <w:szCs w:val="21"/>
          <w:highlight w:val="none"/>
          <w:lang w:val="en-US" w:eastAsia="zh-CN" w:bidi="ar-SA"/>
        </w:rPr>
      </w:pPr>
      <w:r>
        <w:rPr>
          <w:rFonts w:hint="eastAsia" w:ascii="宋体" w:hAnsi="宋体" w:eastAsia="宋体" w:cs="宋体"/>
          <w:b w:val="0"/>
          <w:kern w:val="2"/>
          <w:sz w:val="21"/>
          <w:szCs w:val="21"/>
          <w:highlight w:val="none"/>
          <w:lang w:val="en-US" w:eastAsia="zh-CN" w:bidi="ar-SA"/>
        </w:rPr>
        <w:t>履约保函</w:t>
      </w:r>
    </w:p>
    <w:p w14:paraId="228B60AC">
      <w:pPr>
        <w:tabs>
          <w:tab w:val="left" w:pos="8364"/>
        </w:tabs>
        <w:snapToGrid w:val="0"/>
        <w:spacing w:line="360" w:lineRule="auto"/>
        <w:ind w:right="-5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（合同签订之日起六十天内开具）</w:t>
      </w:r>
    </w:p>
    <w:p w14:paraId="71998447">
      <w:pPr>
        <w:tabs>
          <w:tab w:val="left" w:pos="8364"/>
        </w:tabs>
        <w:snapToGrid w:val="0"/>
        <w:spacing w:line="360" w:lineRule="auto"/>
        <w:ind w:right="-58"/>
        <w:jc w:val="center"/>
        <w:rPr>
          <w:rFonts w:hint="eastAsia" w:ascii="宋体" w:hAnsi="宋体" w:eastAsia="宋体" w:cs="宋体"/>
          <w:color w:val="000000"/>
          <w:sz w:val="21"/>
          <w:szCs w:val="21"/>
          <w:highlight w:val="none"/>
        </w:rPr>
      </w:pPr>
    </w:p>
    <w:p w14:paraId="4B6DF448">
      <w:pPr>
        <w:tabs>
          <w:tab w:val="left" w:pos="8364"/>
        </w:tabs>
        <w:snapToGrid w:val="0"/>
        <w:spacing w:line="360" w:lineRule="auto"/>
        <w:ind w:right="-5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开证日期：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银行保函编号：</w:t>
      </w:r>
      <w:r>
        <w:rPr>
          <w:rFonts w:hint="eastAsia" w:ascii="宋体" w:hAnsi="宋体" w:eastAsia="宋体" w:cs="宋体"/>
          <w:color w:val="000000"/>
          <w:sz w:val="21"/>
          <w:szCs w:val="21"/>
          <w:highlight w:val="none"/>
          <w:u w:val="single"/>
        </w:rPr>
        <w:t xml:space="preserve">        </w:t>
      </w:r>
    </w:p>
    <w:p w14:paraId="5C1E10F8">
      <w:pPr>
        <w:tabs>
          <w:tab w:val="left" w:pos="8364"/>
        </w:tabs>
        <w:snapToGrid w:val="0"/>
        <w:spacing w:line="360" w:lineRule="auto"/>
        <w:ind w:right="-5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致：长沙穗城轨道交通有限公司</w:t>
      </w:r>
    </w:p>
    <w:p w14:paraId="6A7C1768">
      <w:pPr>
        <w:tabs>
          <w:tab w:val="left" w:pos="8364"/>
        </w:tabs>
        <w:snapToGrid w:val="0"/>
        <w:spacing w:line="360" w:lineRule="auto"/>
        <w:ind w:right="-5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kern w:val="0"/>
          <w:sz w:val="21"/>
          <w:szCs w:val="21"/>
          <w:highlight w:val="none"/>
        </w:rPr>
        <w:t>合同履约保函</w:t>
      </w:r>
    </w:p>
    <w:p w14:paraId="3C23C481">
      <w:pPr>
        <w:tabs>
          <w:tab w:val="left" w:pos="8364"/>
        </w:tabs>
        <w:snapToGrid w:val="0"/>
        <w:spacing w:line="360" w:lineRule="auto"/>
        <w:ind w:right="-58" w:firstLine="55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本保函作为贵方与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（乙方名称、地址、以下简称乙方）于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日签订的合同金额为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（货币名称）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元（货币数量、大小写）合同号为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的               合同（以下简称合同）的履约保函。</w:t>
      </w:r>
    </w:p>
    <w:p w14:paraId="0516F587">
      <w:pPr>
        <w:tabs>
          <w:tab w:val="left" w:pos="8364"/>
        </w:tabs>
        <w:snapToGrid w:val="0"/>
        <w:spacing w:line="360" w:lineRule="auto"/>
        <w:ind w:right="-5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注册于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（银行地址）的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银行（以下简称本行）无条件地、不可撤销地具结保证本行、其继承人和受让人无追索地向贵方以</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（货币名称）支付总额不超过</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元（货币数量、大小写）的金额，即相当于合同价格的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4C282100">
      <w:pPr>
        <w:tabs>
          <w:tab w:val="left" w:pos="8364"/>
        </w:tabs>
        <w:snapToGrid w:val="0"/>
        <w:spacing w:line="360" w:lineRule="auto"/>
        <w:ind w:right="-5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并以此约定如下：</w:t>
      </w:r>
    </w:p>
    <w:p w14:paraId="49AB55A9">
      <w:pPr>
        <w:numPr>
          <w:ilvl w:val="0"/>
          <w:numId w:val="12"/>
        </w:numPr>
        <w:tabs>
          <w:tab w:val="left" w:pos="720"/>
          <w:tab w:val="clear" w:pos="600"/>
        </w:tabs>
        <w:snapToGrid w:val="0"/>
        <w:spacing w:line="360" w:lineRule="auto"/>
        <w:ind w:right="-5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乙方未能忠实地履行所有合同文件的规定和双方此后一致同意的修改、补充和变动，包括更换或修补贵方认为有缺陷的货物（以下简称违约），只要贵方确定，无论乙方有任何反对，本行将凭贵方的书面违约通知，立即按贵方提出的不超过上述累计总额的金额和按该通知中规定的方式付给贵方；</w:t>
      </w:r>
    </w:p>
    <w:p w14:paraId="43FCE6F4">
      <w:pPr>
        <w:numPr>
          <w:ilvl w:val="0"/>
          <w:numId w:val="12"/>
        </w:numPr>
        <w:tabs>
          <w:tab w:val="left" w:pos="720"/>
          <w:tab w:val="clear" w:pos="600"/>
        </w:tabs>
        <w:snapToGrid w:val="0"/>
        <w:spacing w:line="360" w:lineRule="auto"/>
        <w:ind w:right="-5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本保函项下的任何支付应为免税和净值，无论任何人以何种理由提出扣减现有或未来的税费、关税、费用或扣款，均不能从本保函中扣除；</w:t>
      </w:r>
    </w:p>
    <w:p w14:paraId="2CDF3E3D">
      <w:pPr>
        <w:numPr>
          <w:ilvl w:val="0"/>
          <w:numId w:val="12"/>
        </w:numPr>
        <w:tabs>
          <w:tab w:val="left" w:pos="720"/>
          <w:tab w:val="clear" w:pos="600"/>
        </w:tabs>
        <w:snapToGrid w:val="0"/>
        <w:spacing w:line="360" w:lineRule="auto"/>
        <w:ind w:right="1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保函的规定构成本行无条件的、不可撤销的直接义务。今后任何对合同条款的修改、贵方在时间上的通融、其他宽容、让步或由贵方采取的除了本款以外都适用的可能免除本行责任的任何删除或其他行为，均不能解除或免除本行在本保证函项下的责任；</w:t>
      </w:r>
    </w:p>
    <w:p w14:paraId="5BCDF006">
      <w:pPr>
        <w:numPr>
          <w:ilvl w:val="0"/>
          <w:numId w:val="12"/>
        </w:numPr>
        <w:tabs>
          <w:tab w:val="left" w:pos="720"/>
          <w:tab w:val="clear" w:pos="600"/>
        </w:tabs>
        <w:snapToGrid w:val="0"/>
        <w:spacing w:line="360" w:lineRule="auto"/>
        <w:ind w:right="1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本保函在出证行代表签字和加盖公章后生效，</w:t>
      </w:r>
      <w:r>
        <w:rPr>
          <w:rFonts w:hint="eastAsia" w:ascii="宋体" w:hAnsi="宋体" w:eastAsia="宋体" w:cs="宋体"/>
          <w:color w:val="000000"/>
          <w:sz w:val="21"/>
          <w:szCs w:val="21"/>
          <w:highlight w:val="none"/>
          <w:shd w:val="clear" w:color="auto" w:fill="FFFFFF"/>
        </w:rPr>
        <w:t>本保函的有效期及担保期限最晚不超过</w:t>
      </w:r>
      <w:r>
        <w:rPr>
          <w:rFonts w:hint="eastAsia" w:ascii="宋体" w:hAnsi="宋体" w:eastAsia="宋体" w:cs="宋体"/>
          <w:color w:val="000000"/>
          <w:sz w:val="21"/>
          <w:szCs w:val="21"/>
          <w:highlight w:val="none"/>
          <w:u w:val="single"/>
          <w:shd w:val="clear" w:color="auto" w:fill="FFFFFF"/>
        </w:rPr>
        <w:t xml:space="preserve">      </w:t>
      </w:r>
      <w:r>
        <w:rPr>
          <w:rFonts w:hint="eastAsia" w:ascii="宋体" w:hAnsi="宋体" w:eastAsia="宋体" w:cs="宋体"/>
          <w:color w:val="000000"/>
          <w:sz w:val="21"/>
          <w:szCs w:val="21"/>
          <w:highlight w:val="none"/>
          <w:shd w:val="clear" w:color="auto" w:fill="FFFFFF"/>
        </w:rPr>
        <w:t>年</w:t>
      </w:r>
      <w:r>
        <w:rPr>
          <w:rFonts w:hint="eastAsia" w:ascii="宋体" w:hAnsi="宋体" w:eastAsia="宋体" w:cs="宋体"/>
          <w:color w:val="000000"/>
          <w:sz w:val="21"/>
          <w:szCs w:val="21"/>
          <w:highlight w:val="none"/>
          <w:u w:val="single"/>
          <w:shd w:val="clear" w:color="auto" w:fill="FFFFFF"/>
        </w:rPr>
        <w:t xml:space="preserve">    </w:t>
      </w:r>
      <w:r>
        <w:rPr>
          <w:rFonts w:hint="eastAsia" w:ascii="宋体" w:hAnsi="宋体" w:eastAsia="宋体" w:cs="宋体"/>
          <w:color w:val="000000"/>
          <w:sz w:val="21"/>
          <w:szCs w:val="21"/>
          <w:highlight w:val="none"/>
          <w:shd w:val="clear" w:color="auto" w:fill="FFFFFF"/>
        </w:rPr>
        <w:t>月</w:t>
      </w:r>
      <w:r>
        <w:rPr>
          <w:rFonts w:hint="eastAsia" w:ascii="宋体" w:hAnsi="宋体" w:eastAsia="宋体" w:cs="宋体"/>
          <w:color w:val="000000"/>
          <w:sz w:val="21"/>
          <w:szCs w:val="21"/>
          <w:highlight w:val="none"/>
          <w:u w:val="single"/>
          <w:shd w:val="clear" w:color="auto" w:fill="FFFFFF"/>
        </w:rPr>
        <w:t xml:space="preserve">    </w:t>
      </w:r>
      <w:r>
        <w:rPr>
          <w:rFonts w:hint="eastAsia" w:ascii="宋体" w:hAnsi="宋体" w:eastAsia="宋体" w:cs="宋体"/>
          <w:color w:val="000000"/>
          <w:sz w:val="21"/>
          <w:szCs w:val="21"/>
          <w:highlight w:val="none"/>
          <w:shd w:val="clear" w:color="auto" w:fill="FFFFFF"/>
        </w:rPr>
        <w:t>日</w:t>
      </w:r>
      <w:r>
        <w:rPr>
          <w:rFonts w:hint="eastAsia" w:ascii="宋体" w:hAnsi="宋体" w:eastAsia="宋体" w:cs="宋体"/>
          <w:color w:val="000000"/>
          <w:sz w:val="21"/>
          <w:szCs w:val="21"/>
          <w:highlight w:val="none"/>
        </w:rPr>
        <w:t>。如需延长有效期，只须乙方在本保函到期前书面通知我行即可。</w:t>
      </w:r>
    </w:p>
    <w:p w14:paraId="1DC4C8DF">
      <w:pPr>
        <w:tabs>
          <w:tab w:val="left" w:pos="720"/>
        </w:tabs>
        <w:snapToGrid w:val="0"/>
        <w:spacing w:line="360" w:lineRule="auto"/>
        <w:ind w:left="564" w:right="1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本保函的验证行为甲方指定的银行。</w:t>
      </w:r>
    </w:p>
    <w:p w14:paraId="1A24B6EB">
      <w:pPr>
        <w:tabs>
          <w:tab w:val="left" w:pos="720"/>
        </w:tabs>
        <w:snapToGrid w:val="0"/>
        <w:spacing w:line="360" w:lineRule="auto"/>
        <w:ind w:right="1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谨启</w:t>
      </w:r>
    </w:p>
    <w:p w14:paraId="4A5CA6FD">
      <w:pPr>
        <w:tabs>
          <w:tab w:val="left" w:pos="8364"/>
        </w:tabs>
        <w:snapToGrid w:val="0"/>
        <w:spacing w:line="360" w:lineRule="auto"/>
        <w:ind w:right="-58"/>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出证行名称：</w:t>
      </w:r>
      <w:r>
        <w:rPr>
          <w:rFonts w:hint="eastAsia" w:ascii="宋体" w:hAnsi="宋体" w:eastAsia="宋体" w:cs="宋体"/>
          <w:color w:val="000000"/>
          <w:sz w:val="21"/>
          <w:szCs w:val="21"/>
          <w:highlight w:val="none"/>
          <w:u w:val="single"/>
        </w:rPr>
        <w:t xml:space="preserve">                           </w:t>
      </w:r>
    </w:p>
    <w:p w14:paraId="172916CD">
      <w:pPr>
        <w:tabs>
          <w:tab w:val="left" w:pos="8364"/>
        </w:tabs>
        <w:snapToGrid w:val="0"/>
        <w:spacing w:line="360" w:lineRule="auto"/>
        <w:ind w:right="-58"/>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签字人姓名和职务：</w:t>
      </w:r>
      <w:r>
        <w:rPr>
          <w:rFonts w:hint="eastAsia" w:ascii="宋体" w:hAnsi="宋体" w:eastAsia="宋体" w:cs="宋体"/>
          <w:color w:val="000000"/>
          <w:sz w:val="21"/>
          <w:szCs w:val="21"/>
          <w:highlight w:val="none"/>
          <w:u w:val="single"/>
        </w:rPr>
        <w:t xml:space="preserve">                     </w:t>
      </w:r>
    </w:p>
    <w:p w14:paraId="56912775">
      <w:pPr>
        <w:tabs>
          <w:tab w:val="left" w:pos="8364"/>
        </w:tabs>
        <w:snapToGrid w:val="0"/>
        <w:spacing w:line="360" w:lineRule="auto"/>
        <w:ind w:right="-58"/>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签字：</w:t>
      </w:r>
      <w:r>
        <w:rPr>
          <w:rFonts w:hint="eastAsia" w:ascii="宋体" w:hAnsi="宋体" w:eastAsia="宋体" w:cs="宋体"/>
          <w:color w:val="000000"/>
          <w:sz w:val="21"/>
          <w:szCs w:val="21"/>
          <w:highlight w:val="none"/>
          <w:u w:val="single"/>
        </w:rPr>
        <w:t xml:space="preserve">                                 </w:t>
      </w:r>
    </w:p>
    <w:p w14:paraId="578FEF87">
      <w:pPr>
        <w:tabs>
          <w:tab w:val="left" w:pos="8364"/>
        </w:tabs>
        <w:snapToGrid w:val="0"/>
        <w:spacing w:line="360" w:lineRule="auto"/>
        <w:ind w:right="-58"/>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公章或业务专用章：</w:t>
      </w:r>
      <w:r>
        <w:rPr>
          <w:rFonts w:hint="eastAsia" w:ascii="宋体" w:hAnsi="宋体" w:eastAsia="宋体" w:cs="宋体"/>
          <w:color w:val="000000"/>
          <w:sz w:val="21"/>
          <w:szCs w:val="21"/>
          <w:highlight w:val="none"/>
          <w:u w:val="single"/>
        </w:rPr>
        <w:t xml:space="preserve">                      </w:t>
      </w:r>
    </w:p>
    <w:p w14:paraId="110FCC5B">
      <w:pPr>
        <w:rPr>
          <w:rFonts w:ascii="黑体" w:hAnsi="Times New Roman" w:eastAsia="黑体" w:cs="Times New Roman"/>
          <w:b/>
          <w:snapToGrid w:val="0"/>
          <w:color w:val="000000"/>
          <w:kern w:val="0"/>
          <w:sz w:val="28"/>
          <w:szCs w:val="28"/>
          <w:highlight w:val="none"/>
          <w:lang w:val="en-US" w:eastAsia="zh-CN" w:bidi="ar-SA"/>
        </w:rPr>
      </w:pPr>
      <w:r>
        <w:rPr>
          <w:rFonts w:ascii="黑体" w:hAnsi="Times New Roman" w:eastAsia="黑体" w:cs="Times New Roman"/>
          <w:b/>
          <w:snapToGrid w:val="0"/>
          <w:color w:val="000000"/>
          <w:kern w:val="0"/>
          <w:sz w:val="28"/>
          <w:szCs w:val="28"/>
          <w:highlight w:val="none"/>
          <w:lang w:val="en-US" w:eastAsia="zh-CN" w:bidi="ar-SA"/>
        </w:rPr>
        <w:br w:type="page"/>
      </w:r>
    </w:p>
    <w:p w14:paraId="229A4DD7">
      <w:pPr>
        <w:widowControl/>
        <w:spacing w:line="360" w:lineRule="auto"/>
        <w:ind w:firstLine="420"/>
        <w:jc w:val="left"/>
        <w:rPr>
          <w:rFonts w:ascii="Times New Roman" w:hAnsi="Times New Roman" w:eastAsia="宋体" w:cs="Times New Roman"/>
          <w:color w:val="auto"/>
          <w:kern w:val="0"/>
          <w:sz w:val="20"/>
          <w:highlight w:val="none"/>
          <w:lang w:val="en-US" w:eastAsia="zh-CN" w:bidi="ar-SA"/>
        </w:rPr>
      </w:pPr>
    </w:p>
    <w:p w14:paraId="03CB4DA8">
      <w:pPr>
        <w:spacing w:line="360" w:lineRule="auto"/>
        <w:ind w:firstLine="5600" w:firstLineChars="2000"/>
        <w:rPr>
          <w:rFonts w:hint="eastAsia" w:ascii="宋体" w:hAnsi="宋体" w:eastAsia="宋体" w:cs="宋体"/>
          <w:color w:val="auto"/>
          <w:sz w:val="28"/>
          <w:szCs w:val="24"/>
          <w:highlight w:val="none"/>
          <w:lang w:val="en-US" w:eastAsia="zh-CN"/>
        </w:rPr>
      </w:pPr>
      <w:r>
        <w:rPr>
          <w:rFonts w:hint="eastAsia" w:ascii="宋体" w:hAnsi="宋体" w:eastAsia="宋体" w:cs="宋体"/>
          <w:color w:val="auto"/>
          <w:sz w:val="28"/>
          <w:szCs w:val="24"/>
          <w:highlight w:val="none"/>
          <w:lang w:val="en-US" w:eastAsia="zh-CN"/>
        </w:rPr>
        <w:t>合同编号：</w:t>
      </w:r>
      <w:r>
        <w:rPr>
          <w:rFonts w:hint="eastAsia" w:ascii="宋体" w:hAnsi="宋体" w:eastAsia="宋体" w:cs="宋体"/>
          <w:color w:val="auto"/>
          <w:sz w:val="28"/>
          <w:szCs w:val="24"/>
          <w:highlight w:val="none"/>
          <w:u w:val="single"/>
          <w:lang w:val="en-US" w:eastAsia="zh-CN"/>
        </w:rPr>
        <w:t xml:space="preserve">                    </w:t>
      </w:r>
    </w:p>
    <w:p w14:paraId="4484DACA">
      <w:pPr>
        <w:widowControl w:val="0"/>
        <w:jc w:val="center"/>
        <w:outlineLvl w:val="1"/>
        <w:rPr>
          <w:rFonts w:hint="default" w:ascii="宋体" w:hAnsi="宋体" w:eastAsia="宋体" w:cs="宋体"/>
          <w:b/>
          <w:bCs w:val="0"/>
          <w:color w:val="000000"/>
          <w:sz w:val="52"/>
          <w:szCs w:val="22"/>
          <w:highlight w:val="none"/>
          <w:u w:val="none"/>
          <w:lang w:val="en-US" w:eastAsia="zh-CN" w:bidi="en-US"/>
        </w:rPr>
      </w:pPr>
      <w:r>
        <w:rPr>
          <w:rFonts w:hint="eastAsia" w:ascii="宋体" w:hAnsi="宋体" w:eastAsia="宋体" w:cs="宋体"/>
          <w:b/>
          <w:bCs w:val="0"/>
          <w:color w:val="000000"/>
          <w:sz w:val="52"/>
          <w:szCs w:val="22"/>
          <w:highlight w:val="none"/>
          <w:u w:val="none"/>
          <w:lang w:val="en-US" w:eastAsia="zh-CN" w:bidi="en-US"/>
        </w:rPr>
        <w:t>三标段：食堂物资供应（生鲜类）</w:t>
      </w:r>
    </w:p>
    <w:p w14:paraId="1FFEF407">
      <w:pPr>
        <w:snapToGrid w:val="0"/>
        <w:spacing w:line="360" w:lineRule="auto"/>
        <w:jc w:val="center"/>
        <w:rPr>
          <w:rFonts w:hint="eastAsia" w:ascii="宋体" w:hAnsi="宋体" w:eastAsia="宋体" w:cs="宋体"/>
          <w:b/>
          <w:color w:val="auto"/>
          <w:sz w:val="40"/>
          <w:szCs w:val="40"/>
          <w:highlight w:val="none"/>
        </w:rPr>
      </w:pPr>
    </w:p>
    <w:p w14:paraId="1A8980D9">
      <w:pPr>
        <w:pStyle w:val="80"/>
        <w:rPr>
          <w:rFonts w:hint="eastAsia" w:ascii="宋体" w:hAnsi="宋体" w:eastAsia="宋体" w:cs="宋体"/>
          <w:b/>
          <w:color w:val="auto"/>
          <w:sz w:val="40"/>
          <w:szCs w:val="40"/>
          <w:highlight w:val="none"/>
        </w:rPr>
      </w:pPr>
    </w:p>
    <w:p w14:paraId="3E8AF254">
      <w:pPr>
        <w:pStyle w:val="80"/>
        <w:rPr>
          <w:rFonts w:hint="eastAsia" w:ascii="宋体" w:hAnsi="宋体" w:eastAsia="宋体" w:cs="宋体"/>
          <w:b/>
          <w:color w:val="auto"/>
          <w:sz w:val="40"/>
          <w:szCs w:val="40"/>
          <w:highlight w:val="none"/>
        </w:rPr>
      </w:pPr>
    </w:p>
    <w:p w14:paraId="368E6464">
      <w:pPr>
        <w:widowControl w:val="0"/>
        <w:jc w:val="center"/>
        <w:rPr>
          <w:rFonts w:hint="eastAsia" w:ascii="宋体" w:hAnsi="宋体" w:eastAsia="宋体" w:cs="宋体"/>
          <w:b/>
          <w:color w:val="000000"/>
          <w:sz w:val="52"/>
          <w:szCs w:val="22"/>
          <w:highlight w:val="none"/>
          <w:u w:val="single"/>
          <w:lang w:val="en-US" w:eastAsia="zh-CN" w:bidi="en-US"/>
        </w:rPr>
      </w:pPr>
      <w:r>
        <w:rPr>
          <w:rFonts w:hint="eastAsia" w:ascii="宋体" w:hAnsi="宋体" w:eastAsia="宋体" w:cs="宋体"/>
          <w:b/>
          <w:color w:val="000000"/>
          <w:sz w:val="52"/>
          <w:szCs w:val="22"/>
          <w:highlight w:val="none"/>
          <w:u w:val="single"/>
          <w:lang w:val="en-US" w:eastAsia="zh-CN" w:bidi="en-US"/>
        </w:rPr>
        <w:t>2026-2028年员工食堂</w:t>
      </w:r>
      <w:r>
        <w:rPr>
          <w:rFonts w:hint="eastAsia" w:ascii="宋体" w:hAnsi="宋体" w:cs="宋体"/>
          <w:b/>
          <w:color w:val="000000"/>
          <w:sz w:val="52"/>
          <w:szCs w:val="22"/>
          <w:highlight w:val="none"/>
          <w:u w:val="single"/>
          <w:lang w:val="en-US" w:eastAsia="zh-CN" w:bidi="en-US"/>
        </w:rPr>
        <w:t>物资供应</w:t>
      </w:r>
      <w:r>
        <w:rPr>
          <w:rFonts w:hint="eastAsia" w:ascii="宋体" w:hAnsi="宋体" w:eastAsia="宋体" w:cs="宋体"/>
          <w:b/>
          <w:color w:val="000000"/>
          <w:sz w:val="52"/>
          <w:szCs w:val="22"/>
          <w:highlight w:val="none"/>
          <w:u w:val="single"/>
          <w:lang w:val="en-US" w:eastAsia="zh-CN" w:bidi="en-US"/>
        </w:rPr>
        <w:t>合同</w:t>
      </w:r>
    </w:p>
    <w:p w14:paraId="0FDBDD1D">
      <w:pPr>
        <w:widowControl w:val="0"/>
        <w:jc w:val="center"/>
        <w:rPr>
          <w:rFonts w:hint="eastAsia" w:ascii="宋体" w:hAnsi="宋体" w:eastAsia="宋体" w:cs="宋体"/>
          <w:b/>
          <w:color w:val="000000"/>
          <w:sz w:val="52"/>
          <w:szCs w:val="22"/>
          <w:highlight w:val="none"/>
          <w:u w:val="single"/>
          <w:lang w:val="en-US" w:eastAsia="zh-CN" w:bidi="en-US"/>
        </w:rPr>
      </w:pPr>
      <w:r>
        <w:rPr>
          <w:rFonts w:hint="eastAsia" w:ascii="宋体" w:hAnsi="宋体" w:cs="宋体"/>
          <w:b/>
          <w:color w:val="000000"/>
          <w:sz w:val="52"/>
          <w:szCs w:val="22"/>
          <w:highlight w:val="none"/>
          <w:u w:val="single"/>
          <w:lang w:val="en-US" w:eastAsia="zh-CN" w:bidi="en-US"/>
        </w:rPr>
        <w:t>（生鲜类）</w:t>
      </w:r>
    </w:p>
    <w:p w14:paraId="1AB49FD2">
      <w:pPr>
        <w:widowControl w:val="0"/>
        <w:ind w:firstLine="1120" w:firstLineChars="400"/>
        <w:jc w:val="center"/>
        <w:rPr>
          <w:rFonts w:hint="eastAsia" w:ascii="宋体" w:hAnsi="宋体" w:eastAsia="宋体" w:cs="宋体"/>
          <w:color w:val="auto"/>
          <w:kern w:val="0"/>
          <w:sz w:val="28"/>
          <w:szCs w:val="24"/>
          <w:highlight w:val="none"/>
          <w:lang w:val="en-US" w:eastAsia="zh-CN" w:bidi="ar-SA"/>
        </w:rPr>
      </w:pPr>
    </w:p>
    <w:p w14:paraId="75CB9B2D">
      <w:pPr>
        <w:widowControl w:val="0"/>
        <w:jc w:val="both"/>
        <w:rPr>
          <w:rFonts w:hint="eastAsia" w:ascii="宋体" w:hAnsi="宋体" w:eastAsia="宋体" w:cs="宋体"/>
          <w:color w:val="auto"/>
          <w:kern w:val="0"/>
          <w:sz w:val="28"/>
          <w:szCs w:val="24"/>
          <w:highlight w:val="none"/>
          <w:lang w:val="en-US" w:eastAsia="zh-CN" w:bidi="ar-SA"/>
        </w:rPr>
      </w:pPr>
    </w:p>
    <w:p w14:paraId="0A0959A1">
      <w:pPr>
        <w:widowControl w:val="0"/>
        <w:jc w:val="both"/>
        <w:rPr>
          <w:rFonts w:hint="eastAsia" w:ascii="宋体" w:hAnsi="宋体" w:eastAsia="宋体" w:cs="宋体"/>
          <w:color w:val="auto"/>
          <w:kern w:val="0"/>
          <w:sz w:val="28"/>
          <w:szCs w:val="24"/>
          <w:highlight w:val="none"/>
          <w:lang w:val="en-US" w:eastAsia="zh-CN" w:bidi="ar-SA"/>
        </w:rPr>
      </w:pPr>
    </w:p>
    <w:p w14:paraId="10A6D192">
      <w:pPr>
        <w:widowControl w:val="0"/>
        <w:ind w:firstLine="1120" w:firstLineChars="400"/>
        <w:jc w:val="both"/>
        <w:rPr>
          <w:rFonts w:hint="eastAsia" w:ascii="宋体" w:hAnsi="宋体" w:eastAsia="宋体" w:cs="宋体"/>
          <w:color w:val="auto"/>
          <w:kern w:val="0"/>
          <w:sz w:val="28"/>
          <w:szCs w:val="24"/>
          <w:highlight w:val="none"/>
          <w:lang w:val="en-US" w:eastAsia="zh-CN" w:bidi="ar-SA"/>
        </w:rPr>
      </w:pPr>
    </w:p>
    <w:p w14:paraId="148EABC1">
      <w:pPr>
        <w:widowControl/>
        <w:adjustRightInd w:val="0"/>
        <w:snapToGrid w:val="0"/>
        <w:spacing w:line="360" w:lineRule="auto"/>
        <w:ind w:firstLine="835" w:firstLineChars="297"/>
        <w:jc w:val="left"/>
        <w:rPr>
          <w:rFonts w:hint="eastAsia" w:ascii="宋体" w:hAnsi="宋体" w:eastAsia="宋体" w:cs="宋体"/>
          <w:b/>
          <w:color w:val="auto"/>
          <w:sz w:val="28"/>
          <w:szCs w:val="28"/>
          <w:highlight w:val="none"/>
          <w:u w:val="single"/>
          <w:lang w:val="en-US" w:eastAsia="zh-CN"/>
        </w:rPr>
      </w:pPr>
    </w:p>
    <w:p w14:paraId="5E8C4C11">
      <w:pPr>
        <w:widowControl/>
        <w:adjustRightInd w:val="0"/>
        <w:snapToGrid w:val="0"/>
        <w:spacing w:line="360" w:lineRule="auto"/>
        <w:ind w:firstLine="835" w:firstLineChars="297"/>
        <w:jc w:val="left"/>
        <w:rPr>
          <w:rFonts w:hint="eastAsia" w:ascii="宋体" w:hAnsi="宋体" w:eastAsia="宋体" w:cs="宋体"/>
          <w:b/>
          <w:color w:val="auto"/>
          <w:sz w:val="28"/>
          <w:szCs w:val="28"/>
          <w:highlight w:val="none"/>
          <w:lang w:bidi="en-US"/>
        </w:rPr>
      </w:pPr>
      <w:r>
        <w:rPr>
          <w:rFonts w:hint="eastAsia" w:ascii="宋体" w:hAnsi="宋体" w:eastAsia="宋体" w:cs="宋体"/>
          <w:b/>
          <w:color w:val="auto"/>
          <w:sz w:val="28"/>
          <w:szCs w:val="28"/>
          <w:highlight w:val="none"/>
          <w:lang w:bidi="en-US"/>
        </w:rPr>
        <w:t>项目地点：</w:t>
      </w:r>
      <w:r>
        <w:rPr>
          <w:rFonts w:hint="eastAsia" w:ascii="宋体" w:hAnsi="宋体" w:eastAsia="宋体" w:cs="宋体"/>
          <w:b/>
          <w:color w:val="auto"/>
          <w:sz w:val="28"/>
          <w:szCs w:val="28"/>
          <w:highlight w:val="none"/>
          <w:u w:val="single"/>
        </w:rPr>
        <w:t xml:space="preserve">           湖南省长沙市              </w:t>
      </w:r>
    </w:p>
    <w:p w14:paraId="43A4CE92">
      <w:pPr>
        <w:widowControl/>
        <w:adjustRightInd w:val="0"/>
        <w:snapToGrid w:val="0"/>
        <w:spacing w:line="360" w:lineRule="auto"/>
        <w:ind w:firstLine="835" w:firstLineChars="297"/>
        <w:jc w:val="left"/>
        <w:rPr>
          <w:rFonts w:hint="eastAsia" w:ascii="宋体" w:hAnsi="宋体" w:eastAsia="宋体" w:cs="宋体"/>
          <w:b/>
          <w:color w:val="auto"/>
          <w:sz w:val="28"/>
          <w:szCs w:val="28"/>
          <w:highlight w:val="none"/>
          <w:lang w:bidi="en-US"/>
        </w:rPr>
      </w:pPr>
    </w:p>
    <w:p w14:paraId="48A5155F">
      <w:pPr>
        <w:widowControl/>
        <w:adjustRightInd w:val="0"/>
        <w:snapToGrid w:val="0"/>
        <w:spacing w:line="360" w:lineRule="auto"/>
        <w:ind w:firstLine="835" w:firstLineChars="297"/>
        <w:jc w:val="left"/>
        <w:rPr>
          <w:rFonts w:hint="eastAsia" w:ascii="宋体" w:hAnsi="宋体" w:eastAsia="宋体" w:cs="宋体"/>
          <w:b/>
          <w:color w:val="auto"/>
          <w:sz w:val="28"/>
          <w:szCs w:val="28"/>
          <w:highlight w:val="none"/>
          <w:lang w:bidi="en-US"/>
        </w:rPr>
      </w:pPr>
      <w:r>
        <w:rPr>
          <w:rFonts w:hint="eastAsia" w:ascii="宋体" w:hAnsi="宋体" w:eastAsia="宋体" w:cs="宋体"/>
          <w:b/>
          <w:color w:val="auto"/>
          <w:sz w:val="28"/>
          <w:szCs w:val="28"/>
          <w:highlight w:val="none"/>
          <w:lang w:bidi="en-US"/>
        </w:rPr>
        <w:t>采 购 人：</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lang w:val="en-US" w:eastAsia="zh-CN"/>
        </w:rPr>
        <w:t xml:space="preserve"> </w:t>
      </w:r>
      <w:r>
        <w:rPr>
          <w:rFonts w:hint="eastAsia" w:ascii="宋体" w:hAnsi="宋体" w:eastAsia="宋体" w:cs="宋体"/>
          <w:b/>
          <w:color w:val="auto"/>
          <w:sz w:val="28"/>
          <w:szCs w:val="28"/>
          <w:highlight w:val="none"/>
          <w:u w:val="single"/>
        </w:rPr>
        <w:t xml:space="preserve">  长沙穗城轨道交通有限公司   </w:t>
      </w:r>
      <w:r>
        <w:rPr>
          <w:rFonts w:hint="eastAsia" w:ascii="宋体" w:hAnsi="宋体" w:eastAsia="宋体" w:cs="宋体"/>
          <w:b/>
          <w:color w:val="auto"/>
          <w:sz w:val="28"/>
          <w:szCs w:val="28"/>
          <w:highlight w:val="none"/>
          <w:u w:val="single"/>
          <w:lang w:val="en-US" w:eastAsia="zh-CN"/>
        </w:rPr>
        <w:t xml:space="preserve">  </w:t>
      </w:r>
      <w:r>
        <w:rPr>
          <w:rFonts w:hint="eastAsia" w:ascii="宋体" w:hAnsi="宋体" w:eastAsia="宋体" w:cs="宋体"/>
          <w:b/>
          <w:color w:val="auto"/>
          <w:sz w:val="28"/>
          <w:szCs w:val="28"/>
          <w:highlight w:val="none"/>
          <w:u w:val="single"/>
        </w:rPr>
        <w:t xml:space="preserve">   </w:t>
      </w:r>
    </w:p>
    <w:p w14:paraId="5821BDF9">
      <w:pPr>
        <w:widowControl/>
        <w:adjustRightInd w:val="0"/>
        <w:snapToGrid w:val="0"/>
        <w:spacing w:line="360" w:lineRule="auto"/>
        <w:ind w:firstLine="835" w:firstLineChars="297"/>
        <w:jc w:val="left"/>
        <w:rPr>
          <w:rFonts w:hint="eastAsia" w:ascii="宋体" w:hAnsi="宋体" w:eastAsia="宋体" w:cs="宋体"/>
          <w:b/>
          <w:color w:val="auto"/>
          <w:sz w:val="28"/>
          <w:szCs w:val="28"/>
          <w:highlight w:val="none"/>
          <w:lang w:bidi="en-US"/>
        </w:rPr>
      </w:pPr>
    </w:p>
    <w:p w14:paraId="15FFDE51">
      <w:pPr>
        <w:widowControl/>
        <w:adjustRightInd w:val="0"/>
        <w:snapToGrid w:val="0"/>
        <w:spacing w:line="360" w:lineRule="auto"/>
        <w:ind w:firstLine="835" w:firstLineChars="297"/>
        <w:jc w:val="left"/>
        <w:rPr>
          <w:rFonts w:hint="eastAsia" w:ascii="宋体" w:hAnsi="宋体" w:eastAsia="宋体" w:cs="宋体"/>
          <w:b/>
          <w:color w:val="auto"/>
          <w:sz w:val="28"/>
          <w:szCs w:val="28"/>
          <w:highlight w:val="none"/>
          <w:u w:val="single"/>
          <w:lang w:bidi="en-US"/>
        </w:rPr>
      </w:pPr>
      <w:r>
        <w:rPr>
          <w:rFonts w:hint="eastAsia" w:ascii="宋体" w:hAnsi="宋体" w:eastAsia="宋体" w:cs="宋体"/>
          <w:b/>
          <w:color w:val="auto"/>
          <w:sz w:val="28"/>
          <w:szCs w:val="28"/>
          <w:highlight w:val="none"/>
          <w:lang w:bidi="en-US"/>
        </w:rPr>
        <w:t>供 应 商：</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lang w:val="en-US" w:eastAsia="zh-CN"/>
        </w:rPr>
        <w:t xml:space="preserve">                            </w:t>
      </w:r>
      <w:r>
        <w:rPr>
          <w:rFonts w:hint="eastAsia" w:ascii="宋体" w:hAnsi="宋体" w:eastAsia="宋体" w:cs="宋体"/>
          <w:b/>
          <w:color w:val="auto"/>
          <w:sz w:val="28"/>
          <w:szCs w:val="28"/>
          <w:highlight w:val="none"/>
          <w:u w:val="single"/>
        </w:rPr>
        <w:t xml:space="preserve">      </w:t>
      </w:r>
    </w:p>
    <w:p w14:paraId="5AECFE81">
      <w:pPr>
        <w:widowControl/>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D796ED2">
      <w:pPr>
        <w:spacing w:line="360" w:lineRule="auto"/>
        <w:jc w:val="center"/>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第一部分 合同协议书</w:t>
      </w:r>
    </w:p>
    <w:p w14:paraId="69A24FE1">
      <w:pPr>
        <w:spacing w:line="360" w:lineRule="auto"/>
        <w:outlineLvl w:val="9"/>
        <w:rPr>
          <w:rFonts w:hint="eastAsia" w:ascii="宋体" w:hAnsi="宋体" w:eastAsia="宋体" w:cs="宋体"/>
          <w:color w:val="auto"/>
          <w:sz w:val="21"/>
          <w:szCs w:val="21"/>
          <w:highlight w:val="none"/>
        </w:rPr>
      </w:pPr>
    </w:p>
    <w:p w14:paraId="26C0F0F0">
      <w:pPr>
        <w:spacing w:line="360" w:lineRule="auto"/>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采购人（以下简称甲方）：</w:t>
      </w:r>
      <w:r>
        <w:rPr>
          <w:rFonts w:hint="eastAsia" w:ascii="宋体" w:hAnsi="宋体" w:eastAsia="宋体" w:cs="宋体"/>
          <w:color w:val="auto"/>
          <w:sz w:val="21"/>
          <w:szCs w:val="21"/>
          <w:highlight w:val="none"/>
          <w:u w:val="single"/>
          <w:lang w:eastAsia="zh-CN"/>
        </w:rPr>
        <w:t>长沙穗城轨道交通有限公司</w:t>
      </w:r>
    </w:p>
    <w:p w14:paraId="6502B3E0">
      <w:pPr>
        <w:spacing w:line="360" w:lineRule="auto"/>
        <w:outlineLvl w:val="9"/>
        <w:rPr>
          <w:rFonts w:hint="default"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供应商（以下简称乙方）：</w:t>
      </w:r>
      <w:r>
        <w:rPr>
          <w:rFonts w:hint="eastAsia" w:ascii="宋体" w:hAnsi="宋体" w:cs="宋体"/>
          <w:color w:val="auto"/>
          <w:sz w:val="21"/>
          <w:szCs w:val="21"/>
          <w:highlight w:val="none"/>
          <w:u w:val="single"/>
          <w:lang w:eastAsia="zh-CN"/>
        </w:rPr>
        <w:t xml:space="preserve"> </w:t>
      </w:r>
      <w:r>
        <w:rPr>
          <w:rFonts w:hint="eastAsia" w:ascii="宋体" w:hAnsi="宋体" w:cs="宋体"/>
          <w:color w:val="auto"/>
          <w:sz w:val="21"/>
          <w:szCs w:val="21"/>
          <w:highlight w:val="none"/>
          <w:u w:val="single"/>
          <w:lang w:val="en-US" w:eastAsia="zh-CN"/>
        </w:rPr>
        <w:t xml:space="preserve">                        </w:t>
      </w:r>
    </w:p>
    <w:p w14:paraId="431FB8B2">
      <w:pPr>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本合同由甲乙双方依照《中华人民共和国民法典》及其他有关法律、行政法规，遵循平等、自愿、公平和诚实信用的原则，双方就下述项目食品物资采购及有关事项协商一致，共同签订本合同。</w:t>
      </w:r>
    </w:p>
    <w:p w14:paraId="4F8A9AA6">
      <w:pPr>
        <w:adjustRightInd w:val="0"/>
        <w:snapToGrid w:val="0"/>
        <w:spacing w:line="360" w:lineRule="auto"/>
        <w:ind w:firstLine="422" w:firstLineChars="200"/>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一、项目概况</w:t>
      </w:r>
    </w:p>
    <w:p w14:paraId="64743C55">
      <w:pPr>
        <w:adjustRightInd w:val="0"/>
        <w:snapToGrid w:val="0"/>
        <w:spacing w:line="360" w:lineRule="auto"/>
        <w:ind w:firstLine="420" w:firstLineChars="200"/>
        <w:outlineLvl w:val="9"/>
        <w:rPr>
          <w:rFonts w:hint="eastAsia" w:ascii="宋体" w:hAnsi="宋体" w:eastAsia="宋体" w:cs="宋体"/>
          <w:bCs/>
          <w:color w:val="auto"/>
          <w:sz w:val="21"/>
          <w:szCs w:val="21"/>
          <w:highlight w:val="none"/>
          <w:u w:val="single"/>
          <w:lang w:val="en-US"/>
        </w:rPr>
      </w:pPr>
      <w:r>
        <w:rPr>
          <w:rFonts w:hint="eastAsia" w:ascii="宋体" w:hAnsi="宋体" w:eastAsia="宋体" w:cs="宋体"/>
          <w:color w:val="auto"/>
          <w:sz w:val="21"/>
          <w:szCs w:val="21"/>
          <w:highlight w:val="none"/>
        </w:rPr>
        <w:t>1、项目名称：</w:t>
      </w:r>
      <w:r>
        <w:rPr>
          <w:rFonts w:hint="eastAsia" w:ascii="宋体" w:hAnsi="宋体" w:eastAsia="宋体" w:cs="宋体"/>
          <w:color w:val="auto"/>
          <w:kern w:val="0"/>
          <w:sz w:val="21"/>
          <w:szCs w:val="21"/>
          <w:highlight w:val="none"/>
          <w:u w:val="single"/>
          <w:lang w:val="en-US" w:eastAsia="zh-CN"/>
        </w:rPr>
        <w:t>202</w:t>
      </w:r>
      <w:r>
        <w:rPr>
          <w:rFonts w:hint="eastAsia" w:ascii="宋体" w:hAnsi="宋体" w:cs="宋体"/>
          <w:color w:val="auto"/>
          <w:kern w:val="0"/>
          <w:sz w:val="21"/>
          <w:szCs w:val="21"/>
          <w:highlight w:val="none"/>
          <w:u w:val="single"/>
          <w:lang w:val="en-US" w:eastAsia="zh-CN"/>
        </w:rPr>
        <w:t>6</w:t>
      </w:r>
      <w:r>
        <w:rPr>
          <w:rFonts w:hint="eastAsia" w:ascii="宋体" w:hAnsi="宋体" w:eastAsia="宋体" w:cs="宋体"/>
          <w:color w:val="auto"/>
          <w:kern w:val="0"/>
          <w:sz w:val="21"/>
          <w:szCs w:val="21"/>
          <w:highlight w:val="none"/>
          <w:u w:val="single"/>
          <w:lang w:val="en-US" w:eastAsia="zh-CN"/>
        </w:rPr>
        <w:t>-202</w:t>
      </w:r>
      <w:r>
        <w:rPr>
          <w:rFonts w:hint="eastAsia" w:ascii="宋体" w:hAnsi="宋体" w:cs="宋体"/>
          <w:color w:val="auto"/>
          <w:kern w:val="0"/>
          <w:sz w:val="21"/>
          <w:szCs w:val="21"/>
          <w:highlight w:val="none"/>
          <w:u w:val="single"/>
          <w:lang w:val="en-US" w:eastAsia="zh-CN"/>
        </w:rPr>
        <w:t>8</w:t>
      </w:r>
      <w:r>
        <w:rPr>
          <w:rFonts w:hint="eastAsia" w:ascii="宋体" w:hAnsi="宋体" w:eastAsia="宋体" w:cs="宋体"/>
          <w:color w:val="auto"/>
          <w:kern w:val="0"/>
          <w:sz w:val="21"/>
          <w:szCs w:val="21"/>
          <w:highlight w:val="none"/>
          <w:u w:val="single"/>
          <w:lang w:val="en-US" w:eastAsia="zh-CN"/>
        </w:rPr>
        <w:t>年</w:t>
      </w:r>
      <w:r>
        <w:rPr>
          <w:rFonts w:hint="eastAsia" w:ascii="宋体" w:hAnsi="宋体" w:cs="宋体"/>
          <w:color w:val="auto"/>
          <w:kern w:val="0"/>
          <w:sz w:val="21"/>
          <w:szCs w:val="21"/>
          <w:highlight w:val="none"/>
          <w:u w:val="single"/>
          <w:lang w:val="en-US" w:eastAsia="zh-CN"/>
        </w:rPr>
        <w:t>员工食堂</w:t>
      </w:r>
      <w:r>
        <w:rPr>
          <w:rFonts w:hint="eastAsia" w:ascii="宋体" w:hAnsi="宋体" w:eastAsia="宋体" w:cs="宋体"/>
          <w:color w:val="auto"/>
          <w:kern w:val="0"/>
          <w:sz w:val="21"/>
          <w:szCs w:val="21"/>
          <w:highlight w:val="none"/>
          <w:u w:val="single"/>
          <w:lang w:val="en-US" w:eastAsia="zh-CN"/>
        </w:rPr>
        <w:t>劳务外包、物资供应项目（生鲜类）</w:t>
      </w:r>
    </w:p>
    <w:p w14:paraId="79940C07">
      <w:pPr>
        <w:tabs>
          <w:tab w:val="left" w:pos="1248"/>
        </w:tabs>
        <w:adjustRightInd w:val="0"/>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采购范围及内容：</w:t>
      </w:r>
      <w:r>
        <w:rPr>
          <w:rFonts w:hint="eastAsia" w:ascii="宋体" w:hAnsi="宋体" w:eastAsia="宋体" w:cs="宋体"/>
          <w:color w:val="auto"/>
          <w:sz w:val="21"/>
          <w:szCs w:val="21"/>
          <w:highlight w:val="none"/>
        </w:rPr>
        <w:t>黄梨路车辆段和梧桐路停车场食堂日常经营所需生鲜类食品原材料，包括但不限于：肉类及副产品（五花肉、精腿肉、排骨、猪大骨、猪脚、牛肉、羊肉、含冻品类等）；水产类（虾米、小鱼仔、草鱼(杀)、雄鱼（杀）、黄鸭叫(杀)、鱼籽鱼泡、牛蛙(杀)、鳝鱼(杀)等）；活禽类（土鸡、水鸭、肉鸡等）；禽蛋类；蔬菜类（南瓜、冬瓜、茄子、丝瓜、油麦菜等）；水果类（鲜荔枝、火龙果等）；豆制品（油豆腐、米豆腐、卤香干、卤香干、攸县香干、白豆腐等）；粉面类（鲜米粉、鲜圆粉、鲜碱面等）等；上述物资中包含乡村振兴农副产品。具体内容详见招标文件用户需求书。最终实际供货品类及数量以供货前甲方书面通知并经最终验收合格为准。</w:t>
      </w:r>
    </w:p>
    <w:p w14:paraId="79DD34C1">
      <w:pPr>
        <w:keepNext w:val="0"/>
        <w:keepLines w:val="0"/>
        <w:pageBreakBefore w:val="0"/>
        <w:widowControl w:val="0"/>
        <w:kinsoku/>
        <w:wordWrap/>
        <w:overflowPunct w:val="0"/>
        <w:topLinePunct w:val="0"/>
        <w:autoSpaceDE w:val="0"/>
        <w:autoSpaceDN w:val="0"/>
        <w:bidi w:val="0"/>
        <w:adjustRightInd w:val="0"/>
        <w:snapToGrid w:val="0"/>
        <w:spacing w:line="360" w:lineRule="auto"/>
        <w:ind w:left="0" w:leftChars="0" w:firstLine="420" w:firstLineChars="200"/>
        <w:textAlignment w:val="auto"/>
        <w:outlineLvl w:val="9"/>
        <w:rPr>
          <w:rFonts w:hint="eastAsia" w:ascii="宋体" w:hAnsi="宋体" w:eastAsia="宋体" w:cs="宋体"/>
          <w:b w:val="0"/>
          <w:bCs w:val="0"/>
          <w:color w:val="auto"/>
          <w:sz w:val="21"/>
          <w:szCs w:val="21"/>
          <w:highlight w:val="none"/>
          <w:lang w:val="zh-CN"/>
        </w:rPr>
      </w:pPr>
      <w:r>
        <w:rPr>
          <w:rFonts w:hint="eastAsia" w:ascii="宋体" w:hAnsi="宋体" w:eastAsia="宋体" w:cs="宋体"/>
          <w:color w:val="auto"/>
          <w:sz w:val="21"/>
          <w:szCs w:val="21"/>
          <w:highlight w:val="none"/>
        </w:rPr>
        <w:t>3、交付方式：</w:t>
      </w:r>
      <w:r>
        <w:rPr>
          <w:rFonts w:hint="eastAsia" w:ascii="宋体" w:hAnsi="宋体" w:eastAsia="宋体" w:cs="宋体"/>
          <w:color w:val="auto"/>
          <w:sz w:val="21"/>
          <w:szCs w:val="21"/>
          <w:highlight w:val="none"/>
          <w:lang w:val="zh-CN"/>
        </w:rPr>
        <w:t>具体以用户需求书为准。</w:t>
      </w:r>
    </w:p>
    <w:p w14:paraId="7DFC84C2">
      <w:pPr>
        <w:adjustRightInd w:val="0"/>
        <w:snapToGrid w:val="0"/>
        <w:spacing w:line="360" w:lineRule="auto"/>
        <w:ind w:firstLine="420" w:firstLineChars="200"/>
        <w:outlineLvl w:val="9"/>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4、服务期限：</w:t>
      </w:r>
      <w:r>
        <w:rPr>
          <w:rFonts w:hint="eastAsia" w:ascii="宋体" w:hAnsi="宋体" w:eastAsia="宋体" w:cs="宋体"/>
          <w:color w:val="auto"/>
          <w:sz w:val="21"/>
          <w:szCs w:val="21"/>
          <w:highlight w:val="none"/>
          <w:u w:val="none"/>
          <w:lang w:val="zh-CN"/>
        </w:rPr>
        <w:t>自甲方发出书面正式进场通知之日起12个月</w:t>
      </w:r>
      <w:r>
        <w:rPr>
          <w:rFonts w:hint="eastAsia" w:ascii="宋体" w:hAnsi="宋体" w:eastAsia="宋体" w:cs="宋体"/>
          <w:color w:val="auto"/>
          <w:sz w:val="21"/>
          <w:szCs w:val="21"/>
          <w:highlight w:val="none"/>
          <w:u w:val="none"/>
          <w:lang w:val="zh-CN" w:eastAsia="zh-CN"/>
        </w:rPr>
        <w:t>。</w:t>
      </w:r>
    </w:p>
    <w:p w14:paraId="4EB02258">
      <w:pPr>
        <w:adjustRightInd w:val="0"/>
        <w:snapToGrid w:val="0"/>
        <w:spacing w:line="360" w:lineRule="auto"/>
        <w:ind w:firstLine="422" w:firstLineChars="200"/>
        <w:outlineLvl w:val="9"/>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二、合同价款</w:t>
      </w:r>
    </w:p>
    <w:p w14:paraId="7135424C">
      <w:pPr>
        <w:widowControl/>
        <w:wordWrap w:val="0"/>
        <w:adjustRightInd/>
        <w:snapToGrid/>
        <w:spacing w:line="360" w:lineRule="auto"/>
        <w:ind w:firstLine="420" w:firstLineChars="200"/>
        <w:jc w:val="left"/>
        <w:outlineLvl w:val="9"/>
        <w:rPr>
          <w:rFonts w:hint="eastAsia" w:ascii="宋体" w:hAnsi="宋体" w:eastAsia="宋体" w:cs="宋体"/>
          <w:snapToGrid/>
          <w:color w:val="auto"/>
          <w:kern w:val="2"/>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w:t>
      </w:r>
      <w:r>
        <w:rPr>
          <w:rFonts w:hint="eastAsia" w:ascii="宋体" w:hAnsi="宋体" w:eastAsia="宋体" w:cs="宋体"/>
          <w:color w:val="000000" w:themeColor="text1"/>
          <w:sz w:val="21"/>
          <w:szCs w:val="21"/>
          <w:highlight w:val="none"/>
          <w:lang w:eastAsia="zh-CN"/>
          <w14:textFill>
            <w14:solidFill>
              <w14:schemeClr w14:val="tx1"/>
            </w14:solidFill>
          </w14:textFill>
        </w:rPr>
        <w:t>合同金额：</w:t>
      </w:r>
      <w:r>
        <w:rPr>
          <w:rFonts w:hint="eastAsia" w:ascii="宋体" w:hAnsi="宋体" w:cs="宋体"/>
          <w:snapToGrid/>
          <w:color w:val="000000" w:themeColor="text1"/>
          <w:kern w:val="2"/>
          <w:sz w:val="21"/>
          <w:szCs w:val="21"/>
          <w:highlight w:val="none"/>
          <w:lang w:val="en-US" w:eastAsia="zh-CN" w:bidi="ar-SA"/>
          <w14:textFill>
            <w14:solidFill>
              <w14:schemeClr w14:val="tx1"/>
            </w14:solidFill>
          </w14:textFill>
        </w:rPr>
        <w:t>合同含税暂定总价为人民币（大写）****元整 （¥***）</w:t>
      </w:r>
      <w:r>
        <w:rPr>
          <w:rFonts w:hint="eastAsia" w:ascii="宋体" w:hAnsi="宋体" w:eastAsia="宋体" w:cs="宋体"/>
          <w:snapToGrid/>
          <w:color w:val="000000" w:themeColor="text1"/>
          <w:kern w:val="2"/>
          <w:sz w:val="21"/>
          <w:szCs w:val="21"/>
          <w:highlight w:val="none"/>
          <w:lang w:val="en-US" w:eastAsia="zh-CN" w:bidi="ar-SA"/>
          <w14:textFill>
            <w14:solidFill>
              <w14:schemeClr w14:val="tx1"/>
            </w14:solidFill>
          </w14:textFill>
        </w:rPr>
        <w:t>，项目结算按照物资供应情况结合中标优惠率据实结算。</w:t>
      </w:r>
    </w:p>
    <w:p w14:paraId="302060B3">
      <w:pPr>
        <w:tabs>
          <w:tab w:val="left" w:pos="1248"/>
        </w:tabs>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、合同价格为含税价，增值税根据乙方提供给甲方的增值税发票中的税额据实支付和结算。</w:t>
      </w:r>
    </w:p>
    <w:p w14:paraId="75B0D742">
      <w:pPr>
        <w:tabs>
          <w:tab w:val="left" w:pos="1248"/>
        </w:tabs>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3、合同价格包括乙方履行合同且满足用户需求书全部要求所产生的成本、费用、税金、利润、保险、专利、风险等。</w:t>
      </w:r>
    </w:p>
    <w:p w14:paraId="7B7739B2">
      <w:pPr>
        <w:snapToGrid w:val="0"/>
        <w:spacing w:line="360" w:lineRule="auto"/>
        <w:ind w:firstLine="422" w:firstLineChars="200"/>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三、合同文件构成</w:t>
      </w:r>
    </w:p>
    <w:p w14:paraId="5F47F3D9">
      <w:pPr>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本合同文件组成及优先顺序为：</w:t>
      </w:r>
    </w:p>
    <w:p w14:paraId="4713D498">
      <w:pPr>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（1）补充协议（如有）；</w:t>
      </w:r>
    </w:p>
    <w:p w14:paraId="5A7028A0">
      <w:pPr>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（2）合同协议书；</w:t>
      </w:r>
    </w:p>
    <w:p w14:paraId="38381EAD">
      <w:pPr>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（3）中标通知书；</w:t>
      </w:r>
    </w:p>
    <w:p w14:paraId="54D26F23">
      <w:pPr>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（4）用户需求书；</w:t>
      </w:r>
    </w:p>
    <w:p w14:paraId="439601E4">
      <w:pPr>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（5）合同附件及乙方按合同附录格式及要求出具的文件；</w:t>
      </w:r>
    </w:p>
    <w:p w14:paraId="6A1C8175">
      <w:pPr>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（6）招标文件、澄清与答疑文件及其它补充资料；</w:t>
      </w:r>
    </w:p>
    <w:p w14:paraId="26EEDB9F">
      <w:pPr>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（7）投标文件及其它补充资料；</w:t>
      </w:r>
    </w:p>
    <w:p w14:paraId="3EB68228">
      <w:pPr>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（8）其他构成本合同的文件。</w:t>
      </w:r>
    </w:p>
    <w:p w14:paraId="3E7D5C46">
      <w:pPr>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上述各项合同文件包括合同当事人就该项合同文件所作出的补充和修改，属于同一类内容的文件，应以最新签署的为准。</w:t>
      </w:r>
    </w:p>
    <w:p w14:paraId="28B12B90">
      <w:pPr>
        <w:widowControl/>
        <w:snapToGrid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在合同履行过程中形成的与合同有关的文件均构成合同文件组成部分，并根据其性质确定优先解释顺序。</w:t>
      </w:r>
    </w:p>
    <w:p w14:paraId="7E3F53B8">
      <w:pPr>
        <w:widowControl/>
        <w:snapToGrid w:val="0"/>
        <w:spacing w:line="360" w:lineRule="auto"/>
        <w:ind w:firstLine="422" w:firstLineChars="200"/>
        <w:jc w:val="left"/>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四、承诺</w:t>
      </w:r>
    </w:p>
    <w:p w14:paraId="6C552DC5">
      <w:pPr>
        <w:widowControl/>
        <w:snapToGrid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1、甲方承诺按照合同约定履行相关合同义务。</w:t>
      </w:r>
    </w:p>
    <w:p w14:paraId="1A307082">
      <w:pPr>
        <w:widowControl/>
        <w:snapToGrid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2、乙方承诺按照合同约定及用户需求书的要求提供物资及相关服务、履行义务。</w:t>
      </w:r>
    </w:p>
    <w:p w14:paraId="2A2D792D">
      <w:pPr>
        <w:widowControl/>
        <w:snapToGrid w:val="0"/>
        <w:spacing w:line="360" w:lineRule="auto"/>
        <w:ind w:firstLine="422" w:firstLineChars="200"/>
        <w:jc w:val="left"/>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五、词语定义</w:t>
      </w:r>
    </w:p>
    <w:p w14:paraId="0E7B6321">
      <w:pPr>
        <w:snapToGrid w:val="0"/>
        <w:spacing w:line="360" w:lineRule="auto"/>
        <w:ind w:firstLine="367" w:firstLineChars="175"/>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本合同协议书中词语含义与合同条款中的词语含义相同。</w:t>
      </w:r>
    </w:p>
    <w:p w14:paraId="7FA66477">
      <w:pPr>
        <w:snapToGrid w:val="0"/>
        <w:spacing w:line="360" w:lineRule="auto"/>
        <w:ind w:firstLine="369" w:firstLineChars="175"/>
        <w:jc w:val="left"/>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六、合同签订时间</w:t>
      </w:r>
    </w:p>
    <w:p w14:paraId="36915471">
      <w:pPr>
        <w:snapToGrid w:val="0"/>
        <w:spacing w:line="360" w:lineRule="auto"/>
        <w:ind w:firstLine="367" w:firstLineChars="175"/>
        <w:jc w:val="left"/>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本合同于</w:t>
      </w:r>
      <w:r>
        <w:rPr>
          <w:rFonts w:hint="eastAsia" w:ascii="宋体" w:hAnsi="宋体" w:cs="宋体"/>
          <w:bCs/>
          <w:color w:val="auto"/>
          <w:sz w:val="21"/>
          <w:szCs w:val="21"/>
          <w:highlight w:val="none"/>
          <w:u w:val="single"/>
          <w:lang w:val="en-US" w:eastAsia="zh-CN"/>
        </w:rPr>
        <w:t>2025</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日签订。</w:t>
      </w:r>
    </w:p>
    <w:p w14:paraId="7184A7A8">
      <w:pPr>
        <w:snapToGrid w:val="0"/>
        <w:spacing w:line="360" w:lineRule="auto"/>
        <w:ind w:firstLine="369" w:firstLineChars="175"/>
        <w:jc w:val="left"/>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七、合同签订地点</w:t>
      </w:r>
    </w:p>
    <w:p w14:paraId="5A37434C">
      <w:pPr>
        <w:snapToGrid w:val="0"/>
        <w:spacing w:line="360" w:lineRule="auto"/>
        <w:ind w:firstLine="367" w:firstLineChars="175"/>
        <w:jc w:val="left"/>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本合同在</w:t>
      </w:r>
      <w:r>
        <w:rPr>
          <w:rFonts w:hint="eastAsia" w:ascii="宋体" w:hAnsi="宋体" w:eastAsia="宋体" w:cs="宋体"/>
          <w:bCs/>
          <w:color w:val="auto"/>
          <w:sz w:val="21"/>
          <w:szCs w:val="21"/>
          <w:highlight w:val="none"/>
          <w:u w:val="single"/>
        </w:rPr>
        <w:t>湖南省长沙市</w:t>
      </w:r>
      <w:r>
        <w:rPr>
          <w:rFonts w:hint="eastAsia" w:ascii="宋体" w:hAnsi="宋体" w:eastAsia="宋体" w:cs="宋体"/>
          <w:bCs/>
          <w:color w:val="auto"/>
          <w:sz w:val="21"/>
          <w:szCs w:val="21"/>
          <w:highlight w:val="none"/>
          <w:u w:val="single"/>
          <w:lang w:val="en-US" w:eastAsia="zh-CN"/>
        </w:rPr>
        <w:t>长沙县</w:t>
      </w:r>
      <w:r>
        <w:rPr>
          <w:rFonts w:hint="eastAsia" w:ascii="宋体" w:hAnsi="宋体" w:eastAsia="宋体" w:cs="宋体"/>
          <w:bCs/>
          <w:color w:val="auto"/>
          <w:sz w:val="21"/>
          <w:szCs w:val="21"/>
          <w:highlight w:val="none"/>
        </w:rPr>
        <w:t>签订。</w:t>
      </w:r>
    </w:p>
    <w:p w14:paraId="0BAE3621">
      <w:pPr>
        <w:snapToGrid w:val="0"/>
        <w:spacing w:line="360" w:lineRule="auto"/>
        <w:ind w:firstLine="369" w:firstLineChars="175"/>
        <w:jc w:val="left"/>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八、合同生效</w:t>
      </w:r>
    </w:p>
    <w:p w14:paraId="02925F80">
      <w:pPr>
        <w:snapToGrid w:val="0"/>
        <w:spacing w:line="360" w:lineRule="auto"/>
        <w:ind w:firstLine="367" w:firstLineChars="175"/>
        <w:jc w:val="left"/>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本合同自</w:t>
      </w:r>
      <w:r>
        <w:rPr>
          <w:rFonts w:hint="eastAsia" w:ascii="宋体" w:hAnsi="宋体" w:eastAsia="宋体" w:cs="宋体"/>
          <w:color w:val="auto"/>
          <w:sz w:val="21"/>
          <w:szCs w:val="21"/>
          <w:highlight w:val="none"/>
          <w:u w:val="single"/>
        </w:rPr>
        <w:t>合同双方法定代表人或其授权代表</w:t>
      </w:r>
      <w:r>
        <w:rPr>
          <w:rFonts w:hint="eastAsia" w:ascii="宋体" w:hAnsi="宋体" w:cs="宋体"/>
          <w:color w:val="auto"/>
          <w:sz w:val="21"/>
          <w:szCs w:val="21"/>
          <w:highlight w:val="none"/>
          <w:u w:val="single"/>
          <w:lang w:eastAsia="zh-CN"/>
        </w:rPr>
        <w:t>签字并盖章</w:t>
      </w:r>
      <w:r>
        <w:rPr>
          <w:rFonts w:hint="eastAsia" w:ascii="宋体" w:hAnsi="宋体" w:eastAsia="宋体" w:cs="宋体"/>
          <w:bCs/>
          <w:color w:val="auto"/>
          <w:sz w:val="21"/>
          <w:szCs w:val="21"/>
          <w:highlight w:val="none"/>
        </w:rPr>
        <w:t>生效。</w:t>
      </w:r>
    </w:p>
    <w:p w14:paraId="46F13D3A">
      <w:pPr>
        <w:snapToGrid w:val="0"/>
        <w:spacing w:line="360" w:lineRule="auto"/>
        <w:ind w:firstLine="369" w:firstLineChars="175"/>
        <w:jc w:val="left"/>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九、合同份数</w:t>
      </w:r>
    </w:p>
    <w:p w14:paraId="6D67BF90">
      <w:pPr>
        <w:widowControl/>
        <w:snapToGrid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本合同一式</w:t>
      </w:r>
      <w:r>
        <w:rPr>
          <w:rFonts w:hint="eastAsia" w:ascii="宋体" w:hAnsi="宋体" w:eastAsia="宋体" w:cs="宋体"/>
          <w:color w:val="auto"/>
          <w:sz w:val="21"/>
          <w:szCs w:val="21"/>
          <w:highlight w:val="none"/>
          <w:u w:val="single"/>
          <w:lang w:val="en-US" w:eastAsia="zh-CN"/>
        </w:rPr>
        <w:t>捌</w:t>
      </w:r>
      <w:r>
        <w:rPr>
          <w:rFonts w:hint="eastAsia" w:ascii="宋体" w:hAnsi="宋体" w:eastAsia="宋体" w:cs="宋体"/>
          <w:color w:val="auto"/>
          <w:sz w:val="21"/>
          <w:szCs w:val="21"/>
          <w:highlight w:val="none"/>
        </w:rPr>
        <w:t>份（其中正本</w:t>
      </w:r>
      <w:r>
        <w:rPr>
          <w:rFonts w:hint="eastAsia" w:ascii="宋体" w:hAnsi="宋体" w:eastAsia="宋体" w:cs="宋体"/>
          <w:color w:val="auto"/>
          <w:sz w:val="21"/>
          <w:szCs w:val="21"/>
          <w:highlight w:val="none"/>
          <w:u w:val="single"/>
          <w:lang w:val="en-US" w:eastAsia="zh-CN"/>
        </w:rPr>
        <w:t>贰</w:t>
      </w:r>
      <w:r>
        <w:rPr>
          <w:rFonts w:hint="eastAsia" w:ascii="宋体" w:hAnsi="宋体" w:eastAsia="宋体" w:cs="宋体"/>
          <w:color w:val="auto"/>
          <w:sz w:val="21"/>
          <w:szCs w:val="21"/>
          <w:highlight w:val="none"/>
        </w:rPr>
        <w:t>份、副本</w:t>
      </w:r>
      <w:r>
        <w:rPr>
          <w:rFonts w:hint="eastAsia" w:ascii="宋体" w:hAnsi="宋体" w:eastAsia="宋体" w:cs="宋体"/>
          <w:color w:val="auto"/>
          <w:sz w:val="21"/>
          <w:szCs w:val="21"/>
          <w:highlight w:val="none"/>
          <w:u w:val="single"/>
          <w:lang w:val="en-US" w:eastAsia="zh-CN"/>
        </w:rPr>
        <w:t>陆</w:t>
      </w:r>
      <w:r>
        <w:rPr>
          <w:rFonts w:hint="eastAsia" w:ascii="宋体" w:hAnsi="宋体" w:eastAsia="宋体" w:cs="宋体"/>
          <w:color w:val="auto"/>
          <w:sz w:val="21"/>
          <w:szCs w:val="21"/>
          <w:highlight w:val="none"/>
        </w:rPr>
        <w:t>份），甲方执</w:t>
      </w:r>
      <w:r>
        <w:rPr>
          <w:rFonts w:hint="eastAsia" w:ascii="宋体" w:hAnsi="宋体" w:eastAsia="宋体" w:cs="宋体"/>
          <w:color w:val="auto"/>
          <w:sz w:val="21"/>
          <w:szCs w:val="21"/>
          <w:highlight w:val="none"/>
          <w:u w:val="single"/>
          <w:lang w:val="en-US" w:eastAsia="zh-CN"/>
        </w:rPr>
        <w:t>肆</w:t>
      </w:r>
      <w:r>
        <w:rPr>
          <w:rFonts w:hint="eastAsia" w:ascii="宋体" w:hAnsi="宋体" w:eastAsia="宋体" w:cs="宋体"/>
          <w:color w:val="auto"/>
          <w:sz w:val="21"/>
          <w:szCs w:val="21"/>
          <w:highlight w:val="none"/>
        </w:rPr>
        <w:t>份（</w:t>
      </w:r>
      <w:r>
        <w:rPr>
          <w:rFonts w:hint="eastAsia" w:ascii="宋体" w:hAnsi="宋体" w:cs="宋体"/>
          <w:color w:val="auto"/>
          <w:sz w:val="21"/>
          <w:szCs w:val="21"/>
          <w:highlight w:val="none"/>
          <w:lang w:eastAsia="zh-CN"/>
        </w:rPr>
        <w:t>壹</w:t>
      </w:r>
      <w:r>
        <w:rPr>
          <w:rFonts w:hint="eastAsia" w:ascii="宋体" w:hAnsi="宋体" w:eastAsia="宋体" w:cs="宋体"/>
          <w:color w:val="auto"/>
          <w:sz w:val="21"/>
          <w:szCs w:val="21"/>
          <w:highlight w:val="none"/>
        </w:rPr>
        <w:t>正</w:t>
      </w:r>
      <w:r>
        <w:rPr>
          <w:rFonts w:hint="eastAsia" w:ascii="宋体" w:hAnsi="宋体" w:eastAsia="宋体" w:cs="宋体"/>
          <w:color w:val="auto"/>
          <w:sz w:val="21"/>
          <w:szCs w:val="21"/>
          <w:highlight w:val="none"/>
          <w:u w:val="single"/>
          <w:lang w:val="en-US" w:eastAsia="zh-CN"/>
        </w:rPr>
        <w:t>叁</w:t>
      </w:r>
      <w:r>
        <w:rPr>
          <w:rFonts w:hint="eastAsia" w:ascii="宋体" w:hAnsi="宋体" w:eastAsia="宋体" w:cs="宋体"/>
          <w:color w:val="auto"/>
          <w:sz w:val="21"/>
          <w:szCs w:val="21"/>
          <w:highlight w:val="none"/>
        </w:rPr>
        <w:t>副），乙方执</w:t>
      </w:r>
      <w:r>
        <w:rPr>
          <w:rFonts w:hint="eastAsia" w:ascii="宋体" w:hAnsi="宋体" w:eastAsia="宋体" w:cs="宋体"/>
          <w:color w:val="auto"/>
          <w:sz w:val="21"/>
          <w:szCs w:val="21"/>
          <w:highlight w:val="none"/>
          <w:u w:val="single"/>
          <w:lang w:val="en-US" w:eastAsia="zh-CN"/>
        </w:rPr>
        <w:t>肆</w:t>
      </w:r>
      <w:r>
        <w:rPr>
          <w:rFonts w:hint="eastAsia" w:ascii="宋体" w:hAnsi="宋体" w:eastAsia="宋体" w:cs="宋体"/>
          <w:color w:val="auto"/>
          <w:sz w:val="21"/>
          <w:szCs w:val="21"/>
          <w:highlight w:val="none"/>
        </w:rPr>
        <w:t>份（</w:t>
      </w:r>
      <w:r>
        <w:rPr>
          <w:rFonts w:hint="eastAsia" w:ascii="宋体" w:hAnsi="宋体" w:cs="宋体"/>
          <w:color w:val="auto"/>
          <w:sz w:val="21"/>
          <w:szCs w:val="21"/>
          <w:highlight w:val="none"/>
          <w:lang w:eastAsia="zh-CN"/>
        </w:rPr>
        <w:t>壹</w:t>
      </w:r>
      <w:r>
        <w:rPr>
          <w:rFonts w:hint="eastAsia" w:ascii="宋体" w:hAnsi="宋体" w:eastAsia="宋体" w:cs="宋体"/>
          <w:color w:val="auto"/>
          <w:sz w:val="21"/>
          <w:szCs w:val="21"/>
          <w:highlight w:val="none"/>
        </w:rPr>
        <w:t>正</w:t>
      </w:r>
      <w:r>
        <w:rPr>
          <w:rFonts w:hint="eastAsia" w:ascii="宋体" w:hAnsi="宋体" w:eastAsia="宋体" w:cs="宋体"/>
          <w:color w:val="auto"/>
          <w:sz w:val="21"/>
          <w:szCs w:val="21"/>
          <w:highlight w:val="none"/>
          <w:u w:val="single"/>
          <w:lang w:val="en-US" w:eastAsia="zh-CN"/>
        </w:rPr>
        <w:t>叁</w:t>
      </w:r>
      <w:r>
        <w:rPr>
          <w:rFonts w:hint="eastAsia" w:ascii="宋体" w:hAnsi="宋体" w:eastAsia="宋体" w:cs="宋体"/>
          <w:color w:val="auto"/>
          <w:sz w:val="21"/>
          <w:szCs w:val="21"/>
          <w:highlight w:val="none"/>
        </w:rPr>
        <w:t>副）。合同正本与副本具有同等效力，当合同副本与正本之间存有差异时，以合同正本为准。</w:t>
      </w:r>
    </w:p>
    <w:p w14:paraId="79C0F6C5">
      <w:pPr>
        <w:widowControl/>
        <w:spacing w:line="360" w:lineRule="auto"/>
        <w:jc w:val="left"/>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本页以下无正文</w:t>
      </w:r>
      <w:r>
        <w:rPr>
          <w:rFonts w:hint="eastAsia" w:ascii="宋体" w:hAnsi="宋体" w:cs="宋体"/>
          <w:color w:val="auto"/>
          <w:sz w:val="21"/>
          <w:szCs w:val="21"/>
          <w:highlight w:val="none"/>
          <w:lang w:eastAsia="zh-CN"/>
        </w:rPr>
        <w:t>）</w:t>
      </w:r>
    </w:p>
    <w:p w14:paraId="3ABC0F3E">
      <w:pPr>
        <w:widowControl/>
        <w:spacing w:line="360" w:lineRule="auto"/>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437F13A6">
      <w:pPr>
        <w:adjustRightInd w:val="0"/>
        <w:snapToGrid w:val="0"/>
        <w:spacing w:line="360" w:lineRule="auto"/>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（本页无正文）</w:t>
      </w:r>
    </w:p>
    <w:p w14:paraId="0D04C4E7">
      <w:pPr>
        <w:adjustRightInd w:val="0"/>
        <w:snapToGrid w:val="0"/>
        <w:spacing w:line="360" w:lineRule="auto"/>
        <w:jc w:val="left"/>
        <w:outlineLvl w:val="9"/>
        <w:rPr>
          <w:rFonts w:hint="eastAsia" w:ascii="宋体" w:hAnsi="宋体" w:eastAsia="宋体" w:cs="宋体"/>
          <w:color w:val="auto"/>
          <w:sz w:val="21"/>
          <w:szCs w:val="21"/>
          <w:highlight w:val="none"/>
        </w:rPr>
      </w:pPr>
    </w:p>
    <w:p w14:paraId="35498895">
      <w:pPr>
        <w:adjustRightInd w:val="0"/>
        <w:snapToGrid w:val="0"/>
        <w:spacing w:line="360" w:lineRule="auto"/>
        <w:ind w:firstLine="420" w:firstLineChars="200"/>
        <w:outlineLvl w:val="9"/>
        <w:rPr>
          <w:rFonts w:hint="eastAsia" w:ascii="宋体" w:hAnsi="宋体" w:eastAsia="宋体" w:cs="宋体"/>
          <w:color w:val="auto"/>
          <w:sz w:val="21"/>
          <w:szCs w:val="21"/>
          <w:highlight w:val="none"/>
        </w:rPr>
      </w:pPr>
    </w:p>
    <w:p w14:paraId="3337E38F">
      <w:pPr>
        <w:adjustRightInd w:val="0"/>
        <w:snapToGrid w:val="0"/>
        <w:spacing w:line="360" w:lineRule="auto"/>
        <w:ind w:firstLine="420" w:firstLineChars="200"/>
        <w:outlineLvl w:val="9"/>
        <w:rPr>
          <w:rFonts w:hint="eastAsia" w:ascii="宋体" w:hAnsi="宋体" w:eastAsia="宋体" w:cs="宋体"/>
          <w:color w:val="auto"/>
          <w:sz w:val="21"/>
          <w:szCs w:val="21"/>
          <w:highlight w:val="none"/>
        </w:rPr>
      </w:pPr>
    </w:p>
    <w:tbl>
      <w:tblPr>
        <w:tblStyle w:val="64"/>
        <w:tblW w:w="8715" w:type="dxa"/>
        <w:jc w:val="center"/>
        <w:tblLayout w:type="fixed"/>
        <w:tblCellMar>
          <w:top w:w="0" w:type="dxa"/>
          <w:left w:w="108" w:type="dxa"/>
          <w:bottom w:w="0" w:type="dxa"/>
          <w:right w:w="108" w:type="dxa"/>
        </w:tblCellMar>
      </w:tblPr>
      <w:tblGrid>
        <w:gridCol w:w="4465"/>
        <w:gridCol w:w="4250"/>
      </w:tblGrid>
      <w:tr w14:paraId="47D995D6">
        <w:tblPrEx>
          <w:tblCellMar>
            <w:top w:w="0" w:type="dxa"/>
            <w:left w:w="108" w:type="dxa"/>
            <w:bottom w:w="0" w:type="dxa"/>
            <w:right w:w="108" w:type="dxa"/>
          </w:tblCellMar>
        </w:tblPrEx>
        <w:trPr>
          <w:trHeight w:val="803" w:hRule="atLeast"/>
          <w:jc w:val="center"/>
        </w:trPr>
        <w:tc>
          <w:tcPr>
            <w:tcW w:w="4465" w:type="dxa"/>
          </w:tcPr>
          <w:p w14:paraId="194B5B5D">
            <w:pPr>
              <w:widowControl w:val="0"/>
              <w:snapToGrid w:val="0"/>
              <w:spacing w:line="360" w:lineRule="auto"/>
              <w:jc w:val="both"/>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甲方：(盖章)</w:t>
            </w:r>
          </w:p>
          <w:p w14:paraId="27783266">
            <w:pPr>
              <w:widowControl w:val="0"/>
              <w:snapToGrid w:val="0"/>
              <w:spacing w:after="0" w:line="360" w:lineRule="auto"/>
              <w:jc w:val="both"/>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w:t>
            </w:r>
          </w:p>
        </w:tc>
        <w:tc>
          <w:tcPr>
            <w:tcW w:w="4250" w:type="dxa"/>
          </w:tcPr>
          <w:p w14:paraId="5534739F">
            <w:pPr>
              <w:widowControl w:val="0"/>
              <w:snapToGrid w:val="0"/>
              <w:spacing w:line="360" w:lineRule="auto"/>
              <w:jc w:val="both"/>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乙方：（盖章）</w:t>
            </w:r>
          </w:p>
          <w:p w14:paraId="770F33A6">
            <w:pPr>
              <w:widowControl w:val="0"/>
              <w:snapToGrid w:val="0"/>
              <w:spacing w:after="0" w:line="360" w:lineRule="auto"/>
              <w:jc w:val="both"/>
              <w:outlineLvl w:val="9"/>
              <w:rPr>
                <w:rFonts w:hint="eastAsia" w:ascii="宋体" w:hAnsi="宋体" w:eastAsia="宋体" w:cs="宋体"/>
                <w:color w:val="auto"/>
                <w:kern w:val="2"/>
                <w:sz w:val="21"/>
                <w:szCs w:val="21"/>
                <w:highlight w:val="none"/>
                <w:lang w:val="en-US" w:eastAsia="zh-CN" w:bidi="ar-SA"/>
              </w:rPr>
            </w:pPr>
          </w:p>
        </w:tc>
      </w:tr>
      <w:tr w14:paraId="2AEF3D8D">
        <w:tblPrEx>
          <w:tblCellMar>
            <w:top w:w="0" w:type="dxa"/>
            <w:left w:w="108" w:type="dxa"/>
            <w:bottom w:w="0" w:type="dxa"/>
            <w:right w:w="108" w:type="dxa"/>
          </w:tblCellMar>
        </w:tblPrEx>
        <w:trPr>
          <w:trHeight w:val="858" w:hRule="atLeast"/>
          <w:jc w:val="center"/>
        </w:trPr>
        <w:tc>
          <w:tcPr>
            <w:tcW w:w="4465" w:type="dxa"/>
          </w:tcPr>
          <w:p w14:paraId="0F048EFC">
            <w:pPr>
              <w:widowControl w:val="0"/>
              <w:snapToGrid w:val="0"/>
              <w:spacing w:line="360" w:lineRule="auto"/>
              <w:ind w:left="19" w:leftChars="9"/>
              <w:jc w:val="both"/>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法定代表人或其授权代表：</w:t>
            </w:r>
          </w:p>
          <w:p w14:paraId="2A219DFF">
            <w:pPr>
              <w:widowControl w:val="0"/>
              <w:snapToGrid w:val="0"/>
              <w:spacing w:after="0" w:line="360" w:lineRule="auto"/>
              <w:ind w:left="19" w:leftChars="9"/>
              <w:jc w:val="both"/>
              <w:outlineLvl w:val="9"/>
              <w:rPr>
                <w:rFonts w:hint="eastAsia" w:ascii="宋体" w:hAnsi="宋体" w:eastAsia="宋体" w:cs="宋体"/>
                <w:color w:val="auto"/>
                <w:kern w:val="2"/>
                <w:sz w:val="21"/>
                <w:szCs w:val="21"/>
                <w:highlight w:val="none"/>
                <w:lang w:val="en-US" w:eastAsia="zh-CN" w:bidi="ar-SA"/>
              </w:rPr>
            </w:pPr>
          </w:p>
        </w:tc>
        <w:tc>
          <w:tcPr>
            <w:tcW w:w="4250" w:type="dxa"/>
          </w:tcPr>
          <w:p w14:paraId="7F4BDE61">
            <w:pPr>
              <w:widowControl w:val="0"/>
              <w:snapToGrid w:val="0"/>
              <w:spacing w:after="0" w:line="360" w:lineRule="auto"/>
              <w:ind w:left="34" w:leftChars="16"/>
              <w:jc w:val="both"/>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法定代表人或其授权代表：</w:t>
            </w:r>
          </w:p>
        </w:tc>
      </w:tr>
      <w:tr w14:paraId="1A8DE53F">
        <w:tblPrEx>
          <w:tblCellMar>
            <w:top w:w="0" w:type="dxa"/>
            <w:left w:w="108" w:type="dxa"/>
            <w:bottom w:w="0" w:type="dxa"/>
            <w:right w:w="108" w:type="dxa"/>
          </w:tblCellMar>
        </w:tblPrEx>
        <w:trPr>
          <w:trHeight w:val="833" w:hRule="atLeast"/>
          <w:jc w:val="center"/>
        </w:trPr>
        <w:tc>
          <w:tcPr>
            <w:tcW w:w="4465" w:type="dxa"/>
          </w:tcPr>
          <w:p w14:paraId="18458F0C">
            <w:pPr>
              <w:widowControl w:val="0"/>
              <w:snapToGrid w:val="0"/>
              <w:spacing w:after="0" w:line="360" w:lineRule="auto"/>
              <w:jc w:val="both"/>
              <w:outlineLvl w:val="9"/>
              <w:rPr>
                <w:rFonts w:hint="eastAsia" w:ascii="宋体" w:hAnsi="宋体" w:eastAsia="宋体" w:cs="宋体"/>
                <w:color w:val="auto"/>
                <w:kern w:val="2"/>
                <w:sz w:val="21"/>
                <w:szCs w:val="21"/>
                <w:highlight w:val="none"/>
                <w:lang w:val="en-US" w:eastAsia="zh-CN" w:bidi="ar-SA"/>
              </w:rPr>
            </w:pPr>
          </w:p>
          <w:p w14:paraId="534940AC">
            <w:pPr>
              <w:widowControl w:val="0"/>
              <w:snapToGrid w:val="0"/>
              <w:spacing w:after="0" w:line="360" w:lineRule="auto"/>
              <w:ind w:left="19" w:leftChars="9"/>
              <w:jc w:val="both"/>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时间：</w:t>
            </w:r>
          </w:p>
        </w:tc>
        <w:tc>
          <w:tcPr>
            <w:tcW w:w="4250" w:type="dxa"/>
          </w:tcPr>
          <w:p w14:paraId="05689740">
            <w:pPr>
              <w:widowControl w:val="0"/>
              <w:snapToGrid w:val="0"/>
              <w:spacing w:after="0" w:line="360" w:lineRule="auto"/>
              <w:jc w:val="both"/>
              <w:outlineLvl w:val="9"/>
              <w:rPr>
                <w:rFonts w:hint="eastAsia" w:ascii="宋体" w:hAnsi="宋体" w:eastAsia="宋体" w:cs="宋体"/>
                <w:color w:val="auto"/>
                <w:kern w:val="2"/>
                <w:sz w:val="21"/>
                <w:szCs w:val="21"/>
                <w:highlight w:val="none"/>
                <w:lang w:val="en-US" w:eastAsia="zh-CN" w:bidi="ar-SA"/>
              </w:rPr>
            </w:pPr>
          </w:p>
          <w:p w14:paraId="1F509D4A">
            <w:pPr>
              <w:widowControl w:val="0"/>
              <w:snapToGrid w:val="0"/>
              <w:spacing w:after="0" w:line="360" w:lineRule="auto"/>
              <w:jc w:val="both"/>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时间：</w:t>
            </w:r>
          </w:p>
        </w:tc>
      </w:tr>
    </w:tbl>
    <w:p w14:paraId="0CC1CE79">
      <w:pPr>
        <w:widowControl/>
        <w:spacing w:line="360" w:lineRule="auto"/>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264EB9FD">
      <w:pPr>
        <w:spacing w:line="360" w:lineRule="auto"/>
        <w:jc w:val="center"/>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第二部分  合同条款</w:t>
      </w:r>
    </w:p>
    <w:p w14:paraId="6911A740">
      <w:pPr>
        <w:adjustRightInd/>
        <w:snapToGrid/>
        <w:spacing w:line="360" w:lineRule="auto"/>
        <w:ind w:firstLine="0" w:firstLineChars="0"/>
        <w:outlineLvl w:val="9"/>
        <w:rPr>
          <w:rFonts w:hint="eastAsia" w:ascii="宋体" w:hAnsi="宋体" w:cs="宋体"/>
          <w:color w:val="auto"/>
          <w:szCs w:val="21"/>
          <w:highlight w:val="none"/>
        </w:rPr>
      </w:pPr>
    </w:p>
    <w:p w14:paraId="46508073">
      <w:pPr>
        <w:snapToGrid w:val="0"/>
        <w:spacing w:line="360" w:lineRule="auto"/>
        <w:ind w:firstLine="422" w:firstLineChars="200"/>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1、词语定义及解释</w:t>
      </w:r>
    </w:p>
    <w:p w14:paraId="4F27167C">
      <w:pPr>
        <w:snapToGrid w:val="0"/>
        <w:spacing w:line="360" w:lineRule="auto"/>
        <w:ind w:firstLine="411" w:firstLineChars="196"/>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1.1“合同”是指甲乙双方签署的、合同格式中载明的甲乙双方所达成的协议，包括合同协议书、合同条款及合同附件、合同附录和上述文件所提到的构成合同的所有文件。</w:t>
      </w:r>
    </w:p>
    <w:p w14:paraId="2AA03B72">
      <w:pPr>
        <w:snapToGrid w:val="0"/>
        <w:spacing w:line="360" w:lineRule="auto"/>
        <w:ind w:firstLine="411" w:firstLineChars="196"/>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r>
        <w:rPr>
          <w:rFonts w:hint="eastAsia" w:ascii="宋体" w:hAnsi="宋体" w:eastAsia="宋体" w:cs="宋体"/>
          <w:color w:val="auto"/>
          <w:sz w:val="21"/>
          <w:szCs w:val="21"/>
          <w:highlight w:val="none"/>
          <w:lang w:eastAsia="zh-CN"/>
        </w:rPr>
        <w:t>优惠率</w:t>
      </w:r>
      <w:r>
        <w:rPr>
          <w:rFonts w:hint="eastAsia" w:ascii="宋体" w:hAnsi="宋体" w:eastAsia="宋体" w:cs="宋体"/>
          <w:color w:val="auto"/>
          <w:sz w:val="21"/>
          <w:szCs w:val="21"/>
          <w:highlight w:val="none"/>
        </w:rPr>
        <w:t>”是指甲方和乙方在合同协议书中确定的</w:t>
      </w:r>
      <w:r>
        <w:rPr>
          <w:rFonts w:hint="eastAsia" w:ascii="宋体" w:hAnsi="宋体" w:eastAsia="宋体" w:cs="宋体"/>
          <w:color w:val="auto"/>
          <w:sz w:val="21"/>
          <w:szCs w:val="21"/>
          <w:highlight w:val="none"/>
          <w:lang w:eastAsia="zh-CN"/>
        </w:rPr>
        <w:t>优惠率</w:t>
      </w:r>
      <w:r>
        <w:rPr>
          <w:rFonts w:hint="eastAsia" w:ascii="宋体" w:hAnsi="宋体" w:eastAsia="宋体" w:cs="宋体"/>
          <w:color w:val="auto"/>
          <w:sz w:val="21"/>
          <w:szCs w:val="21"/>
          <w:highlight w:val="none"/>
        </w:rPr>
        <w:t>，即本项目的中标</w:t>
      </w:r>
      <w:r>
        <w:rPr>
          <w:rFonts w:hint="eastAsia" w:ascii="宋体" w:hAnsi="宋体" w:eastAsia="宋体" w:cs="宋体"/>
          <w:color w:val="auto"/>
          <w:sz w:val="21"/>
          <w:szCs w:val="21"/>
          <w:highlight w:val="none"/>
          <w:lang w:eastAsia="zh-CN"/>
        </w:rPr>
        <w:t>优惠率</w:t>
      </w:r>
      <w:r>
        <w:rPr>
          <w:rFonts w:hint="eastAsia" w:ascii="宋体" w:hAnsi="宋体" w:eastAsia="宋体" w:cs="宋体"/>
          <w:color w:val="auto"/>
          <w:sz w:val="21"/>
          <w:szCs w:val="21"/>
          <w:highlight w:val="none"/>
        </w:rPr>
        <w:t>。</w:t>
      </w:r>
    </w:p>
    <w:p w14:paraId="21C6C33B">
      <w:pPr>
        <w:snapToGrid w:val="0"/>
        <w:spacing w:line="360" w:lineRule="auto"/>
        <w:ind w:firstLine="411" w:firstLineChars="196"/>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1.3“合同价格”系指根据本合同规定乙方在正确地完全履行合同义务后，按照长沙市政府或其职能部门相关规定，履约验收合格确定的最终价款。</w:t>
      </w:r>
    </w:p>
    <w:p w14:paraId="1A0F8357">
      <w:pPr>
        <w:tabs>
          <w:tab w:val="left" w:pos="1248"/>
        </w:tabs>
        <w:adjustRightInd w:val="0"/>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1.4“物资”系指乙方根据本合同规定向甲方提供的食品或货物。</w:t>
      </w:r>
    </w:p>
    <w:p w14:paraId="7A9C1FB2">
      <w:pPr>
        <w:tabs>
          <w:tab w:val="left" w:pos="1248"/>
        </w:tabs>
        <w:adjustRightInd w:val="0"/>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1.5“服务”系指根据本合同规定乙方承担与所供物资物有关的服务，包括运输、保险、装卸、质量保证、提供技术协助和合同中规定乙方应承担的其它义务。</w:t>
      </w:r>
    </w:p>
    <w:p w14:paraId="2471E72E">
      <w:pPr>
        <w:snapToGrid w:val="0"/>
        <w:spacing w:line="360" w:lineRule="auto"/>
        <w:ind w:firstLine="411" w:firstLineChars="196"/>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1.6“甲方”是指委托服务的一方以及其合法继承人，即合同协议书中所述的甲方。</w:t>
      </w:r>
    </w:p>
    <w:p w14:paraId="74B6282C">
      <w:pPr>
        <w:snapToGrid w:val="0"/>
        <w:spacing w:line="360" w:lineRule="auto"/>
        <w:ind w:firstLine="411" w:firstLineChars="196"/>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1.7“乙方”是指承担服务的一方以及其合法继承人，即合同协议书中所述的乙方。</w:t>
      </w:r>
    </w:p>
    <w:p w14:paraId="7F1C9CFC">
      <w:pPr>
        <w:snapToGrid w:val="0"/>
        <w:spacing w:line="360" w:lineRule="auto"/>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1.8“现场”是指合同协议书中明确的履行服务的现场。</w:t>
      </w:r>
    </w:p>
    <w:p w14:paraId="5AF51180">
      <w:pPr>
        <w:snapToGrid w:val="0"/>
        <w:spacing w:line="360" w:lineRule="auto"/>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1.9“日”是指任何一天零时至第二天零时的时间段。</w:t>
      </w:r>
    </w:p>
    <w:p w14:paraId="79083341">
      <w:pPr>
        <w:snapToGrid w:val="0"/>
        <w:spacing w:line="360" w:lineRule="auto"/>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1.10“月”是指根据公历从一个月份中任何一天开始到下一个月相应日期的前一天的时间段。</w:t>
      </w:r>
    </w:p>
    <w:p w14:paraId="739AF938">
      <w:pPr>
        <w:snapToGrid w:val="0"/>
        <w:spacing w:line="360" w:lineRule="auto"/>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1.11“书面形式”是指合同书、信件和数据电文（包括电报、电传、传真、电子数据交换和电子邮件）等可以有形地表现所载内容的形式。</w:t>
      </w:r>
    </w:p>
    <w:p w14:paraId="3F5E80D4">
      <w:pPr>
        <w:snapToGrid w:val="0"/>
        <w:spacing w:line="360" w:lineRule="auto"/>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1.12“不可抗力”是指甲方和乙方在订立本合同时不可预见，在合同履行过程中不可避免并不能克服的自然灾害和社会性突发事件，如地震、海啸、瘟疫、水灾、骚乱、暴动、战争等情形。</w:t>
      </w:r>
    </w:p>
    <w:p w14:paraId="2B004330">
      <w:pPr>
        <w:snapToGrid w:val="0"/>
        <w:spacing w:line="360" w:lineRule="auto"/>
        <w:ind w:firstLine="4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“基准价”为用户需求书中约定</w:t>
      </w:r>
      <w:r>
        <w:rPr>
          <w:rFonts w:hint="eastAsia" w:ascii="宋体" w:hAnsi="宋体" w:eastAsia="宋体" w:cs="宋体"/>
          <w:color w:val="auto"/>
          <w:sz w:val="21"/>
          <w:szCs w:val="21"/>
          <w:highlight w:val="none"/>
          <w:lang w:val="en-US" w:eastAsia="zh-CN"/>
        </w:rPr>
        <w:t>商品</w:t>
      </w:r>
      <w:r>
        <w:rPr>
          <w:rFonts w:hint="eastAsia" w:ascii="宋体" w:hAnsi="宋体" w:eastAsia="宋体" w:cs="宋体"/>
          <w:color w:val="auto"/>
          <w:sz w:val="21"/>
          <w:szCs w:val="21"/>
          <w:highlight w:val="none"/>
        </w:rPr>
        <w:t>基准价，即本项目</w:t>
      </w:r>
      <w:r>
        <w:rPr>
          <w:rFonts w:hint="eastAsia" w:ascii="宋体" w:hAnsi="宋体" w:eastAsia="宋体" w:cs="宋体"/>
          <w:color w:val="auto"/>
          <w:sz w:val="21"/>
          <w:szCs w:val="21"/>
          <w:highlight w:val="none"/>
          <w:lang w:val="en-US" w:eastAsia="zh-CN"/>
        </w:rPr>
        <w:t>商品</w:t>
      </w:r>
      <w:r>
        <w:rPr>
          <w:rFonts w:hint="eastAsia" w:ascii="宋体" w:hAnsi="宋体" w:eastAsia="宋体" w:cs="宋体"/>
          <w:color w:val="auto"/>
          <w:sz w:val="21"/>
          <w:szCs w:val="21"/>
          <w:highlight w:val="none"/>
        </w:rPr>
        <w:t>结算的基准价格。</w:t>
      </w:r>
    </w:p>
    <w:p w14:paraId="4E99C43A">
      <w:pPr>
        <w:snapToGrid w:val="0"/>
        <w:spacing w:line="360" w:lineRule="auto"/>
        <w:ind w:firstLine="422" w:firstLineChars="200"/>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zh-CN" w:bidi="en-US"/>
        </w:rPr>
        <w:t>2、</w:t>
      </w:r>
      <w:r>
        <w:rPr>
          <w:rFonts w:hint="eastAsia" w:ascii="宋体" w:hAnsi="宋体" w:eastAsia="宋体" w:cs="宋体"/>
          <w:b/>
          <w:color w:val="auto"/>
          <w:sz w:val="21"/>
          <w:szCs w:val="21"/>
          <w:highlight w:val="none"/>
        </w:rPr>
        <w:t>法律适用</w:t>
      </w:r>
    </w:p>
    <w:p w14:paraId="306FCCD3">
      <w:pPr>
        <w:adjustRightInd w:val="0"/>
        <w:snapToGrid w:val="0"/>
        <w:spacing w:line="360" w:lineRule="auto"/>
        <w:ind w:firstLine="420" w:firstLineChars="200"/>
        <w:outlineLvl w:val="9"/>
        <w:rPr>
          <w:rFonts w:hint="eastAsia" w:ascii="宋体" w:hAnsi="宋体" w:eastAsia="宋体" w:cs="宋体"/>
          <w:b/>
          <w:bCs/>
          <w:color w:val="auto"/>
          <w:sz w:val="21"/>
          <w:szCs w:val="21"/>
          <w:highlight w:val="none"/>
          <w:lang w:val="zh-CN" w:bidi="en-US"/>
        </w:rPr>
      </w:pPr>
      <w:r>
        <w:rPr>
          <w:rFonts w:hint="eastAsia" w:ascii="宋体" w:hAnsi="宋体" w:eastAsia="宋体" w:cs="宋体"/>
          <w:color w:val="auto"/>
          <w:sz w:val="21"/>
          <w:szCs w:val="21"/>
          <w:highlight w:val="none"/>
        </w:rPr>
        <w:t>本合同适用中华人民共和国现行法律、行政法规和规章，如合同条款与法律、行政法规和规章不一致的，按照法律、行政法规和规章修改本合同。</w:t>
      </w:r>
    </w:p>
    <w:p w14:paraId="4FDC4E78">
      <w:pPr>
        <w:adjustRightInd w:val="0"/>
        <w:snapToGrid w:val="0"/>
        <w:spacing w:line="360" w:lineRule="auto"/>
        <w:ind w:firstLine="422" w:firstLineChars="200"/>
        <w:outlineLvl w:val="9"/>
        <w:rPr>
          <w:rFonts w:hint="eastAsia" w:ascii="宋体" w:hAnsi="宋体" w:eastAsia="宋体" w:cs="宋体"/>
          <w:b/>
          <w:bCs/>
          <w:color w:val="auto"/>
          <w:sz w:val="21"/>
          <w:szCs w:val="21"/>
          <w:highlight w:val="none"/>
          <w:lang w:val="zh-CN" w:bidi="en-US"/>
        </w:rPr>
      </w:pPr>
      <w:r>
        <w:rPr>
          <w:rFonts w:hint="eastAsia" w:ascii="宋体" w:hAnsi="宋体" w:eastAsia="宋体" w:cs="宋体"/>
          <w:b/>
          <w:bCs/>
          <w:color w:val="auto"/>
          <w:sz w:val="21"/>
          <w:szCs w:val="21"/>
          <w:highlight w:val="none"/>
          <w:lang w:val="zh-CN" w:bidi="en-US"/>
        </w:rPr>
        <w:t>3、标准和规范</w:t>
      </w:r>
    </w:p>
    <w:p w14:paraId="0DA83F55">
      <w:pPr>
        <w:adjustRightInd w:val="0"/>
        <w:snapToGrid w:val="0"/>
        <w:spacing w:line="360" w:lineRule="auto"/>
        <w:ind w:firstLine="420" w:firstLineChars="200"/>
        <w:outlineLvl w:val="9"/>
        <w:rPr>
          <w:rFonts w:hint="eastAsia" w:ascii="宋体" w:hAnsi="宋体" w:eastAsia="宋体" w:cs="宋体"/>
          <w:color w:val="auto"/>
          <w:sz w:val="21"/>
          <w:szCs w:val="21"/>
          <w:highlight w:val="none"/>
          <w:lang w:val="zh-CN" w:bidi="en-US"/>
        </w:rPr>
      </w:pPr>
      <w:r>
        <w:rPr>
          <w:rFonts w:hint="eastAsia" w:ascii="宋体" w:hAnsi="宋体" w:eastAsia="宋体" w:cs="宋体"/>
          <w:color w:val="auto"/>
          <w:sz w:val="21"/>
          <w:szCs w:val="21"/>
          <w:highlight w:val="none"/>
          <w:lang w:val="zh-CN" w:bidi="en-US"/>
        </w:rPr>
        <w:t>3.1 适用国家标准、行业标准、项目所在地的地方性标准，以及相应的规范、规程等。</w:t>
      </w:r>
    </w:p>
    <w:p w14:paraId="39523DB7">
      <w:pPr>
        <w:adjustRightInd w:val="0"/>
        <w:snapToGrid w:val="0"/>
        <w:spacing w:line="360" w:lineRule="auto"/>
        <w:ind w:firstLine="420" w:firstLineChars="200"/>
        <w:outlineLvl w:val="9"/>
        <w:rPr>
          <w:rFonts w:hint="eastAsia" w:ascii="宋体" w:hAnsi="宋体" w:eastAsia="宋体" w:cs="宋体"/>
          <w:color w:val="auto"/>
          <w:sz w:val="21"/>
          <w:szCs w:val="21"/>
          <w:highlight w:val="none"/>
          <w:lang w:val="zh-CN" w:bidi="en-US"/>
        </w:rPr>
      </w:pPr>
      <w:r>
        <w:rPr>
          <w:rFonts w:hint="eastAsia" w:ascii="宋体" w:hAnsi="宋体" w:eastAsia="宋体" w:cs="宋体"/>
          <w:color w:val="auto"/>
          <w:sz w:val="21"/>
          <w:szCs w:val="21"/>
          <w:highlight w:val="none"/>
          <w:lang w:val="zh-CN" w:bidi="en-US"/>
        </w:rPr>
        <w:t>3.2 甲方对本项目的技术标准或功能的其他要求以用户需求书为准。</w:t>
      </w:r>
    </w:p>
    <w:p w14:paraId="3AA7E46F">
      <w:pPr>
        <w:snapToGrid w:val="0"/>
        <w:spacing w:line="360" w:lineRule="auto"/>
        <w:ind w:firstLine="422" w:firstLineChars="200"/>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4、双方项目联系人</w:t>
      </w:r>
    </w:p>
    <w:p w14:paraId="5C5DEE12">
      <w:pPr>
        <w:widowControl/>
        <w:snapToGrid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4.1在本合同有效期内，甲乙双方以书面形式确定项目联系人。</w:t>
      </w:r>
    </w:p>
    <w:p w14:paraId="2649409C">
      <w:pPr>
        <w:widowControl/>
        <w:snapToGrid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4.2一方变更项目联系人的，应当及时以书面形式通知另一方。未及时通知并影响本合同履行或造成损失的，应承担相应的责任。</w:t>
      </w:r>
    </w:p>
    <w:p w14:paraId="38522259">
      <w:pPr>
        <w:snapToGrid w:val="0"/>
        <w:spacing w:line="360" w:lineRule="auto"/>
        <w:ind w:firstLine="422" w:firstLineChars="200"/>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5、通知</w:t>
      </w:r>
    </w:p>
    <w:p w14:paraId="418E86D3">
      <w:pPr>
        <w:widowControl/>
        <w:snapToGrid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5.1本合同一方给另一方的通知均应采用书面形式，传真或快递送到本合同中规定的对方的地址和办理签收手续。</w:t>
      </w:r>
    </w:p>
    <w:p w14:paraId="7AE39B3D">
      <w:pPr>
        <w:widowControl/>
        <w:snapToGrid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5.2通知以送到之日或通知书中规定的生效之日起生效，两者中以较迟之日为准。</w:t>
      </w:r>
    </w:p>
    <w:p w14:paraId="19425CF3">
      <w:pPr>
        <w:numPr>
          <w:ilvl w:val="0"/>
          <w:numId w:val="14"/>
        </w:numPr>
        <w:adjustRightInd/>
        <w:snapToGrid w:val="0"/>
        <w:spacing w:line="360" w:lineRule="auto"/>
        <w:ind w:firstLine="422" w:firstLineChars="200"/>
        <w:outlineLvl w:val="9"/>
        <w:rPr>
          <w:rFonts w:hint="eastAsia" w:ascii="宋体" w:hAnsi="宋体" w:eastAsia="宋体" w:cs="宋体"/>
          <w:b/>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t>价款支付</w:t>
      </w:r>
    </w:p>
    <w:p w14:paraId="435039F2">
      <w:pPr>
        <w:adjustRightInd w:val="0"/>
        <w:snapToGrid w:val="0"/>
        <w:spacing w:line="360" w:lineRule="auto"/>
        <w:ind w:firstLine="420" w:firstLineChars="200"/>
        <w:outlineLvl w:val="9"/>
        <w:rPr>
          <w:rFonts w:hint="eastAsia" w:ascii="宋体" w:hAnsi="宋体" w:eastAsia="宋体" w:cs="宋体"/>
          <w:b w:val="0"/>
          <w:bCs w:val="0"/>
          <w:color w:val="auto"/>
          <w:sz w:val="21"/>
          <w:szCs w:val="21"/>
          <w:highlight w:val="none"/>
          <w:u w:val="none"/>
          <w:lang w:eastAsia="zh-CN" w:bidi="ar"/>
        </w:rPr>
      </w:pPr>
      <w:r>
        <w:rPr>
          <w:rFonts w:hint="eastAsia" w:ascii="宋体" w:hAnsi="宋体" w:eastAsia="宋体" w:cs="宋体"/>
          <w:b w:val="0"/>
          <w:bCs w:val="0"/>
          <w:color w:val="auto"/>
          <w:sz w:val="21"/>
          <w:szCs w:val="21"/>
          <w:highlight w:val="none"/>
          <w:u w:val="none"/>
          <w:lang w:val="en-US" w:eastAsia="zh-CN" w:bidi="ar"/>
        </w:rPr>
        <w:t>6.</w:t>
      </w:r>
      <w:r>
        <w:rPr>
          <w:rFonts w:hint="eastAsia" w:ascii="宋体" w:hAnsi="宋体" w:cs="宋体"/>
          <w:b w:val="0"/>
          <w:bCs w:val="0"/>
          <w:color w:val="auto"/>
          <w:sz w:val="21"/>
          <w:szCs w:val="21"/>
          <w:highlight w:val="none"/>
          <w:u w:val="none"/>
          <w:lang w:val="en-US" w:eastAsia="zh-CN" w:bidi="ar"/>
        </w:rPr>
        <w:t>1</w:t>
      </w:r>
      <w:r>
        <w:rPr>
          <w:rFonts w:hint="eastAsia" w:ascii="宋体" w:hAnsi="宋体" w:eastAsia="宋体" w:cs="宋体"/>
          <w:b w:val="0"/>
          <w:bCs w:val="0"/>
          <w:color w:val="auto"/>
          <w:sz w:val="21"/>
          <w:szCs w:val="21"/>
          <w:highlight w:val="none"/>
          <w:u w:val="none"/>
          <w:lang w:bidi="ar"/>
        </w:rPr>
        <w:t>计价规则</w:t>
      </w:r>
    </w:p>
    <w:p w14:paraId="406A7458">
      <w:pPr>
        <w:adjustRightInd w:val="0"/>
        <w:snapToGrid w:val="0"/>
        <w:spacing w:line="360" w:lineRule="auto"/>
        <w:ind w:firstLine="420" w:firstLineChars="200"/>
        <w:outlineLvl w:val="9"/>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以甲方每</w:t>
      </w:r>
      <w:r>
        <w:rPr>
          <w:rFonts w:hint="eastAsia" w:ascii="宋体" w:hAnsi="宋体" w:cs="宋体"/>
          <w:color w:val="auto"/>
          <w:sz w:val="21"/>
          <w:szCs w:val="21"/>
          <w:highlight w:val="none"/>
          <w:lang w:val="en-US" w:eastAsia="zh-CN" w:bidi="ar"/>
        </w:rPr>
        <w:t>季度首个</w:t>
      </w:r>
      <w:r>
        <w:rPr>
          <w:rFonts w:hint="eastAsia" w:ascii="宋体" w:hAnsi="宋体" w:eastAsia="宋体" w:cs="宋体"/>
          <w:color w:val="auto"/>
          <w:sz w:val="21"/>
          <w:szCs w:val="21"/>
          <w:highlight w:val="none"/>
          <w:lang w:val="en-US" w:eastAsia="zh-CN" w:bidi="ar"/>
        </w:rPr>
        <w:t>工作日采集的</w:t>
      </w:r>
      <w:r>
        <w:rPr>
          <w:rFonts w:hint="eastAsia" w:ascii="宋体" w:hAnsi="宋体" w:eastAsia="宋体" w:cs="宋体"/>
          <w:sz w:val="21"/>
          <w:szCs w:val="21"/>
          <w:highlight w:val="none"/>
          <w:lang w:bidi="ar"/>
        </w:rPr>
        <w:t>步步高超市、</w:t>
      </w:r>
      <w:r>
        <w:rPr>
          <w:rFonts w:hint="eastAsia" w:ascii="宋体" w:hAnsi="宋体" w:cs="宋体"/>
          <w:sz w:val="21"/>
          <w:szCs w:val="21"/>
          <w:highlight w:val="none"/>
          <w:lang w:val="en-US" w:eastAsia="zh-CN" w:bidi="ar"/>
        </w:rPr>
        <w:t>沃尔玛</w:t>
      </w:r>
      <w:r>
        <w:rPr>
          <w:rFonts w:hint="eastAsia" w:ascii="宋体" w:hAnsi="宋体" w:eastAsia="宋体" w:cs="宋体"/>
          <w:sz w:val="21"/>
          <w:szCs w:val="21"/>
          <w:highlight w:val="none"/>
          <w:lang w:val="en-US" w:eastAsia="zh-CN" w:bidi="ar"/>
        </w:rPr>
        <w:t>超市</w:t>
      </w:r>
      <w:r>
        <w:rPr>
          <w:rFonts w:hint="eastAsia" w:ascii="宋体" w:hAnsi="宋体" w:eastAsia="宋体" w:cs="宋体"/>
          <w:sz w:val="21"/>
          <w:szCs w:val="21"/>
          <w:highlight w:val="none"/>
          <w:lang w:bidi="ar"/>
        </w:rPr>
        <w:t>、大润发</w:t>
      </w:r>
      <w:r>
        <w:rPr>
          <w:rFonts w:hint="eastAsia" w:ascii="宋体" w:hAnsi="宋体" w:eastAsia="宋体" w:cs="宋体"/>
          <w:sz w:val="21"/>
          <w:szCs w:val="21"/>
          <w:highlight w:val="none"/>
          <w:lang w:val="en-US" w:eastAsia="zh-CN" w:bidi="ar"/>
        </w:rPr>
        <w:t>超市生鲜类商品的平均价</w:t>
      </w:r>
      <w:r>
        <w:rPr>
          <w:rFonts w:hint="eastAsia" w:ascii="宋体" w:hAnsi="宋体" w:cs="宋体"/>
          <w:sz w:val="21"/>
          <w:szCs w:val="21"/>
          <w:highlight w:val="none"/>
          <w:lang w:val="en-US" w:eastAsia="zh-CN" w:bidi="ar"/>
        </w:rPr>
        <w:t>（</w:t>
      </w:r>
      <w:r>
        <w:rPr>
          <w:rFonts w:hint="eastAsia" w:ascii="宋体" w:hAnsi="宋体" w:eastAsia="宋体" w:cs="宋体"/>
          <w:sz w:val="21"/>
          <w:szCs w:val="21"/>
          <w:highlight w:val="none"/>
          <w:lang w:val="en-US" w:eastAsia="zh-CN" w:bidi="ar"/>
        </w:rPr>
        <w:t>超市同期公示的非促销零售价/超市当期无任何附加条件的常规零售价</w:t>
      </w:r>
      <w:r>
        <w:rPr>
          <w:rFonts w:hint="eastAsia" w:ascii="宋体" w:hAnsi="宋体" w:cs="宋体"/>
          <w:sz w:val="21"/>
          <w:szCs w:val="21"/>
          <w:highlight w:val="none"/>
          <w:lang w:val="en-US" w:eastAsia="zh-CN" w:bidi="ar"/>
        </w:rPr>
        <w:t>）</w:t>
      </w:r>
      <w:r>
        <w:rPr>
          <w:rFonts w:hint="eastAsia" w:ascii="宋体" w:hAnsi="宋体" w:eastAsia="宋体" w:cs="宋体"/>
          <w:sz w:val="21"/>
          <w:szCs w:val="21"/>
          <w:highlight w:val="none"/>
          <w:lang w:val="en-US" w:eastAsia="zh-CN" w:bidi="ar"/>
        </w:rPr>
        <w:t>为合同履约期的生鲜类商品的基准价</w:t>
      </w:r>
      <w:r>
        <w:rPr>
          <w:rFonts w:hint="eastAsia" w:ascii="宋体" w:hAnsi="宋体" w:cs="宋体"/>
          <w:sz w:val="21"/>
          <w:szCs w:val="21"/>
          <w:highlight w:val="none"/>
          <w:lang w:val="en-US" w:eastAsia="zh-CN" w:bidi="ar"/>
        </w:rPr>
        <w:t>；若存在无法同时从三家超市询价的情况，此时以能询到的两家或一家超市的</w:t>
      </w:r>
      <w:r>
        <w:rPr>
          <w:rFonts w:hint="eastAsia" w:ascii="宋体" w:hAnsi="宋体" w:eastAsia="宋体" w:cs="宋体"/>
          <w:sz w:val="21"/>
          <w:szCs w:val="21"/>
          <w:highlight w:val="none"/>
          <w:lang w:val="en-US" w:eastAsia="zh-CN" w:bidi="ar"/>
        </w:rPr>
        <w:t>非促销零售价/常规零售价</w:t>
      </w:r>
      <w:r>
        <w:rPr>
          <w:rFonts w:hint="eastAsia" w:ascii="宋体" w:hAnsi="宋体" w:cs="宋体"/>
          <w:sz w:val="21"/>
          <w:szCs w:val="21"/>
          <w:highlight w:val="none"/>
          <w:lang w:val="en-US" w:eastAsia="zh-CN" w:bidi="ar"/>
        </w:rPr>
        <w:t>为基准价；各品类</w:t>
      </w:r>
      <w:r>
        <w:rPr>
          <w:rFonts w:hint="eastAsia" w:ascii="宋体" w:hAnsi="宋体" w:eastAsia="宋体" w:cs="宋体"/>
          <w:sz w:val="21"/>
          <w:szCs w:val="21"/>
          <w:highlight w:val="none"/>
          <w:lang w:bidi="ar"/>
        </w:rPr>
        <w:t>结算</w:t>
      </w:r>
      <w:r>
        <w:rPr>
          <w:rFonts w:hint="eastAsia" w:ascii="宋体" w:hAnsi="宋体" w:cs="宋体"/>
          <w:sz w:val="21"/>
          <w:szCs w:val="21"/>
          <w:highlight w:val="none"/>
          <w:lang w:val="en-US" w:eastAsia="zh-CN" w:bidi="ar"/>
        </w:rPr>
        <w:t>单</w:t>
      </w:r>
      <w:r>
        <w:rPr>
          <w:rFonts w:hint="eastAsia" w:ascii="宋体" w:hAnsi="宋体" w:eastAsia="宋体" w:cs="宋体"/>
          <w:sz w:val="21"/>
          <w:szCs w:val="21"/>
          <w:highlight w:val="none"/>
          <w:lang w:val="en-US" w:eastAsia="zh-CN" w:bidi="ar"/>
        </w:rPr>
        <w:t>价=</w:t>
      </w:r>
      <w:r>
        <w:rPr>
          <w:rFonts w:hint="eastAsia" w:ascii="宋体" w:hAnsi="宋体" w:cs="宋体"/>
          <w:sz w:val="21"/>
          <w:szCs w:val="21"/>
          <w:highlight w:val="none"/>
          <w:lang w:val="en-US" w:eastAsia="zh-CN" w:bidi="ar"/>
        </w:rPr>
        <w:t>各品类</w:t>
      </w:r>
      <w:r>
        <w:rPr>
          <w:rFonts w:hint="eastAsia" w:ascii="宋体" w:hAnsi="宋体" w:eastAsia="宋体" w:cs="宋体"/>
          <w:sz w:val="21"/>
          <w:szCs w:val="21"/>
          <w:highlight w:val="none"/>
          <w:lang w:bidi="ar"/>
        </w:rPr>
        <w:t>基准价*（1-</w:t>
      </w:r>
      <w:r>
        <w:rPr>
          <w:rFonts w:hint="eastAsia" w:ascii="宋体" w:hAnsi="宋体" w:cs="宋体"/>
          <w:sz w:val="21"/>
          <w:szCs w:val="21"/>
          <w:highlight w:val="none"/>
          <w:lang w:val="en-US" w:eastAsia="zh-CN" w:bidi="ar"/>
        </w:rPr>
        <w:t>**%</w:t>
      </w:r>
      <w:r>
        <w:rPr>
          <w:rFonts w:hint="eastAsia" w:ascii="宋体" w:hAnsi="宋体" w:eastAsia="宋体" w:cs="宋体"/>
          <w:sz w:val="21"/>
          <w:szCs w:val="21"/>
          <w:highlight w:val="none"/>
          <w:lang w:bidi="ar"/>
        </w:rPr>
        <w:t>）</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bidi="ar"/>
        </w:rPr>
        <w:t>此价格</w:t>
      </w:r>
      <w:r>
        <w:rPr>
          <w:rFonts w:hint="eastAsia" w:ascii="宋体" w:hAnsi="宋体" w:cs="宋体"/>
          <w:sz w:val="21"/>
          <w:szCs w:val="21"/>
          <w:highlight w:val="none"/>
          <w:lang w:val="en-US" w:eastAsia="zh-CN" w:bidi="ar"/>
        </w:rPr>
        <w:t>包括但不限于</w:t>
      </w:r>
      <w:r>
        <w:rPr>
          <w:rFonts w:hint="eastAsia" w:ascii="宋体" w:hAnsi="宋体" w:eastAsia="宋体" w:cs="宋体"/>
          <w:sz w:val="21"/>
          <w:szCs w:val="21"/>
          <w:highlight w:val="none"/>
          <w:lang w:bidi="ar"/>
        </w:rPr>
        <w:t>：税费、运费、干货食材费、</w:t>
      </w:r>
      <w:r>
        <w:rPr>
          <w:rFonts w:hint="eastAsia" w:ascii="宋体" w:hAnsi="宋体" w:cs="宋体"/>
          <w:sz w:val="21"/>
          <w:szCs w:val="21"/>
          <w:highlight w:val="none"/>
          <w:lang w:val="en-US" w:eastAsia="zh-CN" w:bidi="ar"/>
        </w:rPr>
        <w:t>仓储费、</w:t>
      </w:r>
      <w:r>
        <w:rPr>
          <w:rFonts w:hint="eastAsia" w:ascii="宋体" w:hAnsi="宋体" w:eastAsia="宋体" w:cs="宋体"/>
          <w:sz w:val="21"/>
          <w:szCs w:val="21"/>
          <w:highlight w:val="none"/>
          <w:lang w:bidi="ar"/>
        </w:rPr>
        <w:t>人工费、管理费等费用，双方确定价格后的月度按此价格执行，不得另行调高价格</w:t>
      </w:r>
      <w:r>
        <w:rPr>
          <w:rFonts w:hint="eastAsia" w:ascii="宋体" w:hAnsi="宋体" w:eastAsia="宋体" w:cs="宋体"/>
          <w:sz w:val="21"/>
          <w:szCs w:val="21"/>
          <w:highlight w:val="none"/>
          <w:lang w:eastAsia="zh-CN"/>
        </w:rPr>
        <w:t>。</w:t>
      </w:r>
      <w:r>
        <w:rPr>
          <w:rFonts w:hint="eastAsia" w:ascii="宋体" w:hAnsi="宋体" w:cs="宋体"/>
          <w:sz w:val="21"/>
          <w:szCs w:val="21"/>
          <w:highlight w:val="none"/>
          <w:lang w:val="en-US" w:eastAsia="zh-CN" w:bidi="ar"/>
        </w:rPr>
        <w:t>若三家超市均无法提供商品价格，则以当期市场询价后双方确定的价格为结算价。</w:t>
      </w:r>
      <w:r>
        <w:rPr>
          <w:rFonts w:hint="eastAsia" w:ascii="宋体" w:hAnsi="宋体" w:eastAsia="宋体" w:cs="宋体"/>
          <w:color w:val="auto"/>
          <w:sz w:val="21"/>
          <w:szCs w:val="21"/>
          <w:highlight w:val="none"/>
          <w:lang w:bidi="ar"/>
        </w:rPr>
        <w:t>乙方按照甲方下单的货物种类和数量，按时足量送货。具体以实际需求为准。</w:t>
      </w:r>
    </w:p>
    <w:p w14:paraId="29D68B7A">
      <w:pPr>
        <w:numPr>
          <w:ilvl w:val="-1"/>
          <w:numId w:val="0"/>
        </w:numPr>
        <w:adjustRightInd/>
        <w:snapToGrid w:val="0"/>
        <w:spacing w:line="360" w:lineRule="auto"/>
        <w:ind w:firstLine="420" w:firstLineChars="200"/>
        <w:outlineLvl w:val="9"/>
        <w:rPr>
          <w:rFonts w:hint="eastAsia" w:ascii="宋体" w:hAnsi="宋体" w:eastAsia="宋体" w:cs="宋体"/>
          <w:b/>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6.</w:t>
      </w:r>
      <w:r>
        <w:rPr>
          <w:rFonts w:hint="eastAsia" w:ascii="宋体" w:hAnsi="宋体" w:cs="宋体"/>
          <w:b w:val="0"/>
          <w:bCs/>
          <w:color w:val="auto"/>
          <w:sz w:val="21"/>
          <w:szCs w:val="21"/>
          <w:highlight w:val="none"/>
          <w:lang w:val="en-US" w:eastAsia="zh-CN" w:bidi="ar"/>
        </w:rPr>
        <w:t>2</w:t>
      </w:r>
      <w:r>
        <w:rPr>
          <w:rFonts w:hint="eastAsia" w:ascii="宋体" w:hAnsi="宋体" w:eastAsia="宋体" w:cs="宋体"/>
          <w:bCs/>
          <w:color w:val="auto"/>
          <w:sz w:val="21"/>
          <w:szCs w:val="21"/>
          <w:highlight w:val="none"/>
          <w:u w:val="none"/>
        </w:rPr>
        <w:t>进度</w:t>
      </w:r>
      <w:r>
        <w:rPr>
          <w:rFonts w:hint="eastAsia" w:ascii="宋体" w:hAnsi="宋体" w:eastAsia="宋体" w:cs="宋体"/>
          <w:color w:val="auto"/>
          <w:sz w:val="21"/>
          <w:szCs w:val="21"/>
          <w:highlight w:val="none"/>
          <w:u w:val="none"/>
        </w:rPr>
        <w:t>款支付</w:t>
      </w:r>
    </w:p>
    <w:p w14:paraId="6DE7D00F">
      <w:pPr>
        <w:adjustRightInd w:val="0"/>
        <w:snapToGrid w:val="0"/>
        <w:spacing w:line="360" w:lineRule="auto"/>
        <w:ind w:firstLine="420" w:firstLineChars="200"/>
        <w:outlineLvl w:val="9"/>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按月支付：当月支付金额=∑</w:t>
      </w:r>
      <w:r>
        <w:rPr>
          <w:rFonts w:hint="eastAsia" w:ascii="宋体" w:hAnsi="宋体" w:cs="宋体"/>
          <w:color w:val="auto"/>
          <w:sz w:val="21"/>
          <w:szCs w:val="21"/>
          <w:highlight w:val="none"/>
          <w:lang w:val="en-US" w:eastAsia="zh-CN" w:bidi="ar"/>
        </w:rPr>
        <w:t>（各品类</w:t>
      </w:r>
      <w:r>
        <w:rPr>
          <w:rFonts w:hint="eastAsia" w:ascii="宋体" w:hAnsi="宋体" w:eastAsia="宋体" w:cs="宋体"/>
          <w:color w:val="auto"/>
          <w:sz w:val="21"/>
          <w:szCs w:val="21"/>
          <w:highlight w:val="none"/>
          <w:lang w:val="en-US" w:eastAsia="zh-CN" w:bidi="ar"/>
        </w:rPr>
        <w:t>当月供货验收数量*</w:t>
      </w:r>
      <w:r>
        <w:rPr>
          <w:rFonts w:hint="eastAsia" w:ascii="宋体" w:hAnsi="宋体" w:cs="宋体"/>
          <w:color w:val="auto"/>
          <w:sz w:val="21"/>
          <w:szCs w:val="21"/>
          <w:highlight w:val="none"/>
          <w:lang w:val="en-US" w:eastAsia="zh-CN" w:bidi="ar"/>
        </w:rPr>
        <w:t>各品类结算单价）</w:t>
      </w:r>
      <w:r>
        <w:rPr>
          <w:rFonts w:hint="eastAsia" w:ascii="宋体" w:hAnsi="宋体" w:eastAsia="宋体" w:cs="宋体"/>
          <w:color w:val="auto"/>
          <w:sz w:val="21"/>
          <w:szCs w:val="21"/>
          <w:highlight w:val="none"/>
          <w:lang w:val="en-US" w:eastAsia="zh-CN" w:bidi="ar"/>
        </w:rPr>
        <w:t>+当月考评金额。当月考评金额</w:t>
      </w:r>
      <w:r>
        <w:rPr>
          <w:rFonts w:hint="eastAsia" w:ascii="宋体" w:hAnsi="宋体" w:cs="宋体"/>
          <w:color w:val="auto"/>
          <w:sz w:val="21"/>
          <w:szCs w:val="21"/>
          <w:highlight w:val="none"/>
          <w:lang w:val="en-US" w:eastAsia="zh-CN" w:bidi="ar"/>
        </w:rPr>
        <w:t>按照</w:t>
      </w:r>
      <w:r>
        <w:rPr>
          <w:rFonts w:hint="eastAsia" w:ascii="宋体" w:hAnsi="宋体" w:eastAsia="宋体" w:cs="宋体"/>
          <w:color w:val="auto"/>
          <w:sz w:val="21"/>
          <w:szCs w:val="21"/>
          <w:highlight w:val="none"/>
          <w:lang w:val="en-US" w:eastAsia="zh-CN" w:bidi="ar"/>
        </w:rPr>
        <w:t>甲方相关管理制度及考评办法中规定的考评通知书裁定结果执行。</w:t>
      </w:r>
    </w:p>
    <w:p w14:paraId="48A1A16E">
      <w:pPr>
        <w:adjustRightInd w:val="0"/>
        <w:snapToGrid w:val="0"/>
        <w:spacing w:line="360" w:lineRule="auto"/>
        <w:ind w:firstLine="420" w:firstLineChars="200"/>
        <w:outlineLvl w:val="9"/>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进度款支付乙方应在次月10日前提报支付申请，乙方凭当次应支付款额度100%的增值税发票原件、货品验收单，办理每月的请款手续；甲方在收到乙方的上述请款材料并确认无误后的28个工作日内向乙方进行支付。</w:t>
      </w:r>
    </w:p>
    <w:p w14:paraId="13FF7331">
      <w:pPr>
        <w:adjustRightInd w:val="0"/>
        <w:snapToGrid w:val="0"/>
        <w:spacing w:line="360" w:lineRule="auto"/>
        <w:ind w:firstLine="422" w:firstLineChars="200"/>
        <w:outlineLvl w:val="9"/>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bidi="ar"/>
        </w:rPr>
        <w:t>7.履约保证金</w:t>
      </w:r>
    </w:p>
    <w:p w14:paraId="3B7C9F01">
      <w:pPr>
        <w:adjustRightInd w:val="0"/>
        <w:snapToGrid w:val="0"/>
        <w:spacing w:line="360" w:lineRule="auto"/>
        <w:ind w:firstLine="420" w:firstLineChars="200"/>
        <w:outlineLvl w:val="9"/>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7.1.乙方应在本合同签订后按合同暂定</w:t>
      </w:r>
      <w:r>
        <w:rPr>
          <w:rFonts w:hint="eastAsia" w:ascii="宋体" w:hAnsi="宋体" w:cs="宋体"/>
          <w:color w:val="auto"/>
          <w:sz w:val="21"/>
          <w:szCs w:val="21"/>
          <w:highlight w:val="none"/>
          <w:lang w:val="en-US" w:eastAsia="zh-CN" w:bidi="ar"/>
        </w:rPr>
        <w:t>含税总价</w:t>
      </w:r>
      <w:r>
        <w:rPr>
          <w:rFonts w:hint="eastAsia" w:ascii="宋体" w:hAnsi="宋体" w:eastAsia="宋体" w:cs="宋体"/>
          <w:color w:val="auto"/>
          <w:sz w:val="21"/>
          <w:szCs w:val="21"/>
          <w:highlight w:val="none"/>
          <w:lang w:val="en-US" w:eastAsia="zh-CN" w:bidi="ar"/>
        </w:rPr>
        <w:t>的</w:t>
      </w:r>
      <w:r>
        <w:rPr>
          <w:rFonts w:hint="eastAsia" w:ascii="宋体" w:hAnsi="宋体" w:cs="宋体"/>
          <w:color w:val="auto"/>
          <w:sz w:val="21"/>
          <w:szCs w:val="21"/>
          <w:highlight w:val="none"/>
          <w:lang w:val="en-US" w:eastAsia="zh-CN" w:bidi="ar"/>
        </w:rPr>
        <w:t>10</w:t>
      </w:r>
      <w:r>
        <w:rPr>
          <w:rFonts w:hint="eastAsia" w:ascii="宋体" w:hAnsi="宋体" w:eastAsia="宋体" w:cs="宋体"/>
          <w:color w:val="auto"/>
          <w:sz w:val="21"/>
          <w:szCs w:val="21"/>
          <w:highlight w:val="none"/>
          <w:lang w:val="en-US" w:eastAsia="zh-CN" w:bidi="ar"/>
        </w:rPr>
        <w:t>%向甲方缴纳履约保证金。履约保证金须在合同的权利义务终止前保持有效。</w:t>
      </w:r>
    </w:p>
    <w:p w14:paraId="54816879">
      <w:pPr>
        <w:adjustRightInd w:val="0"/>
        <w:snapToGrid w:val="0"/>
        <w:spacing w:line="360" w:lineRule="auto"/>
        <w:ind w:firstLine="420" w:firstLineChars="200"/>
        <w:outlineLvl w:val="9"/>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7.2.履约保证金用银行保函提交的，保函格式详见附件，保函须经甲方确认并经甲方指定银行进行鉴定；乙方自行办理保函鉴定手续并承担相关费用。</w:t>
      </w:r>
    </w:p>
    <w:p w14:paraId="1AE3869D">
      <w:pPr>
        <w:adjustRightInd w:val="0"/>
        <w:snapToGrid w:val="0"/>
        <w:spacing w:line="360" w:lineRule="auto"/>
        <w:ind w:firstLine="420" w:firstLineChars="200"/>
        <w:outlineLvl w:val="9"/>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7.3.履约保证金用人民币转账提交的，甲方银行账号资料如下：</w:t>
      </w:r>
    </w:p>
    <w:p w14:paraId="2E11C482">
      <w:pPr>
        <w:adjustRightInd w:val="0"/>
        <w:snapToGrid w:val="0"/>
        <w:spacing w:line="360" w:lineRule="auto"/>
        <w:ind w:firstLine="420" w:firstLineChars="200"/>
        <w:outlineLvl w:val="9"/>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开户名称：</w:t>
      </w:r>
      <w:r>
        <w:rPr>
          <w:rFonts w:hint="eastAsia" w:ascii="宋体" w:hAnsi="宋体" w:eastAsia="宋体" w:cs="宋体"/>
          <w:color w:val="auto"/>
          <w:kern w:val="0"/>
          <w:sz w:val="21"/>
          <w:szCs w:val="21"/>
          <w:highlight w:val="none"/>
        </w:rPr>
        <w:t>中国建设银行股份有限公司长沙望城坡支行</w:t>
      </w:r>
    </w:p>
    <w:p w14:paraId="611F35EA">
      <w:pPr>
        <w:adjustRightInd w:val="0"/>
        <w:snapToGrid w:val="0"/>
        <w:spacing w:line="360" w:lineRule="auto"/>
        <w:ind w:firstLine="420" w:firstLineChars="200"/>
        <w:outlineLvl w:val="9"/>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开户银行： </w:t>
      </w:r>
      <w:r>
        <w:rPr>
          <w:rFonts w:hint="eastAsia" w:ascii="宋体" w:hAnsi="宋体" w:eastAsia="宋体" w:cs="宋体"/>
          <w:color w:val="auto"/>
          <w:kern w:val="0"/>
          <w:sz w:val="21"/>
          <w:szCs w:val="21"/>
          <w:highlight w:val="none"/>
        </w:rPr>
        <w:t>长沙穗城轨道交通有限公司</w:t>
      </w:r>
    </w:p>
    <w:p w14:paraId="6C135DD9">
      <w:pPr>
        <w:adjustRightInd w:val="0"/>
        <w:snapToGrid w:val="0"/>
        <w:spacing w:line="360" w:lineRule="auto"/>
        <w:ind w:firstLine="420" w:firstLineChars="200"/>
        <w:outlineLvl w:val="9"/>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帐    号： </w:t>
      </w:r>
      <w:r>
        <w:rPr>
          <w:rFonts w:hint="eastAsia" w:ascii="宋体" w:hAnsi="宋体" w:eastAsia="宋体" w:cs="宋体"/>
          <w:color w:val="auto"/>
          <w:kern w:val="0"/>
          <w:sz w:val="21"/>
          <w:szCs w:val="21"/>
          <w:highlight w:val="none"/>
        </w:rPr>
        <w:t>43050178413600000646</w:t>
      </w:r>
    </w:p>
    <w:p w14:paraId="47F1C483">
      <w:pPr>
        <w:adjustRightInd w:val="0"/>
        <w:snapToGrid w:val="0"/>
        <w:spacing w:line="360" w:lineRule="auto"/>
        <w:ind w:firstLine="420" w:firstLineChars="200"/>
        <w:outlineLvl w:val="9"/>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7.4.乙方在合同履行期间存在任何违约行为，甲方有权直接从履约保证金扣除合同约定的违约金或损害赔偿金等费用，但甲方需将这一行为及时通知乙方；乙方有权提出异议，双方无法达成一致时按合同约定的争议解决方式处理。甲方应在合同的权利义务终止后及时将剩余的履约保证金无息返还，若返还履约保证金时发生银行费用，则该费用由乙方承担且从履约保证金金额内直接扣减。</w:t>
      </w:r>
    </w:p>
    <w:p w14:paraId="3137DCAA">
      <w:pPr>
        <w:snapToGrid w:val="0"/>
        <w:spacing w:line="360" w:lineRule="auto"/>
        <w:ind w:firstLine="482"/>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8</w:t>
      </w:r>
      <w:r>
        <w:rPr>
          <w:rFonts w:hint="eastAsia" w:ascii="宋体" w:hAnsi="宋体" w:eastAsia="宋体" w:cs="宋体"/>
          <w:b/>
          <w:color w:val="auto"/>
          <w:sz w:val="21"/>
          <w:szCs w:val="21"/>
          <w:highlight w:val="none"/>
        </w:rPr>
        <w:t>、双方的权利义务</w:t>
      </w:r>
    </w:p>
    <w:p w14:paraId="047B65DF">
      <w:pPr>
        <w:tabs>
          <w:tab w:val="left" w:pos="1248"/>
        </w:tabs>
        <w:adjustRightInd w:val="0"/>
        <w:snapToGrid w:val="0"/>
        <w:spacing w:line="360" w:lineRule="auto"/>
        <w:ind w:firstLine="420" w:firstLineChars="200"/>
        <w:outlineLvl w:val="9"/>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rPr>
        <w:t>详见用户需求书</w:t>
      </w:r>
      <w:r>
        <w:rPr>
          <w:rFonts w:hint="eastAsia" w:ascii="宋体" w:hAnsi="宋体" w:eastAsia="宋体" w:cs="宋体"/>
          <w:color w:val="auto"/>
          <w:sz w:val="21"/>
          <w:szCs w:val="21"/>
          <w:highlight w:val="none"/>
          <w:lang w:eastAsia="zh-CN"/>
        </w:rPr>
        <w:t>。</w:t>
      </w:r>
    </w:p>
    <w:p w14:paraId="3616F1A9">
      <w:pPr>
        <w:adjustRightInd w:val="0"/>
        <w:snapToGrid w:val="0"/>
        <w:spacing w:line="360" w:lineRule="auto"/>
        <w:ind w:firstLine="422" w:firstLineChars="200"/>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9</w:t>
      </w:r>
      <w:r>
        <w:rPr>
          <w:rFonts w:hint="eastAsia" w:ascii="宋体" w:hAnsi="宋体" w:eastAsia="宋体" w:cs="宋体"/>
          <w:b/>
          <w:color w:val="auto"/>
          <w:sz w:val="21"/>
          <w:szCs w:val="21"/>
          <w:highlight w:val="none"/>
        </w:rPr>
        <w:t>、违约及赔偿责任</w:t>
      </w:r>
    </w:p>
    <w:p w14:paraId="597512C3">
      <w:pPr>
        <w:spacing w:line="360" w:lineRule="auto"/>
        <w:ind w:firstLine="420" w:firstLineChars="200"/>
        <w:outlineLvl w:val="9"/>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9.1因乙方原因提前终止合同的，乙方应</w:t>
      </w:r>
      <w:r>
        <w:rPr>
          <w:rFonts w:hint="eastAsia" w:ascii="宋体" w:hAnsi="宋体" w:eastAsia="宋体" w:cs="宋体"/>
          <w:color w:val="auto"/>
          <w:sz w:val="21"/>
          <w:szCs w:val="21"/>
          <w:highlight w:val="none"/>
          <w:lang w:val="en-US" w:eastAsia="zh-CN" w:bidi="ar"/>
        </w:rPr>
        <w:t>至少提前四个月向甲方提出书面申请，经甲方同意后方可退场</w:t>
      </w:r>
      <w:r>
        <w:rPr>
          <w:rFonts w:hint="eastAsia" w:ascii="宋体" w:hAnsi="宋体" w:cs="宋体"/>
          <w:color w:val="auto"/>
          <w:sz w:val="21"/>
          <w:szCs w:val="21"/>
          <w:highlight w:val="none"/>
          <w:lang w:val="en-US" w:eastAsia="zh-CN" w:bidi="ar"/>
        </w:rPr>
        <w:t>，甲方有权扣除履约保证金</w:t>
      </w:r>
      <w:r>
        <w:rPr>
          <w:rFonts w:hint="eastAsia" w:ascii="宋体" w:hAnsi="宋体" w:eastAsia="宋体" w:cs="宋体"/>
          <w:color w:val="auto"/>
          <w:sz w:val="21"/>
          <w:szCs w:val="21"/>
          <w:highlight w:val="none"/>
          <w:lang w:bidi="ar"/>
        </w:rPr>
        <w:t>。</w:t>
      </w:r>
    </w:p>
    <w:p w14:paraId="521C05FE">
      <w:pPr>
        <w:spacing w:line="360" w:lineRule="auto"/>
        <w:ind w:firstLine="420" w:firstLineChars="200"/>
        <w:outlineLvl w:val="9"/>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9.2乙方在接到甲方发出的违约通知后，应按通知要求交纳违约金；否则，甲方有权暂停合同价款支付或从乙方的合同价款中扣除相应的违约金。</w:t>
      </w:r>
    </w:p>
    <w:p w14:paraId="2E07324A">
      <w:pPr>
        <w:spacing w:line="360" w:lineRule="auto"/>
        <w:ind w:firstLine="420" w:firstLineChars="200"/>
        <w:outlineLvl w:val="9"/>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9.3乙方应以转账方式交纳违约金，甲方根据税法相关规定开具收款收据或增值税发票。</w:t>
      </w:r>
    </w:p>
    <w:p w14:paraId="4ADF0FDB">
      <w:pPr>
        <w:snapToGrid w:val="0"/>
        <w:spacing w:line="360" w:lineRule="auto"/>
        <w:ind w:firstLine="420" w:firstLineChars="200"/>
        <w:outlineLvl w:val="9"/>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9.4因乙方提供的发票导致甲方被税务部门追究相关法律责任的，乙方应承担由此给甲方造成的损失（包括但不限于未抵扣的税费、滞纳金）。</w:t>
      </w:r>
    </w:p>
    <w:p w14:paraId="5DF50840">
      <w:pPr>
        <w:snapToGrid w:val="0"/>
        <w:spacing w:line="360" w:lineRule="auto"/>
        <w:ind w:firstLine="420" w:firstLineChars="200"/>
        <w:outlineLvl w:val="9"/>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9.5因乙方提供的物资不符合国家规定的质量、卫生、安全标准导致食品/健康/卫生方面的安全或质量问题（包括不符合甲方要求或存在缺陷等），或因乙方货物引发食品/健康/卫生方面的安全或质量事故的，由乙方承担全部的经济和法律责任。</w:t>
      </w:r>
    </w:p>
    <w:p w14:paraId="427F8521">
      <w:pPr>
        <w:snapToGrid w:val="0"/>
        <w:spacing w:line="360" w:lineRule="auto"/>
        <w:ind w:firstLine="422" w:firstLineChars="200"/>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10、合同变更</w:t>
      </w:r>
    </w:p>
    <w:p w14:paraId="0CD67262">
      <w:pPr>
        <w:widowControl/>
        <w:snapToGrid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10.1双方经平等协商一致，可就本合同约定进行相应变更，但双方应签订相应书面补充协议。</w:t>
      </w:r>
    </w:p>
    <w:p w14:paraId="533B1B80">
      <w:pPr>
        <w:snapToGrid w:val="0"/>
        <w:spacing w:line="360" w:lineRule="auto"/>
        <w:ind w:firstLine="422" w:firstLineChars="200"/>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11、合同解除</w:t>
      </w:r>
    </w:p>
    <w:p w14:paraId="3CAE5E52">
      <w:pPr>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11.1出现下列情形之一，致使本合同的履行成为不必要或不可能的，可以解除本合同：</w:t>
      </w:r>
    </w:p>
    <w:p w14:paraId="496C3D43">
      <w:pPr>
        <w:snapToGrid w:val="0"/>
        <w:spacing w:line="360" w:lineRule="auto"/>
        <w:ind w:firstLine="420" w:firstLineChars="200"/>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（1）发生不可抗力。</w:t>
      </w:r>
    </w:p>
    <w:p w14:paraId="13F66549">
      <w:pPr>
        <w:snapToGrid w:val="0"/>
        <w:spacing w:line="360" w:lineRule="auto"/>
        <w:ind w:firstLine="420" w:firstLineChars="200"/>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（2）上级部门有重大决策或明确指示将项目取消的。</w:t>
      </w:r>
    </w:p>
    <w:p w14:paraId="3DB3B4B2">
      <w:pPr>
        <w:snapToGrid w:val="0"/>
        <w:spacing w:line="360" w:lineRule="auto"/>
        <w:ind w:firstLine="420" w:firstLineChars="200"/>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（3）乙方未经甲方书面同意，擅自委托其它任何第三方单位或人员代为履行本合同，将本合同项目转包、分包、转租或变相转包的、分包、转租，甲方有权解除合同。</w:t>
      </w:r>
    </w:p>
    <w:p w14:paraId="2B966DDC">
      <w:pPr>
        <w:snapToGrid w:val="0"/>
        <w:spacing w:line="360" w:lineRule="auto"/>
        <w:ind w:firstLine="420" w:firstLineChars="200"/>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（4）乙方人员利用工作之便收集或窃取甲方商业秘密和（或）对外透露，甲方有权解除合同。</w:t>
      </w:r>
    </w:p>
    <w:p w14:paraId="2B42AD40">
      <w:pPr>
        <w:snapToGrid w:val="0"/>
        <w:spacing w:line="360" w:lineRule="auto"/>
        <w:ind w:firstLine="420" w:firstLineChars="200"/>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（5）乙方服务的质量、响应等不到位，在甲方提出整改要求后乙方仍拒不配合落实或未按甲方要求落实，甲方有权解除合同。</w:t>
      </w:r>
    </w:p>
    <w:p w14:paraId="35BAE529">
      <w:pPr>
        <w:snapToGrid w:val="0"/>
        <w:spacing w:line="360" w:lineRule="auto"/>
        <w:ind w:firstLine="420" w:firstLineChars="200"/>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6</w:t>
      </w:r>
      <w:r>
        <w:rPr>
          <w:rFonts w:hint="eastAsia" w:ascii="宋体" w:hAnsi="宋体" w:eastAsia="宋体" w:cs="宋体"/>
          <w:color w:val="auto"/>
          <w:sz w:val="21"/>
          <w:szCs w:val="21"/>
          <w:highlight w:val="none"/>
          <w:u w:val="single"/>
        </w:rPr>
        <w:t>）用户需求书明确的解除合同的其他情形。</w:t>
      </w:r>
    </w:p>
    <w:p w14:paraId="5799A62D">
      <w:pPr>
        <w:widowControl/>
        <w:snapToGrid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乙方违反本合同约定，根据其违约情况，甲方有权决定解除部分或全部合同，并有权通过没收履约担保追究其违约责任；因乙方违约导致甲方解除部分合同的，甲方有权另行委托因部分解除合同而乙方未履行部分，乙方应承担甲方由此产生的费用并继续履行合同中未解除的部分。</w:t>
      </w:r>
    </w:p>
    <w:p w14:paraId="48452E69">
      <w:pPr>
        <w:widowControl/>
        <w:snapToGrid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11.3合同解除后，本合同约定的有关结算、争议解决方式的条款仍然有效。</w:t>
      </w:r>
    </w:p>
    <w:p w14:paraId="4852A6A9">
      <w:pPr>
        <w:snapToGrid w:val="0"/>
        <w:spacing w:line="360" w:lineRule="auto"/>
        <w:ind w:firstLine="422" w:firstLineChars="200"/>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12、合同终止</w:t>
      </w:r>
    </w:p>
    <w:p w14:paraId="187174C1">
      <w:pPr>
        <w:widowControl/>
        <w:snapToGrid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12.1甲方、乙方履行合同全部义务，本合同即告终止。</w:t>
      </w:r>
    </w:p>
    <w:p w14:paraId="7351D976">
      <w:pPr>
        <w:widowControl/>
        <w:snapToGrid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12.2合同的权利义务终止后，合同当事人应遵循诚实信用原则，履行通知、协助和保密等义务。</w:t>
      </w:r>
    </w:p>
    <w:p w14:paraId="38E44318">
      <w:pPr>
        <w:snapToGrid w:val="0"/>
        <w:spacing w:line="360" w:lineRule="auto"/>
        <w:ind w:firstLine="422" w:firstLineChars="200"/>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13、不可抗力</w:t>
      </w:r>
    </w:p>
    <w:p w14:paraId="798AFB4C">
      <w:pPr>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13.1不可抗力的确认</w:t>
      </w:r>
    </w:p>
    <w:p w14:paraId="0272F86D">
      <w:pPr>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不可抗力发生后，合同当事人应收集证明不可抗力发生及不可抗力造成损失的证据，并及时认真统计所造成的损失。合同当事人对是否属于不可抗力或其损失发生争议时，按“14、争议解决”的约定处理。</w:t>
      </w:r>
    </w:p>
    <w:p w14:paraId="10C4AC64">
      <w:pPr>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13.2不可抗力的通知</w:t>
      </w:r>
    </w:p>
    <w:p w14:paraId="25F04F54">
      <w:pPr>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合同一方当事人遇到不可抗力事件，使其履行合同义务受到阻碍时，应立即通知合同另一方当事人，书面说明不可抗力和受阻碍的详细情况，并在合理期限内提供必要的证明。</w:t>
      </w:r>
    </w:p>
    <w:p w14:paraId="0F35F159">
      <w:pPr>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不可抗力持续发生的，合同一方当事人应及时向合同另一方当事人提交中间报告，说明不可抗力和履行合同受阻的情况，并于不可抗力事件结束后28天内提交最终报告及有关资料。</w:t>
      </w:r>
    </w:p>
    <w:p w14:paraId="48500D7D">
      <w:pPr>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13.3不可抗力后果的承担</w:t>
      </w:r>
    </w:p>
    <w:p w14:paraId="3F7108A1">
      <w:pPr>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不可抗力引起的后果及造成的损失由合同当事人按照法律规定及合同约定各自承担。不可抗力发生前已完成的工作应当按照合同约定进行支付。</w:t>
      </w:r>
    </w:p>
    <w:p w14:paraId="4B7AA70D">
      <w:pPr>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不可抗力发生后，合同当事人均应采取措施尽量避免和减少损失的扩大，任何一方当事人没有采取有效措施导致损失扩大的，应对扩大的损失承担责任。</w:t>
      </w:r>
    </w:p>
    <w:p w14:paraId="37F10E34">
      <w:pPr>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因合同一方迟延履行合同义务，在迟延履行期间遭遇不可抗力的，不免除其违约责任。</w:t>
      </w:r>
    </w:p>
    <w:p w14:paraId="09A00B5D">
      <w:pPr>
        <w:snapToGrid w:val="0"/>
        <w:spacing w:line="360" w:lineRule="auto"/>
        <w:ind w:firstLine="422" w:firstLineChars="200"/>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14、争议解决</w:t>
      </w:r>
    </w:p>
    <w:p w14:paraId="3D0ABFD5">
      <w:pPr>
        <w:adjustRightInd w:val="0"/>
        <w:snapToGrid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本合同以及与本合同有关事项发生争议的，双方可以就争议自行和解或请求行政主管部门、行业协会或其他第三方进行调解。自行和解或经调解达成协议的，经签字并盖章后作为合同补充文件，双方均应遵照执行。若当事人不愿和解、调解或者和解、调解不成的，确定采取下列</w:t>
      </w:r>
      <w:r>
        <w:rPr>
          <w:rFonts w:hint="eastAsia" w:ascii="宋体" w:hAnsi="宋体" w:eastAsia="宋体" w:cs="宋体"/>
          <w:color w:val="auto"/>
          <w:sz w:val="21"/>
          <w:szCs w:val="21"/>
          <w:highlight w:val="none"/>
          <w:u w:val="single"/>
        </w:rPr>
        <w:t>第（2）种</w:t>
      </w:r>
      <w:r>
        <w:rPr>
          <w:rFonts w:hint="eastAsia" w:ascii="宋体" w:hAnsi="宋体" w:eastAsia="宋体" w:cs="宋体"/>
          <w:color w:val="auto"/>
          <w:sz w:val="21"/>
          <w:szCs w:val="21"/>
          <w:highlight w:val="none"/>
        </w:rPr>
        <w:t>方式解决：</w:t>
      </w:r>
    </w:p>
    <w:p w14:paraId="12774A05">
      <w:pPr>
        <w:adjustRightInd w:val="0"/>
        <w:snapToGrid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（1）向长沙仲裁委员会提请仲裁；</w:t>
      </w:r>
    </w:p>
    <w:p w14:paraId="760F4F94">
      <w:pPr>
        <w:widowControl/>
        <w:snapToGrid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u w:val="single"/>
        </w:rPr>
        <w:t>甲方所在地</w:t>
      </w:r>
      <w:r>
        <w:rPr>
          <w:rFonts w:hint="eastAsia" w:ascii="宋体" w:hAnsi="宋体" w:eastAsia="宋体" w:cs="宋体"/>
          <w:color w:val="auto"/>
          <w:sz w:val="21"/>
          <w:szCs w:val="21"/>
          <w:highlight w:val="none"/>
        </w:rPr>
        <w:t>人民法院提起诉讼。</w:t>
      </w:r>
    </w:p>
    <w:p w14:paraId="02A05FA2">
      <w:pPr>
        <w:numPr>
          <w:ilvl w:val="-1"/>
          <w:numId w:val="0"/>
        </w:numPr>
        <w:autoSpaceDE w:val="0"/>
        <w:autoSpaceDN w:val="0"/>
        <w:adjustRightInd w:val="0"/>
        <w:snapToGrid w:val="0"/>
        <w:spacing w:beforeLines="-2147483648" w:afterLines="-2147483648" w:line="360" w:lineRule="auto"/>
        <w:ind w:firstLine="422" w:firstLineChars="200"/>
        <w:jc w:val="left"/>
        <w:outlineLvl w:val="9"/>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lang w:val="en-US" w:eastAsia="zh-CN"/>
        </w:rPr>
        <w:t>合同附件</w:t>
      </w:r>
      <w:r>
        <w:rPr>
          <w:rFonts w:hint="eastAsia" w:ascii="宋体" w:hAnsi="宋体" w:eastAsia="宋体" w:cs="宋体"/>
          <w:b/>
          <w:color w:val="auto"/>
          <w:kern w:val="0"/>
          <w:sz w:val="21"/>
          <w:szCs w:val="21"/>
          <w:highlight w:val="none"/>
        </w:rPr>
        <w:t>：</w:t>
      </w:r>
    </w:p>
    <w:p w14:paraId="7E2DD27D">
      <w:pPr>
        <w:autoSpaceDE w:val="0"/>
        <w:autoSpaceDN w:val="0"/>
        <w:adjustRightInd w:val="0"/>
        <w:snapToGrid w:val="0"/>
        <w:spacing w:beforeLines="-2147483648" w:afterLines="-2147483648" w:line="360" w:lineRule="auto"/>
        <w:ind w:firstLine="420" w:firstLineChars="200"/>
        <w:jc w:val="left"/>
        <w:outlineLvl w:val="9"/>
        <w:rPr>
          <w:rFonts w:hint="eastAsia" w:ascii="宋体" w:hAnsi="宋体" w:eastAsia="宋体" w:cs="宋体"/>
          <w:b w:val="0"/>
          <w:bCs/>
          <w:color w:val="auto"/>
          <w:kern w:val="0"/>
          <w:sz w:val="21"/>
          <w:szCs w:val="21"/>
          <w:highlight w:val="none"/>
        </w:rPr>
      </w:pPr>
      <w:r>
        <w:rPr>
          <w:rFonts w:hint="eastAsia" w:ascii="宋体" w:hAnsi="宋体" w:eastAsia="宋体" w:cs="宋体"/>
          <w:b w:val="0"/>
          <w:bCs/>
          <w:snapToGrid/>
          <w:color w:val="auto"/>
          <w:kern w:val="0"/>
          <w:sz w:val="21"/>
          <w:szCs w:val="21"/>
          <w:highlight w:val="none"/>
          <w:lang w:val="en-US" w:eastAsia="zh-CN"/>
        </w:rPr>
        <w:t>1.《</w:t>
      </w:r>
      <w:r>
        <w:rPr>
          <w:rFonts w:hint="eastAsia" w:ascii="宋体" w:hAnsi="宋体" w:eastAsia="宋体" w:cs="宋体"/>
          <w:b w:val="0"/>
          <w:bCs/>
          <w:color w:val="auto"/>
          <w:kern w:val="0"/>
          <w:sz w:val="21"/>
          <w:szCs w:val="21"/>
          <w:highlight w:val="none"/>
        </w:rPr>
        <w:t>用户需求书</w:t>
      </w:r>
      <w:r>
        <w:rPr>
          <w:rFonts w:hint="eastAsia" w:ascii="宋体" w:hAnsi="宋体" w:eastAsia="宋体" w:cs="宋体"/>
          <w:b w:val="0"/>
          <w:bCs/>
          <w:color w:val="auto"/>
          <w:kern w:val="0"/>
          <w:sz w:val="21"/>
          <w:szCs w:val="21"/>
          <w:highlight w:val="none"/>
          <w:lang w:eastAsia="zh-CN"/>
        </w:rPr>
        <w:t>》</w:t>
      </w:r>
    </w:p>
    <w:p w14:paraId="062705E8">
      <w:pPr>
        <w:autoSpaceDE w:val="0"/>
        <w:autoSpaceDN w:val="0"/>
        <w:adjustRightInd w:val="0"/>
        <w:snapToGrid w:val="0"/>
        <w:spacing w:beforeLines="-2147483648" w:afterLines="-2147483648" w:line="360" w:lineRule="auto"/>
        <w:ind w:firstLine="420" w:firstLineChars="200"/>
        <w:jc w:val="left"/>
        <w:outlineLvl w:val="9"/>
        <w:rPr>
          <w:rFonts w:hint="eastAsia" w:ascii="宋体" w:hAnsi="宋体" w:eastAsia="宋体" w:cs="宋体"/>
          <w:b w:val="0"/>
          <w:bCs/>
          <w:color w:val="auto"/>
          <w:kern w:val="0"/>
          <w:sz w:val="21"/>
          <w:szCs w:val="21"/>
          <w:highlight w:val="none"/>
          <w:lang w:val="en-US" w:eastAsia="zh-CN"/>
        </w:rPr>
      </w:pPr>
      <w:r>
        <w:rPr>
          <w:rFonts w:hint="eastAsia" w:ascii="宋体" w:hAnsi="宋体" w:eastAsia="宋体" w:cs="宋体"/>
          <w:b w:val="0"/>
          <w:bCs/>
          <w:color w:val="auto"/>
          <w:kern w:val="0"/>
          <w:sz w:val="21"/>
          <w:szCs w:val="21"/>
          <w:highlight w:val="none"/>
          <w:lang w:val="en-US" w:eastAsia="zh-CN"/>
        </w:rPr>
        <w:t>2.《廉洁协议》</w:t>
      </w:r>
    </w:p>
    <w:p w14:paraId="1DDE87B3">
      <w:pPr>
        <w:autoSpaceDE w:val="0"/>
        <w:autoSpaceDN w:val="0"/>
        <w:adjustRightInd w:val="0"/>
        <w:snapToGrid w:val="0"/>
        <w:spacing w:line="360" w:lineRule="auto"/>
        <w:ind w:firstLine="420" w:firstLineChars="200"/>
        <w:jc w:val="left"/>
        <w:outlineLvl w:val="9"/>
        <w:rPr>
          <w:rFonts w:hint="eastAsia" w:ascii="宋体" w:hAnsi="宋体" w:eastAsia="宋体" w:cs="宋体"/>
          <w:b w:val="0"/>
          <w:bCs/>
          <w:color w:val="auto"/>
          <w:kern w:val="0"/>
          <w:sz w:val="21"/>
          <w:szCs w:val="21"/>
          <w:highlight w:val="none"/>
          <w:lang w:eastAsia="zh-CN"/>
        </w:rPr>
      </w:pPr>
      <w:r>
        <w:rPr>
          <w:rFonts w:hint="eastAsia" w:ascii="宋体" w:hAnsi="宋体" w:eastAsia="宋体" w:cs="宋体"/>
          <w:b w:val="0"/>
          <w:bCs/>
          <w:color w:val="auto"/>
          <w:kern w:val="0"/>
          <w:sz w:val="21"/>
          <w:szCs w:val="21"/>
          <w:highlight w:val="none"/>
          <w:lang w:val="en-US" w:eastAsia="zh-CN"/>
        </w:rPr>
        <w:t>3.《</w:t>
      </w:r>
      <w:r>
        <w:rPr>
          <w:rFonts w:hint="eastAsia" w:ascii="宋体" w:hAnsi="宋体" w:eastAsia="宋体" w:cs="宋体"/>
          <w:b w:val="0"/>
          <w:bCs/>
          <w:color w:val="auto"/>
          <w:kern w:val="0"/>
          <w:sz w:val="21"/>
          <w:szCs w:val="21"/>
          <w:highlight w:val="none"/>
        </w:rPr>
        <w:t>履约保函</w:t>
      </w:r>
      <w:r>
        <w:rPr>
          <w:rFonts w:hint="eastAsia" w:ascii="宋体" w:hAnsi="宋体" w:eastAsia="宋体" w:cs="宋体"/>
          <w:b w:val="0"/>
          <w:bCs/>
          <w:color w:val="auto"/>
          <w:kern w:val="0"/>
          <w:sz w:val="21"/>
          <w:szCs w:val="21"/>
          <w:highlight w:val="none"/>
          <w:lang w:eastAsia="zh-CN"/>
        </w:rPr>
        <w:t>》</w:t>
      </w:r>
    </w:p>
    <w:p w14:paraId="4467E73E">
      <w:pPr>
        <w:spacing w:line="360" w:lineRule="auto"/>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0F092F4B">
      <w:pPr>
        <w:spacing w:line="360" w:lineRule="auto"/>
        <w:jc w:val="left"/>
        <w:outlineLvl w:val="9"/>
        <w:rPr>
          <w:rFonts w:hint="eastAsia" w:ascii="黑体" w:hAnsi="黑体" w:eastAsia="黑体" w:cs="Times New Roman"/>
          <w:b/>
          <w:color w:val="auto"/>
          <w:sz w:val="36"/>
          <w:szCs w:val="36"/>
          <w:highlight w:val="none"/>
          <w:lang w:eastAsia="zh-CN"/>
        </w:rPr>
      </w:pPr>
      <w:r>
        <w:rPr>
          <w:rFonts w:hint="eastAsia" w:ascii="宋体" w:hAnsi="宋体" w:cs="宋体"/>
          <w:color w:val="auto"/>
          <w:sz w:val="21"/>
          <w:szCs w:val="21"/>
          <w:highlight w:val="none"/>
          <w:lang w:val="en-US" w:eastAsia="zh-CN"/>
        </w:rPr>
        <w:t>附件一：用户需求书</w:t>
      </w:r>
    </w:p>
    <w:p w14:paraId="67B1D85F">
      <w:pPr>
        <w:outlineLvl w:val="9"/>
        <w:rPr>
          <w:rFonts w:hint="eastAsia" w:ascii="宋体" w:hAnsi="宋体" w:eastAsia="宋体" w:cs="宋体"/>
          <w:b w:val="0"/>
          <w:snapToGrid/>
          <w:color w:val="auto"/>
          <w:kern w:val="2"/>
          <w:sz w:val="21"/>
          <w:szCs w:val="21"/>
          <w:highlight w:val="none"/>
          <w:lang w:val="en-US" w:eastAsia="zh-CN" w:bidi="ar-SA"/>
        </w:rPr>
      </w:pPr>
      <w:r>
        <w:rPr>
          <w:rFonts w:hint="eastAsia" w:ascii="宋体" w:hAnsi="宋体" w:eastAsia="宋体" w:cs="宋体"/>
          <w:b w:val="0"/>
          <w:snapToGrid/>
          <w:color w:val="auto"/>
          <w:kern w:val="2"/>
          <w:sz w:val="21"/>
          <w:szCs w:val="21"/>
          <w:highlight w:val="none"/>
          <w:lang w:val="en-US" w:eastAsia="zh-CN" w:bidi="ar-SA"/>
        </w:rPr>
        <w:br w:type="page"/>
      </w:r>
    </w:p>
    <w:p w14:paraId="17DCAF0A">
      <w:pPr>
        <w:spacing w:line="360" w:lineRule="auto"/>
        <w:outlineLvl w:val="9"/>
        <w:rPr>
          <w:rFonts w:hint="eastAsia" w:ascii="宋体" w:hAnsi="宋体" w:eastAsia="宋体" w:cs="宋体"/>
          <w:b w:val="0"/>
          <w:snapToGrid/>
          <w:color w:val="auto"/>
          <w:kern w:val="2"/>
          <w:sz w:val="21"/>
          <w:szCs w:val="21"/>
          <w:highlight w:val="none"/>
          <w:lang w:val="en-US" w:eastAsia="zh-CN" w:bidi="ar-SA"/>
        </w:rPr>
      </w:pPr>
      <w:r>
        <w:rPr>
          <w:rFonts w:hint="eastAsia" w:ascii="宋体" w:hAnsi="宋体" w:eastAsia="宋体" w:cs="宋体"/>
          <w:b w:val="0"/>
          <w:snapToGrid/>
          <w:color w:val="auto"/>
          <w:kern w:val="2"/>
          <w:sz w:val="21"/>
          <w:szCs w:val="21"/>
          <w:highlight w:val="none"/>
          <w:lang w:val="en-US" w:eastAsia="zh-CN" w:bidi="ar-SA"/>
        </w:rPr>
        <w:t>附件二：廉洁协议</w:t>
      </w:r>
    </w:p>
    <w:p w14:paraId="6310B204">
      <w:pPr>
        <w:spacing w:line="360" w:lineRule="auto"/>
        <w:ind w:firstLine="422" w:firstLineChars="200"/>
        <w:jc w:val="center"/>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廉 洁 协 议</w:t>
      </w:r>
    </w:p>
    <w:p w14:paraId="4756033B">
      <w:pPr>
        <w:spacing w:line="360" w:lineRule="auto"/>
        <w:ind w:firstLine="422" w:firstLineChars="200"/>
        <w:jc w:val="center"/>
        <w:outlineLvl w:val="9"/>
        <w:rPr>
          <w:rFonts w:hint="eastAsia" w:ascii="宋体" w:hAnsi="宋体" w:eastAsia="宋体" w:cs="宋体"/>
          <w:b/>
          <w:bCs/>
          <w:color w:val="auto"/>
          <w:sz w:val="21"/>
          <w:szCs w:val="21"/>
          <w:highlight w:val="none"/>
        </w:rPr>
      </w:pPr>
    </w:p>
    <w:p w14:paraId="415A4AEA">
      <w:pPr>
        <w:snapToGrid w:val="0"/>
        <w:spacing w:line="360" w:lineRule="auto"/>
        <w:ind w:firstLine="420" w:firstLineChars="20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甲方：长沙穗城轨道交通有限公司</w:t>
      </w:r>
    </w:p>
    <w:p w14:paraId="6AAB52CD">
      <w:pPr>
        <w:snapToGrid w:val="0"/>
        <w:spacing w:line="360" w:lineRule="auto"/>
        <w:ind w:firstLine="420" w:firstLineChars="200"/>
        <w:jc w:val="left"/>
        <w:outlineLvl w:val="9"/>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乙方：</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p>
    <w:p w14:paraId="4ACEA9E8">
      <w:pPr>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根据国家法律、法规以及有关廉政建设的规定，为做好合同执行过程中党风廉政建设，保证建设及运营资金的安全和有效使用及投资效益，甲、乙双方特订立如下廉政协议：</w:t>
      </w:r>
    </w:p>
    <w:p w14:paraId="79B5FC1E">
      <w:pPr>
        <w:spacing w:line="360" w:lineRule="auto"/>
        <w:ind w:firstLine="422" w:firstLineChars="200"/>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第一条 共同责任</w:t>
      </w:r>
    </w:p>
    <w:p w14:paraId="0CFE50CD">
      <w:pPr>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（一）严格遵守党和国家有关法律法规及湖南省、长沙市的相关规定。</w:t>
      </w:r>
    </w:p>
    <w:p w14:paraId="250190D9">
      <w:pPr>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（二）严格执行《</w:t>
      </w:r>
      <w:r>
        <w:rPr>
          <w:rFonts w:hint="eastAsia" w:ascii="宋体" w:hAnsi="宋体" w:eastAsia="宋体" w:cs="宋体"/>
          <w:color w:val="auto"/>
          <w:sz w:val="21"/>
          <w:szCs w:val="21"/>
          <w:highlight w:val="none"/>
          <w:u w:val="none"/>
        </w:rPr>
        <w:t>2024-2025年员工食堂物资供应项目合同（生鲜类）</w:t>
      </w:r>
      <w:r>
        <w:rPr>
          <w:rFonts w:hint="eastAsia" w:ascii="宋体" w:hAnsi="宋体" w:eastAsia="宋体" w:cs="宋体"/>
          <w:color w:val="auto"/>
          <w:sz w:val="21"/>
          <w:szCs w:val="21"/>
          <w:highlight w:val="none"/>
        </w:rPr>
        <w:t>》（以下简称主合同）的合同文件，自觉履行合同约定的相关义务。</w:t>
      </w:r>
    </w:p>
    <w:p w14:paraId="0AE6A5F6">
      <w:pPr>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（三）双方的业务活动坚持公开、公正、诚信、透明的原则（除法律认定的商业秘密和合同文件另有规定外），不得损害国家和集体利益，违反工程建设规章制度。</w:t>
      </w:r>
    </w:p>
    <w:p w14:paraId="6A79081D">
      <w:pPr>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（四）建立健全廉政制度，开展廉政教育，设立廉政告示牌，公布举报电话，监督并认真查处违法违纪行为。</w:t>
      </w:r>
    </w:p>
    <w:p w14:paraId="4DC379B6">
      <w:pPr>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（五）发现对方在业务活动中有违反廉政规定的行为，有及时提醒对方纠正的权利和义务。</w:t>
      </w:r>
    </w:p>
    <w:p w14:paraId="36287CD5">
      <w:pPr>
        <w:spacing w:line="360" w:lineRule="auto"/>
        <w:ind w:firstLine="422" w:firstLineChars="200"/>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第二条 共同权利</w:t>
      </w:r>
    </w:p>
    <w:p w14:paraId="09E36531">
      <w:pPr>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发现对方严重违反本协议义务条款的行为，有向其上级有关部门举报、建议给予处理并有权要求告知处理结果的权利。</w:t>
      </w:r>
    </w:p>
    <w:p w14:paraId="4B6F7FAC">
      <w:pPr>
        <w:spacing w:line="360" w:lineRule="auto"/>
        <w:ind w:firstLine="422" w:firstLineChars="200"/>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第三条 甲方的义务</w:t>
      </w:r>
    </w:p>
    <w:p w14:paraId="7A2BC854">
      <w:pPr>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（一）甲方及其工作人员不得索要或接受乙方的礼金、有价证券和贵重物品。</w:t>
      </w:r>
    </w:p>
    <w:p w14:paraId="2501F36E">
      <w:pPr>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（二）甲方及其工作人员不得在乙方报销任何应由甲方或个人支付的费用等。</w:t>
      </w:r>
    </w:p>
    <w:p w14:paraId="6416CCDC">
      <w:pPr>
        <w:spacing w:line="360" w:lineRule="auto"/>
        <w:ind w:left="15" w:leftChars="7"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（三）甲方及其工作人员不得参加乙方安排的超标准宴请和娱乐活动。</w:t>
      </w:r>
    </w:p>
    <w:p w14:paraId="5A82A6DB">
      <w:pPr>
        <w:spacing w:line="360" w:lineRule="auto"/>
        <w:ind w:left="15" w:leftChars="7"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（四）甲方及其工作人员不得接受乙方提供的通讯工具、交通工具和高档办公用品等。</w:t>
      </w:r>
    </w:p>
    <w:p w14:paraId="3B7C2524">
      <w:pPr>
        <w:spacing w:line="360" w:lineRule="auto"/>
        <w:ind w:left="15" w:leftChars="7"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（五）甲方及其工作人员不得要求或者接受乙方为其住房装修、婚丧嫁娶活动、配偶子女的工作安排以及出国出境、旅游等提供方便等。</w:t>
      </w:r>
    </w:p>
    <w:p w14:paraId="678B9776">
      <w:pPr>
        <w:spacing w:line="360" w:lineRule="auto"/>
        <w:ind w:left="15" w:leftChars="7"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（六）甲方及其工作人员不得有违反法律、法规、廉洁从业规定的其他行为。</w:t>
      </w:r>
    </w:p>
    <w:p w14:paraId="58179997">
      <w:pPr>
        <w:spacing w:line="360" w:lineRule="auto"/>
        <w:ind w:firstLine="422" w:firstLineChars="200"/>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第四条 乙方的义务</w:t>
      </w:r>
    </w:p>
    <w:p w14:paraId="23B868FB">
      <w:pPr>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（一）乙方不得以任何理由向甲方及其工作人员行贿或馈赠礼金、有价证券、贵重礼品。</w:t>
      </w:r>
    </w:p>
    <w:p w14:paraId="360A5C8D">
      <w:pPr>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（二）乙方不得以任何名义为甲方及其工作人员报销应由甲方单位或个人支付的任何费用。</w:t>
      </w:r>
    </w:p>
    <w:p w14:paraId="608C30EC">
      <w:pPr>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（三）乙方不得以任何理由安排甲方工作人员参加超标准宴请、健身及娱乐活动。</w:t>
      </w:r>
    </w:p>
    <w:p w14:paraId="1A7718DC">
      <w:pPr>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（四）乙方不得为甲方及其工作人员购置或提供通讯工具、交通工具和高档办公用品等。</w:t>
      </w:r>
    </w:p>
    <w:p w14:paraId="18DC8692">
      <w:pPr>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（五）乙方不得为甲方及其工作人员住房装修、婚丧嫁娶活动、配偶子女的工作安排以及出国出境、旅游等提供方便等。</w:t>
      </w:r>
    </w:p>
    <w:p w14:paraId="2578EE77">
      <w:pPr>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（六）乙方不得有违反法律、法规、廉洁从业规定的其他行为。</w:t>
      </w:r>
    </w:p>
    <w:p w14:paraId="05253E78">
      <w:pPr>
        <w:spacing w:line="360" w:lineRule="auto"/>
        <w:ind w:firstLine="422" w:firstLineChars="200"/>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第五条 违约责任</w:t>
      </w:r>
    </w:p>
    <w:p w14:paraId="029792F4">
      <w:pPr>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（一）甲方及其工作人员违反本协议，视情节轻重按管理权限，依据有关规定给予党纪、政纪或组织处理，调离其工作岗位；涉嫌犯罪的，移交司法机关追究刑事责任；给乙方造成经济损失的，应予以赔偿。</w:t>
      </w:r>
    </w:p>
    <w:p w14:paraId="1F299A26">
      <w:pPr>
        <w:snapToGrid w:val="0"/>
        <w:spacing w:line="360" w:lineRule="auto"/>
        <w:ind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乙方及其工作人员违反本协议，视情节轻重按管理权限，依据有关规定，给予党纪、政纪或组织处理；给甲方单位造成经济损失的，应予以赔偿；情节严重的，甲方可以单方面解除与乙方的合同，并给予乙方两年内不得对甲方组织的项目进行投标的处罚。</w:t>
      </w:r>
    </w:p>
    <w:p w14:paraId="39356DEC">
      <w:pPr>
        <w:spacing w:line="360" w:lineRule="auto"/>
        <w:ind w:firstLine="422" w:firstLineChars="200"/>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第六条 </w:t>
      </w:r>
      <w:r>
        <w:rPr>
          <w:rFonts w:hint="eastAsia" w:ascii="宋体" w:hAnsi="宋体" w:eastAsia="宋体" w:cs="宋体"/>
          <w:color w:val="auto"/>
          <w:sz w:val="21"/>
          <w:szCs w:val="21"/>
          <w:highlight w:val="none"/>
        </w:rPr>
        <w:t>双方约定：本合同由双方或双方上级单位的纪检监察机关负责监督执行。由甲方或甲方上级单位的纪检监察机关约请乙方或乙方上级单位纪检监察机关对本合同执行情况进行检查；提出在本合同约定范围内的裁定意见。</w:t>
      </w:r>
    </w:p>
    <w:p w14:paraId="6D08901F">
      <w:pPr>
        <w:spacing w:line="360" w:lineRule="auto"/>
        <w:ind w:firstLine="413" w:firstLineChars="196"/>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第七条</w:t>
      </w:r>
      <w:r>
        <w:rPr>
          <w:rFonts w:hint="eastAsia" w:ascii="宋体" w:hAnsi="宋体" w:eastAsia="宋体" w:cs="宋体"/>
          <w:color w:val="auto"/>
          <w:sz w:val="21"/>
          <w:szCs w:val="21"/>
          <w:highlight w:val="none"/>
        </w:rPr>
        <w:t xml:space="preserve"> 本协议有效期为甲乙双方签署之日起至主合同完全履行完毕之日止。  </w:t>
      </w:r>
    </w:p>
    <w:p w14:paraId="45F6ECF7">
      <w:pPr>
        <w:spacing w:line="360" w:lineRule="auto"/>
        <w:ind w:firstLine="413" w:firstLineChars="196"/>
        <w:outlineLvl w:val="9"/>
        <w:rPr>
          <w:rFonts w:hint="eastAsia" w:ascii="宋体" w:hAnsi="宋体" w:eastAsia="宋体" w:cs="宋体"/>
          <w:color w:val="auto"/>
          <w:sz w:val="21"/>
          <w:szCs w:val="21"/>
          <w:highlight w:val="none"/>
          <w:u w:val="single"/>
        </w:rPr>
      </w:pPr>
      <w:r>
        <w:rPr>
          <w:rFonts w:hint="eastAsia" w:ascii="宋体" w:hAnsi="宋体" w:eastAsia="宋体" w:cs="宋体"/>
          <w:b/>
          <w:bCs/>
          <w:color w:val="auto"/>
          <w:sz w:val="21"/>
          <w:szCs w:val="21"/>
          <w:highlight w:val="none"/>
        </w:rPr>
        <w:t>第八条</w:t>
      </w:r>
      <w:r>
        <w:rPr>
          <w:rFonts w:hint="eastAsia" w:ascii="宋体" w:hAnsi="宋体" w:eastAsia="宋体" w:cs="宋体"/>
          <w:color w:val="auto"/>
          <w:sz w:val="21"/>
          <w:szCs w:val="21"/>
          <w:highlight w:val="none"/>
        </w:rPr>
        <w:t xml:space="preserve"> 本协议作为主合同的附件，与主合同具有同等的法律效力，经合同双方签署立即生效。</w:t>
      </w:r>
    </w:p>
    <w:p w14:paraId="42D762A9">
      <w:pPr>
        <w:spacing w:line="360" w:lineRule="auto"/>
        <w:outlineLvl w:val="9"/>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kern w:val="0"/>
          <w:sz w:val="21"/>
          <w:szCs w:val="21"/>
          <w:highlight w:val="none"/>
        </w:rPr>
        <w:br w:type="page"/>
      </w:r>
    </w:p>
    <w:p w14:paraId="5AA84DD0">
      <w:pPr>
        <w:spacing w:line="360" w:lineRule="auto"/>
        <w:outlineLvl w:val="9"/>
        <w:rPr>
          <w:rFonts w:hint="eastAsia" w:ascii="宋体" w:hAnsi="宋体" w:eastAsia="宋体" w:cs="宋体"/>
          <w:snapToGrid/>
          <w:color w:val="auto"/>
          <w:kern w:val="2"/>
          <w:sz w:val="21"/>
          <w:szCs w:val="21"/>
          <w:highlight w:val="none"/>
          <w:lang w:val="en-US" w:eastAsia="zh-CN"/>
        </w:rPr>
      </w:pPr>
      <w:r>
        <w:rPr>
          <w:rFonts w:hint="eastAsia" w:ascii="宋体" w:hAnsi="宋体" w:eastAsia="宋体" w:cs="宋体"/>
          <w:snapToGrid/>
          <w:color w:val="auto"/>
          <w:kern w:val="2"/>
          <w:sz w:val="21"/>
          <w:szCs w:val="21"/>
          <w:highlight w:val="none"/>
          <w:lang w:val="en-US" w:eastAsia="zh-CN"/>
        </w:rPr>
        <w:t>附件三：</w:t>
      </w:r>
      <w:r>
        <w:rPr>
          <w:rFonts w:hint="eastAsia" w:ascii="宋体" w:hAnsi="宋体" w:eastAsia="宋体" w:cs="宋体"/>
          <w:snapToGrid/>
          <w:color w:val="auto"/>
          <w:kern w:val="2"/>
          <w:sz w:val="21"/>
          <w:szCs w:val="21"/>
          <w:highlight w:val="none"/>
        </w:rPr>
        <w:t>履约保函</w:t>
      </w:r>
    </w:p>
    <w:p w14:paraId="09E0172E">
      <w:pPr>
        <w:spacing w:line="360" w:lineRule="auto"/>
        <w:jc w:val="center"/>
        <w:outlineLvl w:val="9"/>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履约保函</w:t>
      </w:r>
    </w:p>
    <w:p w14:paraId="644EF26A">
      <w:pPr>
        <w:tabs>
          <w:tab w:val="left" w:pos="8364"/>
        </w:tabs>
        <w:snapToGrid w:val="0"/>
        <w:spacing w:line="360" w:lineRule="auto"/>
        <w:ind w:right="-58"/>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（合同签订之日起六十天内开具）</w:t>
      </w:r>
    </w:p>
    <w:p w14:paraId="0174DDE8">
      <w:pPr>
        <w:tabs>
          <w:tab w:val="left" w:pos="8364"/>
        </w:tabs>
        <w:snapToGrid w:val="0"/>
        <w:spacing w:line="360" w:lineRule="auto"/>
        <w:ind w:right="-58"/>
        <w:jc w:val="center"/>
        <w:outlineLvl w:val="9"/>
        <w:rPr>
          <w:rFonts w:hint="eastAsia" w:ascii="宋体" w:hAnsi="宋体" w:eastAsia="宋体" w:cs="宋体"/>
          <w:color w:val="auto"/>
          <w:sz w:val="21"/>
          <w:szCs w:val="21"/>
          <w:highlight w:val="none"/>
        </w:rPr>
      </w:pPr>
    </w:p>
    <w:p w14:paraId="43D15DFC">
      <w:pPr>
        <w:tabs>
          <w:tab w:val="left" w:pos="8364"/>
        </w:tabs>
        <w:snapToGrid w:val="0"/>
        <w:spacing w:line="360" w:lineRule="auto"/>
        <w:ind w:right="-5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开证日期：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银行保函编号：</w:t>
      </w:r>
      <w:r>
        <w:rPr>
          <w:rFonts w:hint="eastAsia" w:ascii="宋体" w:hAnsi="宋体" w:eastAsia="宋体" w:cs="宋体"/>
          <w:color w:val="auto"/>
          <w:sz w:val="21"/>
          <w:szCs w:val="21"/>
          <w:highlight w:val="none"/>
          <w:u w:val="single"/>
        </w:rPr>
        <w:t xml:space="preserve">        </w:t>
      </w:r>
    </w:p>
    <w:p w14:paraId="0F183AF9">
      <w:pPr>
        <w:tabs>
          <w:tab w:val="left" w:pos="8364"/>
        </w:tabs>
        <w:snapToGrid w:val="0"/>
        <w:spacing w:line="360" w:lineRule="auto"/>
        <w:ind w:right="-5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致：长沙穗城轨道交通有限公司</w:t>
      </w:r>
    </w:p>
    <w:p w14:paraId="2DAD98FC">
      <w:pPr>
        <w:tabs>
          <w:tab w:val="left" w:pos="8364"/>
        </w:tabs>
        <w:snapToGrid w:val="0"/>
        <w:spacing w:line="360" w:lineRule="auto"/>
        <w:ind w:right="-58"/>
        <w:jc w:val="center"/>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合同履约保函</w:t>
      </w:r>
    </w:p>
    <w:p w14:paraId="3D07B0F4">
      <w:pPr>
        <w:tabs>
          <w:tab w:val="left" w:pos="8364"/>
        </w:tabs>
        <w:snapToGrid w:val="0"/>
        <w:spacing w:line="360" w:lineRule="auto"/>
        <w:ind w:right="-58" w:firstLine="555"/>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本保函作为贵方与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（乙方名称、地址、以下简称乙方）于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日签订的合同金额为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（货币名称）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元（货币数量、大小写）合同号为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的               合同（以下简称合同）的履约保函。</w:t>
      </w:r>
    </w:p>
    <w:p w14:paraId="6D1B0741">
      <w:pPr>
        <w:tabs>
          <w:tab w:val="left" w:pos="8364"/>
        </w:tabs>
        <w:snapToGrid w:val="0"/>
        <w:spacing w:line="360" w:lineRule="auto"/>
        <w:ind w:right="-5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注册于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（银行地址）的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银行（以下简称本行）无条件地、不可撤销地具结保证本行、其继承人和受让人无追索地向贵方以</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（货币名称）支付总额不超过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元（货币数量、大小写）的金额，即相当于合同价格的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946CF3F">
      <w:pPr>
        <w:tabs>
          <w:tab w:val="left" w:pos="8364"/>
        </w:tabs>
        <w:snapToGrid w:val="0"/>
        <w:spacing w:line="360" w:lineRule="auto"/>
        <w:ind w:right="-5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并以此约定如下：</w:t>
      </w:r>
    </w:p>
    <w:p w14:paraId="49DDDF3E">
      <w:pPr>
        <w:numPr>
          <w:ilvl w:val="0"/>
          <w:numId w:val="12"/>
        </w:numPr>
        <w:tabs>
          <w:tab w:val="left" w:pos="720"/>
          <w:tab w:val="clear" w:pos="600"/>
        </w:tabs>
        <w:snapToGrid w:val="0"/>
        <w:spacing w:line="360" w:lineRule="auto"/>
        <w:ind w:right="-5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未能忠实地履行所有合同文件的规定和双方此后一致同意的修改、补充和变动，包括更换或修补贵方认为有缺陷的货物（以下简称违约），只要贵方确定，无论乙方有任何反对，本行将凭贵方的书面违约通知，立即按贵方提出的不超过上述累计总额的金额和按该通知中规定的方式付给贵方；</w:t>
      </w:r>
    </w:p>
    <w:p w14:paraId="777664B3">
      <w:pPr>
        <w:numPr>
          <w:ilvl w:val="0"/>
          <w:numId w:val="12"/>
        </w:numPr>
        <w:tabs>
          <w:tab w:val="left" w:pos="720"/>
          <w:tab w:val="clear" w:pos="600"/>
        </w:tabs>
        <w:snapToGrid w:val="0"/>
        <w:spacing w:line="360" w:lineRule="auto"/>
        <w:ind w:right="-5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本保函项下的任何支付应为免税和净值，无论任何人以何种理由提出扣减现有或未来的税费、关税、费用或扣款，均不能从本保函中扣除；</w:t>
      </w:r>
    </w:p>
    <w:p w14:paraId="32D09EF6">
      <w:pPr>
        <w:numPr>
          <w:ilvl w:val="0"/>
          <w:numId w:val="12"/>
        </w:numPr>
        <w:tabs>
          <w:tab w:val="left" w:pos="720"/>
          <w:tab w:val="clear" w:pos="600"/>
        </w:tabs>
        <w:snapToGrid w:val="0"/>
        <w:spacing w:line="360" w:lineRule="auto"/>
        <w:ind w:right="1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保函的规定构成本行无条件的、不可撤销的直接义务。今后任何对合同条款的修改、贵方在时间上的通融、其他宽容、让步或由贵方采取的除了本款以外都适用的可能免除本行责任的任何删除或其他行为，均不能解除或免除本行在本保证函项下的责任；</w:t>
      </w:r>
    </w:p>
    <w:p w14:paraId="09BBC176">
      <w:pPr>
        <w:numPr>
          <w:ilvl w:val="0"/>
          <w:numId w:val="12"/>
        </w:numPr>
        <w:tabs>
          <w:tab w:val="left" w:pos="720"/>
          <w:tab w:val="clear" w:pos="600"/>
        </w:tabs>
        <w:snapToGrid w:val="0"/>
        <w:spacing w:line="360" w:lineRule="auto"/>
        <w:ind w:right="1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本保函在出证行代表签字和加盖公章后生效，</w:t>
      </w:r>
      <w:r>
        <w:rPr>
          <w:rFonts w:hint="eastAsia" w:ascii="宋体" w:hAnsi="宋体" w:eastAsia="宋体" w:cs="宋体"/>
          <w:color w:val="auto"/>
          <w:sz w:val="21"/>
          <w:szCs w:val="21"/>
          <w:highlight w:val="none"/>
          <w:shd w:val="clear" w:color="auto" w:fill="FFFFFF"/>
        </w:rPr>
        <w:t>本保函的有效期及担保期限最晚不超过</w:t>
      </w:r>
      <w:r>
        <w:rPr>
          <w:rFonts w:hint="eastAsia" w:ascii="宋体" w:hAnsi="宋体" w:eastAsia="宋体" w:cs="宋体"/>
          <w:color w:val="auto"/>
          <w:sz w:val="21"/>
          <w:szCs w:val="21"/>
          <w:highlight w:val="none"/>
          <w:u w:val="single"/>
          <w:shd w:val="clear" w:color="auto" w:fill="FFFFFF"/>
        </w:rPr>
        <w:t xml:space="preserve">      </w:t>
      </w:r>
      <w:r>
        <w:rPr>
          <w:rFonts w:hint="eastAsia" w:ascii="宋体" w:hAnsi="宋体" w:eastAsia="宋体" w:cs="宋体"/>
          <w:color w:val="auto"/>
          <w:sz w:val="21"/>
          <w:szCs w:val="21"/>
          <w:highlight w:val="none"/>
          <w:shd w:val="clear" w:color="auto" w:fill="FFFFFF"/>
        </w:rPr>
        <w:t>年</w:t>
      </w:r>
      <w:r>
        <w:rPr>
          <w:rFonts w:hint="eastAsia" w:ascii="宋体" w:hAnsi="宋体" w:eastAsia="宋体" w:cs="宋体"/>
          <w:color w:val="auto"/>
          <w:sz w:val="21"/>
          <w:szCs w:val="21"/>
          <w:highlight w:val="none"/>
          <w:u w:val="single"/>
          <w:shd w:val="clear" w:color="auto" w:fill="FFFFFF"/>
        </w:rPr>
        <w:t xml:space="preserve">    </w:t>
      </w:r>
      <w:r>
        <w:rPr>
          <w:rFonts w:hint="eastAsia" w:ascii="宋体" w:hAnsi="宋体" w:eastAsia="宋体" w:cs="宋体"/>
          <w:color w:val="auto"/>
          <w:sz w:val="21"/>
          <w:szCs w:val="21"/>
          <w:highlight w:val="none"/>
          <w:shd w:val="clear" w:color="auto" w:fill="FFFFFF"/>
        </w:rPr>
        <w:t>月</w:t>
      </w:r>
      <w:r>
        <w:rPr>
          <w:rFonts w:hint="eastAsia" w:ascii="宋体" w:hAnsi="宋体" w:eastAsia="宋体" w:cs="宋体"/>
          <w:color w:val="auto"/>
          <w:sz w:val="21"/>
          <w:szCs w:val="21"/>
          <w:highlight w:val="none"/>
          <w:u w:val="single"/>
          <w:shd w:val="clear" w:color="auto" w:fill="FFFFFF"/>
        </w:rPr>
        <w:t xml:space="preserve">    </w:t>
      </w:r>
      <w:r>
        <w:rPr>
          <w:rFonts w:hint="eastAsia" w:ascii="宋体" w:hAnsi="宋体" w:eastAsia="宋体" w:cs="宋体"/>
          <w:color w:val="auto"/>
          <w:sz w:val="21"/>
          <w:szCs w:val="21"/>
          <w:highlight w:val="none"/>
          <w:shd w:val="clear" w:color="auto" w:fill="FFFFFF"/>
        </w:rPr>
        <w:t>日</w:t>
      </w:r>
      <w:r>
        <w:rPr>
          <w:rFonts w:hint="eastAsia" w:ascii="宋体" w:hAnsi="宋体" w:eastAsia="宋体" w:cs="宋体"/>
          <w:color w:val="auto"/>
          <w:sz w:val="21"/>
          <w:szCs w:val="21"/>
          <w:highlight w:val="none"/>
        </w:rPr>
        <w:t>。如需延长有效期，只须乙方在本保函到期前书面通知我行即可。</w:t>
      </w:r>
    </w:p>
    <w:p w14:paraId="032311CC">
      <w:pPr>
        <w:tabs>
          <w:tab w:val="left" w:pos="720"/>
        </w:tabs>
        <w:snapToGrid w:val="0"/>
        <w:spacing w:line="360" w:lineRule="auto"/>
        <w:ind w:left="564" w:right="1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本保函的验证行为甲方指定的银行。</w:t>
      </w:r>
    </w:p>
    <w:p w14:paraId="122C10CC">
      <w:pPr>
        <w:tabs>
          <w:tab w:val="left" w:pos="720"/>
        </w:tabs>
        <w:snapToGrid w:val="0"/>
        <w:spacing w:line="360" w:lineRule="auto"/>
        <w:ind w:right="18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谨启</w:t>
      </w:r>
    </w:p>
    <w:p w14:paraId="3545EFC5">
      <w:pPr>
        <w:tabs>
          <w:tab w:val="left" w:pos="8364"/>
        </w:tabs>
        <w:snapToGrid w:val="0"/>
        <w:spacing w:line="360" w:lineRule="auto"/>
        <w:ind w:right="-58"/>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出证行名称：</w:t>
      </w:r>
      <w:r>
        <w:rPr>
          <w:rFonts w:hint="eastAsia" w:ascii="宋体" w:hAnsi="宋体" w:eastAsia="宋体" w:cs="宋体"/>
          <w:color w:val="auto"/>
          <w:sz w:val="21"/>
          <w:szCs w:val="21"/>
          <w:highlight w:val="none"/>
          <w:u w:val="single"/>
        </w:rPr>
        <w:t xml:space="preserve">                           </w:t>
      </w:r>
    </w:p>
    <w:p w14:paraId="3CE77B98">
      <w:pPr>
        <w:tabs>
          <w:tab w:val="left" w:pos="8364"/>
        </w:tabs>
        <w:snapToGrid w:val="0"/>
        <w:spacing w:line="360" w:lineRule="auto"/>
        <w:ind w:right="-58"/>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签字人姓名和职务：</w:t>
      </w:r>
      <w:r>
        <w:rPr>
          <w:rFonts w:hint="eastAsia" w:ascii="宋体" w:hAnsi="宋体" w:eastAsia="宋体" w:cs="宋体"/>
          <w:color w:val="auto"/>
          <w:sz w:val="21"/>
          <w:szCs w:val="21"/>
          <w:highlight w:val="none"/>
          <w:u w:val="single"/>
        </w:rPr>
        <w:t xml:space="preserve">                     </w:t>
      </w:r>
    </w:p>
    <w:p w14:paraId="3DF012D0">
      <w:pPr>
        <w:tabs>
          <w:tab w:val="left" w:pos="8364"/>
        </w:tabs>
        <w:snapToGrid w:val="0"/>
        <w:spacing w:line="360" w:lineRule="auto"/>
        <w:ind w:right="-58"/>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签字：</w:t>
      </w:r>
      <w:r>
        <w:rPr>
          <w:rFonts w:hint="eastAsia" w:ascii="宋体" w:hAnsi="宋体" w:eastAsia="宋体" w:cs="宋体"/>
          <w:color w:val="auto"/>
          <w:sz w:val="21"/>
          <w:szCs w:val="21"/>
          <w:highlight w:val="none"/>
          <w:u w:val="single"/>
        </w:rPr>
        <w:t xml:space="preserve">                                 </w:t>
      </w:r>
    </w:p>
    <w:p w14:paraId="337C4EA4">
      <w:pPr>
        <w:tabs>
          <w:tab w:val="left" w:pos="8364"/>
        </w:tabs>
        <w:snapToGrid w:val="0"/>
        <w:spacing w:line="360" w:lineRule="auto"/>
        <w:ind w:right="-58"/>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公章或业务专用章：</w:t>
      </w:r>
      <w:r>
        <w:rPr>
          <w:rFonts w:hint="eastAsia" w:ascii="宋体" w:hAnsi="宋体" w:eastAsia="宋体" w:cs="宋体"/>
          <w:color w:val="auto"/>
          <w:sz w:val="21"/>
          <w:szCs w:val="21"/>
          <w:highlight w:val="none"/>
          <w:u w:val="single"/>
        </w:rPr>
        <w:t xml:space="preserve">                      </w:t>
      </w:r>
    </w:p>
    <w:p w14:paraId="5EA20A27">
      <w:pPr>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r>
    </w:p>
    <w:p w14:paraId="641A851D">
      <w:pPr>
        <w:pStyle w:val="3"/>
        <w:wordWrap w:val="0"/>
        <w:spacing w:line="360" w:lineRule="auto"/>
        <w:ind w:left="0" w:leftChars="0" w:right="0" w:rightChars="0" w:firstLine="0" w:firstLineChars="0"/>
        <w:jc w:val="center"/>
        <w:rPr>
          <w:rFonts w:hint="default" w:hAnsi="黑体" w:cs="Times New Roman"/>
          <w:color w:val="auto"/>
          <w:sz w:val="44"/>
          <w:szCs w:val="44"/>
          <w:highlight w:val="none"/>
          <w:lang w:val="en-US" w:eastAsia="zh-CN"/>
        </w:rPr>
      </w:pPr>
      <w:bookmarkStart w:id="50" w:name="_Toc20358"/>
      <w:bookmarkStart w:id="51" w:name="_Toc15516"/>
      <w:bookmarkStart w:id="52" w:name="_Toc32506"/>
      <w:r>
        <w:rPr>
          <w:rFonts w:hint="eastAsia" w:hAnsi="黑体" w:cs="Times New Roman"/>
          <w:color w:val="auto"/>
          <w:sz w:val="44"/>
          <w:szCs w:val="44"/>
          <w:highlight w:val="none"/>
          <w:lang w:val="en-US" w:eastAsia="zh-CN"/>
        </w:rPr>
        <w:t>第五章 用户需求书</w:t>
      </w:r>
      <w:bookmarkEnd w:id="50"/>
    </w:p>
    <w:p w14:paraId="42981738">
      <w:pPr>
        <w:keepNext w:val="0"/>
        <w:keepLines w:val="0"/>
        <w:widowControl/>
        <w:suppressLineNumbers w:val="0"/>
        <w:ind w:firstLine="422" w:firstLineChars="20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一、项目概况</w:t>
      </w:r>
    </w:p>
    <w:p w14:paraId="7B878867">
      <w:pPr>
        <w:keepNext w:val="0"/>
        <w:keepLines w:val="0"/>
        <w:pageBreakBefore w:val="0"/>
        <w:kinsoku/>
        <w:wordWrap/>
        <w:overflowPunct/>
        <w:topLinePunct w:val="0"/>
        <w:bidi w:val="0"/>
        <w:spacing w:line="440" w:lineRule="exact"/>
        <w:ind w:firstLine="420" w:firstLineChars="200"/>
        <w:outlineLvl w:val="9"/>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Cs w:val="21"/>
          <w:highlight w:val="none"/>
        </w:rPr>
        <w:t>长</w:t>
      </w:r>
      <w:r>
        <w:rPr>
          <w:rFonts w:hint="eastAsia" w:ascii="宋体" w:hAnsi="宋体" w:eastAsia="宋体" w:cs="Times New Roman"/>
          <w:color w:val="auto"/>
          <w:sz w:val="21"/>
          <w:szCs w:val="21"/>
          <w:highlight w:val="none"/>
        </w:rPr>
        <w:t>沙穗城轨道交通有限公司设有黄梨路车辆段与梧桐路停车场两</w:t>
      </w:r>
      <w:r>
        <w:rPr>
          <w:rFonts w:hint="eastAsia" w:ascii="宋体" w:hAnsi="宋体" w:eastAsia="宋体" w:cs="Times New Roman"/>
          <w:color w:val="auto"/>
          <w:sz w:val="21"/>
          <w:szCs w:val="21"/>
          <w:highlight w:val="none"/>
          <w:lang w:val="en-US" w:eastAsia="zh-CN"/>
        </w:rPr>
        <w:t>处</w:t>
      </w:r>
      <w:r>
        <w:rPr>
          <w:rFonts w:hint="eastAsia" w:ascii="宋体" w:hAnsi="宋体" w:eastAsia="宋体" w:cs="Times New Roman"/>
          <w:color w:val="auto"/>
          <w:sz w:val="21"/>
          <w:szCs w:val="21"/>
          <w:highlight w:val="none"/>
        </w:rPr>
        <w:t>员工食堂，为切实满足员工的用餐需求，提供更为优质、高效的后勤保障，现拟招选专业的餐饮劳务团队</w:t>
      </w:r>
      <w:r>
        <w:rPr>
          <w:rFonts w:hint="eastAsia" w:ascii="宋体" w:hAnsi="宋体" w:eastAsia="宋体" w:cs="Times New Roman"/>
          <w:color w:val="auto"/>
          <w:sz w:val="21"/>
          <w:szCs w:val="21"/>
          <w:highlight w:val="none"/>
          <w:lang w:val="en-US" w:eastAsia="zh-CN"/>
        </w:rPr>
        <w:t>与物资供应商，为食堂运营提供全面服务</w:t>
      </w:r>
      <w:r>
        <w:rPr>
          <w:rFonts w:hint="eastAsia"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lang w:val="en-US" w:eastAsia="zh-CN"/>
        </w:rPr>
        <w:t>本项目</w:t>
      </w:r>
      <w:r>
        <w:rPr>
          <w:rFonts w:hint="eastAsia" w:ascii="宋体" w:hAnsi="宋体" w:eastAsia="宋体" w:cs="Times New Roman"/>
          <w:color w:val="auto"/>
          <w:sz w:val="21"/>
          <w:szCs w:val="21"/>
          <w:highlight w:val="none"/>
        </w:rPr>
        <w:t>严禁乙方转包分包</w:t>
      </w:r>
      <w:r>
        <w:rPr>
          <w:rFonts w:hint="eastAsia" w:ascii="宋体" w:hAnsi="宋体" w:eastAsia="宋体" w:cs="Times New Roman"/>
          <w:color w:val="auto"/>
          <w:sz w:val="21"/>
          <w:szCs w:val="21"/>
          <w:highlight w:val="none"/>
          <w:lang w:eastAsia="zh-CN"/>
        </w:rPr>
        <w:t>。</w:t>
      </w:r>
    </w:p>
    <w:p w14:paraId="3BFA4E7E">
      <w:pPr>
        <w:keepNext w:val="0"/>
        <w:keepLines w:val="0"/>
        <w:pageBreakBefore w:val="0"/>
        <w:widowControl/>
        <w:suppressLineNumbers w:val="0"/>
        <w:kinsoku/>
        <w:wordWrap/>
        <w:topLinePunct w:val="0"/>
        <w:bidi w:val="0"/>
        <w:spacing w:line="440" w:lineRule="exact"/>
        <w:ind w:firstLine="422" w:firstLineChars="200"/>
        <w:jc w:val="left"/>
        <w:textAlignment w:val="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二、服务期限</w:t>
      </w:r>
    </w:p>
    <w:p w14:paraId="61A411AA">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三年，实际服务时间以乙方接到甲方发出开工通知书并正式进场服务开始计算。</w:t>
      </w:r>
    </w:p>
    <w:p w14:paraId="75D27C6C">
      <w:pPr>
        <w:keepNext w:val="0"/>
        <w:keepLines w:val="0"/>
        <w:pageBreakBefore w:val="0"/>
        <w:widowControl/>
        <w:suppressLineNumbers w:val="0"/>
        <w:kinsoku/>
        <w:wordWrap/>
        <w:topLinePunct w:val="0"/>
        <w:bidi w:val="0"/>
        <w:spacing w:line="440" w:lineRule="exact"/>
        <w:ind w:firstLine="422" w:firstLineChars="200"/>
        <w:jc w:val="left"/>
        <w:textAlignment w:val="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三、服务范围</w:t>
      </w:r>
    </w:p>
    <w:p w14:paraId="08B84749">
      <w:pPr>
        <w:keepNext w:val="0"/>
        <w:keepLines w:val="0"/>
        <w:pageBreakBefore w:val="0"/>
        <w:kinsoku/>
        <w:wordWrap/>
        <w:overflowPunct/>
        <w:topLinePunct w:val="0"/>
        <w:bidi w:val="0"/>
        <w:spacing w:line="440" w:lineRule="exact"/>
        <w:ind w:firstLine="420" w:firstLineChars="200"/>
        <w:outlineLvl w:val="9"/>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劳务服务：劳务团队负责为甲方员工提供全方位餐饮服务与管理，涵盖五餐（早早餐至晚晚餐，可依需增项）、车站与客餐服务及辅助服务（如凉茶等）；承担节庆活动布置（含宣传、现场布置及设备租赁）；办理食品安全与场所相关保险；组织员工培训、提供统一服装；负责油烟系统清洗、设备维修维护（含配件）、油烟排放检测、餐厨垃圾收运及小卖部服务；遇抢险救援等特殊情况需加班时，须服从甲方安排保障用餐；食堂日常经营所需食材、调味品、耗材由甲方提供。</w:t>
      </w:r>
    </w:p>
    <w:p w14:paraId="39F22EB6">
      <w:pPr>
        <w:keepNext w:val="0"/>
        <w:keepLines w:val="0"/>
        <w:pageBreakBefore w:val="0"/>
        <w:kinsoku/>
        <w:wordWrap/>
        <w:overflowPunct/>
        <w:topLinePunct w:val="0"/>
        <w:bidi w:val="0"/>
        <w:spacing w:line="440" w:lineRule="exact"/>
        <w:ind w:firstLine="420" w:firstLineChars="200"/>
        <w:outlineLvl w:val="9"/>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物资供应服务：为甲方提供全方位、高品质、稳定可靠的食堂运营物资（干货商品类、生鲜类）供应服务（含乡村振兴农副产品采购），确保甲方食堂物资充足、质量达标、配送及时，满足甲方员工的用餐需求，助力甲方打造优质的后勤保障体系。</w:t>
      </w:r>
    </w:p>
    <w:p w14:paraId="3FBD2074">
      <w:pPr>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br w:type="page"/>
      </w:r>
    </w:p>
    <w:p w14:paraId="3A185530">
      <w:pPr>
        <w:pStyle w:val="80"/>
        <w:jc w:val="center"/>
        <w:outlineLvl w:val="1"/>
        <w:rPr>
          <w:rFonts w:hint="default"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标段一 劳务外包服务</w:t>
      </w:r>
    </w:p>
    <w:p w14:paraId="1C188E5F">
      <w:pPr>
        <w:pStyle w:val="80"/>
        <w:widowControl w:val="0"/>
        <w:numPr>
          <w:ilvl w:val="0"/>
          <w:numId w:val="0"/>
        </w:numPr>
        <w:autoSpaceDE w:val="0"/>
        <w:autoSpaceDN w:val="0"/>
        <w:adjustRightInd w:val="0"/>
        <w:rPr>
          <w:rFonts w:hint="eastAsia"/>
          <w:highlight w:val="none"/>
        </w:rPr>
      </w:pPr>
    </w:p>
    <w:p w14:paraId="4272B7E8">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2" w:firstLineChars="200"/>
        <w:textAlignment w:val="auto"/>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一、服务项目</w:t>
      </w:r>
    </w:p>
    <w:p w14:paraId="10CB7D6A">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2026-2028年员工食堂劳务外包、物资供应项目</w:t>
      </w:r>
    </w:p>
    <w:p w14:paraId="233D7F15">
      <w:pPr>
        <w:keepNext w:val="0"/>
        <w:keepLines w:val="0"/>
        <w:pageBreakBefore w:val="0"/>
        <w:widowControl/>
        <w:suppressLineNumbers w:val="0"/>
        <w:kinsoku/>
        <w:wordWrap/>
        <w:overflowPunct/>
        <w:topLinePunct w:val="0"/>
        <w:bidi w:val="0"/>
        <w:snapToGrid/>
        <w:spacing w:line="440" w:lineRule="exact"/>
        <w:ind w:firstLine="420" w:firstLineChars="200"/>
        <w:jc w:val="left"/>
        <w:textAlignment w:val="auto"/>
        <w:rPr>
          <w:rFonts w:hint="eastAsia" w:ascii="宋体" w:hAnsi="宋体" w:eastAsia="宋体" w:cs="宋体"/>
          <w:b/>
          <w:color w:val="auto"/>
          <w:kern w:val="2"/>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rPr>
        <w:t>★</w:t>
      </w:r>
      <w:r>
        <w:rPr>
          <w:rFonts w:hint="eastAsia" w:ascii="宋体" w:hAnsi="宋体" w:eastAsia="宋体" w:cs="宋体"/>
          <w:b/>
          <w:color w:val="auto"/>
          <w:kern w:val="2"/>
          <w:sz w:val="21"/>
          <w:szCs w:val="21"/>
          <w:highlight w:val="none"/>
          <w:lang w:val="en-US" w:eastAsia="zh-CN" w:bidi="ar-SA"/>
        </w:rPr>
        <w:t>二、服务地点</w:t>
      </w:r>
    </w:p>
    <w:p w14:paraId="14280BC1">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textAlignment w:val="auto"/>
        <w:rPr>
          <w:rFonts w:hint="default"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    长沙市长沙县东五路与大元路交叉口东南220米（黄梨路车辆段员工食堂）、长沙市望城区泉水路600号（梧桐路停车场员工食堂）。</w:t>
      </w:r>
    </w:p>
    <w:p w14:paraId="63379795">
      <w:pPr>
        <w:keepNext w:val="0"/>
        <w:keepLines w:val="0"/>
        <w:pageBreakBefore w:val="0"/>
        <w:widowControl/>
        <w:suppressLineNumbers w:val="0"/>
        <w:kinsoku/>
        <w:wordWrap/>
        <w:overflowPunct/>
        <w:topLinePunct w:val="0"/>
        <w:bidi w:val="0"/>
        <w:snapToGrid/>
        <w:spacing w:line="440" w:lineRule="exact"/>
        <w:ind w:firstLine="420" w:firstLineChars="200"/>
        <w:jc w:val="left"/>
        <w:textAlignment w:val="auto"/>
        <w:rPr>
          <w:rFonts w:hint="eastAsia" w:ascii="宋体" w:hAnsi="宋体" w:eastAsia="宋体" w:cs="宋体"/>
          <w:b/>
          <w:color w:val="auto"/>
          <w:kern w:val="2"/>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rPr>
        <w:t>★</w:t>
      </w:r>
      <w:r>
        <w:rPr>
          <w:rFonts w:hint="eastAsia" w:ascii="宋体" w:hAnsi="宋体" w:eastAsia="宋体" w:cs="宋体"/>
          <w:b/>
          <w:color w:val="auto"/>
          <w:kern w:val="2"/>
          <w:sz w:val="21"/>
          <w:szCs w:val="21"/>
          <w:highlight w:val="none"/>
          <w:lang w:val="en-US" w:eastAsia="zh-CN" w:bidi="ar-SA"/>
        </w:rPr>
        <w:t>三、服务范围</w:t>
      </w:r>
    </w:p>
    <w:p w14:paraId="2A9A77A1">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负责为甲方提供餐饮服务和管理，包括但不限于：五餐（早早餐、早餐、中餐、晚餐、晚晚餐，甲方可根据要求增加相关服务）、车站送餐、客餐服务和相关辅助服务（如按要求提供凉茶、绿豆汤等），开展节庆活动现场布置（传统节日、一年一次美食节活动相关宣传、现场布置、设备租赁等费用）、乙方负责食品安全与经营场所有关保险、培训、服装、油烟系统清洗、食堂设备设施维修维护（含配件）、油烟排放有效检测、餐厨垃圾收运、小卖部服务、以及其他服务性的工作（如遇抢险救援等特殊情况需要加班的必须服从甲方安排，确保员工用餐）。员工食堂日常经营所需食材、调味品、耗材由甲方提供。</w:t>
      </w:r>
    </w:p>
    <w:p w14:paraId="04C6BA76">
      <w:pPr>
        <w:keepNext w:val="0"/>
        <w:keepLines w:val="0"/>
        <w:widowControl/>
        <w:suppressLineNumbers w:val="0"/>
        <w:ind w:firstLine="420" w:firstLineChars="200"/>
        <w:jc w:val="left"/>
        <w:rPr>
          <w:rFonts w:hint="eastAsia" w:ascii="宋体" w:hAnsi="宋体" w:eastAsia="宋体" w:cs="宋体"/>
          <w:b/>
          <w:color w:val="auto"/>
          <w:kern w:val="2"/>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rPr>
        <w:t>★</w:t>
      </w:r>
      <w:r>
        <w:rPr>
          <w:rFonts w:hint="eastAsia" w:ascii="宋体" w:hAnsi="宋体" w:eastAsia="宋体" w:cs="宋体"/>
          <w:b/>
          <w:color w:val="auto"/>
          <w:kern w:val="2"/>
          <w:sz w:val="21"/>
          <w:szCs w:val="21"/>
          <w:highlight w:val="none"/>
          <w:lang w:val="en-US" w:eastAsia="zh-CN" w:bidi="ar-SA"/>
        </w:rPr>
        <w:t>四、服务项目基本情况</w:t>
      </w:r>
    </w:p>
    <w:p w14:paraId="150A9469">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1、工作任务</w:t>
      </w:r>
    </w:p>
    <w:p w14:paraId="0EE21B00">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乙方应严格遵守国家及地方有关餐饮经营的法律法规，负责员工食堂的餐饮服务工作。主要包括食谱安排、饭菜制作、供餐、送餐、员工食堂范围内（含设备、设施）的卫生清理，各类管理制度和应急预案的制定等工作任务。严禁乙方在甲方员工食堂进行非本项目餐饮业务。</w:t>
      </w:r>
    </w:p>
    <w:p w14:paraId="763ED6E1">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2、用餐区情况</w:t>
      </w:r>
    </w:p>
    <w:p w14:paraId="1D29C67C">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公司黄梨路车辆段员工食堂设计面积1073㎡，厨房面积535㎡，餐厅面积（含包间）538㎡，设置210餐位；</w:t>
      </w:r>
    </w:p>
    <w:p w14:paraId="56B3B855">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公司梧桐路停车场员工食堂设计面积438㎡，厨房面积203㎡，餐厅面积235㎡，设置108餐位。</w:t>
      </w:r>
    </w:p>
    <w:p w14:paraId="6D45CD59">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3、用餐人数预估</w:t>
      </w:r>
    </w:p>
    <w:p w14:paraId="346BB520">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黄梨路车辆段员工食堂早早餐约35人次，早餐约290人次，中餐约为420人次，晚餐约170人次，晚晚餐约45人次，日均960人次（含送餐人次）；</w:t>
      </w:r>
    </w:p>
    <w:p w14:paraId="6C0860A1">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梧桐路停车场员工食堂早早餐约35人次，早餐约60人次，中餐约为150人次，晚餐约110人次，晚晚餐约40人次，日均395人次（含送餐人次）。</w:t>
      </w:r>
    </w:p>
    <w:p w14:paraId="2418782D">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备注：乙方应知晓并充分考虑用餐人数随着业务开展存在变化性，具体用餐人数以实际人数为准。</w:t>
      </w:r>
    </w:p>
    <w:p w14:paraId="0B3D201B">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4、水、电、燃气费</w:t>
      </w:r>
    </w:p>
    <w:p w14:paraId="4DC7D31B">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本项目不收取场地租赁费，水费、电费、燃气费由甲方承担。针对乙方浪费水、电、燃气行为，纳入甲方日常考核。</w:t>
      </w:r>
    </w:p>
    <w:p w14:paraId="474BA7C5">
      <w:pPr>
        <w:keepNext w:val="0"/>
        <w:keepLines w:val="0"/>
        <w:pageBreakBefore w:val="0"/>
        <w:widowControl/>
        <w:suppressLineNumbers w:val="0"/>
        <w:kinsoku/>
        <w:wordWrap/>
        <w:overflowPunct/>
        <w:topLinePunct w:val="0"/>
        <w:bidi w:val="0"/>
        <w:snapToGrid/>
        <w:spacing w:line="440" w:lineRule="exact"/>
        <w:ind w:firstLine="420" w:firstLineChars="200"/>
        <w:jc w:val="left"/>
        <w:textAlignment w:val="auto"/>
        <w:rPr>
          <w:rFonts w:hint="eastAsia" w:ascii="宋体" w:hAnsi="宋体" w:eastAsia="宋体" w:cs="宋体"/>
          <w:b/>
          <w:color w:val="auto"/>
          <w:kern w:val="2"/>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rPr>
        <w:t>★</w:t>
      </w:r>
      <w:r>
        <w:rPr>
          <w:rFonts w:hint="eastAsia" w:ascii="宋体" w:hAnsi="宋体" w:eastAsia="宋体" w:cs="宋体"/>
          <w:b/>
          <w:color w:val="auto"/>
          <w:kern w:val="2"/>
          <w:sz w:val="21"/>
          <w:szCs w:val="21"/>
          <w:highlight w:val="none"/>
          <w:lang w:val="en-US" w:eastAsia="zh-CN" w:bidi="ar-SA"/>
        </w:rPr>
        <w:t>五、相关技术标准及规范</w:t>
      </w:r>
    </w:p>
    <w:p w14:paraId="5A692ECD">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乙方应严格按照下列技术标准及规范等相关标准（包括以下国内技术标准、规范及同行业相关经验，但不限于以下内容）执行，以下标准如有更新，须按最新标准执行：中华人民共和国主席令第二十一号《中华人民共和国食品安全法》。</w:t>
      </w:r>
    </w:p>
    <w:p w14:paraId="6C789913">
      <w:pPr>
        <w:keepNext w:val="0"/>
        <w:keepLines w:val="0"/>
        <w:pageBreakBefore w:val="0"/>
        <w:widowControl/>
        <w:suppressLineNumbers w:val="0"/>
        <w:kinsoku/>
        <w:wordWrap/>
        <w:overflowPunct/>
        <w:topLinePunct w:val="0"/>
        <w:bidi w:val="0"/>
        <w:snapToGrid/>
        <w:spacing w:line="440" w:lineRule="exact"/>
        <w:ind w:firstLine="420" w:firstLineChars="200"/>
        <w:jc w:val="left"/>
        <w:textAlignment w:val="auto"/>
        <w:rPr>
          <w:rFonts w:hint="eastAsia" w:ascii="宋体" w:hAnsi="宋体" w:eastAsia="宋体" w:cs="宋体"/>
          <w:b/>
          <w:color w:val="auto"/>
          <w:kern w:val="2"/>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rPr>
        <w:t>★</w:t>
      </w:r>
      <w:r>
        <w:rPr>
          <w:rFonts w:hint="eastAsia" w:ascii="宋体" w:hAnsi="宋体" w:eastAsia="宋体" w:cs="宋体"/>
          <w:b/>
          <w:color w:val="auto"/>
          <w:kern w:val="2"/>
          <w:sz w:val="21"/>
          <w:szCs w:val="21"/>
          <w:highlight w:val="none"/>
          <w:lang w:val="en-US" w:eastAsia="zh-CN" w:bidi="ar-SA"/>
        </w:rPr>
        <w:t>六、项目服务要求</w:t>
      </w:r>
    </w:p>
    <w:p w14:paraId="5F586412">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(一)人员配备要求</w:t>
      </w:r>
    </w:p>
    <w:p w14:paraId="51141612">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1、服务队伍标准配置人数26人，若现场实际需求发生变化，甲方有权要求乙方增减工作人员，增减人员的</w:t>
      </w:r>
      <w:r>
        <w:rPr>
          <w:rFonts w:hint="eastAsia" w:ascii="宋体" w:hAnsi="宋体" w:eastAsia="宋体" w:cs="Times New Roman"/>
          <w:i w:val="0"/>
          <w:iCs w:val="0"/>
          <w:caps w:val="0"/>
          <w:color w:val="auto"/>
          <w:spacing w:val="0"/>
          <w:kern w:val="2"/>
          <w:sz w:val="21"/>
          <w:szCs w:val="21"/>
          <w:highlight w:val="none"/>
          <w:shd w:val="clear" w:fill="auto"/>
        </w:rPr>
        <w:t>岗位工资按合同价格清单执行</w:t>
      </w:r>
      <w:r>
        <w:rPr>
          <w:rFonts w:hint="eastAsia" w:ascii="宋体" w:hAnsi="宋体" w:eastAsia="宋体" w:cs="Times New Roman"/>
          <w:color w:val="auto"/>
          <w:kern w:val="2"/>
          <w:sz w:val="21"/>
          <w:szCs w:val="21"/>
          <w:highlight w:val="none"/>
          <w:lang w:val="en-US" w:eastAsia="zh-CN" w:bidi="ar-SA"/>
        </w:rPr>
        <w:t>。</w:t>
      </w:r>
    </w:p>
    <w:p w14:paraId="38EE3324">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项目经理（即项目负责人）年龄50周岁以下，高中以上学历，须有3年以上大型餐饮团队项目（同等规模及以上）管理的工作经验；须常驻甲方员工食堂，全面负责员工食堂日常服务管理，不得再承接其他项目管理工作；项目经理请休假必须经甲方同意；如项目经理实际现场管理达不到甲方要求，甲方有权要求乙方更换项目经理，直至甲方满意为止。</w:t>
      </w:r>
    </w:p>
    <w:p w14:paraId="5A849B1F">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3、乙方员工年龄须在55周岁以下,所有员工须报甲方备案，须持健康证上岗。并设项目经理、厨师长、厨师为关键岗位人员；厨师长、厨师必须具有厨师等级技能资格证书。厨师长岗位人员持中式烹调师（四级）及以上证书上岗；厨师岗位人员持中式烹调师（五级）及以上证书上岗；面点师岗位人员持初级（五级）及以上中式面点师证上岗；以上证书须处于有效期内，须提供在中华人民共和国人力资源和社会保障部“技能人才评价工作网”（http://jndj.osta.org.cn/）查询验证。其中厨师长与厨师需具有独立承担包厢接待餐能力。 </w:t>
      </w:r>
    </w:p>
    <w:p w14:paraId="1C1832E9">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乙方原则上不得随意调整或更换本项目配置人员。若遇特殊情况，乙方须在预计需要调整或更换项目配置人员（特别是项目经理、厨师长等关键岗位）前，应至少提前五个工作日（具体天数可根据双方协议确定）向甲方员工食堂管理部门提交书面申请，更换人员为同等级资证人员；如遇供餐需求变动导致的人员需适当调整或人员离职等事项，须提前向甲方员工食堂管理部门提交书面申请，征得甲方员工食堂管理部门同意后执行。乙方人员更换须在新员工到岗完成交接之后方可离岗。同时，甲方可根据项目实施情况要求乙方更换不符合或不适合为本项目服务的人员，乙方在收到通知后第一时间内停止其工作，并及时另派人员接替其工作，人员调整需在三个工作日之内完成，所调整更换人员须甲方认可满意。</w:t>
      </w:r>
    </w:p>
    <w:p w14:paraId="58193A0D">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5、乙方需自行采购工作服，加强员工管理，统一着装（含衣、帽、口罩、防滑鞋等），规范考勤并报备甲方，甲方不定期抽查考核。</w:t>
      </w:r>
    </w:p>
    <w:p w14:paraId="391734B6">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6、乙方所有配置的工作人员与甲方不存在任何的劳动关系，甲方不承担任何劳动关系方面的义务，同时乙方劳务服务所需用工必须符合《劳动法》要求，依法用工，员工如发生用工纠纷、疾病、工伤、伤亡事故等均由乙方自行负责所有的经济责任和法律责任。乙方应依法为食堂员工购买相应保险，同时必须购买团体人身意外伤害险（保单复印件须提交甲方备案）等。</w:t>
      </w:r>
    </w:p>
    <w:p w14:paraId="1B891678">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7、乙方须重视食堂员工的思想教育以及服务意识的培训，当班期间不得出现脱岗、打架、罢工等影响正常开餐的行为，否则甲方将追究乙方相应的法律责任。</w:t>
      </w:r>
    </w:p>
    <w:p w14:paraId="6C7BA990">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8、外来务工人员必须具有公安部门核发的临时居住证。</w:t>
      </w:r>
    </w:p>
    <w:p w14:paraId="55D19B60">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9、劳务团队岗位配置人数详见下表，采购预算按照如下配置岗位及人数列表进行预算（含人员工资、保险、税费及管理费等）。</w:t>
      </w:r>
    </w:p>
    <w:tbl>
      <w:tblPr>
        <w:tblStyle w:val="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gridCol w:w="2131"/>
      </w:tblGrid>
      <w:tr w14:paraId="5ACF0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14:paraId="39A6E84F">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岗位</w:t>
            </w:r>
          </w:p>
        </w:tc>
        <w:tc>
          <w:tcPr>
            <w:tcW w:w="2130" w:type="dxa"/>
            <w:vAlign w:val="center"/>
          </w:tcPr>
          <w:p w14:paraId="17CDEEEF">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黄梨路</w:t>
            </w:r>
            <w:r>
              <w:rPr>
                <w:rFonts w:hint="eastAsia" w:ascii="宋体" w:hAnsi="宋体" w:cs="宋体"/>
                <w:i w:val="0"/>
                <w:iCs w:val="0"/>
                <w:color w:val="auto"/>
                <w:kern w:val="0"/>
                <w:sz w:val="20"/>
                <w:szCs w:val="20"/>
                <w:highlight w:val="none"/>
                <w:u w:val="none"/>
                <w:lang w:val="en-US" w:eastAsia="zh-CN" w:bidi="ar"/>
              </w:rPr>
              <w:t>员工</w:t>
            </w:r>
            <w:r>
              <w:rPr>
                <w:rFonts w:hint="eastAsia" w:ascii="宋体" w:hAnsi="宋体" w:eastAsia="宋体" w:cs="宋体"/>
                <w:i w:val="0"/>
                <w:iCs w:val="0"/>
                <w:color w:val="auto"/>
                <w:kern w:val="0"/>
                <w:sz w:val="20"/>
                <w:szCs w:val="20"/>
                <w:highlight w:val="none"/>
                <w:u w:val="none"/>
                <w:lang w:val="en-US" w:eastAsia="zh-CN" w:bidi="ar"/>
              </w:rPr>
              <w:t>食堂</w:t>
            </w:r>
          </w:p>
        </w:tc>
        <w:tc>
          <w:tcPr>
            <w:tcW w:w="2131" w:type="dxa"/>
            <w:vAlign w:val="center"/>
          </w:tcPr>
          <w:p w14:paraId="3C21FEB9">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梧桐路</w:t>
            </w:r>
            <w:r>
              <w:rPr>
                <w:rFonts w:hint="eastAsia" w:ascii="宋体" w:hAnsi="宋体" w:cs="宋体"/>
                <w:i w:val="0"/>
                <w:iCs w:val="0"/>
                <w:color w:val="auto"/>
                <w:kern w:val="0"/>
                <w:sz w:val="20"/>
                <w:szCs w:val="20"/>
                <w:highlight w:val="none"/>
                <w:u w:val="none"/>
                <w:lang w:val="en-US" w:eastAsia="zh-CN" w:bidi="ar"/>
              </w:rPr>
              <w:t>员工</w:t>
            </w:r>
            <w:r>
              <w:rPr>
                <w:rFonts w:hint="eastAsia" w:ascii="宋体" w:hAnsi="宋体" w:eastAsia="宋体" w:cs="宋体"/>
                <w:i w:val="0"/>
                <w:iCs w:val="0"/>
                <w:color w:val="auto"/>
                <w:kern w:val="0"/>
                <w:sz w:val="20"/>
                <w:szCs w:val="20"/>
                <w:highlight w:val="none"/>
                <w:u w:val="none"/>
                <w:lang w:val="en-US" w:eastAsia="zh-CN" w:bidi="ar"/>
              </w:rPr>
              <w:t>食堂</w:t>
            </w:r>
          </w:p>
        </w:tc>
        <w:tc>
          <w:tcPr>
            <w:tcW w:w="2131" w:type="dxa"/>
            <w:vAlign w:val="center"/>
          </w:tcPr>
          <w:p w14:paraId="372063A5">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合计人数</w:t>
            </w:r>
          </w:p>
        </w:tc>
      </w:tr>
      <w:tr w14:paraId="52B63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14:paraId="59C4FE63">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项目经理</w:t>
            </w:r>
          </w:p>
        </w:tc>
        <w:tc>
          <w:tcPr>
            <w:tcW w:w="2130" w:type="dxa"/>
            <w:vAlign w:val="center"/>
          </w:tcPr>
          <w:p w14:paraId="25F32DC9">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p>
        </w:tc>
        <w:tc>
          <w:tcPr>
            <w:tcW w:w="2131" w:type="dxa"/>
            <w:vMerge w:val="restart"/>
            <w:vAlign w:val="center"/>
          </w:tcPr>
          <w:p w14:paraId="0A9A6355">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1</w:t>
            </w:r>
          </w:p>
        </w:tc>
        <w:tc>
          <w:tcPr>
            <w:tcW w:w="2131" w:type="dxa"/>
            <w:vMerge w:val="restart"/>
            <w:vAlign w:val="center"/>
          </w:tcPr>
          <w:p w14:paraId="6B424DB1">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3</w:t>
            </w:r>
          </w:p>
        </w:tc>
      </w:tr>
      <w:tr w14:paraId="0F7F1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14:paraId="52EEBED1">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厨师长</w:t>
            </w:r>
          </w:p>
        </w:tc>
        <w:tc>
          <w:tcPr>
            <w:tcW w:w="2130" w:type="dxa"/>
            <w:vAlign w:val="center"/>
          </w:tcPr>
          <w:p w14:paraId="183798D9">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1</w:t>
            </w:r>
          </w:p>
        </w:tc>
        <w:tc>
          <w:tcPr>
            <w:tcW w:w="2131" w:type="dxa"/>
            <w:vMerge w:val="continue"/>
            <w:vAlign w:val="center"/>
          </w:tcPr>
          <w:p w14:paraId="00573729">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p>
        </w:tc>
        <w:tc>
          <w:tcPr>
            <w:tcW w:w="2131" w:type="dxa"/>
            <w:vMerge w:val="continue"/>
            <w:vAlign w:val="center"/>
          </w:tcPr>
          <w:p w14:paraId="3CF70BBB">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p>
        </w:tc>
      </w:tr>
      <w:tr w14:paraId="27661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14:paraId="7EB5AD6C">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厨师</w:t>
            </w:r>
          </w:p>
        </w:tc>
        <w:tc>
          <w:tcPr>
            <w:tcW w:w="2130" w:type="dxa"/>
            <w:vAlign w:val="center"/>
          </w:tcPr>
          <w:p w14:paraId="25DE2C0B">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4</w:t>
            </w:r>
          </w:p>
        </w:tc>
        <w:tc>
          <w:tcPr>
            <w:tcW w:w="2131" w:type="dxa"/>
            <w:vAlign w:val="center"/>
          </w:tcPr>
          <w:p w14:paraId="6694DE54">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2</w:t>
            </w:r>
          </w:p>
        </w:tc>
        <w:tc>
          <w:tcPr>
            <w:tcW w:w="2131" w:type="dxa"/>
            <w:vAlign w:val="center"/>
          </w:tcPr>
          <w:p w14:paraId="529543F7">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6</w:t>
            </w:r>
          </w:p>
        </w:tc>
      </w:tr>
      <w:tr w14:paraId="2B6DA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14:paraId="4675F9CE">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杂工</w:t>
            </w:r>
            <w:r>
              <w:rPr>
                <w:rFonts w:hint="eastAsia" w:ascii="宋体" w:hAnsi="宋体" w:cs="宋体"/>
                <w:i w:val="0"/>
                <w:iCs w:val="0"/>
                <w:color w:val="auto"/>
                <w:kern w:val="0"/>
                <w:sz w:val="20"/>
                <w:szCs w:val="20"/>
                <w:highlight w:val="none"/>
                <w:u w:val="none"/>
                <w:lang w:val="en-US" w:eastAsia="zh-CN" w:bidi="ar"/>
              </w:rPr>
              <w:t>（切配等）</w:t>
            </w:r>
          </w:p>
        </w:tc>
        <w:tc>
          <w:tcPr>
            <w:tcW w:w="2130" w:type="dxa"/>
            <w:vAlign w:val="center"/>
          </w:tcPr>
          <w:p w14:paraId="72C2DFBA">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3</w:t>
            </w:r>
          </w:p>
        </w:tc>
        <w:tc>
          <w:tcPr>
            <w:tcW w:w="2131" w:type="dxa"/>
            <w:vAlign w:val="center"/>
          </w:tcPr>
          <w:p w14:paraId="303731E5">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1</w:t>
            </w:r>
          </w:p>
        </w:tc>
        <w:tc>
          <w:tcPr>
            <w:tcW w:w="2131" w:type="dxa"/>
            <w:vAlign w:val="center"/>
          </w:tcPr>
          <w:p w14:paraId="4BD1D809">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4</w:t>
            </w:r>
          </w:p>
        </w:tc>
      </w:tr>
      <w:tr w14:paraId="54D2F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14:paraId="39C1670F">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面点</w:t>
            </w:r>
          </w:p>
        </w:tc>
        <w:tc>
          <w:tcPr>
            <w:tcW w:w="2130" w:type="dxa"/>
            <w:vAlign w:val="center"/>
          </w:tcPr>
          <w:p w14:paraId="6869E63B">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1</w:t>
            </w:r>
          </w:p>
        </w:tc>
        <w:tc>
          <w:tcPr>
            <w:tcW w:w="2131" w:type="dxa"/>
            <w:vMerge w:val="restart"/>
            <w:vAlign w:val="center"/>
          </w:tcPr>
          <w:p w14:paraId="55A044D8">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1</w:t>
            </w:r>
          </w:p>
        </w:tc>
        <w:tc>
          <w:tcPr>
            <w:tcW w:w="2131" w:type="dxa"/>
            <w:vMerge w:val="restart"/>
            <w:vAlign w:val="center"/>
          </w:tcPr>
          <w:p w14:paraId="28491BB8">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w:t>
            </w:r>
          </w:p>
        </w:tc>
      </w:tr>
      <w:tr w14:paraId="7D0F7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14:paraId="1A43FA00">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夜宵</w:t>
            </w:r>
          </w:p>
        </w:tc>
        <w:tc>
          <w:tcPr>
            <w:tcW w:w="2130" w:type="dxa"/>
            <w:vAlign w:val="center"/>
          </w:tcPr>
          <w:p w14:paraId="00347596">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1</w:t>
            </w:r>
          </w:p>
        </w:tc>
        <w:tc>
          <w:tcPr>
            <w:tcW w:w="2131" w:type="dxa"/>
            <w:vMerge w:val="continue"/>
            <w:vAlign w:val="top"/>
          </w:tcPr>
          <w:p w14:paraId="2CB63E60">
            <w:pPr>
              <w:keepNext w:val="0"/>
              <w:keepLines w:val="0"/>
              <w:pageBreakBefore w:val="0"/>
              <w:widowControl w:val="0"/>
              <w:kinsoku/>
              <w:wordWrap/>
              <w:overflowPunct/>
              <w:topLinePunct w:val="0"/>
              <w:bidi w:val="0"/>
              <w:adjustRightInd w:val="0"/>
              <w:snapToGrid/>
              <w:spacing w:line="440" w:lineRule="exact"/>
              <w:ind w:firstLine="400" w:firstLineChars="200"/>
              <w:jc w:val="left"/>
              <w:textAlignment w:val="auto"/>
              <w:rPr>
                <w:rFonts w:hint="default" w:ascii="仿宋_GB2312" w:hAnsi="仿宋_GB2312" w:eastAsia="仿宋_GB2312" w:cs="仿宋_GB2312"/>
                <w:color w:val="auto"/>
                <w:kern w:val="2"/>
                <w:sz w:val="20"/>
                <w:szCs w:val="20"/>
                <w:highlight w:val="none"/>
                <w:vertAlign w:val="baseline"/>
                <w:lang w:val="en-US" w:eastAsia="zh-CN" w:bidi="ar-SA"/>
              </w:rPr>
            </w:pPr>
          </w:p>
        </w:tc>
        <w:tc>
          <w:tcPr>
            <w:tcW w:w="2131" w:type="dxa"/>
            <w:vMerge w:val="continue"/>
            <w:vAlign w:val="center"/>
          </w:tcPr>
          <w:p w14:paraId="7F3F345F">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p>
        </w:tc>
      </w:tr>
      <w:tr w14:paraId="60C31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14:paraId="4D74AC44">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洗菜/洗碗工</w:t>
            </w:r>
          </w:p>
        </w:tc>
        <w:tc>
          <w:tcPr>
            <w:tcW w:w="2130" w:type="dxa"/>
            <w:vAlign w:val="center"/>
          </w:tcPr>
          <w:p w14:paraId="39D5C0D9">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2</w:t>
            </w:r>
          </w:p>
        </w:tc>
        <w:tc>
          <w:tcPr>
            <w:tcW w:w="2131" w:type="dxa"/>
            <w:vAlign w:val="center"/>
          </w:tcPr>
          <w:p w14:paraId="063F1B8F">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1</w:t>
            </w:r>
          </w:p>
        </w:tc>
        <w:tc>
          <w:tcPr>
            <w:tcW w:w="2131" w:type="dxa"/>
            <w:vAlign w:val="center"/>
          </w:tcPr>
          <w:p w14:paraId="15006462">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3</w:t>
            </w:r>
          </w:p>
        </w:tc>
      </w:tr>
      <w:tr w14:paraId="0648A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14:paraId="23EDACBA">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服务员</w:t>
            </w:r>
          </w:p>
        </w:tc>
        <w:tc>
          <w:tcPr>
            <w:tcW w:w="2130" w:type="dxa"/>
            <w:vAlign w:val="center"/>
          </w:tcPr>
          <w:p w14:paraId="75E57421">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3</w:t>
            </w:r>
          </w:p>
        </w:tc>
        <w:tc>
          <w:tcPr>
            <w:tcW w:w="2131" w:type="dxa"/>
            <w:vAlign w:val="center"/>
          </w:tcPr>
          <w:p w14:paraId="1956C33A">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1</w:t>
            </w:r>
          </w:p>
        </w:tc>
        <w:tc>
          <w:tcPr>
            <w:tcW w:w="2131" w:type="dxa"/>
            <w:vAlign w:val="center"/>
          </w:tcPr>
          <w:p w14:paraId="24FA5905">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4</w:t>
            </w:r>
          </w:p>
        </w:tc>
      </w:tr>
      <w:tr w14:paraId="715D4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14:paraId="71F861F4">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送餐员</w:t>
            </w:r>
          </w:p>
        </w:tc>
        <w:tc>
          <w:tcPr>
            <w:tcW w:w="2130" w:type="dxa"/>
            <w:vAlign w:val="center"/>
          </w:tcPr>
          <w:p w14:paraId="12281046">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1</w:t>
            </w:r>
          </w:p>
        </w:tc>
        <w:tc>
          <w:tcPr>
            <w:tcW w:w="2131" w:type="dxa"/>
            <w:vAlign w:val="center"/>
          </w:tcPr>
          <w:p w14:paraId="755B0C63">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1</w:t>
            </w:r>
          </w:p>
        </w:tc>
        <w:tc>
          <w:tcPr>
            <w:tcW w:w="2131" w:type="dxa"/>
            <w:vAlign w:val="center"/>
          </w:tcPr>
          <w:p w14:paraId="6DC64794">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2</w:t>
            </w:r>
          </w:p>
        </w:tc>
      </w:tr>
      <w:tr w14:paraId="292A4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14:paraId="40CD33B5">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小卖部收银</w:t>
            </w:r>
          </w:p>
        </w:tc>
        <w:tc>
          <w:tcPr>
            <w:tcW w:w="2130" w:type="dxa"/>
            <w:vAlign w:val="center"/>
          </w:tcPr>
          <w:p w14:paraId="29959BB0">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1</w:t>
            </w:r>
          </w:p>
        </w:tc>
        <w:tc>
          <w:tcPr>
            <w:tcW w:w="2131" w:type="dxa"/>
            <w:vAlign w:val="center"/>
          </w:tcPr>
          <w:p w14:paraId="5F637379">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w:t>
            </w:r>
          </w:p>
        </w:tc>
        <w:tc>
          <w:tcPr>
            <w:tcW w:w="2131" w:type="dxa"/>
            <w:vAlign w:val="center"/>
          </w:tcPr>
          <w:p w14:paraId="6F8755FD">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1</w:t>
            </w:r>
          </w:p>
        </w:tc>
      </w:tr>
      <w:tr w14:paraId="6370F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14:paraId="493BC25D">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合计</w:t>
            </w:r>
          </w:p>
        </w:tc>
        <w:tc>
          <w:tcPr>
            <w:tcW w:w="2130" w:type="dxa"/>
            <w:vAlign w:val="center"/>
          </w:tcPr>
          <w:p w14:paraId="63CFD841">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18</w:t>
            </w:r>
          </w:p>
        </w:tc>
        <w:tc>
          <w:tcPr>
            <w:tcW w:w="2131" w:type="dxa"/>
            <w:vAlign w:val="center"/>
          </w:tcPr>
          <w:p w14:paraId="766890D8">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8</w:t>
            </w:r>
          </w:p>
        </w:tc>
        <w:tc>
          <w:tcPr>
            <w:tcW w:w="2131" w:type="dxa"/>
            <w:vAlign w:val="center"/>
          </w:tcPr>
          <w:p w14:paraId="30459DC3">
            <w:pPr>
              <w:keepNext w:val="0"/>
              <w:keepLines w:val="0"/>
              <w:pageBreakBefore w:val="0"/>
              <w:widowControl/>
              <w:suppressLineNumbers w:val="0"/>
              <w:kinsoku/>
              <w:wordWrap/>
              <w:overflowPunct/>
              <w:topLinePunct w:val="0"/>
              <w:bidi w:val="0"/>
              <w:spacing w:line="440" w:lineRule="exact"/>
              <w:ind w:firstLine="400" w:firstLineChars="200"/>
              <w:jc w:val="center"/>
              <w:textAlignment w:val="center"/>
              <w:rPr>
                <w:rFonts w:hint="default"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26</w:t>
            </w:r>
          </w:p>
        </w:tc>
      </w:tr>
    </w:tbl>
    <w:p w14:paraId="46F227C9">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备注：（1）乙方进场后按上表配置工作人员，以上人员配置为标准配置人数，若现场实际需求发生变化，甲方有权要求乙方增减工作人员，增减人员的岗位工资按合同价格清单执行。</w:t>
      </w:r>
    </w:p>
    <w:p w14:paraId="588562F1">
      <w:pPr>
        <w:pStyle w:val="80"/>
        <w:keepNext w:val="0"/>
        <w:keepLines w:val="0"/>
        <w:pageBreakBefore w:val="0"/>
        <w:widowControl w:val="0"/>
        <w:numPr>
          <w:ilvl w:val="0"/>
          <w:numId w:val="15"/>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乙方所有人员必须持有有效身份证、健康证，近期三甲医院合格入职体检报告、保险证明、无犯罪证明、毛发检测、劳务合同复印件，要求工作态度好，责任心强，能吃苦耐劳。</w:t>
      </w:r>
    </w:p>
    <w:p w14:paraId="5BB68459">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（3）乙方项目经理应掌握食品安全卫生相关法律法规，按时参加继续教育培训。</w:t>
      </w:r>
    </w:p>
    <w:p w14:paraId="4DD4559A">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（4）乙方每年必须定期组织全员开展消防培训并做好培训记录。</w:t>
      </w:r>
    </w:p>
    <w:p w14:paraId="01880B5F">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（5）乙方应为食堂工作人员发放符合行业标准的工作服及劳保鞋。</w:t>
      </w:r>
    </w:p>
    <w:p w14:paraId="46442981">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6）乙方负责员工食堂范围的清洁卫生工作，员工食堂内桌椅、地面、墙身及设备设施干净光亮卫生、无损坏、摆放整齐、其他功能间及操作间、仓库必须干净卫生，做好除“四害”工作，上岗员工应保持良好的个人卫生，按规定穿戴清洁的工服、工牌、帽子、口罩等劳保用品。</w:t>
      </w:r>
    </w:p>
    <w:p w14:paraId="13EFD384">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（二）服务时间段</w:t>
      </w:r>
    </w:p>
    <w:p w14:paraId="71917350">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早早餐与早餐04：00-9:30，午餐11:30—13:00，晚餐17:30—19:00，晚晚餐22:00—次日02:00，小卖部服务时间每日08：00-9：30、11：00-15：00、17：00-19：00（具体营业时间以甲方调整为准）。</w:t>
      </w:r>
    </w:p>
    <w:p w14:paraId="568CA898">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备注：1、以上供餐时间为参考标准，实际用餐时间以甲方需求为准。</w:t>
      </w:r>
    </w:p>
    <w:p w14:paraId="538C8FAD">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2、根据甲方运营需求，为车站提供全年无休送餐（中餐与晚餐）； 抢险送餐、节假日送餐等临时性送餐须根据甲方通知及要求，及时做好送餐服务，一次性餐具由甲方提供。</w:t>
      </w:r>
    </w:p>
    <w:p w14:paraId="7F3907D5">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送餐范围：乙方自行考虑交通工具，从黄梨路车辆段送至韶光地铁站（单程约2.5公里）或梧桐路停车站送至谢家桥地铁站（单程约1.5公里）后，免费乘坐地铁配送至指定站点。项目履约期内，当日配送工作完成后，乙方最迟于次日12点前提交该日核对无误的配餐信息表（格式由甲方提供）至甲方食堂业务主管部门。</w:t>
      </w:r>
    </w:p>
    <w:p w14:paraId="566BD6AC">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（三）供餐标准</w:t>
      </w:r>
    </w:p>
    <w:p w14:paraId="6405B288">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1、供餐要求：</w:t>
      </w:r>
    </w:p>
    <w:p w14:paraId="20F10AE6">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早餐：保证15个品种以上（包子、花卷、馒头、粉面、稀饭、豆浆、油条等）；粉面配菜小料不少于6种。</w:t>
      </w:r>
    </w:p>
    <w:p w14:paraId="3DEDCBC2">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中餐：（1）套餐标准：提供不少于4荤4素1汤1水果及米饭，3个以上品种粉面。</w:t>
      </w:r>
    </w:p>
    <w:p w14:paraId="67A1EDC0">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210" w:firstLineChars="1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（2）自助餐标准：提供不少于4荤4素1汤。</w:t>
      </w:r>
    </w:p>
    <w:p w14:paraId="14F7E7E2">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210" w:firstLineChars="1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（3）特色餐标准：根据用餐情况提供特色菜品（冷面、牛排、杂粮、轻食等）、多种主食以及水果、饮品等。</w:t>
      </w:r>
    </w:p>
    <w:p w14:paraId="419427F1">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晚餐：提供4荤4素1汤，主食包含米饭、包点（不少于两种，可供员工外带）。</w:t>
      </w:r>
    </w:p>
    <w:p w14:paraId="0562C9CE">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早早餐与晚晚餐：提供炒粉、炒面、汤粉、汤面、水饺等餐品，粉面码子不低于3种。</w:t>
      </w:r>
    </w:p>
    <w:p w14:paraId="31BCD848">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2、员工食堂售卖的所有餐品均由甲方定价，乙方应提供建议并协助甲方控制用餐成本。</w:t>
      </w:r>
    </w:p>
    <w:p w14:paraId="4551DA3F">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3、员工食堂全年不停餐，双休日、节假日按照实际就餐人数开放窗口数量。</w:t>
      </w:r>
    </w:p>
    <w:p w14:paraId="5A9D89F6">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4、按甲方要求制作主副食品、糕点、卤菜、半成品菜等各十个左右品种供食堂外卖。</w:t>
      </w:r>
    </w:p>
    <w:p w14:paraId="688B06E9">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5、乙方于每周周三下午17：30前提交下周菜谱报甲方审核，并应根据季节不同提供适时菜品，按甲方经济目标要求核算并帮助甲方控制好用餐成本。</w:t>
      </w:r>
    </w:p>
    <w:p w14:paraId="36577EA8">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6、由乙方于每周四下午17：30前根据用餐人数合理提出下周菜谱原材料申购清单及用量，甲方负责采购并送到食堂，甲乙方及供应商共同验收。</w:t>
      </w:r>
    </w:p>
    <w:p w14:paraId="5715245D">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7、乙方应根据节日特点，制作特色食品供甲方员工食用(如端午节包粽子、腊八节熬腊八粥等)。</w:t>
      </w:r>
    </w:p>
    <w:p w14:paraId="02AA1D37">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（四）设备设施配备要求</w:t>
      </w:r>
    </w:p>
    <w:p w14:paraId="59C48521">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1、甲方提供厨房、餐厅等用餐场所及用具，乙方在服务期内应妥善使用并保管好，食堂设备设施出现损坏情况，乙方应在24小时内如实报告甲方，食堂设备设施维修维护[耗材单价 1000元(含)以内]，由乙方负责三个工作日内完成维修，甲方不再另行支付维修费用。如应乙方过错、人为损坏等情况发生设备损坏，由乙方负责维修到位并纳入日常考核，所有维修报价需报甲方审核方可实施。</w:t>
      </w:r>
    </w:p>
    <w:p w14:paraId="3E0DA8B9">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合同期限内，乙方对甲方员工食堂及相关设施设备只享有使用权，一切产权归甲方所有。合同期限结束后，乙方应确保所有设施设备齐全，均能正常使用，甲方将收回一切使用权，如乙方因工作原因需自行购置设备设施，需经甲方书面同意。</w:t>
      </w:r>
    </w:p>
    <w:p w14:paraId="5EFE9E3A">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（五）其他要求</w:t>
      </w:r>
    </w:p>
    <w:p w14:paraId="5CD97D38">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1、乙方必须按照劳动合同法的规定合法规范用工，并全面承担乙方职工涉及劳动关系的所有事宜。</w:t>
      </w:r>
    </w:p>
    <w:p w14:paraId="76734DCC">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2、乙方应了解乙方职工的思想动态、工作表现、遵纪情况以及甲方其他合理要求，提供最佳服务。</w:t>
      </w:r>
    </w:p>
    <w:p w14:paraId="050AD276">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3、根据甲方的服务要求设定工作岗位，分配工作任务，并对乙方人员的工作情况实行监督、检查、考核管理。</w:t>
      </w:r>
    </w:p>
    <w:p w14:paraId="799BED8D">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4、甲方</w:t>
      </w:r>
      <w:r>
        <w:rPr>
          <w:rFonts w:hint="eastAsia" w:ascii="宋体" w:hAnsi="宋体" w:eastAsia="宋体" w:cs="Times New Roman"/>
          <w:color w:val="auto"/>
          <w:kern w:val="2"/>
          <w:sz w:val="21"/>
          <w:szCs w:val="21"/>
          <w:highlight w:val="none"/>
        </w:rPr>
        <w:t>基于消防、安全生产、工作场所秩序等方面管理需要对</w:t>
      </w:r>
      <w:r>
        <w:rPr>
          <w:rFonts w:hint="eastAsia" w:ascii="宋体" w:hAnsi="宋体" w:eastAsia="宋体" w:cs="Times New Roman"/>
          <w:color w:val="auto"/>
          <w:kern w:val="2"/>
          <w:sz w:val="21"/>
          <w:szCs w:val="21"/>
          <w:highlight w:val="none"/>
          <w:lang w:val="en-US" w:eastAsia="zh-CN"/>
        </w:rPr>
        <w:t>乙方职工提出的整改意见乙方应督促员工及时整改</w:t>
      </w:r>
      <w:r>
        <w:rPr>
          <w:rFonts w:hint="eastAsia" w:ascii="宋体" w:hAnsi="宋体" w:eastAsia="宋体" w:cs="Times New Roman"/>
          <w:color w:val="auto"/>
          <w:kern w:val="2"/>
          <w:sz w:val="21"/>
          <w:szCs w:val="21"/>
          <w:highlight w:val="none"/>
          <w:lang w:val="en-US" w:eastAsia="zh-CN" w:bidi="ar-SA"/>
        </w:rPr>
        <w:t>。</w:t>
      </w:r>
    </w:p>
    <w:p w14:paraId="0BE05704">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5、乙方职工的居住（含寝具、住宿费等）、交通等生活事宜，由乙方自行解决。</w:t>
      </w:r>
    </w:p>
    <w:p w14:paraId="2A101512">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6、乙方职工应相对稳定，乙方须向甲方提供关键岗位工作人员的劳动合同复印件、关键岗位必须为乙方自有员工，如需调动需提前征求甲方意见。甲方认为其能力不行需进行调换时乙方必须在甲方规定时间内进行调换。</w:t>
      </w:r>
    </w:p>
    <w:p w14:paraId="64135B7E">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7、乙方应建立健全各项规章制度、岗位责任制、操作规程和各项台账。应标时提交管理组织架构图、岗位设置和人员分配表、岗位职责、岗位工作标准和流程、安全管理制度（食品安全、现场安全）、卫生管理制度、应急管理制度和应急预案、员工考勤和休假制度、人员更换和调整制度、员工考核制度等。</w:t>
      </w:r>
    </w:p>
    <w:p w14:paraId="7F96A362">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8、乙方需自行采购工作服，加强员工管理，统一着装（含衣、帽、口罩、防滑鞋等），规范考勤并报备甲方，甲方不定期抽查考核。</w:t>
      </w:r>
    </w:p>
    <w:p w14:paraId="581304C3">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9、乙方应每天组织召开部门早会，每周组织工作例会和食堂内部质量检查，每月组织员工技能培训和菜式推新，每季组织员工评先评优和员工活动，服务期内至少组织一次员工总结表彰大会和服务技能大赛。</w:t>
      </w:r>
    </w:p>
    <w:p w14:paraId="2140EAFF">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10、乙方应配合甲方做好食堂食材申报、验收、领用与保管工作，并严格遵守相关工作纪律。</w:t>
      </w:r>
    </w:p>
    <w:p w14:paraId="0D0F62B1">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11、乙方应配合甲方做好小卖部商品入库、上架、销售、盘点等工作，并严格遵守相关工作纪律。乙方每月最后一天开展盘点工作，对盘点结果中出现的盘盈盘亏情况，配合甲方进行原因分析，承担相应的赔偿责任并接受甲方考核。</w:t>
      </w:r>
    </w:p>
    <w:p w14:paraId="412BF91F">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12、甲方安排专人对乙方配置厨师烹饪的菜品进行试菜，试菜不通过，菜品不得进行售卖，同一厨师超过三次试菜不通过，甲方有权要求乙方更换厨师。</w:t>
      </w:r>
    </w:p>
    <w:p w14:paraId="775D93F9">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13、乙方应根据甲方需求对厨师岗位进行定期轮换，保证菜品口味不断更新，出餐品质不断改善。</w:t>
      </w:r>
    </w:p>
    <w:p w14:paraId="038B1FBD">
      <w:pPr>
        <w:keepNext w:val="0"/>
        <w:keepLines w:val="0"/>
        <w:widowControl/>
        <w:suppressLineNumbers w:val="0"/>
        <w:spacing w:line="440" w:lineRule="exact"/>
        <w:ind w:firstLine="422" w:firstLineChars="200"/>
        <w:jc w:val="left"/>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七、卫生管理要求</w:t>
      </w:r>
    </w:p>
    <w:p w14:paraId="40DFF1C2">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1、严格按照《中华人民共和国食品安全法》验收、清洗、加工要求制作食品，厨房用品用具严格实行一洗二过三消毒的规程。</w:t>
      </w:r>
    </w:p>
    <w:p w14:paraId="098A1DD2">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2、对食堂的厨房、餐厅、包厢等所有区域的卫生应按《4D》、《五常法》管理模式，实行分层负责，定置、定量、定位、定进出、定标识、责任到人。</w:t>
      </w:r>
    </w:p>
    <w:p w14:paraId="22A16CB4">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3、自觉接受食药监督部门和甲方管理人员对食堂内工作检查、监督。</w:t>
      </w:r>
    </w:p>
    <w:p w14:paraId="38521DA6">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4、每次就餐完毕，食堂工作人员应立即整理，清洗餐具、炊具、水池，擦试餐桌、餐椅、灶台和工作台，打扫地面残渣，保持地面干净，无水渍。</w:t>
      </w:r>
    </w:p>
    <w:p w14:paraId="1008D237">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5、冰箱、冰柜、物品柜等上面不得摆放无关杂物。必须保持有效除（驱）蚊、蝇措施；冰箱、冰柜内的物品应隔离、分区存放，防止串味；物品柜应每三日整理一次并保持清洁，不得放置与工作无关的私人物品。</w:t>
      </w:r>
    </w:p>
    <w:p w14:paraId="37B417E2">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6、每周末对厨房、餐厅的地面、桌椅、灶台、工作台、水池、厨柜、餐具、炊具等进彻底整理和清洁；每月的第一个星期日内应对食堂的门窗、墙面、墙角、天花板等进行彻底清洁。</w:t>
      </w:r>
    </w:p>
    <w:p w14:paraId="50C28F3F">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7、食物残渣、垃圾等应每日清理，保持周围环境卫生，做好除“四害”相关工作（蚊蝇多发季节每周至少全面消杀一次），并建立台账。</w:t>
      </w:r>
    </w:p>
    <w:p w14:paraId="7E9BFBB0">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8、餐厅、操作间、室外楼梯通道、食堂卫生间与食堂相连的户外排污管道疏通等均属于乙方管理范围，乙方须保证管理区域卫生、整洁，下水管道及污水井畅通，确保环境美观，无堵塞、无污染。</w:t>
      </w:r>
    </w:p>
    <w:p w14:paraId="35F79A4D">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9、乙方须对油烟管道、隔油池等进行日常维护，确保设备功能完善及卫生达标。</w:t>
      </w:r>
    </w:p>
    <w:p w14:paraId="035688CB">
      <w:pPr>
        <w:keepNext w:val="0"/>
        <w:keepLines w:val="0"/>
        <w:pageBreakBefore w:val="0"/>
        <w:widowControl/>
        <w:suppressLineNumbers w:val="0"/>
        <w:kinsoku/>
        <w:wordWrap/>
        <w:overflowPunct/>
        <w:topLinePunct w:val="0"/>
        <w:bidi w:val="0"/>
        <w:snapToGrid/>
        <w:spacing w:line="440" w:lineRule="exact"/>
        <w:ind w:firstLine="422" w:firstLineChars="200"/>
        <w:jc w:val="left"/>
        <w:textAlignment w:val="auto"/>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八、安全管理要求</w:t>
      </w:r>
    </w:p>
    <w:p w14:paraId="52C29E39">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乙方是食堂食品安全管理的直接责任人，须严格按照《国家食品安全法》等有关法律法规做好食品安全管理工作，坚决杜绝食物中毒事件发生。如若发生此类事件，乙方应积极配合处置，承担全部责任且赔偿相关损失。</w:t>
      </w:r>
    </w:p>
    <w:p w14:paraId="04D10ADB">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2、乙方是食堂消防安全的直接责任人，负责食堂消防设施、设备日常巡检，甲方有权监督乙方在使用食堂相关设备过程中的规范。</w:t>
      </w:r>
    </w:p>
    <w:p w14:paraId="3761FB28">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3、乙方自觉接受卫生防疫监督部门的检查和指导，对每餐制作的菜品进行留样，每份菜品留样重量不低于150g，留存时间不低于48小时。</w:t>
      </w:r>
    </w:p>
    <w:p w14:paraId="4D90D8EF">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乙方必须保证食堂的消防安全设施的完备性，不得占用消防安全专属空间及改变消防安全设施的专属用途。须每月对食堂工作人员进行消防安全教育培训，乙方须至少有一人持有消防培训合格证。每半年组织开展消防应急演练，增强事故预防和应急处理能力。</w:t>
      </w:r>
    </w:p>
    <w:p w14:paraId="7C7FAA3F">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5、乙方须制定完整的食堂工作相关应急预案（包括食物中毒、停水、停电、停气、火灾、爆炸等），并定期组织开展预案的演练工作，进一步提高应急处置能力，做好突发状况时员工的用餐保障。</w:t>
      </w:r>
    </w:p>
    <w:p w14:paraId="077050FB">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6、乙方员工进入甲方办公范围内必须遵守甲方有关安全规定，不得影响甲方的正常工作，由于乙方的过失造成甲方直接经济损失要负全部责任及赔偿一切损失。</w:t>
      </w:r>
    </w:p>
    <w:p w14:paraId="48E4B854">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7、明确专职或兼职管理人员负责安全管理工作。</w:t>
      </w:r>
    </w:p>
    <w:p w14:paraId="306E8807">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8、严禁使用任何变质或受污染的原料制作食品，防止食物中毒事件发生。</w:t>
      </w:r>
    </w:p>
    <w:p w14:paraId="67386655">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9、严格控制使用食品添加剂，注重食品卫生，防止食物中毒事件发生。</w:t>
      </w:r>
    </w:p>
    <w:p w14:paraId="1616B30E">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10、严格执行索证索源制度、农残测试、食品留样等制度，预防食物中毒事件发生。</w:t>
      </w:r>
    </w:p>
    <w:p w14:paraId="67CA1FB3">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11、规范管理制度，严禁食堂食材外携丢失发生。</w:t>
      </w:r>
    </w:p>
    <w:p w14:paraId="1F2AAC69">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12、下班后和设备使用完后落实关气、关电、关水、关门检查制度，预防火灾、偷盗事件发生。</w:t>
      </w:r>
    </w:p>
    <w:p w14:paraId="312CF6D7">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13、根据甲方要求，食堂区域内的消防设施（灭火器、消防栓等），由乙方负责对食堂区域设施进行日常巡查并做好相关记录，发现问题及时报甲方处理。</w:t>
      </w:r>
    </w:p>
    <w:p w14:paraId="41C7045F">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14、乙方送餐应使用合适的交通工具，遵守交通规则，乙方负责交通安全、食品安全。</w:t>
      </w:r>
    </w:p>
    <w:p w14:paraId="0B6B5329">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2" w:firstLineChars="200"/>
        <w:textAlignment w:val="auto"/>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九、节能管理要求</w:t>
      </w:r>
    </w:p>
    <w:p w14:paraId="484A9525">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1、明确专职或兼职管理人员负责节能管理工作。</w:t>
      </w:r>
    </w:p>
    <w:p w14:paraId="0D0D26DD">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2、做到厨房、更衣间等区域随手关灯，原料和餐具清洗完后应立即关闭水源，厨房制作完毕后立即关闭气阀气源。</w:t>
      </w:r>
    </w:p>
    <w:p w14:paraId="1C95F45A">
      <w:pPr>
        <w:keepNext w:val="0"/>
        <w:keepLines w:val="0"/>
        <w:widowControl/>
        <w:suppressLineNumbers w:val="0"/>
        <w:ind w:firstLine="422" w:firstLineChars="200"/>
        <w:jc w:val="left"/>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十、双方权利义务</w:t>
      </w:r>
    </w:p>
    <w:p w14:paraId="60458F42">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甲方严格按合同约定时间足额支付劳务服务费用，负责提供厨房和餐厅的所需设备、设施、工具、器皿，负责职工食堂食材、调味品、日常易耗品等采购和财务管理工作；乙方负责员工食堂食材采购计划申报、与甲方共同验收、领用及保管，负责食堂所有菜式加工、制作和打餐、送餐以及包厢供餐等食堂服务工作。乙方因管理需要投入的电脑、打印机等办公设备由乙方自理。</w:t>
      </w:r>
    </w:p>
    <w:p w14:paraId="701A666F">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2、甲方依法制定食堂工作日常监督管理规章制度，通过书面方式及时告知乙方。乙方要主动接受甲方日常监督检查，服从甲方管理。</w:t>
      </w:r>
    </w:p>
    <w:p w14:paraId="7F8AA002">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3、乙方配合甲方制定食堂所有售卖食品的价格及成本核算，乙方负责公示售卖信息。</w:t>
      </w:r>
    </w:p>
    <w:p w14:paraId="3C76D978">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4、乙方负责管理、服务团队的组建，负责员工配置、工资、福利待遇、服装及人事、劳资、保险等所有关系及相关业务的办理。乙方须按月足额发放员工工资及其他相关待遇，不得拖欠并接受甲方监督。</w:t>
      </w:r>
    </w:p>
    <w:p w14:paraId="76E93DE8">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5、乙方工作人员在工作期间发生的一切安全事故均由乙方承担全部责任。</w:t>
      </w:r>
    </w:p>
    <w:p w14:paraId="2F5D0A26">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6、乙方应当根据国家有关劳动安全、食药监督、卫生管理的规定及生产岗位需要为乙方员工配置和完善必要的安全防护措施、安全劳动保护用品。</w:t>
      </w:r>
    </w:p>
    <w:p w14:paraId="47E5082D">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7、乙方应根据国家有关法律、法规，建立健全安全生产制度。乙方员工应严格遵守安全生产制度。严禁违章作业，防止劳动过程中的事故，减少职业危害。</w:t>
      </w:r>
    </w:p>
    <w:p w14:paraId="3D7C0549">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8、乙方应建立、健全职业病防治责任制，制定并落实职业病防范措施。</w:t>
      </w:r>
    </w:p>
    <w:p w14:paraId="4FB05644">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9、乙方人员因不按规程操作，给甲方造成的经济损失，由乙方承担全部责任。</w:t>
      </w:r>
    </w:p>
    <w:p w14:paraId="20C2549D">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10、乙方在服务期内，对食堂区域内的消防安全、食品安全、人员安全负全部责任。</w:t>
      </w:r>
    </w:p>
    <w:p w14:paraId="167E5675">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11、乙方须遵守甲方制订的安全守则，教育员工严格遵守各项安全管理制度，每个员工须经培训后方可上岗。</w:t>
      </w:r>
    </w:p>
    <w:p w14:paraId="341F8CFF">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12、乙方应督促其工作人员不得违反消防、安全生产相关法律规定，造成安全事故、综治事件，或使甲方名誉和形象受损的，乙方应立即采取有效措施并进行相应赔偿。</w:t>
      </w:r>
    </w:p>
    <w:p w14:paraId="4A129C8F">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13、乙方须积极配合甲方员工食堂管理工作，因乙方服务质量、菜品质量等，且在甲方提出整改要求后，乙方仍拒不配合落实或无法保证按甲方要求落实时，甲方有权委托其它单位实施，并将所发生的费用直接从应付乙方费用中抵扣。</w:t>
      </w:r>
    </w:p>
    <w:p w14:paraId="25DD984A">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14、对于甲方采购的食材与物品，乙方人员存在私自夹带、偷窃的行为，甲方可要求将该人员退回，更换合格人员上岗，必要时将追究法律责任，并有权对乙方进行考核。</w:t>
      </w:r>
    </w:p>
    <w:p w14:paraId="7965B145">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15、如出现特殊情况（如：疫情、集中活动、集中会议等），乙方应服从甲方制定的应急方案，且须无条件配合甲方工作安排。</w:t>
      </w:r>
    </w:p>
    <w:p w14:paraId="4CE6EAF9">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16、甲方对乙方的有关考核，由甲方在乙方当期应付款项中兑现。</w:t>
      </w:r>
    </w:p>
    <w:p w14:paraId="006FF0BC">
      <w:pPr>
        <w:keepNext w:val="0"/>
        <w:keepLines w:val="0"/>
        <w:pageBreakBefore w:val="0"/>
        <w:kinsoku/>
        <w:wordWrap/>
        <w:overflowPunct/>
        <w:topLinePunct w:val="0"/>
        <w:bidi w:val="0"/>
        <w:spacing w:line="440" w:lineRule="exact"/>
        <w:ind w:firstLine="880" w:firstLineChars="200"/>
        <w:outlineLvl w:val="9"/>
        <w:rPr>
          <w:rFonts w:hAnsi="黑体"/>
          <w:color w:val="auto"/>
          <w:sz w:val="44"/>
          <w:szCs w:val="44"/>
          <w:highlight w:val="none"/>
        </w:rPr>
      </w:pPr>
      <w:r>
        <w:rPr>
          <w:rFonts w:hAnsi="黑体"/>
          <w:color w:val="auto"/>
          <w:sz w:val="44"/>
          <w:szCs w:val="44"/>
          <w:highlight w:val="none"/>
        </w:rPr>
        <w:br w:type="page"/>
      </w:r>
    </w:p>
    <w:p w14:paraId="4FB67872">
      <w:pPr>
        <w:pStyle w:val="80"/>
        <w:jc w:val="center"/>
        <w:outlineLvl w:val="1"/>
        <w:rPr>
          <w:rFonts w:hint="default"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标段二 干货商品类物资供应服务</w:t>
      </w:r>
    </w:p>
    <w:p w14:paraId="6E25E14C">
      <w:pPr>
        <w:pStyle w:val="80"/>
        <w:widowControl w:val="0"/>
        <w:numPr>
          <w:ilvl w:val="0"/>
          <w:numId w:val="0"/>
        </w:numPr>
        <w:autoSpaceDE w:val="0"/>
        <w:autoSpaceDN w:val="0"/>
        <w:adjustRightInd w:val="0"/>
        <w:rPr>
          <w:rFonts w:hint="eastAsia"/>
          <w:highlight w:val="none"/>
        </w:rPr>
      </w:pPr>
    </w:p>
    <w:p w14:paraId="30FEA390">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2" w:firstLineChars="200"/>
        <w:textAlignment w:val="auto"/>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一、服务项目</w:t>
      </w:r>
    </w:p>
    <w:p w14:paraId="6EAF04BF">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2026-2028年员工食堂劳务外包、物资供应项目</w:t>
      </w:r>
    </w:p>
    <w:p w14:paraId="34819556">
      <w:pPr>
        <w:keepNext w:val="0"/>
        <w:keepLines w:val="0"/>
        <w:pageBreakBefore w:val="0"/>
        <w:widowControl/>
        <w:suppressLineNumbers w:val="0"/>
        <w:kinsoku/>
        <w:wordWrap/>
        <w:overflowPunct/>
        <w:topLinePunct w:val="0"/>
        <w:bidi w:val="0"/>
        <w:snapToGrid/>
        <w:spacing w:line="440" w:lineRule="exact"/>
        <w:ind w:firstLine="420" w:firstLineChars="200"/>
        <w:jc w:val="left"/>
        <w:textAlignment w:val="auto"/>
        <w:rPr>
          <w:rFonts w:hint="eastAsia" w:ascii="宋体" w:hAnsi="宋体" w:eastAsia="宋体" w:cs="宋体"/>
          <w:b/>
          <w:color w:val="auto"/>
          <w:kern w:val="2"/>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rPr>
        <w:t>★</w:t>
      </w:r>
      <w:r>
        <w:rPr>
          <w:rFonts w:hint="eastAsia" w:ascii="宋体" w:hAnsi="宋体" w:eastAsia="宋体" w:cs="宋体"/>
          <w:b/>
          <w:color w:val="auto"/>
          <w:kern w:val="2"/>
          <w:sz w:val="21"/>
          <w:szCs w:val="21"/>
          <w:highlight w:val="none"/>
          <w:lang w:val="en-US" w:eastAsia="zh-CN" w:bidi="ar-SA"/>
        </w:rPr>
        <w:t>二、服务地点</w:t>
      </w:r>
    </w:p>
    <w:p w14:paraId="73E967CE">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长沙市长沙县东五路与大元路交叉口东南220米（黄梨路车辆段员工食堂）、长沙市望城区泉水路600号（梧桐路停车场员工食堂）。</w:t>
      </w:r>
    </w:p>
    <w:p w14:paraId="720B04E8">
      <w:pPr>
        <w:keepNext w:val="0"/>
        <w:keepLines w:val="0"/>
        <w:pageBreakBefore w:val="0"/>
        <w:widowControl/>
        <w:suppressLineNumbers w:val="0"/>
        <w:kinsoku/>
        <w:wordWrap/>
        <w:overflowPunct/>
        <w:topLinePunct w:val="0"/>
        <w:bidi w:val="0"/>
        <w:snapToGrid/>
        <w:spacing w:line="440" w:lineRule="exact"/>
        <w:ind w:firstLine="420" w:firstLineChars="200"/>
        <w:jc w:val="left"/>
        <w:textAlignment w:val="auto"/>
        <w:rPr>
          <w:rFonts w:hint="eastAsia" w:ascii="宋体" w:hAnsi="宋体" w:eastAsia="宋体" w:cs="宋体"/>
          <w:b/>
          <w:color w:val="auto"/>
          <w:kern w:val="2"/>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rPr>
        <w:t>★</w:t>
      </w:r>
      <w:r>
        <w:rPr>
          <w:rFonts w:hint="eastAsia" w:ascii="宋体" w:hAnsi="宋体" w:eastAsia="宋体" w:cs="宋体"/>
          <w:b/>
          <w:color w:val="auto"/>
          <w:kern w:val="2"/>
          <w:sz w:val="21"/>
          <w:szCs w:val="21"/>
          <w:highlight w:val="none"/>
          <w:lang w:val="en-US" w:eastAsia="zh-CN" w:bidi="ar-SA"/>
        </w:rPr>
        <w:t>三、服务范围</w:t>
      </w:r>
    </w:p>
    <w:p w14:paraId="4FDBC4D0">
      <w:pPr>
        <w:keepNext w:val="0"/>
        <w:keepLines w:val="0"/>
        <w:pageBreakBefore w:val="0"/>
        <w:kinsoku/>
        <w:wordWrap/>
        <w:overflowPunct/>
        <w:topLinePunct w:val="0"/>
        <w:bidi w:val="0"/>
        <w:snapToGrid/>
        <w:spacing w:line="440" w:lineRule="exact"/>
        <w:ind w:firstLine="420" w:firstLineChars="200"/>
        <w:textAlignment w:val="auto"/>
        <w:outlineLvl w:val="9"/>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为</w:t>
      </w:r>
      <w:r>
        <w:rPr>
          <w:rFonts w:hint="eastAsia" w:ascii="宋体" w:hAnsi="宋体" w:eastAsia="宋体" w:cs="Times New Roman"/>
          <w:color w:val="auto"/>
          <w:szCs w:val="21"/>
          <w:highlight w:val="none"/>
          <w:lang w:eastAsia="zh-CN"/>
        </w:rPr>
        <w:t>甲方黄梨路车辆段和梧桐路停车场员工食堂</w:t>
      </w:r>
      <w:r>
        <w:rPr>
          <w:rFonts w:hint="eastAsia" w:ascii="宋体" w:hAnsi="宋体" w:eastAsia="宋体" w:cs="Times New Roman"/>
          <w:color w:val="auto"/>
          <w:szCs w:val="21"/>
          <w:highlight w:val="none"/>
          <w:lang w:val="en-US" w:eastAsia="zh-CN"/>
        </w:rPr>
        <w:t>提供</w:t>
      </w:r>
      <w:r>
        <w:rPr>
          <w:rFonts w:hint="eastAsia" w:ascii="宋体" w:hAnsi="宋体" w:eastAsia="宋体" w:cs="Times New Roman"/>
          <w:color w:val="auto"/>
          <w:szCs w:val="21"/>
          <w:highlight w:val="none"/>
          <w:lang w:eastAsia="zh-CN"/>
        </w:rPr>
        <w:t>日常经营所需干货商品类，包括但不限于干货类食品原材料（粮油、奶及奶制品、大豆类、调味品</w:t>
      </w:r>
      <w:r>
        <w:rPr>
          <w:rFonts w:hint="eastAsia" w:ascii="宋体" w:hAnsi="宋体" w:eastAsia="宋体" w:cs="Times New Roman"/>
          <w:color w:val="auto"/>
          <w:szCs w:val="21"/>
          <w:highlight w:val="none"/>
          <w:lang w:val="en-US" w:eastAsia="zh-CN"/>
        </w:rPr>
        <w:t>及</w:t>
      </w:r>
      <w:r>
        <w:rPr>
          <w:rFonts w:hint="eastAsia" w:ascii="宋体" w:hAnsi="宋体" w:eastAsia="宋体" w:cs="Times New Roman"/>
          <w:color w:val="auto"/>
          <w:szCs w:val="21"/>
          <w:highlight w:val="none"/>
          <w:lang w:eastAsia="zh-CN"/>
        </w:rPr>
        <w:t>其他常用干货食材等）；食堂耗材（清洁卫生用品、厨具用品、餐具用品（含一次性餐具））；辅助类商品（日用日化品、水饮、饼干、面包、剁辣椒、老干妈、泡面、食堂场所活动布置所需物料等零星物资等）；</w:t>
      </w:r>
      <w:r>
        <w:rPr>
          <w:rFonts w:hint="eastAsia" w:ascii="宋体" w:hAnsi="宋体" w:eastAsia="宋体" w:cs="Times New Roman"/>
          <w:color w:val="auto"/>
          <w:szCs w:val="21"/>
          <w:highlight w:val="none"/>
          <w:lang w:val="en-US" w:eastAsia="zh-CN"/>
        </w:rPr>
        <w:t>上述物资中包含乡村振兴</w:t>
      </w:r>
      <w:r>
        <w:rPr>
          <w:rFonts w:hint="default" w:ascii="宋体" w:hAnsi="宋体" w:eastAsia="宋体" w:cs="Times New Roman"/>
          <w:color w:val="auto"/>
          <w:szCs w:val="21"/>
          <w:highlight w:val="none"/>
          <w:lang w:val="en-US"/>
        </w:rPr>
        <w:t>农副产品</w:t>
      </w:r>
      <w:r>
        <w:rPr>
          <w:rFonts w:hint="eastAsia" w:ascii="宋体" w:hAnsi="宋体" w:eastAsia="宋体" w:cs="Times New Roman"/>
          <w:color w:val="auto"/>
          <w:szCs w:val="21"/>
          <w:highlight w:val="none"/>
          <w:lang w:val="en-US" w:eastAsia="zh-CN"/>
        </w:rPr>
        <w:t>。</w:t>
      </w:r>
    </w:p>
    <w:p w14:paraId="4236BA73">
      <w:pPr>
        <w:keepNext w:val="0"/>
        <w:keepLines w:val="0"/>
        <w:pageBreakBefore w:val="0"/>
        <w:kinsoku/>
        <w:wordWrap/>
        <w:overflowPunct/>
        <w:topLinePunct w:val="0"/>
        <w:bidi w:val="0"/>
        <w:snapToGrid/>
        <w:spacing w:line="440" w:lineRule="exact"/>
        <w:ind w:firstLine="420" w:firstLineChars="200"/>
        <w:textAlignment w:val="auto"/>
        <w:outlineLvl w:val="9"/>
        <w:rPr>
          <w:rFonts w:hint="eastAsia" w:ascii="宋体" w:hAnsi="宋体" w:eastAsia="宋体" w:cs="宋体"/>
          <w:b/>
          <w:color w:val="auto"/>
          <w:kern w:val="2"/>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rPr>
        <w:t>★</w:t>
      </w:r>
      <w:r>
        <w:rPr>
          <w:rFonts w:hint="eastAsia" w:ascii="宋体" w:hAnsi="宋体" w:eastAsia="宋体" w:cs="宋体"/>
          <w:b/>
          <w:color w:val="auto"/>
          <w:kern w:val="2"/>
          <w:sz w:val="21"/>
          <w:szCs w:val="21"/>
          <w:highlight w:val="none"/>
          <w:lang w:val="en-US" w:eastAsia="zh-CN" w:bidi="ar-SA"/>
        </w:rPr>
        <w:t>四、履行方式</w:t>
      </w:r>
    </w:p>
    <w:p w14:paraId="0E5CB161">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主要包括运输方式与交货方式等。</w:t>
      </w:r>
    </w:p>
    <w:p w14:paraId="3ABAB627">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运输方式：由乙方采用专用配送车辆免费运输到甲方指定地点。</w:t>
      </w:r>
    </w:p>
    <w:p w14:paraId="74265C6D">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交货方式：定时交货，每周一下午15：00前将甲方所预订的货物送至甲方指定地点。每月20号下午16：00前按时将每月25号现有的货物种类及价格报送至甲方，乙方按照甲方下单的货物种类和数量，按时足量送货。具体以实际需求为准。</w:t>
      </w:r>
    </w:p>
    <w:p w14:paraId="67B40EA2">
      <w:pPr>
        <w:keepNext w:val="0"/>
        <w:keepLines w:val="0"/>
        <w:widowControl/>
        <w:suppressLineNumbers w:val="0"/>
        <w:ind w:firstLine="422" w:firstLineChars="200"/>
        <w:jc w:val="left"/>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五、运输及包装要求</w:t>
      </w:r>
    </w:p>
    <w:p w14:paraId="345A4541">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（一）乙方如供应需冷藏的食材，则必须使用厢式食品专用冷藏车辆和专用容器进行运输，不得敞露运输。</w:t>
      </w:r>
    </w:p>
    <w:p w14:paraId="0C2D833E">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（二）乙方提供的货物必须做到专车专送，不得与非甲方的货物混合装运。</w:t>
      </w:r>
    </w:p>
    <w:p w14:paraId="20FDFF1E">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三）乙方应保证周转包装容器和运输车辆的清洁卫生，防止食品在运输过程中受到污染。运输车辆应当保持清洁，无霉斑、鼠迹、苍蝇、蟑螂，不得存放有毒、有害物品及个人生活用品。周转包装容器和车辆在每次配送前应进行清洗消毒。乙方应保证转包装容器和运输车辆的清洁卫生符合国家、行业的相关规定。</w:t>
      </w:r>
    </w:p>
    <w:p w14:paraId="1A384616">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（四）乙方将货物运送至甲方指定交货地点并交付给甲方指定收货人前的货物运输及搬运工作由乙方负责，相关的运输费用、搬运费用、保险、保管、货物灭失及毁损的风险亦由乙方承担。</w:t>
      </w:r>
    </w:p>
    <w:p w14:paraId="7F0A4581">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五）干货商品类非定量简易包装的食材应使用独立洁净的食品盛放箱（筐）放置，避免挤压。乙方应保证具有对各类货物进行冷冻储藏或保鲜储藏的设施，所有储藏设施符合国家、行业标准和规范，以保持食品新鲜度。</w:t>
      </w:r>
    </w:p>
    <w:p w14:paraId="079B6AEE">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六）乙方应根据货物实际特点进行额外的坚固包装使其防水、防潮、防腐、防锈、防震等，并在正常情况下适于水运、空运和长途内陆运输及反复装卸和搬运的要求，保证所送货物包装完好无损，包装费用由乙方承担。另外乙方应根据货物的特点及其对装卸操作的要求在包装箱显著位置以中文标明“保持干燥”，“小心轻放”，“此面向上”等国际惯用图示。</w:t>
      </w:r>
    </w:p>
    <w:p w14:paraId="183AF714">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（七）乙方运输人员应身体健康，无传染性疾病。</w:t>
      </w:r>
    </w:p>
    <w:p w14:paraId="67362BE0">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宋体"/>
          <w:b/>
          <w:color w:val="auto"/>
          <w:kern w:val="2"/>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rPr>
        <w:t>★</w:t>
      </w:r>
      <w:r>
        <w:rPr>
          <w:rFonts w:hint="eastAsia" w:ascii="宋体" w:hAnsi="宋体" w:eastAsia="宋体" w:cs="宋体"/>
          <w:b/>
          <w:color w:val="auto"/>
          <w:kern w:val="2"/>
          <w:sz w:val="21"/>
          <w:szCs w:val="21"/>
          <w:highlight w:val="none"/>
          <w:lang w:val="en-US" w:eastAsia="zh-CN" w:bidi="ar-SA"/>
        </w:rPr>
        <w:t>六、质量要求</w:t>
      </w:r>
    </w:p>
    <w:p w14:paraId="5FEBEE2F">
      <w:pPr>
        <w:keepNext w:val="0"/>
        <w:keepLines w:val="0"/>
        <w:pageBreakBefore w:val="0"/>
        <w:widowControl w:val="0"/>
        <w:kinsoku/>
        <w:wordWrap/>
        <w:overflowPunct w:val="0"/>
        <w:topLinePunct w:val="0"/>
        <w:autoSpaceDE w:val="0"/>
        <w:autoSpaceDN w:val="0"/>
        <w:bidi w:val="0"/>
        <w:adjustRightInd w:val="0"/>
        <w:snapToGrid w:val="0"/>
        <w:spacing w:line="440" w:lineRule="exact"/>
        <w:ind w:left="0" w:firstLine="420" w:firstLineChars="200"/>
        <w:jc w:val="left"/>
        <w:rPr>
          <w:rFonts w:hint="eastAsia" w:ascii="宋体" w:hAnsi="宋体" w:eastAsia="宋体" w:cs="宋体"/>
          <w:b/>
          <w:kern w:val="0"/>
          <w:sz w:val="21"/>
          <w:szCs w:val="21"/>
          <w:highlight w:val="none"/>
        </w:rPr>
      </w:pPr>
      <w:r>
        <w:rPr>
          <w:rFonts w:hint="eastAsia" w:ascii="宋体" w:hAnsi="宋体" w:eastAsia="宋体" w:cs="宋体"/>
          <w:kern w:val="0"/>
          <w:sz w:val="21"/>
          <w:szCs w:val="21"/>
          <w:highlight w:val="none"/>
        </w:rPr>
        <w:t>送货质量须符合下列要求，否则甲方有权退换货</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rPr>
        <w:t>相应的运输、装卸、调换</w:t>
      </w:r>
      <w:r>
        <w:rPr>
          <w:rFonts w:hint="eastAsia" w:ascii="宋体" w:hAnsi="宋体" w:eastAsia="宋体" w:cs="宋体"/>
          <w:kern w:val="0"/>
          <w:sz w:val="21"/>
          <w:szCs w:val="21"/>
          <w:highlight w:val="none"/>
          <w:lang w:val="en-US" w:eastAsia="zh-CN"/>
        </w:rPr>
        <w:t>等</w:t>
      </w:r>
      <w:r>
        <w:rPr>
          <w:rFonts w:hint="eastAsia" w:ascii="宋体" w:hAnsi="宋体" w:eastAsia="宋体" w:cs="宋体"/>
          <w:kern w:val="0"/>
          <w:sz w:val="21"/>
          <w:szCs w:val="21"/>
          <w:highlight w:val="none"/>
        </w:rPr>
        <w:t>退换货的全部费用由乙方自行承担。</w:t>
      </w:r>
    </w:p>
    <w:p w14:paraId="7B1ADB99">
      <w:pPr>
        <w:keepNext w:val="0"/>
        <w:keepLines w:val="0"/>
        <w:pageBreakBefore w:val="0"/>
        <w:widowControl w:val="0"/>
        <w:kinsoku/>
        <w:wordWrap/>
        <w:overflowPunct w:val="0"/>
        <w:topLinePunct w:val="0"/>
        <w:autoSpaceDE w:val="0"/>
        <w:autoSpaceDN w:val="0"/>
        <w:bidi w:val="0"/>
        <w:adjustRightInd w:val="0"/>
        <w:snapToGrid w:val="0"/>
        <w:spacing w:line="440" w:lineRule="exact"/>
        <w:ind w:left="0" w:firstLine="420" w:firstLineChars="200"/>
        <w:jc w:val="left"/>
        <w:rPr>
          <w:rFonts w:hint="eastAsia" w:ascii="宋体" w:hAnsi="宋体" w:eastAsia="宋体" w:cs="宋体"/>
          <w:bCs/>
          <w:sz w:val="21"/>
          <w:szCs w:val="21"/>
          <w:highlight w:val="none"/>
        </w:rPr>
      </w:pP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一</w:t>
      </w:r>
      <w:r>
        <w:rPr>
          <w:rFonts w:hint="eastAsia" w:ascii="宋体" w:hAnsi="宋体" w:eastAsia="宋体" w:cs="宋体"/>
          <w:sz w:val="21"/>
          <w:szCs w:val="21"/>
          <w:highlight w:val="none"/>
        </w:rPr>
        <w:t>）</w:t>
      </w:r>
      <w:r>
        <w:rPr>
          <w:rFonts w:hint="eastAsia" w:ascii="宋体" w:hAnsi="宋体" w:eastAsia="宋体" w:cs="宋体"/>
          <w:bCs/>
          <w:sz w:val="21"/>
          <w:szCs w:val="21"/>
          <w:highlight w:val="none"/>
        </w:rPr>
        <w:t>粮油、副食（</w:t>
      </w:r>
      <w:r>
        <w:rPr>
          <w:rFonts w:hint="eastAsia" w:ascii="宋体" w:hAnsi="宋体" w:cs="宋体"/>
          <w:bCs/>
          <w:sz w:val="21"/>
          <w:szCs w:val="21"/>
          <w:highlight w:val="none"/>
          <w:lang w:eastAsia="zh-CN"/>
        </w:rPr>
        <w:t>干货商品类</w:t>
      </w:r>
      <w:r>
        <w:rPr>
          <w:rFonts w:hint="eastAsia" w:ascii="宋体" w:hAnsi="宋体" w:eastAsia="宋体" w:cs="宋体"/>
          <w:bCs/>
          <w:sz w:val="21"/>
          <w:szCs w:val="21"/>
          <w:highlight w:val="none"/>
        </w:rPr>
        <w:t>不能有异味、霉点，应确保</w:t>
      </w:r>
      <w:r>
        <w:rPr>
          <w:rFonts w:hint="eastAsia" w:ascii="宋体" w:hAnsi="宋体" w:cs="宋体"/>
          <w:bCs/>
          <w:sz w:val="21"/>
          <w:szCs w:val="21"/>
          <w:highlight w:val="none"/>
          <w:lang w:eastAsia="zh-CN"/>
        </w:rPr>
        <w:t>干货商品类</w:t>
      </w:r>
      <w:r>
        <w:rPr>
          <w:rFonts w:hint="eastAsia" w:ascii="宋体" w:hAnsi="宋体" w:eastAsia="宋体" w:cs="宋体"/>
          <w:bCs/>
          <w:sz w:val="21"/>
          <w:szCs w:val="21"/>
          <w:highlight w:val="none"/>
        </w:rPr>
        <w:t>的原有气味，同时保证色泽良好）、奶及奶制品、大豆类、调味品</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lang w:val="en-US" w:eastAsia="zh-CN"/>
        </w:rPr>
        <w:t>辅助类商品</w:t>
      </w:r>
      <w:r>
        <w:rPr>
          <w:rFonts w:hint="eastAsia" w:ascii="宋体" w:hAnsi="宋体" w:eastAsia="宋体" w:cs="宋体"/>
          <w:bCs/>
          <w:sz w:val="21"/>
          <w:szCs w:val="21"/>
          <w:highlight w:val="none"/>
        </w:rPr>
        <w:t>等由正规厂家生产，相关证件齐全，符合国家食品卫生等相关标准</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lang w:val="en-US" w:eastAsia="zh-CN"/>
        </w:rPr>
        <w:t>交货时需随车提供相应证明文件以供甲方查验</w:t>
      </w:r>
      <w:r>
        <w:rPr>
          <w:rFonts w:hint="eastAsia" w:ascii="宋体" w:hAnsi="宋体" w:eastAsia="宋体" w:cs="宋体"/>
          <w:bCs/>
          <w:sz w:val="21"/>
          <w:szCs w:val="21"/>
          <w:highlight w:val="none"/>
        </w:rPr>
        <w:t>。</w:t>
      </w:r>
    </w:p>
    <w:p w14:paraId="256B7AA1">
      <w:pPr>
        <w:keepNext w:val="0"/>
        <w:keepLines w:val="0"/>
        <w:pageBreakBefore w:val="0"/>
        <w:widowControl w:val="0"/>
        <w:kinsoku/>
        <w:wordWrap/>
        <w:overflowPunct w:val="0"/>
        <w:topLinePunct w:val="0"/>
        <w:autoSpaceDE w:val="0"/>
        <w:autoSpaceDN w:val="0"/>
        <w:bidi w:val="0"/>
        <w:adjustRightInd w:val="0"/>
        <w:snapToGrid w:val="0"/>
        <w:spacing w:line="440" w:lineRule="exact"/>
        <w:ind w:left="0" w:firstLine="420" w:firstLineChars="200"/>
        <w:jc w:val="left"/>
        <w:rPr>
          <w:rFonts w:hint="eastAsia" w:ascii="宋体" w:hAnsi="宋体" w:eastAsia="宋体" w:cs="宋体"/>
          <w:bCs/>
          <w:sz w:val="21"/>
          <w:szCs w:val="21"/>
          <w:highlight w:val="none"/>
        </w:rPr>
      </w:pPr>
      <w:bookmarkStart w:id="53" w:name="_Hlk77844677"/>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二</w:t>
      </w:r>
      <w:r>
        <w:rPr>
          <w:rFonts w:hint="eastAsia" w:ascii="宋体" w:hAnsi="宋体" w:eastAsia="宋体" w:cs="宋体"/>
          <w:sz w:val="21"/>
          <w:szCs w:val="21"/>
          <w:highlight w:val="none"/>
        </w:rPr>
        <w:t>）</w:t>
      </w:r>
      <w:r>
        <w:rPr>
          <w:rFonts w:hint="eastAsia" w:ascii="宋体" w:hAnsi="宋体" w:eastAsia="宋体" w:cs="宋体"/>
          <w:bCs/>
          <w:sz w:val="21"/>
          <w:szCs w:val="21"/>
          <w:highlight w:val="none"/>
        </w:rPr>
        <w:t>凡是有保质期的货物，必须确保收货时的保质有效期不低于本货物保质期的三分之二。</w:t>
      </w:r>
    </w:p>
    <w:p w14:paraId="773CD1B0">
      <w:pPr>
        <w:keepNext w:val="0"/>
        <w:keepLines w:val="0"/>
        <w:pageBreakBefore w:val="0"/>
        <w:widowControl w:val="0"/>
        <w:kinsoku/>
        <w:wordWrap/>
        <w:overflowPunct w:val="0"/>
        <w:topLinePunct w:val="0"/>
        <w:autoSpaceDE w:val="0"/>
        <w:autoSpaceDN w:val="0"/>
        <w:bidi w:val="0"/>
        <w:adjustRightInd w:val="0"/>
        <w:snapToGrid w:val="0"/>
        <w:spacing w:line="440" w:lineRule="exact"/>
        <w:ind w:left="0" w:firstLine="420" w:firstLineChars="200"/>
        <w:jc w:val="left"/>
        <w:rPr>
          <w:rFonts w:hint="eastAsia" w:ascii="宋体" w:hAnsi="宋体" w:eastAsia="宋体" w:cs="宋体"/>
          <w:bCs/>
          <w:sz w:val="21"/>
          <w:szCs w:val="21"/>
          <w:highlight w:val="none"/>
        </w:rPr>
      </w:pP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三</w:t>
      </w:r>
      <w:r>
        <w:rPr>
          <w:rFonts w:hint="eastAsia" w:ascii="宋体" w:hAnsi="宋体" w:eastAsia="宋体" w:cs="宋体"/>
          <w:sz w:val="21"/>
          <w:szCs w:val="21"/>
          <w:highlight w:val="none"/>
        </w:rPr>
        <w:t>）</w:t>
      </w:r>
      <w:r>
        <w:rPr>
          <w:rFonts w:hint="eastAsia" w:ascii="宋体" w:hAnsi="宋体" w:eastAsia="宋体" w:cs="宋体"/>
          <w:bCs/>
          <w:sz w:val="21"/>
          <w:szCs w:val="21"/>
          <w:highlight w:val="none"/>
        </w:rPr>
        <w:t>耗材类产品应符合甲方需求，不得提供“三无产品”。</w:t>
      </w:r>
    </w:p>
    <w:bookmarkEnd w:id="53"/>
    <w:p w14:paraId="77724EB5">
      <w:pPr>
        <w:keepNext w:val="0"/>
        <w:keepLines w:val="0"/>
        <w:pageBreakBefore w:val="0"/>
        <w:widowControl w:val="0"/>
        <w:kinsoku/>
        <w:wordWrap/>
        <w:overflowPunct w:val="0"/>
        <w:topLinePunct w:val="0"/>
        <w:autoSpaceDE w:val="0"/>
        <w:autoSpaceDN w:val="0"/>
        <w:bidi w:val="0"/>
        <w:adjustRightInd w:val="0"/>
        <w:snapToGrid w:val="0"/>
        <w:spacing w:line="440" w:lineRule="exact"/>
        <w:ind w:firstLine="422" w:firstLineChars="20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七</w:t>
      </w:r>
      <w:r>
        <w:rPr>
          <w:rFonts w:hint="eastAsia" w:ascii="宋体" w:hAnsi="宋体" w:eastAsia="宋体" w:cs="宋体"/>
          <w:b/>
          <w:bCs/>
          <w:sz w:val="21"/>
          <w:szCs w:val="21"/>
          <w:highlight w:val="none"/>
        </w:rPr>
        <w:t>、采购清单</w:t>
      </w:r>
    </w:p>
    <w:p w14:paraId="1EB0D879">
      <w:pPr>
        <w:keepNext w:val="0"/>
        <w:keepLines w:val="0"/>
        <w:pageBreakBefore w:val="0"/>
        <w:widowControl w:val="0"/>
        <w:kinsoku/>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宋体"/>
          <w:b/>
          <w:bCs/>
          <w:sz w:val="21"/>
          <w:szCs w:val="21"/>
          <w:highlight w:val="none"/>
        </w:rPr>
      </w:pPr>
      <w:bookmarkStart w:id="54" w:name="_Hlk77583243"/>
      <w:r>
        <w:rPr>
          <w:rFonts w:hint="eastAsia" w:ascii="宋体" w:hAnsi="宋体" w:eastAsia="宋体" w:cs="宋体"/>
          <w:sz w:val="21"/>
          <w:szCs w:val="21"/>
          <w:highlight w:val="none"/>
        </w:rPr>
        <w:t>干货商品类包括但不限于以下品种:</w:t>
      </w:r>
    </w:p>
    <w:bookmarkEnd w:id="54"/>
    <w:tbl>
      <w:tblPr>
        <w:tblStyle w:val="64"/>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32" w:type="dxa"/>
          <w:left w:w="64" w:type="dxa"/>
          <w:bottom w:w="32" w:type="dxa"/>
          <w:right w:w="64" w:type="dxa"/>
        </w:tblCellMar>
      </w:tblPr>
      <w:tblGrid>
        <w:gridCol w:w="936"/>
        <w:gridCol w:w="1355"/>
        <w:gridCol w:w="6231"/>
      </w:tblGrid>
      <w:tr w14:paraId="35A76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tblHeader/>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F485F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13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E9832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大类</w:t>
            </w:r>
          </w:p>
        </w:tc>
        <w:tc>
          <w:tcPr>
            <w:tcW w:w="6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6C9C3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细分类</w:t>
            </w:r>
          </w:p>
        </w:tc>
      </w:tr>
      <w:tr w14:paraId="79E7C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76C68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3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CA951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干货</w:t>
            </w:r>
          </w:p>
        </w:tc>
        <w:tc>
          <w:tcPr>
            <w:tcW w:w="6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84BF3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干果、干蔬、干菌等</w:t>
            </w:r>
          </w:p>
        </w:tc>
      </w:tr>
      <w:tr w14:paraId="7F6F4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79C4D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3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48032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粮油</w:t>
            </w:r>
          </w:p>
        </w:tc>
        <w:tc>
          <w:tcPr>
            <w:tcW w:w="6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184DA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大米、食用油、小麦粉等</w:t>
            </w:r>
          </w:p>
        </w:tc>
      </w:tr>
      <w:tr w14:paraId="5FBF8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008F5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3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141EE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调料</w:t>
            </w:r>
          </w:p>
        </w:tc>
        <w:tc>
          <w:tcPr>
            <w:tcW w:w="6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88F01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鸡精、味精、食盐、料酒、陈醋、生抽、酱油、蚝油等</w:t>
            </w:r>
          </w:p>
        </w:tc>
      </w:tr>
      <w:tr w14:paraId="7AB6C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4D3D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13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757C9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豆类</w:t>
            </w:r>
          </w:p>
        </w:tc>
        <w:tc>
          <w:tcPr>
            <w:tcW w:w="6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70734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大豆、绿豆等</w:t>
            </w:r>
          </w:p>
        </w:tc>
      </w:tr>
      <w:tr w14:paraId="6A6DA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F3798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13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E2B18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奶及奶制品</w:t>
            </w:r>
          </w:p>
        </w:tc>
        <w:tc>
          <w:tcPr>
            <w:tcW w:w="6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403ED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酸奶、纯牛奶</w:t>
            </w:r>
          </w:p>
        </w:tc>
      </w:tr>
      <w:tr w14:paraId="29004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DD6AA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13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FFA49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辅助类商品</w:t>
            </w:r>
          </w:p>
        </w:tc>
        <w:tc>
          <w:tcPr>
            <w:tcW w:w="6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2F1EC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包装饮用水、饮料、预包装食品、日用日化品</w:t>
            </w:r>
            <w:r>
              <w:rPr>
                <w:rStyle w:val="170"/>
                <w:rFonts w:ascii="宋体" w:eastAsia="宋体"/>
                <w:sz w:val="21"/>
                <w:highlight w:val="none"/>
                <w:lang w:val="en-US" w:eastAsia="zh-CN" w:bidi="ar"/>
              </w:rPr>
              <w:t>等</w:t>
            </w:r>
          </w:p>
        </w:tc>
      </w:tr>
      <w:tr w14:paraId="4F4CA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AC36E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13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7D839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耗材</w:t>
            </w:r>
          </w:p>
        </w:tc>
        <w:tc>
          <w:tcPr>
            <w:tcW w:w="6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B6009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一次性餐具、餐具、清洁用品、厨具等</w:t>
            </w:r>
          </w:p>
        </w:tc>
      </w:tr>
      <w:tr w14:paraId="4F17D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8522"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9BE54">
            <w:pPr>
              <w:snapToGrid w:val="0"/>
              <w:jc w:val="center"/>
              <w:rPr>
                <w:rFonts w:hint="eastAsia" w:ascii="宋体" w:hAnsi="宋体" w:eastAsia="宋体" w:cs="宋体"/>
                <w:i w:val="0"/>
                <w:iCs w:val="0"/>
                <w:color w:val="000000"/>
                <w:sz w:val="21"/>
                <w:szCs w:val="22"/>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干货</w:t>
            </w:r>
          </w:p>
        </w:tc>
      </w:tr>
      <w:tr w14:paraId="2EF6F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3B4AF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13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9B2CC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项目名称</w:t>
            </w:r>
          </w:p>
        </w:tc>
        <w:tc>
          <w:tcPr>
            <w:tcW w:w="6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86745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参数</w:t>
            </w:r>
          </w:p>
        </w:tc>
      </w:tr>
      <w:tr w14:paraId="30516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28FCE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BAA33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干果</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07625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w:t>
            </w:r>
            <w:r>
              <w:rPr>
                <w:rStyle w:val="222"/>
                <w:rFonts w:ascii="宋体" w:eastAsia="宋体"/>
                <w:sz w:val="21"/>
                <w:highlight w:val="none"/>
                <w:lang w:val="en-US" w:eastAsia="zh-CN" w:bidi="ar"/>
              </w:rPr>
              <w:t xml:space="preserve"> </w:t>
            </w:r>
            <w:r>
              <w:rPr>
                <w:rStyle w:val="212"/>
                <w:rFonts w:ascii="宋体" w:eastAsia="宋体"/>
                <w:sz w:val="21"/>
                <w:highlight w:val="none"/>
                <w:lang w:val="en-US" w:eastAsia="zh-CN" w:bidi="ar"/>
              </w:rPr>
              <w:t>GB 19300</w:t>
            </w:r>
            <w:r>
              <w:rPr>
                <w:rStyle w:val="168"/>
                <w:rFonts w:ascii="宋体" w:eastAsia="宋体"/>
                <w:sz w:val="21"/>
                <w:highlight w:val="none"/>
                <w:lang w:val="en-US" w:eastAsia="zh-CN" w:bidi="ar"/>
              </w:rPr>
              <w:t>及其它相关标准</w:t>
            </w:r>
          </w:p>
        </w:tc>
      </w:tr>
      <w:tr w14:paraId="46DCA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0B3E9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4BA7E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干蔬</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911EDB">
            <w:pPr>
              <w:keepNext w:val="0"/>
              <w:keepLines w:val="0"/>
              <w:widowControl/>
              <w:suppressLineNumbers w:val="0"/>
              <w:snapToGrid w:val="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符合国家规定的相关标准</w:t>
            </w:r>
          </w:p>
        </w:tc>
      </w:tr>
      <w:tr w14:paraId="7E981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4A7D7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67F17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干菌</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F5503B">
            <w:pPr>
              <w:keepNext w:val="0"/>
              <w:keepLines w:val="0"/>
              <w:widowControl/>
              <w:suppressLineNumbers w:val="0"/>
              <w:snapToGrid w:val="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符合国家规定的相关标准</w:t>
            </w:r>
          </w:p>
        </w:tc>
      </w:tr>
      <w:tr w14:paraId="29E57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8522"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89B33">
            <w:pPr>
              <w:snapToGrid w:val="0"/>
              <w:jc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粮油</w:t>
            </w:r>
          </w:p>
        </w:tc>
      </w:tr>
      <w:tr w14:paraId="04B5F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B92E9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13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6D3DC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项目名称</w:t>
            </w:r>
          </w:p>
        </w:tc>
        <w:tc>
          <w:tcPr>
            <w:tcW w:w="6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9538D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参数</w:t>
            </w:r>
          </w:p>
        </w:tc>
      </w:tr>
      <w:tr w14:paraId="28DCF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1311C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AB10C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大米</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671C8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w:t>
            </w:r>
            <w:r>
              <w:rPr>
                <w:rStyle w:val="168"/>
                <w:rFonts w:ascii="宋体" w:eastAsia="宋体"/>
                <w:sz w:val="21"/>
                <w:highlight w:val="none"/>
                <w:lang w:val="en-US" w:eastAsia="zh-CN" w:bidi="ar"/>
              </w:rPr>
              <w:t>GB 1354或GB/T 19266或GB/T 18824或GB/T 20040或GB/T 22438及其它相关标准</w:t>
            </w:r>
          </w:p>
        </w:tc>
      </w:tr>
      <w:tr w14:paraId="5691D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BB439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A6031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食用油</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2D1BB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w:t>
            </w:r>
            <w:r>
              <w:rPr>
                <w:rStyle w:val="222"/>
                <w:rFonts w:ascii="宋体" w:eastAsia="宋体"/>
                <w:sz w:val="21"/>
                <w:highlight w:val="none"/>
                <w:lang w:val="en-US" w:eastAsia="zh-CN" w:bidi="ar"/>
              </w:rPr>
              <w:t xml:space="preserve"> </w:t>
            </w:r>
            <w:r>
              <w:rPr>
                <w:rStyle w:val="212"/>
                <w:rFonts w:ascii="宋体" w:eastAsia="宋体"/>
                <w:sz w:val="21"/>
                <w:highlight w:val="none"/>
                <w:lang w:val="en-US" w:eastAsia="zh-CN" w:bidi="ar"/>
              </w:rPr>
              <w:t>GB 2716</w:t>
            </w:r>
            <w:r>
              <w:rPr>
                <w:rStyle w:val="168"/>
                <w:rFonts w:ascii="宋体" w:eastAsia="宋体"/>
                <w:sz w:val="21"/>
                <w:highlight w:val="none"/>
                <w:lang w:val="en-US" w:eastAsia="zh-CN" w:bidi="ar"/>
              </w:rPr>
              <w:t>及其它相关标准</w:t>
            </w:r>
          </w:p>
        </w:tc>
      </w:tr>
      <w:tr w14:paraId="41BB3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CD64F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56D9D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小麦粉</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85E98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w:t>
            </w:r>
            <w:r>
              <w:rPr>
                <w:rStyle w:val="222"/>
                <w:rFonts w:ascii="宋体" w:eastAsia="宋体"/>
                <w:sz w:val="21"/>
                <w:highlight w:val="none"/>
                <w:lang w:val="en-US" w:eastAsia="zh-CN" w:bidi="ar"/>
              </w:rPr>
              <w:t xml:space="preserve"> </w:t>
            </w:r>
            <w:r>
              <w:rPr>
                <w:rStyle w:val="168"/>
                <w:rFonts w:ascii="宋体" w:eastAsia="宋体"/>
                <w:sz w:val="21"/>
                <w:highlight w:val="none"/>
                <w:lang w:val="en-US" w:eastAsia="zh-CN" w:bidi="ar"/>
              </w:rPr>
              <w:t>GB/T 1355及其它相关标准</w:t>
            </w:r>
          </w:p>
        </w:tc>
      </w:tr>
      <w:tr w14:paraId="0CB36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8522"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A0E1A">
            <w:pPr>
              <w:snapToGrid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调料</w:t>
            </w:r>
          </w:p>
        </w:tc>
      </w:tr>
      <w:tr w14:paraId="6B6AE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74754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04873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项目名称</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2E67C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参数</w:t>
            </w:r>
          </w:p>
        </w:tc>
      </w:tr>
      <w:tr w14:paraId="1EA1E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F4C57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ECB79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鸡精</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BE4FC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 GB 2760</w:t>
            </w:r>
            <w:r>
              <w:rPr>
                <w:rStyle w:val="212"/>
                <w:rFonts w:ascii="宋体" w:eastAsia="宋体"/>
                <w:sz w:val="21"/>
                <w:highlight w:val="none"/>
                <w:lang w:val="en-US" w:eastAsia="zh-CN" w:bidi="ar"/>
              </w:rPr>
              <w:t xml:space="preserve"> 《食品安全国家标准 食品添加剂使用标准》及其他相关标准</w:t>
            </w:r>
          </w:p>
        </w:tc>
      </w:tr>
      <w:tr w14:paraId="04A89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F53D4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0E8B2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味精</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CCF6D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 GB 2760</w:t>
            </w:r>
            <w:r>
              <w:rPr>
                <w:rStyle w:val="212"/>
                <w:rFonts w:ascii="宋体" w:eastAsia="宋体"/>
                <w:sz w:val="21"/>
                <w:highlight w:val="none"/>
                <w:lang w:val="en-US" w:eastAsia="zh-CN" w:bidi="ar"/>
              </w:rPr>
              <w:t xml:space="preserve"> 《食品安全国家标准 食品添加剂使用标准》及其他相关标准</w:t>
            </w:r>
          </w:p>
        </w:tc>
      </w:tr>
      <w:tr w14:paraId="0638B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E3D39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18FBA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食盐</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A93C5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 GB 2760</w:t>
            </w:r>
            <w:r>
              <w:rPr>
                <w:rStyle w:val="212"/>
                <w:rFonts w:ascii="宋体" w:eastAsia="宋体"/>
                <w:sz w:val="21"/>
                <w:highlight w:val="none"/>
                <w:lang w:val="en-US" w:eastAsia="zh-CN" w:bidi="ar"/>
              </w:rPr>
              <w:t xml:space="preserve"> 《食品安全国家标准 食品添加剂使用标准》及其他相关标准</w:t>
            </w:r>
          </w:p>
        </w:tc>
      </w:tr>
      <w:tr w14:paraId="10501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701DD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BE36F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料酒</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A8F0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 GB 2760</w:t>
            </w:r>
            <w:r>
              <w:rPr>
                <w:rStyle w:val="212"/>
                <w:rFonts w:ascii="宋体" w:eastAsia="宋体"/>
                <w:sz w:val="21"/>
                <w:highlight w:val="none"/>
                <w:lang w:val="en-US" w:eastAsia="zh-CN" w:bidi="ar"/>
              </w:rPr>
              <w:t xml:space="preserve"> 《食品安全国家标准 食品添加剂使用标准》及其他相关标准</w:t>
            </w:r>
          </w:p>
        </w:tc>
      </w:tr>
      <w:tr w14:paraId="73EB5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B9120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0753B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陈醋</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419DF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 GB 2760</w:t>
            </w:r>
            <w:r>
              <w:rPr>
                <w:rStyle w:val="212"/>
                <w:rFonts w:ascii="宋体" w:eastAsia="宋体"/>
                <w:sz w:val="21"/>
                <w:highlight w:val="none"/>
                <w:lang w:val="en-US" w:eastAsia="zh-CN" w:bidi="ar"/>
              </w:rPr>
              <w:t xml:space="preserve"> 《食品安全国家标准 食品添加剂使用标准》及其他相关标准</w:t>
            </w:r>
          </w:p>
        </w:tc>
      </w:tr>
      <w:tr w14:paraId="05D62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8CA7F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34737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生抽</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C695D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 GB 2760</w:t>
            </w:r>
            <w:r>
              <w:rPr>
                <w:rStyle w:val="212"/>
                <w:rFonts w:ascii="宋体" w:eastAsia="宋体"/>
                <w:sz w:val="21"/>
                <w:highlight w:val="none"/>
                <w:lang w:val="en-US" w:eastAsia="zh-CN" w:bidi="ar"/>
              </w:rPr>
              <w:t xml:space="preserve"> 《食品安全国家标准 食品添加剂使用标准》及其他相关标准</w:t>
            </w:r>
          </w:p>
        </w:tc>
      </w:tr>
      <w:tr w14:paraId="5247D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69619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E72A0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酱油</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1D9F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 GB 2760</w:t>
            </w:r>
            <w:r>
              <w:rPr>
                <w:rStyle w:val="212"/>
                <w:rFonts w:ascii="宋体" w:eastAsia="宋体"/>
                <w:sz w:val="21"/>
                <w:highlight w:val="none"/>
                <w:lang w:val="en-US" w:eastAsia="zh-CN" w:bidi="ar"/>
              </w:rPr>
              <w:t xml:space="preserve"> 《食品安全国家标准 食品添加剂使用标准》及其他相关标准</w:t>
            </w:r>
          </w:p>
        </w:tc>
      </w:tr>
      <w:tr w14:paraId="4580D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63D5F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ABDA7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蚝油</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4E0B3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 GB 2760</w:t>
            </w:r>
            <w:r>
              <w:rPr>
                <w:rStyle w:val="212"/>
                <w:rFonts w:ascii="宋体" w:eastAsia="宋体"/>
                <w:sz w:val="21"/>
                <w:highlight w:val="none"/>
                <w:lang w:val="en-US" w:eastAsia="zh-CN" w:bidi="ar"/>
              </w:rPr>
              <w:t xml:space="preserve"> 《食品安全国家标准 食品添加剂使用标准》及其他相关标准</w:t>
            </w:r>
          </w:p>
        </w:tc>
      </w:tr>
      <w:tr w14:paraId="54CA2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8522"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3B6AF">
            <w:pPr>
              <w:snapToGrid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豆类</w:t>
            </w:r>
          </w:p>
        </w:tc>
      </w:tr>
      <w:tr w14:paraId="18A38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6843F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AA30A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项目名称</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12891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参数</w:t>
            </w:r>
          </w:p>
        </w:tc>
      </w:tr>
      <w:tr w14:paraId="6D2B0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1D8E7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29168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大豆</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CE881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w:t>
            </w:r>
            <w:r>
              <w:rPr>
                <w:rStyle w:val="212"/>
                <w:rFonts w:ascii="宋体" w:eastAsia="宋体"/>
                <w:sz w:val="21"/>
                <w:highlight w:val="none"/>
                <w:lang w:val="en-US" w:eastAsia="zh-CN" w:bidi="ar"/>
              </w:rPr>
              <w:t xml:space="preserve"> GB 1352</w:t>
            </w:r>
            <w:r>
              <w:rPr>
                <w:rStyle w:val="168"/>
                <w:rFonts w:ascii="宋体" w:eastAsia="宋体"/>
                <w:sz w:val="21"/>
                <w:highlight w:val="none"/>
                <w:lang w:val="en-US" w:eastAsia="zh-CN" w:bidi="ar"/>
              </w:rPr>
              <w:t>及其它相关标准</w:t>
            </w:r>
          </w:p>
        </w:tc>
      </w:tr>
      <w:tr w14:paraId="37451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F592D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73B60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绿豆</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7CDF8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w:t>
            </w:r>
            <w:r>
              <w:rPr>
                <w:rStyle w:val="212"/>
                <w:rFonts w:hint="eastAsia" w:ascii="宋体" w:eastAsia="宋体"/>
                <w:sz w:val="21"/>
                <w:highlight w:val="none"/>
                <w:lang w:val="en-US" w:eastAsia="zh-CN" w:bidi="ar"/>
              </w:rPr>
              <w:t>GB/T 10462-2008</w:t>
            </w:r>
            <w:r>
              <w:rPr>
                <w:rStyle w:val="168"/>
                <w:rFonts w:ascii="宋体" w:eastAsia="宋体"/>
                <w:sz w:val="21"/>
                <w:highlight w:val="none"/>
                <w:lang w:val="en-US" w:eastAsia="zh-CN" w:bidi="ar"/>
              </w:rPr>
              <w:t>及其它相关标准</w:t>
            </w:r>
          </w:p>
        </w:tc>
      </w:tr>
      <w:tr w14:paraId="14104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8522"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894C6">
            <w:pPr>
              <w:snapToGrid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奶</w:t>
            </w:r>
          </w:p>
        </w:tc>
      </w:tr>
      <w:tr w14:paraId="04BEC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454270A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1355"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5772BA4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项目名称</w:t>
            </w:r>
          </w:p>
        </w:tc>
        <w:tc>
          <w:tcPr>
            <w:tcW w:w="6231"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443ECB2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参数</w:t>
            </w:r>
          </w:p>
        </w:tc>
      </w:tr>
      <w:tr w14:paraId="5D395F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35009EA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35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06A4C9A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酸奶</w:t>
            </w:r>
          </w:p>
        </w:tc>
        <w:tc>
          <w:tcPr>
            <w:tcW w:w="6231"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B4E750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w:t>
            </w:r>
            <w:r>
              <w:rPr>
                <w:rStyle w:val="212"/>
                <w:rFonts w:ascii="宋体" w:eastAsia="宋体"/>
                <w:sz w:val="21"/>
                <w:highlight w:val="none"/>
                <w:lang w:val="en-US" w:eastAsia="zh-CN" w:bidi="ar"/>
              </w:rPr>
              <w:t xml:space="preserve"> GB 25190</w:t>
            </w:r>
            <w:r>
              <w:rPr>
                <w:rStyle w:val="168"/>
                <w:rFonts w:ascii="宋体" w:eastAsia="宋体"/>
                <w:sz w:val="21"/>
                <w:highlight w:val="none"/>
                <w:lang w:val="en-US" w:eastAsia="zh-CN" w:bidi="ar"/>
              </w:rPr>
              <w:t>及其它相关标准</w:t>
            </w:r>
          </w:p>
        </w:tc>
      </w:tr>
      <w:tr w14:paraId="33FDE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7A59CB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35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963F67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纯牛奶</w:t>
            </w:r>
          </w:p>
        </w:tc>
        <w:tc>
          <w:tcPr>
            <w:tcW w:w="6231"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4046F6E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w:t>
            </w:r>
            <w:r>
              <w:rPr>
                <w:rStyle w:val="212"/>
                <w:rFonts w:ascii="宋体" w:eastAsia="宋体"/>
                <w:sz w:val="21"/>
                <w:highlight w:val="none"/>
                <w:lang w:val="en-US" w:eastAsia="zh-CN" w:bidi="ar"/>
              </w:rPr>
              <w:t xml:space="preserve"> GB 25190</w:t>
            </w:r>
            <w:r>
              <w:rPr>
                <w:rStyle w:val="168"/>
                <w:rFonts w:ascii="宋体" w:eastAsia="宋体"/>
                <w:sz w:val="21"/>
                <w:highlight w:val="none"/>
                <w:lang w:val="en-US" w:eastAsia="zh-CN" w:bidi="ar"/>
              </w:rPr>
              <w:t>及其它相关标准</w:t>
            </w:r>
          </w:p>
        </w:tc>
      </w:tr>
      <w:tr w14:paraId="2E96D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8522" w:type="dxa"/>
            <w:gridSpan w:val="3"/>
            <w:tcBorders>
              <w:top w:val="single" w:color="auto" w:sz="4" w:space="0"/>
              <w:left w:val="nil"/>
              <w:bottom w:val="single" w:color="auto" w:sz="4" w:space="0"/>
              <w:right w:val="nil"/>
            </w:tcBorders>
            <w:shd w:val="clear" w:color="auto" w:fill="auto"/>
            <w:noWrap/>
            <w:vAlign w:val="center"/>
          </w:tcPr>
          <w:p w14:paraId="3A511105">
            <w:pPr>
              <w:snapToGrid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辅助类商品</w:t>
            </w:r>
          </w:p>
        </w:tc>
      </w:tr>
      <w:tr w14:paraId="617C2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4405C16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135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CD5931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项目名称</w:t>
            </w:r>
          </w:p>
        </w:tc>
        <w:tc>
          <w:tcPr>
            <w:tcW w:w="6231"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BF9B09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参数</w:t>
            </w:r>
          </w:p>
        </w:tc>
      </w:tr>
      <w:tr w14:paraId="3B6DD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BFB84A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35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39DB8A8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包装饮用水</w:t>
            </w:r>
          </w:p>
        </w:tc>
        <w:tc>
          <w:tcPr>
            <w:tcW w:w="6231"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DBE20FF">
            <w:pPr>
              <w:keepNext w:val="0"/>
              <w:keepLines w:val="0"/>
              <w:widowControl/>
              <w:suppressLineNumbers w:val="0"/>
              <w:snapToGrid w:val="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符合</w:t>
            </w:r>
            <w:r>
              <w:rPr>
                <w:rStyle w:val="168"/>
                <w:rFonts w:ascii="宋体" w:eastAsia="宋体"/>
                <w:sz w:val="21"/>
                <w:highlight w:val="none"/>
                <w:lang w:val="en-US" w:eastAsia="zh-CN" w:bidi="ar"/>
              </w:rPr>
              <w:t xml:space="preserve"> GB 19298、GB 8537及其它相关标准</w:t>
            </w:r>
          </w:p>
        </w:tc>
      </w:tr>
      <w:tr w14:paraId="0FB78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auto" w:sz="4" w:space="0"/>
              <w:left w:val="single" w:color="000000" w:sz="4" w:space="0"/>
              <w:bottom w:val="single" w:color="000000" w:sz="4" w:space="0"/>
              <w:right w:val="single" w:color="000000" w:sz="4" w:space="0"/>
            </w:tcBorders>
            <w:shd w:val="clear" w:color="auto" w:fill="FFFFFF"/>
            <w:noWrap/>
            <w:vAlign w:val="center"/>
          </w:tcPr>
          <w:p w14:paraId="14D2BA0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355" w:type="dxa"/>
            <w:tcBorders>
              <w:top w:val="single" w:color="auto" w:sz="4" w:space="0"/>
              <w:left w:val="single" w:color="000000" w:sz="4" w:space="0"/>
              <w:bottom w:val="single" w:color="000000" w:sz="4" w:space="0"/>
              <w:right w:val="single" w:color="000000" w:sz="4" w:space="0"/>
            </w:tcBorders>
            <w:shd w:val="clear" w:color="auto" w:fill="FFFFFF"/>
            <w:noWrap/>
            <w:vAlign w:val="center"/>
          </w:tcPr>
          <w:p w14:paraId="6CAA817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饮料</w:t>
            </w:r>
          </w:p>
        </w:tc>
        <w:tc>
          <w:tcPr>
            <w:tcW w:w="6231" w:type="dxa"/>
            <w:tcBorders>
              <w:top w:val="single" w:color="auto" w:sz="4" w:space="0"/>
              <w:left w:val="single" w:color="000000" w:sz="4" w:space="0"/>
              <w:bottom w:val="single" w:color="000000" w:sz="4" w:space="0"/>
              <w:right w:val="single" w:color="000000" w:sz="4" w:space="0"/>
            </w:tcBorders>
            <w:shd w:val="clear" w:color="auto" w:fill="FFFFFF"/>
            <w:noWrap/>
            <w:vAlign w:val="center"/>
          </w:tcPr>
          <w:p w14:paraId="74B9023D">
            <w:pPr>
              <w:keepNext w:val="0"/>
              <w:keepLines w:val="0"/>
              <w:widowControl/>
              <w:suppressLineNumbers w:val="0"/>
              <w:snapToGrid w:val="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符合</w:t>
            </w:r>
            <w:r>
              <w:rPr>
                <w:rStyle w:val="168"/>
                <w:rFonts w:ascii="宋体" w:eastAsia="宋体"/>
                <w:sz w:val="21"/>
                <w:highlight w:val="none"/>
                <w:lang w:val="en-US" w:eastAsia="zh-CN" w:bidi="ar"/>
              </w:rPr>
              <w:t xml:space="preserve"> GB 7101及其它相关标准</w:t>
            </w:r>
          </w:p>
        </w:tc>
      </w:tr>
      <w:tr w14:paraId="756FF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44E27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79A31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预包装食品</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F22B29">
            <w:pPr>
              <w:keepNext w:val="0"/>
              <w:keepLines w:val="0"/>
              <w:widowControl/>
              <w:suppressLineNumbers w:val="0"/>
              <w:snapToGrid w:val="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符合</w:t>
            </w:r>
            <w:r>
              <w:rPr>
                <w:rStyle w:val="168"/>
                <w:rFonts w:ascii="宋体" w:eastAsia="宋体"/>
                <w:sz w:val="21"/>
                <w:highlight w:val="none"/>
                <w:lang w:val="en-US" w:eastAsia="zh-CN" w:bidi="ar"/>
              </w:rPr>
              <w:t xml:space="preserve"> GB 7718及其他相关标准</w:t>
            </w:r>
          </w:p>
        </w:tc>
      </w:tr>
      <w:tr w14:paraId="79DFF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F4FD7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92CCD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日用日化品</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7C561A">
            <w:pPr>
              <w:keepNext w:val="0"/>
              <w:keepLines w:val="0"/>
              <w:widowControl/>
              <w:suppressLineNumbers w:val="0"/>
              <w:snapToGrid w:val="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符合国家规定的相关标准</w:t>
            </w:r>
          </w:p>
        </w:tc>
      </w:tr>
      <w:tr w14:paraId="18C64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8522"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A1033">
            <w:pPr>
              <w:snapToGrid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耗材</w:t>
            </w:r>
          </w:p>
        </w:tc>
      </w:tr>
      <w:tr w14:paraId="62B06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58F6A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BA5E6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项目名称</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DE068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参数</w:t>
            </w:r>
          </w:p>
        </w:tc>
      </w:tr>
      <w:tr w14:paraId="17184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4E72E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793DE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一次性餐具</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0797A5">
            <w:pPr>
              <w:keepNext w:val="0"/>
              <w:keepLines w:val="0"/>
              <w:widowControl/>
              <w:suppressLineNumbers w:val="0"/>
              <w:snapToGrid w:val="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符合</w:t>
            </w:r>
            <w:r>
              <w:rPr>
                <w:rStyle w:val="168"/>
                <w:rFonts w:ascii="宋体" w:eastAsia="宋体"/>
                <w:sz w:val="21"/>
                <w:highlight w:val="none"/>
                <w:lang w:val="en-US" w:eastAsia="zh-CN" w:bidi="ar"/>
              </w:rPr>
              <w:t xml:space="preserve"> GB/T 18006.3及其他相关标准</w:t>
            </w:r>
          </w:p>
        </w:tc>
      </w:tr>
      <w:tr w14:paraId="68DB6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5450F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E0A46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餐具</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957291">
            <w:pPr>
              <w:keepNext w:val="0"/>
              <w:keepLines w:val="0"/>
              <w:widowControl/>
              <w:suppressLineNumbers w:val="0"/>
              <w:snapToGrid w:val="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符合</w:t>
            </w:r>
            <w:r>
              <w:rPr>
                <w:rStyle w:val="168"/>
                <w:rFonts w:ascii="宋体" w:eastAsia="宋体"/>
                <w:sz w:val="21"/>
                <w:highlight w:val="none"/>
                <w:lang w:val="en-US" w:eastAsia="zh-CN" w:bidi="ar"/>
              </w:rPr>
              <w:t xml:space="preserve"> GB 4806及其他相关标准</w:t>
            </w:r>
          </w:p>
        </w:tc>
      </w:tr>
      <w:tr w14:paraId="6E1FF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6B69F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E08A7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清洁用品</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387B05">
            <w:pPr>
              <w:keepNext w:val="0"/>
              <w:keepLines w:val="0"/>
              <w:widowControl/>
              <w:suppressLineNumbers w:val="0"/>
              <w:snapToGrid w:val="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符合</w:t>
            </w:r>
            <w:r>
              <w:rPr>
                <w:rStyle w:val="168"/>
                <w:rFonts w:ascii="宋体" w:eastAsia="宋体"/>
                <w:sz w:val="21"/>
                <w:highlight w:val="none"/>
                <w:lang w:val="en-US" w:eastAsia="zh-CN" w:bidi="ar"/>
              </w:rPr>
              <w:t xml:space="preserve"> GB/T 9985及其他相关标准</w:t>
            </w:r>
          </w:p>
        </w:tc>
      </w:tr>
      <w:tr w14:paraId="58EA9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FE47B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02B2B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厨具</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537539">
            <w:pPr>
              <w:keepNext w:val="0"/>
              <w:keepLines w:val="0"/>
              <w:widowControl/>
              <w:suppressLineNumbers w:val="0"/>
              <w:snapToGrid w:val="0"/>
              <w:jc w:val="center"/>
              <w:textAlignment w:val="center"/>
              <w:rPr>
                <w:rFonts w:hint="eastAsia" w:ascii="宋体" w:hAnsi="宋体" w:eastAsia="宋体" w:cs="宋体"/>
                <w:i w:val="0"/>
                <w:iCs w:val="0"/>
                <w:color w:val="333333"/>
                <w:sz w:val="21"/>
                <w:szCs w:val="21"/>
                <w:highlight w:val="none"/>
                <w:u w:val="none"/>
              </w:rPr>
            </w:pPr>
            <w:r>
              <w:rPr>
                <w:rFonts w:hint="eastAsia" w:ascii="宋体" w:hAnsi="宋体" w:eastAsia="宋体" w:cs="宋体"/>
                <w:i w:val="0"/>
                <w:iCs w:val="0"/>
                <w:color w:val="333333"/>
                <w:kern w:val="0"/>
                <w:sz w:val="21"/>
                <w:szCs w:val="21"/>
                <w:highlight w:val="none"/>
                <w:u w:val="none"/>
                <w:lang w:val="en-US" w:eastAsia="zh-CN" w:bidi="ar"/>
              </w:rPr>
              <w:t>符合</w:t>
            </w:r>
            <w:r>
              <w:rPr>
                <w:rStyle w:val="168"/>
                <w:rFonts w:ascii="宋体" w:eastAsia="宋体"/>
                <w:sz w:val="21"/>
                <w:highlight w:val="none"/>
                <w:lang w:val="en-US" w:eastAsia="zh-CN" w:bidi="ar"/>
              </w:rPr>
              <w:t xml:space="preserve"> </w:t>
            </w:r>
            <w:r>
              <w:rPr>
                <w:rStyle w:val="170"/>
                <w:rFonts w:ascii="宋体" w:eastAsia="宋体"/>
                <w:sz w:val="21"/>
                <w:highlight w:val="none"/>
                <w:lang w:val="en-US" w:eastAsia="zh-CN" w:bidi="ar"/>
              </w:rPr>
              <w:t>GB/T 40356及其他相关标准</w:t>
            </w:r>
          </w:p>
        </w:tc>
      </w:tr>
    </w:tbl>
    <w:p w14:paraId="2530549E">
      <w:pPr>
        <w:keepNext w:val="0"/>
        <w:keepLines w:val="0"/>
        <w:pageBreakBefore w:val="0"/>
        <w:widowControl w:val="0"/>
        <w:kinsoku/>
        <w:wordWrap/>
        <w:overflowPunct w:val="0"/>
        <w:topLinePunct w:val="0"/>
        <w:autoSpaceDE w:val="0"/>
        <w:autoSpaceDN w:val="0"/>
        <w:bidi w:val="0"/>
        <w:adjustRightInd w:val="0"/>
        <w:snapToGrid w:val="0"/>
        <w:spacing w:line="440" w:lineRule="exact"/>
        <w:ind w:left="0"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备注：以上所有国标如有更新，以最新且最严版为准</w:t>
      </w:r>
    </w:p>
    <w:p w14:paraId="2CF83881">
      <w:pPr>
        <w:keepNext w:val="0"/>
        <w:keepLines w:val="0"/>
        <w:pageBreakBefore w:val="0"/>
        <w:widowControl w:val="0"/>
        <w:kinsoku/>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宋体"/>
          <w:b/>
          <w:bCs/>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w:t>
      </w:r>
      <w:r>
        <w:rPr>
          <w:rFonts w:hint="eastAsia" w:ascii="宋体" w:hAnsi="宋体" w:eastAsia="宋体" w:cs="宋体"/>
          <w:b/>
          <w:bCs/>
          <w:sz w:val="21"/>
          <w:szCs w:val="21"/>
          <w:highlight w:val="none"/>
          <w:lang w:val="en-US" w:eastAsia="zh-CN"/>
        </w:rPr>
        <w:t>八、验收标准</w:t>
      </w:r>
    </w:p>
    <w:p w14:paraId="02708256">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（一）粮油、调味品类</w:t>
      </w:r>
    </w:p>
    <w:p w14:paraId="3578823C">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1.要求如下：</w:t>
      </w:r>
    </w:p>
    <w:p w14:paraId="2DC85ECC">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（1）甲方按需采购各类粮油、调味品，乙方必须满足甲方实际需求。</w:t>
      </w:r>
    </w:p>
    <w:p w14:paraId="2F17A0B6">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（2）质量要求：生产日期、质保期及包装、卫生标准符合要求。</w:t>
      </w:r>
    </w:p>
    <w:p w14:paraId="1B26D947">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（3）乙方必须讲诚信，讲究职业道德，所供货物不得以次充好，不得将不合格品掺杂其中。一经发现则取消其供货资格，并由乙方承担一切后果。如构成违法，将依法追究乙方法律责任。</w:t>
      </w:r>
    </w:p>
    <w:p w14:paraId="5B51EBA2">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2.安全卫生要求：</w:t>
      </w:r>
    </w:p>
    <w:p w14:paraId="5BD27E8F">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（1）符合中华人民共和国食品安全法实施条例。</w:t>
      </w:r>
    </w:p>
    <w:p w14:paraId="65B6F5FD">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（2）粮油、酱油、盐、鸡精、味精、米醋、料酒、淀粉、酵母、糖等，各项产品符合GB 2760《食品安全国家标准 食品添加剂使用标准》及其他相关标准。</w:t>
      </w:r>
    </w:p>
    <w:p w14:paraId="0FC9D11B">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（3）符合其他可能适用于本用户需求书/技术规格书以及甲方与乙方签订的有关合同（合同具体名称以实际为准）内容的相关法律法规或质量标准。</w:t>
      </w:r>
    </w:p>
    <w:p w14:paraId="2F687659">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（二）豆类：</w:t>
      </w:r>
    </w:p>
    <w:p w14:paraId="669837A8">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1.要求如下：</w:t>
      </w:r>
    </w:p>
    <w:p w14:paraId="15FA0E87">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（1）甲方按需采购豆类产品，乙方必须满足甲方实际需求。</w:t>
      </w:r>
    </w:p>
    <w:p w14:paraId="617836E8">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（2）质量要求：生产日期、质保期及包装、卫生标准符合要求。</w:t>
      </w:r>
    </w:p>
    <w:p w14:paraId="6BE9BB8B">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（3）乙方必须讲诚信，讲究职业道德，所供货物不得以次充好，不得将不合格品掺杂其中，一经发现，取消其供货资格，并承担由此造成的一切后果，如构成违法，将依法追求其法律责任。</w:t>
      </w:r>
    </w:p>
    <w:p w14:paraId="3585B732">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2.安全卫生要求：</w:t>
      </w:r>
    </w:p>
    <w:p w14:paraId="45E28D6E">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（1）符合中华人民共和国食品安全法实施条例。</w:t>
      </w:r>
    </w:p>
    <w:p w14:paraId="3D5E1F0E">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（2）豆类产品符合GB 1352、GB/T 110462及其它相关标准</w:t>
      </w:r>
    </w:p>
    <w:p w14:paraId="76FBF090">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（3）符合其他可能适用于本用户需求书/技术规格书以及甲方与乙方签订的有关合同（合同具体名称以实际为准）内容的相关法律法规或质量标准。</w:t>
      </w:r>
    </w:p>
    <w:p w14:paraId="709D7FC4">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（三）酸奶、纯牛奶：</w:t>
      </w:r>
    </w:p>
    <w:p w14:paraId="0C0CA154">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1.要求如下：</w:t>
      </w:r>
    </w:p>
    <w:p w14:paraId="63284356">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（1）甲方按需采购酸奶、纯牛奶，乙方必须满足甲方实际需求。</w:t>
      </w:r>
    </w:p>
    <w:p w14:paraId="1375FADE">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（2）质量要求：生产日期、质保期及包装、卫生标准符合要求。</w:t>
      </w:r>
    </w:p>
    <w:p w14:paraId="114567EB">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（3）乙方必须讲诚信，讲究职业道德，所供货物不得以次充好，不得将不合格品掺杂其中，一经发现，取消其供货资格，并承担由此造成的一切后果，如构成违法，将依法追求其法律责任。</w:t>
      </w:r>
    </w:p>
    <w:p w14:paraId="4285B232">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2.安全卫生要求：</w:t>
      </w:r>
    </w:p>
    <w:p w14:paraId="0D49122C">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（1）符合中华人民共和国食品安全法实施条例。</w:t>
      </w:r>
    </w:p>
    <w:p w14:paraId="7FF78A36">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（2）酸奶、牛奶符合《食品安全国家标准灭菌乳》GB25190标准。</w:t>
      </w:r>
    </w:p>
    <w:p w14:paraId="3D9CD173">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（3）符合其他可能适用于本用户需求书/技术规格书以及甲方与乙方签订的有关合同（合同具体名称以实际为准）内容的相关法律法规或质量标准。</w:t>
      </w:r>
    </w:p>
    <w:p w14:paraId="5A623013">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（四）辅助类食品：</w:t>
      </w:r>
    </w:p>
    <w:p w14:paraId="74A4721D">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1.要求如下：</w:t>
      </w:r>
    </w:p>
    <w:p w14:paraId="08A5CF73">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（1）甲方按需采购辅助类食品，乙方必须满足甲方实际需求。</w:t>
      </w:r>
    </w:p>
    <w:p w14:paraId="13411F8C">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（2）质量要求：生产日期、质保期及包装、卫生标准符合要求。</w:t>
      </w:r>
    </w:p>
    <w:p w14:paraId="03C71912">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（3）乙方必须讲诚信，讲究职业道德，所供货物不得以次充好，不得将不合格品掺杂其中，一经发现，取消其供货资格，并承担由此造成的一切后果，如构成违法，将依法追求其法律责任。</w:t>
      </w:r>
    </w:p>
    <w:p w14:paraId="64679920">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备注：以上所有国标如有更新，以最新且最严版为准。</w:t>
      </w:r>
    </w:p>
    <w:p w14:paraId="5E0A9834">
      <w:pPr>
        <w:keepNext w:val="0"/>
        <w:keepLines w:val="0"/>
        <w:pageBreakBefore w:val="0"/>
        <w:widowControl w:val="0"/>
        <w:kinsoku/>
        <w:wordWrap/>
        <w:overflowPunct w:val="0"/>
        <w:topLinePunct w:val="0"/>
        <w:autoSpaceDE w:val="0"/>
        <w:autoSpaceDN w:val="0"/>
        <w:bidi w:val="0"/>
        <w:adjustRightInd w:val="0"/>
        <w:snapToGrid w:val="0"/>
        <w:spacing w:line="440" w:lineRule="exact"/>
        <w:ind w:firstLine="422" w:firstLineChars="200"/>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九、双方的权利与义务</w:t>
      </w:r>
    </w:p>
    <w:p w14:paraId="2533EA10">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（一）甲方根据履约实际情况，对乙方履约质量进行监管，甲方有权依据甲方相关管理制度及考评办法向乙方签发考评通知书,并按相关考评办法作相应奖罚处理，考评金由甲方在乙方当期应付款项中兑现。</w:t>
      </w:r>
    </w:p>
    <w:p w14:paraId="73B4D6F5">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（二）下订单：甲方向乙方订购的物资，须以微信、电话、传真、书面等任何一种方式向乙方下订单，订单内容包括名称、品牌、数量、质量等要求。</w:t>
      </w:r>
    </w:p>
    <w:p w14:paraId="1027D844">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default"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（三）根据国家相关政策及规定，乙方在服务周期内，须配合甲方完成一定比例的乡村振兴农副产品采购任务。</w:t>
      </w:r>
    </w:p>
    <w:p w14:paraId="0789FD21">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default"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（四）乙方所送货物无质量、数量、品牌等问题，甲方不能无故拒收。</w:t>
      </w:r>
    </w:p>
    <w:p w14:paraId="5566476C">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（五）乙方供货用的器具（菜筐、油桶、豆腐板、充氧机等），乙方当天拿走；如甲方需要使用器具，甲方需保管好。</w:t>
      </w:r>
    </w:p>
    <w:p w14:paraId="296A35DF">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（六）乙方所送货物的质量、品类等达不到甲方要求的，甲方有权无条件退货或换货，乙方应保证在甲方指定的时间内退换到位。</w:t>
      </w:r>
    </w:p>
    <w:p w14:paraId="7450D6DA">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七）乙方所提供的货物被政府部门、甲方或第三方机构（组织）检测、检验出食品/健康/卫生方面的安全或质量问题（包括不符合甲方要求或存在缺陷等），或因乙方货物引发食品/健康/卫生方面的安全或质量事故，由乙方承担全部责任（包括但不限于：恢复、治疗（医疗）或护理（丧葬）等费用，诉讼费用、律师代理费用、鉴定费用、保全等费用，以及消除影响、恢复企业形象和社会形象等相关费用）。</w:t>
      </w:r>
    </w:p>
    <w:p w14:paraId="048EDCDC">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（八）接到甲方的订单通知后，个别品种因缺货而不能按时送到，乙方应提前通知甲方，并协商好解决方法以确保甲方所需货物能按时送到。 </w:t>
      </w:r>
    </w:p>
    <w:p w14:paraId="53138540">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(九 )当甲方临时增加用餐人数或有客餐任务时，乙方要尽力确保供货，以使甲方能准时开餐。 </w:t>
      </w:r>
    </w:p>
    <w:p w14:paraId="3B31E740">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 xml:space="preserve">（十）在供货过程中，乙方对甲方提出的各种合理要求和建议应诚恳接受并切实作出改进。 </w:t>
      </w:r>
    </w:p>
    <w:p w14:paraId="66E64947">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kern w:val="2"/>
          <w:sz w:val="21"/>
          <w:szCs w:val="21"/>
          <w:highlight w:val="none"/>
          <w:lang w:val="en-US" w:eastAsia="zh-CN" w:bidi="ar-SA"/>
        </w:rPr>
        <w:t>（十一）</w:t>
      </w:r>
      <w:r>
        <w:rPr>
          <w:rFonts w:hint="eastAsia" w:ascii="宋体" w:hAnsi="宋体" w:eastAsia="宋体" w:cs="宋体"/>
          <w:bCs/>
          <w:sz w:val="21"/>
          <w:szCs w:val="21"/>
          <w:highlight w:val="none"/>
        </w:rPr>
        <w:t>乙方必须每天向甲方提供各类货物检测检验报告。</w:t>
      </w:r>
    </w:p>
    <w:p w14:paraId="13A533BB">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lang w:val="en-US" w:eastAsia="zh-CN"/>
        </w:rPr>
        <w:t>十二</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rPr>
        <w:t>乙方</w:t>
      </w:r>
      <w:r>
        <w:rPr>
          <w:rFonts w:hint="eastAsia" w:ascii="宋体" w:hAnsi="宋体" w:eastAsia="宋体" w:cs="宋体"/>
          <w:bCs/>
          <w:sz w:val="21"/>
          <w:szCs w:val="21"/>
          <w:highlight w:val="none"/>
          <w:lang w:val="en-US" w:eastAsia="zh-CN"/>
        </w:rPr>
        <w:t>使用</w:t>
      </w:r>
      <w:r>
        <w:rPr>
          <w:rFonts w:hint="eastAsia" w:ascii="宋体" w:hAnsi="宋体" w:eastAsia="宋体" w:cs="宋体"/>
          <w:bCs/>
          <w:sz w:val="21"/>
          <w:szCs w:val="21"/>
          <w:highlight w:val="none"/>
        </w:rPr>
        <w:t>欺骗、隐瞒、虚报手段，故意抬高货物配送价格的，甲方经调查发现乙方提供的食材基准价格高于实际市场价格，甲方有权提出按市场价重新结算并考核。</w:t>
      </w:r>
    </w:p>
    <w:p w14:paraId="7AEDE685">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（十三）乙方须提供全年无休货物配送服务，且满足甲方临时送货需求。</w:t>
      </w:r>
    </w:p>
    <w:p w14:paraId="0CE7270C">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lang w:val="en-US" w:eastAsia="zh-CN"/>
        </w:rPr>
        <w:t>十四</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rPr>
        <w:t>如出现特殊情况难以正常供货、货物品种达不到甲方需求的，乙方应针对此类情况制定应急预案，以满足甲方需求。</w:t>
      </w:r>
    </w:p>
    <w:p w14:paraId="5D749185">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lang w:val="en-US" w:eastAsia="zh-CN"/>
        </w:rPr>
        <w:t>十五</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rPr>
        <w:t>乙方须对甲方所下订单进行确认，甲方应对乙方所送货物进行签收确认；签收确认的资料将作为付款的依据之一，且乙方须保存好签收确认的资料。</w:t>
      </w:r>
    </w:p>
    <w:p w14:paraId="09E17CDF">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lang w:val="en-US" w:eastAsia="zh-CN"/>
        </w:rPr>
        <w:t>十六</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rPr>
        <w:t>甲方有权定期和不定期抽查（检验、检测等）乙方提供的货物，如检验检测等结果不合格（或不符合要求）的，进行相关检验检测等费用全部由乙方承担。</w:t>
      </w:r>
    </w:p>
    <w:p w14:paraId="6C2B8846">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lang w:val="en-US" w:eastAsia="zh-CN"/>
        </w:rPr>
        <w:t>十七</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rPr>
        <w:t>由于</w:t>
      </w:r>
      <w:r>
        <w:rPr>
          <w:rFonts w:hint="eastAsia" w:ascii="宋体" w:hAnsi="宋体" w:eastAsia="宋体" w:cs="宋体"/>
          <w:kern w:val="0"/>
          <w:sz w:val="21"/>
          <w:szCs w:val="21"/>
          <w:highlight w:val="none"/>
        </w:rPr>
        <w:t>乙方原因，出现一次食品/健康/卫生方面的安全或质量问题（包括不符合甲方要求或存在缺陷等），或因乙方货物引发食品/健康/卫生方面的安全或质量事故的，乙方需承担</w:t>
      </w:r>
      <w:r>
        <w:rPr>
          <w:rFonts w:hint="eastAsia" w:ascii="宋体" w:hAnsi="宋体" w:eastAsia="宋体" w:cs="宋体"/>
          <w:bCs/>
          <w:sz w:val="21"/>
          <w:szCs w:val="21"/>
          <w:highlight w:val="none"/>
          <w:lang w:val="en-US" w:eastAsia="zh-CN"/>
        </w:rPr>
        <w:t>全部责任，甲方有权无条件解除合同。</w:t>
      </w:r>
    </w:p>
    <w:p w14:paraId="673392C8">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（十八）由于食品安全或食品抽查中产生的影响，由乙方承担责任。</w:t>
      </w:r>
    </w:p>
    <w:p w14:paraId="6255BD7C">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（十九）经医院确诊及卫生防疫部门确认，因乙方过错造成</w:t>
      </w:r>
      <w:r>
        <w:rPr>
          <w:rFonts w:hint="eastAsia" w:ascii="宋体" w:hAnsi="宋体" w:cs="宋体"/>
          <w:bCs/>
          <w:sz w:val="21"/>
          <w:szCs w:val="21"/>
          <w:highlight w:val="none"/>
          <w:lang w:val="en-US" w:eastAsia="zh-CN"/>
        </w:rPr>
        <w:t>人员</w:t>
      </w:r>
      <w:r>
        <w:rPr>
          <w:rFonts w:hint="eastAsia" w:ascii="宋体" w:hAnsi="宋体" w:eastAsia="宋体" w:cs="宋体"/>
          <w:bCs/>
          <w:sz w:val="21"/>
          <w:szCs w:val="21"/>
          <w:highlight w:val="none"/>
          <w:lang w:val="en-US" w:eastAsia="zh-CN"/>
        </w:rPr>
        <w:t>食物中毒，乙方需承担全部责任，并赔偿相关损失。</w:t>
      </w:r>
    </w:p>
    <w:p w14:paraId="49B7B907">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cs="宋体"/>
          <w:color w:val="auto"/>
          <w:kern w:val="0"/>
          <w:szCs w:val="21"/>
          <w:highlight w:val="none"/>
          <w:lang w:eastAsia="zh-CN"/>
        </w:rPr>
      </w:pPr>
      <w:r>
        <w:rPr>
          <w:rFonts w:hint="eastAsia" w:ascii="宋体" w:hAnsi="宋体" w:eastAsia="宋体" w:cs="宋体"/>
          <w:bCs/>
          <w:sz w:val="21"/>
          <w:szCs w:val="21"/>
          <w:highlight w:val="none"/>
          <w:lang w:val="en-US" w:eastAsia="zh-CN"/>
        </w:rPr>
        <w:t>（二十）</w:t>
      </w:r>
      <w:r>
        <w:rPr>
          <w:rFonts w:hint="eastAsia" w:ascii="宋体" w:hAnsi="宋体" w:cs="宋体"/>
          <w:bCs/>
          <w:color w:val="auto"/>
          <w:szCs w:val="21"/>
          <w:highlight w:val="none"/>
          <w:lang w:val="en-US" w:eastAsia="zh-CN"/>
        </w:rPr>
        <w:t>出现以下情况甲方有权解除合同，</w:t>
      </w:r>
      <w:r>
        <w:rPr>
          <w:rFonts w:hint="eastAsia" w:ascii="宋体" w:hAnsi="宋体" w:cs="宋体"/>
          <w:color w:val="auto"/>
          <w:kern w:val="0"/>
          <w:szCs w:val="21"/>
          <w:highlight w:val="none"/>
        </w:rPr>
        <w:t>乙方必须完全承担经济责任与法律责任</w:t>
      </w:r>
      <w:r>
        <w:rPr>
          <w:rFonts w:hint="eastAsia" w:ascii="宋体" w:hAnsi="宋体" w:cs="宋体"/>
          <w:color w:val="auto"/>
          <w:kern w:val="0"/>
          <w:szCs w:val="21"/>
          <w:highlight w:val="none"/>
          <w:lang w:eastAsia="zh-CN"/>
        </w:rPr>
        <w:t>：</w:t>
      </w:r>
    </w:p>
    <w:p w14:paraId="2FCB05E0">
      <w:pPr>
        <w:pStyle w:val="80"/>
        <w:keepNext w:val="0"/>
        <w:keepLines w:val="0"/>
        <w:pageBreakBefore w:val="0"/>
        <w:widowControl w:val="0"/>
        <w:kinsoku w:val="0"/>
        <w:wordWrap/>
        <w:overflowPunct w:val="0"/>
        <w:topLinePunct w:val="0"/>
        <w:autoSpaceDE w:val="0"/>
        <w:autoSpaceDN w:val="0"/>
        <w:bidi w:val="0"/>
        <w:adjustRightInd w:val="0"/>
        <w:snapToGrid w:val="0"/>
        <w:spacing w:line="440" w:lineRule="exact"/>
        <w:ind w:firstLine="420" w:firstLineChars="20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1.违反《食品安全法》造成严重后果的；或因乙方食材原因出现食品安全事故。</w:t>
      </w:r>
    </w:p>
    <w:p w14:paraId="2A18C852">
      <w:pPr>
        <w:pStyle w:val="80"/>
        <w:keepNext w:val="0"/>
        <w:keepLines w:val="0"/>
        <w:pageBreakBefore w:val="0"/>
        <w:widowControl w:val="0"/>
        <w:kinsoku w:val="0"/>
        <w:wordWrap/>
        <w:overflowPunct w:val="0"/>
        <w:topLinePunct w:val="0"/>
        <w:autoSpaceDE w:val="0"/>
        <w:autoSpaceDN w:val="0"/>
        <w:bidi w:val="0"/>
        <w:adjustRightInd w:val="0"/>
        <w:snapToGrid w:val="0"/>
        <w:spacing w:line="440" w:lineRule="exact"/>
        <w:ind w:firstLine="420" w:firstLineChars="20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2.未经甲方同意，擅自委托其它第三方单位或人员代为履行合同，将合同项目转包或分包的。</w:t>
      </w:r>
    </w:p>
    <w:p w14:paraId="5EDBB2E7">
      <w:pPr>
        <w:pStyle w:val="80"/>
        <w:keepNext w:val="0"/>
        <w:keepLines w:val="0"/>
        <w:pageBreakBefore w:val="0"/>
        <w:widowControl w:val="0"/>
        <w:kinsoku w:val="0"/>
        <w:wordWrap/>
        <w:overflowPunct w:val="0"/>
        <w:topLinePunct w:val="0"/>
        <w:autoSpaceDE w:val="0"/>
        <w:autoSpaceDN w:val="0"/>
        <w:bidi w:val="0"/>
        <w:adjustRightInd w:val="0"/>
        <w:snapToGrid w:val="0"/>
        <w:spacing w:line="440" w:lineRule="exact"/>
        <w:ind w:firstLine="420" w:firstLineChars="20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3.乙方拒绝配合甲方进行市场询价。</w:t>
      </w:r>
    </w:p>
    <w:p w14:paraId="54E6F770">
      <w:pPr>
        <w:pStyle w:val="80"/>
        <w:keepNext w:val="0"/>
        <w:keepLines w:val="0"/>
        <w:pageBreakBefore w:val="0"/>
        <w:widowControl w:val="0"/>
        <w:kinsoku w:val="0"/>
        <w:wordWrap/>
        <w:overflowPunct w:val="0"/>
        <w:topLinePunct w:val="0"/>
        <w:autoSpaceDE w:val="0"/>
        <w:autoSpaceDN w:val="0"/>
        <w:bidi w:val="0"/>
        <w:adjustRightInd w:val="0"/>
        <w:snapToGrid w:val="0"/>
        <w:spacing w:line="440" w:lineRule="exact"/>
        <w:ind w:firstLine="420" w:firstLineChars="20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4.未经甲方同意，擅自中断或停止提供配送服务的。</w:t>
      </w:r>
    </w:p>
    <w:p w14:paraId="20264A5D">
      <w:pPr>
        <w:pStyle w:val="80"/>
        <w:keepNext w:val="0"/>
        <w:keepLines w:val="0"/>
        <w:pageBreakBefore w:val="0"/>
        <w:widowControl w:val="0"/>
        <w:kinsoku w:val="0"/>
        <w:wordWrap/>
        <w:overflowPunct w:val="0"/>
        <w:topLinePunct w:val="0"/>
        <w:autoSpaceDE w:val="0"/>
        <w:autoSpaceDN w:val="0"/>
        <w:bidi w:val="0"/>
        <w:adjustRightInd w:val="0"/>
        <w:snapToGrid w:val="0"/>
        <w:spacing w:line="440" w:lineRule="exact"/>
        <w:ind w:firstLine="420" w:firstLineChars="20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5.因乙方管理不善，给甲方造成重大经济损失或造成恶劣的社会声誉影响的。</w:t>
      </w:r>
    </w:p>
    <w:p w14:paraId="7063A330">
      <w:pPr>
        <w:pStyle w:val="80"/>
        <w:keepNext w:val="0"/>
        <w:keepLines w:val="0"/>
        <w:pageBreakBefore w:val="0"/>
        <w:widowControl w:val="0"/>
        <w:kinsoku w:val="0"/>
        <w:wordWrap/>
        <w:overflowPunct w:val="0"/>
        <w:topLinePunct w:val="0"/>
        <w:autoSpaceDE w:val="0"/>
        <w:autoSpaceDN w:val="0"/>
        <w:bidi w:val="0"/>
        <w:adjustRightInd w:val="0"/>
        <w:snapToGrid w:val="0"/>
        <w:spacing w:line="440" w:lineRule="exact"/>
        <w:ind w:firstLine="420" w:firstLineChars="20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6.乙方未按照双方的约定提供送货服务、送货质量不符合甲方需求、送货时间延误等影响甲方正常开餐的情形，服务期内累计超过3次的。</w:t>
      </w:r>
    </w:p>
    <w:p w14:paraId="09E9E34C">
      <w:pPr>
        <w:pStyle w:val="80"/>
        <w:keepNext w:val="0"/>
        <w:keepLines w:val="0"/>
        <w:pageBreakBefore w:val="0"/>
        <w:widowControl w:val="0"/>
        <w:kinsoku w:val="0"/>
        <w:wordWrap/>
        <w:overflowPunct w:val="0"/>
        <w:topLinePunct w:val="0"/>
        <w:autoSpaceDE w:val="0"/>
        <w:autoSpaceDN w:val="0"/>
        <w:bidi w:val="0"/>
        <w:adjustRightInd w:val="0"/>
        <w:snapToGrid w:val="0"/>
        <w:spacing w:line="440" w:lineRule="exact"/>
        <w:ind w:firstLine="420" w:firstLineChars="20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7.如出现特殊情况难以正常供货、货物品种达不到甲方需求的，乙方应针对此类情况制定应急预案，以满足甲方需求；实际履约中，乙方出现不当应急行为。</w:t>
      </w:r>
    </w:p>
    <w:p w14:paraId="0222545D">
      <w:pPr>
        <w:pStyle w:val="80"/>
        <w:keepNext w:val="0"/>
        <w:keepLines w:val="0"/>
        <w:pageBreakBefore w:val="0"/>
        <w:widowControl w:val="0"/>
        <w:kinsoku w:val="0"/>
        <w:wordWrap/>
        <w:overflowPunct w:val="0"/>
        <w:topLinePunct w:val="0"/>
        <w:autoSpaceDE w:val="0"/>
        <w:autoSpaceDN w:val="0"/>
        <w:bidi w:val="0"/>
        <w:adjustRightInd w:val="0"/>
        <w:snapToGrid w:val="0"/>
        <w:spacing w:line="440" w:lineRule="exact"/>
        <w:ind w:firstLine="630" w:firstLineChars="300"/>
        <w:textAlignment w:val="auto"/>
        <w:rPr>
          <w:rFonts w:hint="eastAsia" w:ascii="宋体" w:hAnsi="宋体" w:eastAsia="宋体" w:cs="宋体"/>
          <w:b/>
          <w:bCs/>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w:t>
      </w:r>
      <w:r>
        <w:rPr>
          <w:rFonts w:hint="eastAsia" w:ascii="宋体" w:hAnsi="宋体" w:eastAsia="宋体" w:cs="宋体"/>
          <w:b/>
          <w:bCs/>
          <w:sz w:val="21"/>
          <w:szCs w:val="21"/>
          <w:highlight w:val="none"/>
          <w:lang w:val="en-US" w:eastAsia="zh-CN"/>
        </w:rPr>
        <w:t>十、质量瑕疵的补救措施和索赔</w:t>
      </w:r>
    </w:p>
    <w:p w14:paraId="5758E1D1">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kern w:val="2"/>
          <w:sz w:val="21"/>
          <w:szCs w:val="21"/>
          <w:highlight w:val="none"/>
          <w:lang w:val="en-US" w:eastAsia="zh-CN" w:bidi="ar-SA"/>
        </w:rPr>
        <w:t>（一）</w:t>
      </w:r>
      <w:r>
        <w:rPr>
          <w:rFonts w:hint="eastAsia" w:ascii="宋体" w:hAnsi="宋体" w:eastAsia="宋体" w:cs="宋体"/>
          <w:bCs/>
          <w:sz w:val="21"/>
          <w:szCs w:val="21"/>
          <w:highlight w:val="none"/>
        </w:rPr>
        <w:t>如果乙方提供的产品不符合质量标准或存在产品质量缺陷，而甲方在用户需求书“</w:t>
      </w:r>
      <w:r>
        <w:rPr>
          <w:rFonts w:hint="eastAsia" w:ascii="宋体" w:hAnsi="宋体" w:eastAsia="宋体" w:cs="宋体"/>
          <w:bCs/>
          <w:sz w:val="21"/>
          <w:szCs w:val="21"/>
          <w:highlight w:val="none"/>
          <w:lang w:val="en-US" w:eastAsia="zh-CN"/>
        </w:rPr>
        <w:t>六</w:t>
      </w:r>
      <w:r>
        <w:rPr>
          <w:rFonts w:hint="eastAsia" w:ascii="宋体" w:hAnsi="宋体" w:eastAsia="宋体" w:cs="宋体"/>
          <w:bCs/>
          <w:sz w:val="21"/>
          <w:szCs w:val="21"/>
          <w:highlight w:val="none"/>
        </w:rPr>
        <w:t>、质量要求”、“</w:t>
      </w:r>
      <w:r>
        <w:rPr>
          <w:rFonts w:hint="eastAsia" w:ascii="宋体" w:hAnsi="宋体" w:eastAsia="宋体" w:cs="宋体"/>
          <w:bCs/>
          <w:sz w:val="21"/>
          <w:szCs w:val="21"/>
          <w:highlight w:val="none"/>
          <w:lang w:val="en-US" w:eastAsia="zh-CN"/>
        </w:rPr>
        <w:t>八</w:t>
      </w:r>
      <w:r>
        <w:rPr>
          <w:rFonts w:hint="eastAsia" w:ascii="宋体" w:hAnsi="宋体" w:eastAsia="宋体" w:cs="宋体"/>
          <w:bCs/>
          <w:sz w:val="21"/>
          <w:szCs w:val="21"/>
          <w:highlight w:val="none"/>
        </w:rPr>
        <w:t>、验收标准”或其他条款规定的检验、验收和质量保证期内，根据法定质量检测部门出具的检验证书向乙方提出了索赔，乙方应按照甲方同意的下列一种或几种方式</w:t>
      </w:r>
      <w:r>
        <w:rPr>
          <w:rFonts w:hint="eastAsia" w:ascii="宋体" w:hAnsi="宋体" w:eastAsia="宋体" w:cs="宋体"/>
          <w:bCs/>
          <w:sz w:val="21"/>
          <w:szCs w:val="21"/>
          <w:highlight w:val="none"/>
          <w:lang w:val="en-US" w:eastAsia="zh-CN"/>
        </w:rPr>
        <w:t>综合进行</w:t>
      </w:r>
      <w:r>
        <w:rPr>
          <w:rFonts w:hint="eastAsia" w:ascii="宋体" w:hAnsi="宋体" w:eastAsia="宋体" w:cs="宋体"/>
          <w:bCs/>
          <w:sz w:val="21"/>
          <w:szCs w:val="21"/>
          <w:highlight w:val="none"/>
        </w:rPr>
        <w:t>解决索赔事宜：</w:t>
      </w:r>
    </w:p>
    <w:p w14:paraId="6FB45AB6">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kern w:val="2"/>
          <w:sz w:val="21"/>
          <w:szCs w:val="21"/>
          <w:highlight w:val="none"/>
          <w:lang w:val="en-US" w:eastAsia="zh-CN" w:bidi="ar-SA"/>
        </w:rPr>
        <w:t>1.</w:t>
      </w:r>
      <w:r>
        <w:rPr>
          <w:rFonts w:hint="eastAsia" w:ascii="宋体" w:hAnsi="宋体" w:eastAsia="宋体" w:cs="宋体"/>
          <w:bCs/>
          <w:sz w:val="21"/>
          <w:szCs w:val="21"/>
          <w:highlight w:val="none"/>
        </w:rPr>
        <w:t>乙方同意退货并将货款退还给甲方，由此发生的一切费用和损失由乙方承担（</w:t>
      </w:r>
      <w:r>
        <w:rPr>
          <w:rFonts w:hint="eastAsia" w:ascii="宋体" w:hAnsi="宋体" w:eastAsia="宋体" w:cs="宋体"/>
          <w:kern w:val="0"/>
          <w:sz w:val="21"/>
          <w:szCs w:val="21"/>
          <w:highlight w:val="none"/>
        </w:rPr>
        <w:t>包括但不限于：相应的运输、装卸、调换或退换货费用，恢复、治疗（医疗）或护理（丧葬）等费用，诉讼费用、律师代理费用、鉴定费用、保全等费用，以及消除影响、恢复企业形象和社会形象等相关费用</w:t>
      </w:r>
      <w:r>
        <w:rPr>
          <w:rFonts w:hint="eastAsia" w:ascii="宋体" w:hAnsi="宋体" w:eastAsia="宋体" w:cs="宋体"/>
          <w:bCs/>
          <w:sz w:val="21"/>
          <w:szCs w:val="21"/>
          <w:highlight w:val="none"/>
        </w:rPr>
        <w:t>）。</w:t>
      </w:r>
    </w:p>
    <w:p w14:paraId="58FB467B">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kern w:val="2"/>
          <w:sz w:val="21"/>
          <w:szCs w:val="21"/>
          <w:highlight w:val="none"/>
          <w:lang w:val="en-US" w:eastAsia="zh-CN" w:bidi="ar-SA"/>
        </w:rPr>
        <w:t>2.</w:t>
      </w:r>
      <w:r>
        <w:rPr>
          <w:rFonts w:hint="eastAsia" w:ascii="宋体" w:hAnsi="宋体" w:eastAsia="宋体" w:cs="宋体"/>
          <w:bCs/>
          <w:sz w:val="21"/>
          <w:szCs w:val="21"/>
          <w:highlight w:val="none"/>
        </w:rPr>
        <w:t>根据货物的质量状况以及甲方所遭受的损失，经过甲乙双方商定降低货物的价格。</w:t>
      </w:r>
    </w:p>
    <w:p w14:paraId="1A24F6F4">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kern w:val="2"/>
          <w:sz w:val="21"/>
          <w:szCs w:val="21"/>
          <w:highlight w:val="none"/>
          <w:lang w:val="en-US" w:eastAsia="zh-CN" w:bidi="ar-SA"/>
        </w:rPr>
        <w:t>3.</w:t>
      </w:r>
      <w:r>
        <w:rPr>
          <w:rFonts w:hint="eastAsia" w:ascii="宋体" w:hAnsi="宋体" w:eastAsia="宋体" w:cs="宋体"/>
          <w:bCs/>
          <w:sz w:val="21"/>
          <w:szCs w:val="21"/>
          <w:highlight w:val="none"/>
        </w:rPr>
        <w:t>乙方应在接到甲方通知后七日内负责采用符合合同规定的规格、质量及满足甲方需求的同类产品进行更换，其费用由乙方负担。</w:t>
      </w:r>
    </w:p>
    <w:p w14:paraId="1867AF7A">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宋体"/>
          <w:bCs/>
          <w:sz w:val="21"/>
          <w:szCs w:val="21"/>
          <w:highlight w:val="none"/>
          <w:lang w:eastAsia="zh-CN"/>
        </w:rPr>
      </w:pPr>
      <w:r>
        <w:rPr>
          <w:rFonts w:hint="eastAsia" w:ascii="宋体" w:hAnsi="宋体" w:eastAsia="宋体" w:cs="宋体"/>
          <w:bCs/>
          <w:kern w:val="2"/>
          <w:sz w:val="21"/>
          <w:szCs w:val="21"/>
          <w:highlight w:val="none"/>
          <w:lang w:val="en-US" w:eastAsia="zh-CN" w:bidi="ar-SA"/>
        </w:rPr>
        <w:t>（二）</w:t>
      </w:r>
      <w:r>
        <w:rPr>
          <w:rFonts w:hint="eastAsia" w:ascii="宋体" w:hAnsi="宋体" w:eastAsia="宋体" w:cs="宋体"/>
          <w:bCs/>
          <w:sz w:val="21"/>
          <w:szCs w:val="21"/>
          <w:highlight w:val="none"/>
        </w:rPr>
        <w:t>如果在甲方发出索赔通知后十日内乙方未作答复，上述索赔应视为已被乙方接受。如果乙方未能在甲方发出索赔通知后十日内或甲方同意延长的期限内，按照上述规定的任何一种方法采取补救措施，甲方有权从应付货款或履约保证金中扣除索赔金额，如不足以弥补甲方损失的，甲方有权进一步要求乙方赔偿</w:t>
      </w:r>
      <w:r>
        <w:rPr>
          <w:rFonts w:hint="eastAsia" w:ascii="宋体" w:hAnsi="宋体" w:cs="宋体"/>
          <w:bCs/>
          <w:sz w:val="21"/>
          <w:szCs w:val="21"/>
          <w:highlight w:val="none"/>
          <w:lang w:eastAsia="zh-CN"/>
        </w:rPr>
        <w:t>。</w:t>
      </w:r>
    </w:p>
    <w:p w14:paraId="60EF16EC">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kern w:val="2"/>
          <w:sz w:val="21"/>
          <w:szCs w:val="21"/>
          <w:highlight w:val="none"/>
          <w:lang w:val="en-US" w:eastAsia="zh-CN" w:bidi="ar-SA"/>
        </w:rPr>
        <w:t>（三）</w:t>
      </w:r>
      <w:r>
        <w:rPr>
          <w:rFonts w:hint="eastAsia" w:ascii="宋体" w:hAnsi="宋体" w:eastAsia="宋体" w:cs="宋体"/>
          <w:bCs/>
          <w:sz w:val="21"/>
          <w:szCs w:val="21"/>
          <w:highlight w:val="none"/>
        </w:rPr>
        <w:t>如因乙方提供的货物原因发生了食品/健康/卫生方面的安全或质量问题（包括不符合甲方要求或存在缺陷等），或因乙方货物引发食品/健康/卫生方面的安全或质量事故，乙方应承担全部责任，甲方有权索取赔偿，同时甲方有权终止合同。</w:t>
      </w:r>
    </w:p>
    <w:p w14:paraId="1EF1ECA7">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kern w:val="2"/>
          <w:sz w:val="21"/>
          <w:szCs w:val="21"/>
          <w:highlight w:val="none"/>
          <w:lang w:val="en-US" w:eastAsia="zh-CN" w:bidi="ar-SA"/>
        </w:rPr>
        <w:t>（四）</w:t>
      </w:r>
      <w:r>
        <w:rPr>
          <w:rFonts w:hint="eastAsia" w:ascii="宋体" w:hAnsi="宋体" w:eastAsia="宋体" w:cs="宋体"/>
          <w:bCs/>
          <w:sz w:val="21"/>
          <w:szCs w:val="21"/>
          <w:highlight w:val="none"/>
        </w:rPr>
        <w:t>如因乙方提供的货物原因被政府相关部门、甲方或第三方机构（组织）查出食品/健康/卫生方面的安全或质量问题（包括不符合甲方要求或存在缺陷等），或因乙方货物引发食品/健康/卫生方面的安全或质量事故，所产生的责任由供货商全权承担，甲方有权进一步追究责任。</w:t>
      </w:r>
    </w:p>
    <w:p w14:paraId="437FD41C">
      <w:pPr>
        <w:keepNext w:val="0"/>
        <w:keepLines w:val="0"/>
        <w:pageBreakBefore w:val="0"/>
        <w:widowControl w:val="0"/>
        <w:kinsoku/>
        <w:wordWrap/>
        <w:overflowPunct w:val="0"/>
        <w:topLinePunct w:val="0"/>
        <w:autoSpaceDE w:val="0"/>
        <w:autoSpaceDN w:val="0"/>
        <w:bidi w:val="0"/>
        <w:adjustRightInd w:val="0"/>
        <w:snapToGrid w:val="0"/>
        <w:spacing w:line="440" w:lineRule="exact"/>
        <w:ind w:left="0" w:firstLine="420" w:firstLineChars="200"/>
        <w:textAlignment w:val="auto"/>
        <w:rPr>
          <w:rFonts w:hint="eastAsia" w:ascii="宋体" w:hAnsi="宋体" w:eastAsia="宋体" w:cs="宋体"/>
          <w:b/>
          <w:bCs/>
          <w:sz w:val="21"/>
          <w:szCs w:val="21"/>
          <w:highlight w:val="none"/>
        </w:rPr>
      </w:pPr>
      <w:r>
        <w:rPr>
          <w:rFonts w:hint="eastAsia" w:ascii="微软雅黑" w:hAnsi="微软雅黑" w:eastAsia="微软雅黑" w:cs="微软雅黑"/>
          <w:color w:val="auto"/>
          <w:sz w:val="21"/>
          <w:szCs w:val="21"/>
          <w:highlight w:val="none"/>
          <w:lang w:val="en-US" w:eastAsia="zh-CN"/>
        </w:rPr>
        <w:t>★</w:t>
      </w:r>
      <w:r>
        <w:rPr>
          <w:rFonts w:hint="eastAsia" w:ascii="宋体" w:hAnsi="宋体" w:eastAsia="宋体" w:cs="宋体"/>
          <w:b/>
          <w:bCs/>
          <w:sz w:val="21"/>
          <w:szCs w:val="21"/>
          <w:highlight w:val="none"/>
          <w:lang w:val="en-US" w:eastAsia="zh-CN"/>
        </w:rPr>
        <w:t>十一、</w:t>
      </w:r>
      <w:r>
        <w:rPr>
          <w:rFonts w:hint="eastAsia" w:ascii="宋体" w:hAnsi="宋体" w:eastAsia="宋体" w:cs="宋体"/>
          <w:b/>
          <w:bCs/>
          <w:sz w:val="21"/>
          <w:szCs w:val="21"/>
          <w:highlight w:val="none"/>
        </w:rPr>
        <w:t>迟延交货的违约责任</w:t>
      </w:r>
    </w:p>
    <w:p w14:paraId="4319997E">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（一）</w:t>
      </w:r>
      <w:r>
        <w:rPr>
          <w:rFonts w:hint="eastAsia" w:ascii="宋体" w:hAnsi="宋体" w:eastAsia="宋体" w:cs="宋体"/>
          <w:bCs/>
          <w:sz w:val="21"/>
          <w:szCs w:val="21"/>
          <w:highlight w:val="none"/>
        </w:rPr>
        <w:t>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14:paraId="1F7911CF">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（二）</w:t>
      </w:r>
      <w:r>
        <w:rPr>
          <w:rFonts w:hint="eastAsia" w:ascii="宋体" w:hAnsi="宋体" w:eastAsia="宋体" w:cs="宋体"/>
          <w:bCs/>
          <w:sz w:val="21"/>
          <w:szCs w:val="21"/>
          <w:highlight w:val="none"/>
        </w:rPr>
        <w:t>除自然灾害等不可抗力因素情况外，如果乙方没有按照合同规定的时间交货和提供服务，甲方视情况有权考核。乙方未按照双方的约定（含合同约定、送货清单等双方各种方式的约定）提供送货服务、送货质量不符合甲方需求、送货时间延误等影响甲方正常开餐的情形，</w:t>
      </w:r>
      <w:r>
        <w:rPr>
          <w:rFonts w:hint="eastAsia" w:ascii="宋体" w:hAnsi="宋体" w:cs="宋体"/>
          <w:bCs/>
          <w:sz w:val="21"/>
          <w:szCs w:val="21"/>
          <w:highlight w:val="none"/>
          <w:lang w:val="en-US" w:eastAsia="zh-CN"/>
        </w:rPr>
        <w:t>合同期内</w:t>
      </w:r>
      <w:r>
        <w:rPr>
          <w:rFonts w:hint="eastAsia" w:ascii="宋体" w:hAnsi="宋体" w:eastAsia="宋体" w:cs="宋体"/>
          <w:bCs/>
          <w:sz w:val="21"/>
          <w:szCs w:val="21"/>
          <w:highlight w:val="none"/>
        </w:rPr>
        <w:t>累计超过3次的，甲方可提前十个工作日告知乙方终止合同，无需承担任何赔偿责任。</w:t>
      </w:r>
    </w:p>
    <w:p w14:paraId="1B9D0E0A">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（三）</w:t>
      </w:r>
      <w:r>
        <w:rPr>
          <w:rFonts w:hint="eastAsia" w:ascii="宋体" w:hAnsi="宋体" w:eastAsia="宋体" w:cs="宋体"/>
          <w:bCs/>
          <w:sz w:val="21"/>
          <w:szCs w:val="21"/>
          <w:highlight w:val="none"/>
        </w:rPr>
        <w:t>如果乙方有迟延交货等情形的，甲方有权终止全部或部分合同，并依其认为适当的条件和方法有权从第三方购买货物，乙方应对购买类似货物所超出的部分费用负责。</w:t>
      </w:r>
      <w:r>
        <w:rPr>
          <w:rFonts w:hint="eastAsia" w:ascii="宋体" w:hAnsi="宋体" w:cs="宋体"/>
          <w:bCs/>
          <w:sz w:val="21"/>
          <w:szCs w:val="21"/>
          <w:highlight w:val="none"/>
          <w:lang w:val="en-US" w:eastAsia="zh-CN"/>
        </w:rPr>
        <w:t>同时</w:t>
      </w:r>
      <w:r>
        <w:rPr>
          <w:rFonts w:hint="eastAsia" w:ascii="宋体" w:hAnsi="宋体" w:eastAsia="宋体" w:cs="宋体"/>
          <w:bCs/>
          <w:sz w:val="21"/>
          <w:szCs w:val="21"/>
          <w:highlight w:val="none"/>
        </w:rPr>
        <w:t>乙方应继续执行合同中未终止的部分，并承担相应赔偿责任。</w:t>
      </w:r>
    </w:p>
    <w:p w14:paraId="47472E3F">
      <w:pPr>
        <w:rPr>
          <w:rFonts w:hAnsi="黑体"/>
          <w:color w:val="auto"/>
          <w:sz w:val="44"/>
          <w:szCs w:val="44"/>
          <w:highlight w:val="none"/>
        </w:rPr>
      </w:pPr>
    </w:p>
    <w:p w14:paraId="2AE52976">
      <w:pPr>
        <w:rPr>
          <w:rFonts w:hAnsi="黑体"/>
          <w:color w:val="auto"/>
          <w:sz w:val="44"/>
          <w:szCs w:val="44"/>
          <w:highlight w:val="none"/>
        </w:rPr>
      </w:pPr>
      <w:r>
        <w:rPr>
          <w:rFonts w:hAnsi="黑体"/>
          <w:color w:val="auto"/>
          <w:sz w:val="44"/>
          <w:szCs w:val="44"/>
          <w:highlight w:val="none"/>
        </w:rPr>
        <w:br w:type="page"/>
      </w:r>
    </w:p>
    <w:p w14:paraId="34EDB9BF">
      <w:pPr>
        <w:pStyle w:val="80"/>
        <w:jc w:val="center"/>
        <w:outlineLvl w:val="1"/>
        <w:rPr>
          <w:rFonts w:hint="default"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标段三 生鲜类物资供应服务</w:t>
      </w:r>
    </w:p>
    <w:p w14:paraId="22A56613">
      <w:pPr>
        <w:pStyle w:val="80"/>
        <w:widowControl w:val="0"/>
        <w:numPr>
          <w:ilvl w:val="0"/>
          <w:numId w:val="0"/>
        </w:numPr>
        <w:autoSpaceDE w:val="0"/>
        <w:autoSpaceDN w:val="0"/>
        <w:adjustRightInd w:val="0"/>
        <w:rPr>
          <w:rFonts w:hint="eastAsia"/>
          <w:highlight w:val="none"/>
        </w:rPr>
      </w:pPr>
    </w:p>
    <w:p w14:paraId="0DC04A7A">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2" w:firstLineChars="200"/>
        <w:textAlignment w:val="auto"/>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一、服务项目</w:t>
      </w:r>
    </w:p>
    <w:p w14:paraId="449DC92F">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2026-2028年员工食堂劳务外包、物资供应项目</w:t>
      </w:r>
    </w:p>
    <w:p w14:paraId="073389B1">
      <w:pPr>
        <w:keepNext w:val="0"/>
        <w:keepLines w:val="0"/>
        <w:pageBreakBefore w:val="0"/>
        <w:widowControl/>
        <w:suppressLineNumbers w:val="0"/>
        <w:kinsoku/>
        <w:wordWrap/>
        <w:overflowPunct/>
        <w:topLinePunct w:val="0"/>
        <w:bidi w:val="0"/>
        <w:snapToGrid/>
        <w:spacing w:line="440" w:lineRule="exact"/>
        <w:ind w:firstLine="420" w:firstLineChars="200"/>
        <w:jc w:val="left"/>
        <w:textAlignment w:val="auto"/>
        <w:rPr>
          <w:rFonts w:hint="eastAsia" w:ascii="宋体" w:hAnsi="宋体" w:eastAsia="宋体" w:cs="宋体"/>
          <w:b/>
          <w:color w:val="auto"/>
          <w:kern w:val="2"/>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rPr>
        <w:t>★</w:t>
      </w:r>
      <w:r>
        <w:rPr>
          <w:rFonts w:hint="eastAsia" w:ascii="宋体" w:hAnsi="宋体" w:eastAsia="宋体" w:cs="宋体"/>
          <w:b/>
          <w:color w:val="auto"/>
          <w:kern w:val="2"/>
          <w:sz w:val="21"/>
          <w:szCs w:val="21"/>
          <w:highlight w:val="none"/>
          <w:lang w:val="en-US" w:eastAsia="zh-CN" w:bidi="ar-SA"/>
        </w:rPr>
        <w:t>二、服务地点</w:t>
      </w:r>
    </w:p>
    <w:p w14:paraId="467F8CE2">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长沙市长沙县东五路与大元路交叉口东南220米（黄梨路车辆段员工食堂）、长沙市望城区泉水路600号（梧桐路停车场员工食堂）。</w:t>
      </w:r>
    </w:p>
    <w:p w14:paraId="24B9BD5F">
      <w:pPr>
        <w:keepNext w:val="0"/>
        <w:keepLines w:val="0"/>
        <w:pageBreakBefore w:val="0"/>
        <w:widowControl/>
        <w:suppressLineNumbers w:val="0"/>
        <w:kinsoku/>
        <w:wordWrap/>
        <w:overflowPunct/>
        <w:topLinePunct w:val="0"/>
        <w:bidi w:val="0"/>
        <w:snapToGrid/>
        <w:spacing w:line="440" w:lineRule="exact"/>
        <w:ind w:firstLine="420" w:firstLineChars="200"/>
        <w:jc w:val="left"/>
        <w:textAlignment w:val="auto"/>
        <w:rPr>
          <w:rFonts w:hint="eastAsia" w:ascii="宋体" w:hAnsi="宋体" w:eastAsia="宋体" w:cs="宋体"/>
          <w:b/>
          <w:color w:val="auto"/>
          <w:kern w:val="2"/>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rPr>
        <w:t>★</w:t>
      </w:r>
      <w:r>
        <w:rPr>
          <w:rFonts w:hint="eastAsia" w:ascii="宋体" w:hAnsi="宋体" w:eastAsia="宋体" w:cs="宋体"/>
          <w:b/>
          <w:color w:val="auto"/>
          <w:kern w:val="2"/>
          <w:sz w:val="21"/>
          <w:szCs w:val="21"/>
          <w:highlight w:val="none"/>
          <w:lang w:val="en-US" w:eastAsia="zh-CN" w:bidi="ar-SA"/>
        </w:rPr>
        <w:t>三、服务范围</w:t>
      </w:r>
    </w:p>
    <w:p w14:paraId="52C9E654">
      <w:pPr>
        <w:keepNext w:val="0"/>
        <w:keepLines w:val="0"/>
        <w:pageBreakBefore w:val="0"/>
        <w:widowControl w:val="0"/>
        <w:kinsoku/>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为甲方黄梨路车辆段和梧桐路停车场员工食堂提供日常经营所需</w:t>
      </w:r>
      <w:r>
        <w:rPr>
          <w:rFonts w:hint="eastAsia" w:ascii="宋体" w:hAnsi="宋体" w:eastAsia="宋体" w:cs="Times New Roman"/>
          <w:color w:val="auto"/>
          <w:szCs w:val="21"/>
          <w:highlight w:val="none"/>
          <w:lang w:val="en-US" w:eastAsia="zh-CN"/>
        </w:rPr>
        <w:t>生鲜</w:t>
      </w:r>
      <w:r>
        <w:rPr>
          <w:rFonts w:hint="eastAsia" w:ascii="宋体" w:hAnsi="宋体" w:eastAsia="宋体" w:cs="宋体"/>
          <w:bCs/>
          <w:sz w:val="21"/>
          <w:szCs w:val="21"/>
          <w:highlight w:val="none"/>
        </w:rPr>
        <w:t>食品原材料包括但不限于</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lang w:val="en-US" w:eastAsia="zh-CN"/>
        </w:rPr>
        <w:t>肉类及副产品（五花肉、精腿肉、排骨、猪大骨、猪脚、牛肉、羊肉、含冻品类</w:t>
      </w:r>
      <w:r>
        <w:rPr>
          <w:rFonts w:hint="eastAsia" w:ascii="宋体" w:hAnsi="宋体" w:cs="宋体"/>
          <w:bCs/>
          <w:sz w:val="21"/>
          <w:szCs w:val="21"/>
          <w:highlight w:val="none"/>
          <w:lang w:val="en-US" w:eastAsia="zh-CN"/>
        </w:rPr>
        <w:t>等</w:t>
      </w:r>
      <w:r>
        <w:rPr>
          <w:rFonts w:hint="eastAsia" w:ascii="宋体" w:hAnsi="宋体" w:eastAsia="宋体" w:cs="宋体"/>
          <w:bCs/>
          <w:sz w:val="21"/>
          <w:szCs w:val="21"/>
          <w:highlight w:val="none"/>
          <w:lang w:val="en-US" w:eastAsia="zh-CN"/>
        </w:rPr>
        <w:t>）；水产类（虾米、小鱼仔、草鱼(杀)、雄鱼（杀）、黄鸭叫(杀)、鱼籽鱼泡、牛蛙(杀)、鳝鱼(杀)）；活禽类（土鸡、水鸭、肉鸡）及禽蛋类；蔬菜类（南瓜、冬瓜、茄子、丝瓜、油麦菜等蔬菜）；水果类（鲜荔枝、火龙果等水果）；豆制品（油豆腐、米豆腐、卤香干、卤香干、攸县香干、白豆腐）；粉面类（鲜米粉、鲜圆粉、鲜碱面）等；上述物资中包含乡村振兴农副产品。</w:t>
      </w:r>
    </w:p>
    <w:p w14:paraId="2963E6FE">
      <w:pPr>
        <w:keepNext w:val="0"/>
        <w:keepLines w:val="0"/>
        <w:pageBreakBefore w:val="0"/>
        <w:widowControl/>
        <w:suppressLineNumbers w:val="0"/>
        <w:kinsoku/>
        <w:wordWrap/>
        <w:overflowPunct/>
        <w:topLinePunct w:val="0"/>
        <w:bidi w:val="0"/>
        <w:snapToGrid/>
        <w:spacing w:line="440" w:lineRule="exact"/>
        <w:ind w:firstLine="420" w:firstLineChars="200"/>
        <w:jc w:val="left"/>
        <w:textAlignment w:val="auto"/>
        <w:rPr>
          <w:rFonts w:hint="eastAsia" w:ascii="宋体" w:hAnsi="宋体" w:eastAsia="宋体" w:cs="宋体"/>
          <w:b/>
          <w:color w:val="auto"/>
          <w:kern w:val="2"/>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rPr>
        <w:t>★</w:t>
      </w:r>
      <w:r>
        <w:rPr>
          <w:rFonts w:hint="eastAsia" w:ascii="宋体" w:hAnsi="宋体" w:eastAsia="宋体" w:cs="宋体"/>
          <w:b/>
          <w:color w:val="auto"/>
          <w:kern w:val="2"/>
          <w:sz w:val="21"/>
          <w:szCs w:val="21"/>
          <w:highlight w:val="none"/>
          <w:lang w:val="en-US" w:eastAsia="zh-CN" w:bidi="ar-SA"/>
        </w:rPr>
        <w:t>四、履行方式</w:t>
      </w:r>
    </w:p>
    <w:p w14:paraId="6204DDDB">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主要包括运输方式与交货方式等。</w:t>
      </w:r>
    </w:p>
    <w:p w14:paraId="4C55CF3A">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运输方式：由乙方采用专用配送车辆免费运输到甲方指定地点。</w:t>
      </w:r>
    </w:p>
    <w:p w14:paraId="46039E52">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交货方式：每天配送两次（法定节假日视情况可调整至一次），分别于上午6：00前与下午16：00前将甲方所预订的货物送至甲方指定地点。每周星期五下午16：00前按时将未来两周市场能提供的菜品种类及价格报送至甲方，乙方按照甲方下单的菜品种类和数量，按时足量送货。</w:t>
      </w:r>
    </w:p>
    <w:p w14:paraId="66BC83FB">
      <w:pPr>
        <w:keepNext w:val="0"/>
        <w:keepLines w:val="0"/>
        <w:widowControl/>
        <w:suppressLineNumbers w:val="0"/>
        <w:ind w:firstLine="422" w:firstLineChars="200"/>
        <w:jc w:val="left"/>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五、运输及包装要求</w:t>
      </w:r>
    </w:p>
    <w:p w14:paraId="3E86FA2A">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（一）乙方提供的货物必须做到专车专送，不得与非甲方的货物混合装运，且不对甲方所需的货物进行长时间储藏；所有提供给甲方的货物，在乙方仓库储藏时间不得超过 24 小时。</w:t>
      </w:r>
    </w:p>
    <w:p w14:paraId="09AFE3FE">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（二）乙方如供应需冷藏的食材，则必须使用厢式食品专用冷藏车辆和专用容器进行运输，不得敞露运输。</w:t>
      </w:r>
    </w:p>
    <w:p w14:paraId="544878BB">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（三）乙方须尽量避免将肉类（水产品）、水果和蔬菜拼箱混装；如果采取拼箱混装方式运输，乙方必须采取措施保证货物不发生冻害、腐败、串味、脱水、变色、失去鲜度等问题。</w:t>
      </w:r>
    </w:p>
    <w:p w14:paraId="038C0A7B">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四）乙方应保证周转包装容器和运输车辆的清洁卫生和防止食品在运输过程中受到污染。运输车辆应当保持清洁，无霉斑、鼠迹、苍蝇、蟑螂，不得存放有毒、有害物品及个人生活用品。周转包装容器和车辆在每次配送前应进行清洗消毒。乙方应保证转包装容器和运输车辆的清洁卫生符合国家、行业的相关规定。</w:t>
      </w:r>
    </w:p>
    <w:p w14:paraId="311B562C">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（五）乙方将货物运送至甲方指定交货地点并交付给甲方指定收货人前的货物运输过程由乙方负责，相关的运输费用、保险、保管、货物灭失及毁损的风险亦由乙方承担。</w:t>
      </w:r>
    </w:p>
    <w:p w14:paraId="77C56CD7">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六）肉类（水产品）、水果、蔬菜、蛋类和半成品等非定量简易包装的食材应使用独立洁净的食品盛放箱（筐）放置，避免挤压。乙方应保证具有对各类货物进行冷冻储藏或保鲜储藏的设施，所有储藏设施符合国家、行业标准和规范，以保持食材新鲜度。</w:t>
      </w:r>
    </w:p>
    <w:p w14:paraId="6DD970D1">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七）乙方应根据货物实际特点进行额外的坚固包装使其防水、防潮、防腐、防锈、防震等，并在正常情况下适于水运、空运和长途内陆运输及反复装卸和搬运的要求，保证所送货物包装完好无损，包装费用由乙方承担。另外乙方应根据货物的特点及其对装卸操作的要求在包装箱显著位置以中文标明“保持干燥”，“小心轻放”，“此面向上”等国际惯用图示。</w:t>
      </w:r>
    </w:p>
    <w:p w14:paraId="44DF7315">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（八）乙方运输人员应身体健康，无传染性疾病。</w:t>
      </w:r>
    </w:p>
    <w:p w14:paraId="58B4E784">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宋体"/>
          <w:b/>
          <w:color w:val="auto"/>
          <w:kern w:val="2"/>
          <w:sz w:val="21"/>
          <w:szCs w:val="21"/>
          <w:highlight w:val="none"/>
          <w:lang w:val="en-US" w:eastAsia="zh-CN" w:bidi="ar-SA"/>
        </w:rPr>
      </w:pPr>
      <w:r>
        <w:rPr>
          <w:rFonts w:hint="eastAsia" w:ascii="微软雅黑" w:hAnsi="微软雅黑" w:eastAsia="微软雅黑" w:cs="微软雅黑"/>
          <w:color w:val="auto"/>
          <w:sz w:val="21"/>
          <w:szCs w:val="21"/>
          <w:highlight w:val="none"/>
          <w:lang w:val="en-US" w:eastAsia="zh-CN"/>
        </w:rPr>
        <w:t>★</w:t>
      </w:r>
      <w:r>
        <w:rPr>
          <w:rFonts w:hint="eastAsia" w:ascii="宋体" w:hAnsi="宋体" w:eastAsia="宋体" w:cs="宋体"/>
          <w:b/>
          <w:color w:val="auto"/>
          <w:kern w:val="2"/>
          <w:sz w:val="21"/>
          <w:szCs w:val="21"/>
          <w:highlight w:val="none"/>
          <w:lang w:val="en-US" w:eastAsia="zh-CN" w:bidi="ar-SA"/>
        </w:rPr>
        <w:t>六、质量要求</w:t>
      </w:r>
    </w:p>
    <w:p w14:paraId="1F722FA7">
      <w:pPr>
        <w:keepNext w:val="0"/>
        <w:keepLines w:val="0"/>
        <w:pageBreakBefore w:val="0"/>
        <w:widowControl w:val="0"/>
        <w:kinsoku/>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送货质量须符合下列要求，否则甲方有权退换货，同时，相应的运输、装卸、调换或退换货的全部费用由乙方自行承担。</w:t>
      </w:r>
    </w:p>
    <w:p w14:paraId="747BDD73">
      <w:pPr>
        <w:keepNext w:val="0"/>
        <w:keepLines w:val="0"/>
        <w:pageBreakBefore w:val="0"/>
        <w:widowControl w:val="0"/>
        <w:kinsoku/>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（一）蔬菜类应保持良好的色泽和新鲜度，农药残留不能超过国家有关标准，符合国家食品卫生标准，不得有腐烂、黄叶、偏老等现象。</w:t>
      </w:r>
    </w:p>
    <w:p w14:paraId="746845C4">
      <w:pPr>
        <w:keepNext w:val="0"/>
        <w:keepLines w:val="0"/>
        <w:pageBreakBefore w:val="0"/>
        <w:widowControl w:val="0"/>
        <w:kinsoku/>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（二）鲜肉类及禽类全部来源于国家认可的正规肉联厂，同时保证每批次有检疫合格证，确保每日新鲜。</w:t>
      </w:r>
    </w:p>
    <w:p w14:paraId="60CDE908">
      <w:pPr>
        <w:keepNext w:val="0"/>
        <w:keepLines w:val="0"/>
        <w:pageBreakBefore w:val="0"/>
        <w:widowControl w:val="0"/>
        <w:kinsoku/>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（三）海鲜、水产品必须鲜活，符合国家食品卫生标准。</w:t>
      </w:r>
    </w:p>
    <w:p w14:paraId="0407CB21">
      <w:pPr>
        <w:keepNext w:val="0"/>
        <w:keepLines w:val="0"/>
        <w:pageBreakBefore w:val="0"/>
        <w:widowControl w:val="0"/>
        <w:kinsoku/>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（四）凡是有保质期的货物，必须确保收货时的保质有效期不低于本货物保质期的三分之二。</w:t>
      </w:r>
    </w:p>
    <w:p w14:paraId="0BA8A7E7">
      <w:pPr>
        <w:keepNext w:val="0"/>
        <w:keepLines w:val="0"/>
        <w:pageBreakBefore w:val="0"/>
        <w:widowControl w:val="0"/>
        <w:kinsoku/>
        <w:wordWrap/>
        <w:overflowPunct w:val="0"/>
        <w:topLinePunct w:val="0"/>
        <w:autoSpaceDE w:val="0"/>
        <w:autoSpaceDN w:val="0"/>
        <w:bidi w:val="0"/>
        <w:adjustRightInd w:val="0"/>
        <w:snapToGrid w:val="0"/>
        <w:spacing w:line="440" w:lineRule="exact"/>
        <w:ind w:left="0" w:leftChars="0" w:firstLine="422" w:firstLineChars="20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七</w:t>
      </w:r>
      <w:r>
        <w:rPr>
          <w:rFonts w:hint="eastAsia" w:ascii="宋体" w:hAnsi="宋体" w:eastAsia="宋体" w:cs="宋体"/>
          <w:b/>
          <w:bCs/>
          <w:sz w:val="21"/>
          <w:szCs w:val="21"/>
          <w:highlight w:val="none"/>
        </w:rPr>
        <w:t>、采购清单</w:t>
      </w:r>
    </w:p>
    <w:p w14:paraId="6514B484">
      <w:pPr>
        <w:keepNext w:val="0"/>
        <w:keepLines w:val="0"/>
        <w:pageBreakBefore w:val="0"/>
        <w:widowControl w:val="0"/>
        <w:kinsoku/>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宋体"/>
          <w:b/>
          <w:bCs/>
          <w:sz w:val="21"/>
          <w:szCs w:val="21"/>
          <w:highlight w:val="none"/>
        </w:rPr>
      </w:pPr>
      <w:r>
        <w:rPr>
          <w:rFonts w:hint="eastAsia" w:ascii="宋体" w:hAnsi="宋体" w:eastAsia="宋体" w:cs="宋体"/>
          <w:sz w:val="21"/>
          <w:szCs w:val="21"/>
          <w:highlight w:val="none"/>
          <w:lang w:val="en-US" w:eastAsia="zh-CN"/>
        </w:rPr>
        <w:t>生鲜</w:t>
      </w:r>
      <w:r>
        <w:rPr>
          <w:rFonts w:hint="eastAsia" w:ascii="宋体" w:hAnsi="宋体" w:eastAsia="宋体" w:cs="宋体"/>
          <w:sz w:val="21"/>
          <w:szCs w:val="21"/>
          <w:highlight w:val="none"/>
        </w:rPr>
        <w:t>类包括但不限于以下品种:</w:t>
      </w:r>
    </w:p>
    <w:tbl>
      <w:tblPr>
        <w:tblStyle w:val="64"/>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32" w:type="dxa"/>
          <w:left w:w="64" w:type="dxa"/>
          <w:bottom w:w="32" w:type="dxa"/>
          <w:right w:w="64" w:type="dxa"/>
        </w:tblCellMar>
      </w:tblPr>
      <w:tblGrid>
        <w:gridCol w:w="936"/>
        <w:gridCol w:w="1355"/>
        <w:gridCol w:w="6231"/>
      </w:tblGrid>
      <w:tr w14:paraId="40719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AB440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3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DE47B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谷薯类</w:t>
            </w:r>
          </w:p>
        </w:tc>
        <w:tc>
          <w:tcPr>
            <w:tcW w:w="6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DD6C0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粉面类</w:t>
            </w:r>
          </w:p>
        </w:tc>
      </w:tr>
      <w:tr w14:paraId="6387F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20250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3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AD2FD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蔬菜类</w:t>
            </w:r>
          </w:p>
        </w:tc>
        <w:tc>
          <w:tcPr>
            <w:tcW w:w="6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888A6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瓜果类</w:t>
            </w:r>
          </w:p>
        </w:tc>
      </w:tr>
      <w:tr w14:paraId="6AD2F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19B08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3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C90A3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水果类</w:t>
            </w:r>
          </w:p>
        </w:tc>
        <w:tc>
          <w:tcPr>
            <w:tcW w:w="6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958F7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水果类</w:t>
            </w:r>
          </w:p>
        </w:tc>
      </w:tr>
      <w:tr w14:paraId="273A8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1E496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135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F5E38D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畜禽肉类</w:t>
            </w:r>
          </w:p>
        </w:tc>
        <w:tc>
          <w:tcPr>
            <w:tcW w:w="6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F5AB5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猪肉类</w:t>
            </w:r>
          </w:p>
        </w:tc>
      </w:tr>
      <w:tr w14:paraId="51F79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055B52">
            <w:pPr>
              <w:snapToGrid w:val="0"/>
              <w:jc w:val="center"/>
              <w:rPr>
                <w:rFonts w:hint="eastAsia" w:ascii="宋体" w:hAnsi="宋体" w:eastAsia="宋体" w:cs="宋体"/>
                <w:i w:val="0"/>
                <w:iCs w:val="0"/>
                <w:color w:val="000000"/>
                <w:sz w:val="21"/>
                <w:szCs w:val="21"/>
                <w:highlight w:val="none"/>
                <w:u w:val="none"/>
              </w:rPr>
            </w:pPr>
          </w:p>
        </w:tc>
        <w:tc>
          <w:tcPr>
            <w:tcW w:w="135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DEAF773">
            <w:pPr>
              <w:snapToGrid w:val="0"/>
              <w:jc w:val="center"/>
              <w:rPr>
                <w:rFonts w:hint="eastAsia" w:ascii="宋体" w:hAnsi="宋体" w:eastAsia="宋体" w:cs="宋体"/>
                <w:i w:val="0"/>
                <w:iCs w:val="0"/>
                <w:color w:val="000000"/>
                <w:sz w:val="21"/>
                <w:szCs w:val="21"/>
                <w:highlight w:val="none"/>
                <w:u w:val="none"/>
              </w:rPr>
            </w:pPr>
          </w:p>
        </w:tc>
        <w:tc>
          <w:tcPr>
            <w:tcW w:w="6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16347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活禽类</w:t>
            </w:r>
          </w:p>
        </w:tc>
      </w:tr>
      <w:tr w14:paraId="0076A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C6F67E">
            <w:pPr>
              <w:snapToGrid w:val="0"/>
              <w:jc w:val="center"/>
              <w:rPr>
                <w:rFonts w:hint="eastAsia" w:ascii="宋体" w:hAnsi="宋体" w:eastAsia="宋体" w:cs="宋体"/>
                <w:i w:val="0"/>
                <w:iCs w:val="0"/>
                <w:color w:val="000000"/>
                <w:sz w:val="21"/>
                <w:szCs w:val="21"/>
                <w:highlight w:val="none"/>
                <w:u w:val="none"/>
              </w:rPr>
            </w:pPr>
          </w:p>
        </w:tc>
        <w:tc>
          <w:tcPr>
            <w:tcW w:w="135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92E10F0">
            <w:pPr>
              <w:snapToGrid w:val="0"/>
              <w:jc w:val="center"/>
              <w:rPr>
                <w:rFonts w:hint="eastAsia" w:ascii="宋体" w:hAnsi="宋体" w:eastAsia="宋体" w:cs="宋体"/>
                <w:i w:val="0"/>
                <w:iCs w:val="0"/>
                <w:color w:val="000000"/>
                <w:sz w:val="21"/>
                <w:szCs w:val="21"/>
                <w:highlight w:val="none"/>
                <w:u w:val="none"/>
              </w:rPr>
            </w:pPr>
          </w:p>
        </w:tc>
        <w:tc>
          <w:tcPr>
            <w:tcW w:w="6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52B2B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牛羊类</w:t>
            </w:r>
          </w:p>
        </w:tc>
      </w:tr>
      <w:tr w14:paraId="134B9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CBEF5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13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EA52F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水产</w:t>
            </w:r>
          </w:p>
        </w:tc>
        <w:tc>
          <w:tcPr>
            <w:tcW w:w="6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675A7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鱼虾蛙</w:t>
            </w:r>
          </w:p>
        </w:tc>
      </w:tr>
      <w:tr w14:paraId="6B064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978FA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13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1BB62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冻品</w:t>
            </w:r>
          </w:p>
        </w:tc>
        <w:tc>
          <w:tcPr>
            <w:tcW w:w="6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D30DF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冻品</w:t>
            </w:r>
          </w:p>
        </w:tc>
      </w:tr>
      <w:tr w14:paraId="4FEAD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4B6C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13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9D8C5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蛋类</w:t>
            </w:r>
          </w:p>
        </w:tc>
        <w:tc>
          <w:tcPr>
            <w:tcW w:w="6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8CC88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鸡蛋</w:t>
            </w:r>
          </w:p>
        </w:tc>
      </w:tr>
      <w:tr w14:paraId="7E546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8D68A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13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0FA28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豆制品</w:t>
            </w:r>
          </w:p>
        </w:tc>
        <w:tc>
          <w:tcPr>
            <w:tcW w:w="6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B5E9A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豆制品</w:t>
            </w:r>
          </w:p>
        </w:tc>
      </w:tr>
      <w:tr w14:paraId="69F302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8522"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9BF36">
            <w:pPr>
              <w:snapToGrid w:val="0"/>
              <w:jc w:val="center"/>
              <w:rPr>
                <w:rFonts w:hint="eastAsia" w:ascii="宋体" w:hAnsi="宋体" w:eastAsia="宋体" w:cs="宋体"/>
                <w:i w:val="0"/>
                <w:iCs w:val="0"/>
                <w:color w:val="000000"/>
                <w:sz w:val="21"/>
                <w:szCs w:val="22"/>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粉面类</w:t>
            </w:r>
          </w:p>
        </w:tc>
      </w:tr>
      <w:tr w14:paraId="4847F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34D12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0D681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项目名称</w:t>
            </w:r>
          </w:p>
        </w:tc>
        <w:tc>
          <w:tcPr>
            <w:tcW w:w="6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C4C91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参数</w:t>
            </w:r>
          </w:p>
        </w:tc>
      </w:tr>
      <w:tr w14:paraId="29E0D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04C55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07304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鲜米粉</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E28BD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新鲜卫生符合</w:t>
            </w:r>
            <w:r>
              <w:rPr>
                <w:rStyle w:val="170"/>
                <w:rFonts w:ascii="宋体" w:eastAsia="宋体"/>
                <w:sz w:val="21"/>
                <w:highlight w:val="none"/>
                <w:lang w:val="en-US" w:eastAsia="zh-CN" w:bidi="ar"/>
              </w:rPr>
              <w:t>SB/T 10652食品安全检测标准</w:t>
            </w:r>
          </w:p>
        </w:tc>
      </w:tr>
      <w:tr w14:paraId="3A8DC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02449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03134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鲜圆粉</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4D89A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新鲜卫生符合</w:t>
            </w:r>
            <w:r>
              <w:rPr>
                <w:rStyle w:val="170"/>
                <w:rFonts w:ascii="宋体" w:eastAsia="宋体"/>
                <w:sz w:val="21"/>
                <w:highlight w:val="none"/>
                <w:lang w:val="en-US" w:eastAsia="zh-CN" w:bidi="ar"/>
              </w:rPr>
              <w:t>SB/T 10652食品安全检测标准</w:t>
            </w:r>
          </w:p>
        </w:tc>
      </w:tr>
      <w:tr w14:paraId="164AF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3C758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E6FDA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鲜碱面</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BF061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新鲜卫生符合QB/T 5472标准</w:t>
            </w:r>
          </w:p>
        </w:tc>
      </w:tr>
      <w:tr w14:paraId="39D8C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8522"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F9797">
            <w:pPr>
              <w:snapToGrid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瓜果类</w:t>
            </w:r>
          </w:p>
        </w:tc>
      </w:tr>
      <w:tr w14:paraId="7487B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2E749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AC34B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项目名称</w:t>
            </w:r>
          </w:p>
        </w:tc>
        <w:tc>
          <w:tcPr>
            <w:tcW w:w="6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DE057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参数</w:t>
            </w:r>
          </w:p>
        </w:tc>
      </w:tr>
      <w:tr w14:paraId="260C1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77BB0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8EECD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南瓜</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405A8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新鲜无坏臭符合农药限量标准</w:t>
            </w:r>
            <w:r>
              <w:rPr>
                <w:rStyle w:val="170"/>
                <w:rFonts w:ascii="宋体" w:eastAsia="宋体"/>
                <w:sz w:val="21"/>
                <w:highlight w:val="none"/>
                <w:lang w:val="en-US" w:eastAsia="zh-CN" w:bidi="ar"/>
              </w:rPr>
              <w:t>GB 2763要求</w:t>
            </w:r>
          </w:p>
        </w:tc>
      </w:tr>
      <w:tr w14:paraId="6FFF5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2D276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8F464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冬瓜</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BCACB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新鲜无坏臭符合农药限量标准</w:t>
            </w:r>
            <w:r>
              <w:rPr>
                <w:rStyle w:val="170"/>
                <w:rFonts w:ascii="宋体" w:eastAsia="宋体"/>
                <w:sz w:val="21"/>
                <w:highlight w:val="none"/>
                <w:lang w:val="en-US" w:eastAsia="zh-CN" w:bidi="ar"/>
              </w:rPr>
              <w:t>GB 2763要求</w:t>
            </w:r>
          </w:p>
        </w:tc>
      </w:tr>
      <w:tr w14:paraId="52615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AB1D7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7A778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茄子</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BA1A4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新鲜无坏臭符合农药限量标准</w:t>
            </w:r>
            <w:r>
              <w:rPr>
                <w:rStyle w:val="170"/>
                <w:rFonts w:ascii="宋体" w:eastAsia="宋体"/>
                <w:sz w:val="21"/>
                <w:highlight w:val="none"/>
                <w:lang w:val="en-US" w:eastAsia="zh-CN" w:bidi="ar"/>
              </w:rPr>
              <w:t>GB 2763要求</w:t>
            </w:r>
          </w:p>
        </w:tc>
      </w:tr>
      <w:tr w14:paraId="3AA9A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91951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4AB6A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丝瓜</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330F0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新鲜无坏臭符合农药限量标准</w:t>
            </w:r>
            <w:r>
              <w:rPr>
                <w:rStyle w:val="170"/>
                <w:rFonts w:ascii="宋体" w:eastAsia="宋体"/>
                <w:sz w:val="21"/>
                <w:highlight w:val="none"/>
                <w:lang w:val="en-US" w:eastAsia="zh-CN" w:bidi="ar"/>
              </w:rPr>
              <w:t>GB 2763要求</w:t>
            </w:r>
          </w:p>
        </w:tc>
      </w:tr>
      <w:tr w14:paraId="62720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DF4B8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5EBDE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其余蔬菜瓜果</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295A5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新鲜无坏臭符合农药限量标准</w:t>
            </w:r>
            <w:r>
              <w:rPr>
                <w:rStyle w:val="170"/>
                <w:rFonts w:ascii="宋体" w:eastAsia="宋体"/>
                <w:sz w:val="21"/>
                <w:highlight w:val="none"/>
                <w:lang w:val="en-US" w:eastAsia="zh-CN" w:bidi="ar"/>
              </w:rPr>
              <w:t>GB 2763要求</w:t>
            </w:r>
          </w:p>
        </w:tc>
      </w:tr>
      <w:tr w14:paraId="688F4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8522"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E78C8">
            <w:pPr>
              <w:snapToGrid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水果类</w:t>
            </w:r>
          </w:p>
        </w:tc>
      </w:tr>
      <w:tr w14:paraId="5A0AC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3D1AE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13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238C4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项目名称</w:t>
            </w:r>
          </w:p>
        </w:tc>
        <w:tc>
          <w:tcPr>
            <w:tcW w:w="6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880DC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参数</w:t>
            </w:r>
          </w:p>
        </w:tc>
      </w:tr>
      <w:tr w14:paraId="599DC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43881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93910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鲜荔枝</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51479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新鲜无坏臭现象符合</w:t>
            </w:r>
            <w:r>
              <w:rPr>
                <w:rStyle w:val="170"/>
                <w:rFonts w:ascii="宋体" w:eastAsia="宋体"/>
                <w:sz w:val="21"/>
                <w:highlight w:val="none"/>
                <w:lang w:val="en-US" w:eastAsia="zh-CN" w:bidi="ar"/>
              </w:rPr>
              <w:t>GB 2763、GB 2762标准</w:t>
            </w:r>
          </w:p>
        </w:tc>
      </w:tr>
      <w:tr w14:paraId="7A340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6A1D0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17F18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火龙果</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E6F35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新鲜无坏臭现象符合</w:t>
            </w:r>
            <w:r>
              <w:rPr>
                <w:rStyle w:val="170"/>
                <w:rFonts w:ascii="宋体" w:eastAsia="宋体"/>
                <w:sz w:val="21"/>
                <w:highlight w:val="none"/>
                <w:lang w:val="en-US" w:eastAsia="zh-CN" w:bidi="ar"/>
              </w:rPr>
              <w:t>GB 2763、GB 2762标准</w:t>
            </w:r>
          </w:p>
        </w:tc>
      </w:tr>
      <w:tr w14:paraId="5B8BD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5B30D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BA360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其余水果</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CF326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新鲜无坏臭现象符合</w:t>
            </w:r>
            <w:r>
              <w:rPr>
                <w:rStyle w:val="170"/>
                <w:rFonts w:ascii="宋体" w:eastAsia="宋体"/>
                <w:sz w:val="21"/>
                <w:highlight w:val="none"/>
                <w:lang w:val="en-US" w:eastAsia="zh-CN" w:bidi="ar"/>
              </w:rPr>
              <w:t>GB 2763、GB 2762标准</w:t>
            </w:r>
          </w:p>
        </w:tc>
      </w:tr>
      <w:tr w14:paraId="58519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8522"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8B730">
            <w:pPr>
              <w:snapToGrid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肉类</w:t>
            </w:r>
          </w:p>
        </w:tc>
      </w:tr>
      <w:tr w14:paraId="6FB2F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B811A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13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183E6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项目名称</w:t>
            </w:r>
          </w:p>
        </w:tc>
        <w:tc>
          <w:tcPr>
            <w:tcW w:w="6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3DF32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参数</w:t>
            </w:r>
          </w:p>
        </w:tc>
      </w:tr>
      <w:tr w14:paraId="4CF81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CCAE0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7A9B0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五花肉</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02B58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票证齐全符合GB2707、GB2762、GB2763标准</w:t>
            </w:r>
          </w:p>
        </w:tc>
      </w:tr>
      <w:tr w14:paraId="2CDEF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4BCA5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AECD9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精腿肉</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FFDD2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票证齐全符合GB2707、GB2762、GB2763标准</w:t>
            </w:r>
          </w:p>
        </w:tc>
      </w:tr>
      <w:tr w14:paraId="77B1F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CD7C2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E62AB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排骨</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7C2B0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票证齐全符合GB2707、GB2762、GB2763标准</w:t>
            </w:r>
          </w:p>
        </w:tc>
      </w:tr>
      <w:tr w14:paraId="16304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8EA7B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74435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猪大骨</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55981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票证齐全符合GB2707、GB2762、GB2763标准</w:t>
            </w:r>
          </w:p>
        </w:tc>
      </w:tr>
      <w:tr w14:paraId="42170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E75EF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B2531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猪脚</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F210A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票证齐全符合GB2707、GB2762、GB2763标准</w:t>
            </w:r>
          </w:p>
        </w:tc>
      </w:tr>
      <w:tr w14:paraId="54557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FFF01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77E55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牛肉</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D1C5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票证齐全符合GB2707、GB2762、GB2763标准</w:t>
            </w:r>
          </w:p>
        </w:tc>
      </w:tr>
      <w:tr w14:paraId="2A220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E9ADD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8795E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羊肉</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7ABEE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票证齐全符合GB2707、GB2762、GB2763标准</w:t>
            </w:r>
          </w:p>
        </w:tc>
      </w:tr>
      <w:tr w14:paraId="3E18D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8522"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2FBA1">
            <w:pPr>
              <w:snapToGrid w:val="0"/>
              <w:jc w:val="center"/>
              <w:rPr>
                <w:rFonts w:hint="eastAsia" w:ascii="宋体" w:hAnsi="宋体" w:eastAsia="宋体" w:cs="宋体"/>
                <w:i w:val="0"/>
                <w:iCs w:val="0"/>
                <w:color w:val="000000"/>
                <w:sz w:val="21"/>
                <w:szCs w:val="22"/>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活禽类</w:t>
            </w:r>
          </w:p>
        </w:tc>
      </w:tr>
      <w:tr w14:paraId="225D6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1562F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13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8C23D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项目名称</w:t>
            </w:r>
          </w:p>
        </w:tc>
        <w:tc>
          <w:tcPr>
            <w:tcW w:w="6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1F494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参数</w:t>
            </w:r>
          </w:p>
        </w:tc>
      </w:tr>
      <w:tr w14:paraId="076E8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F4182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3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EB467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土鸡</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7687B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符合GB2707、GB2762、GB2763标准</w:t>
            </w:r>
          </w:p>
        </w:tc>
      </w:tr>
      <w:tr w14:paraId="03038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4E933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3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0F319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水鸭</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56FCF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符合GB2707、GB2762、GB2763标准</w:t>
            </w:r>
          </w:p>
        </w:tc>
      </w:tr>
      <w:tr w14:paraId="54FD3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D493A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3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DADF6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肉鸡</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46A9E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符合GB2707、GB2762、GB2763标准</w:t>
            </w:r>
          </w:p>
        </w:tc>
      </w:tr>
      <w:tr w14:paraId="0D532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8522"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9820B">
            <w:pPr>
              <w:snapToGrid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蛋类</w:t>
            </w:r>
          </w:p>
        </w:tc>
      </w:tr>
      <w:tr w14:paraId="73F57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14B24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13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DD847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项目名称</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7AAF5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参数</w:t>
            </w:r>
          </w:p>
        </w:tc>
      </w:tr>
      <w:tr w14:paraId="4F2D1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C33A3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3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18DD2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鸡蛋</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877A0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符合GB2707、GB2762、GB2763标准</w:t>
            </w:r>
          </w:p>
        </w:tc>
      </w:tr>
      <w:tr w14:paraId="33BDA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23C6B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3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51615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鸭蛋</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781BA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符合GB2707、GB2762、GB2763标准</w:t>
            </w:r>
          </w:p>
        </w:tc>
      </w:tr>
      <w:tr w14:paraId="26150E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CD477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3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4F5C8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其他禽蛋</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573B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符合GB2707、GB2762、GB2763标准</w:t>
            </w:r>
          </w:p>
        </w:tc>
      </w:tr>
      <w:tr w14:paraId="6C339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8522"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2CC41">
            <w:pPr>
              <w:snapToGrid w:val="0"/>
              <w:jc w:val="center"/>
              <w:rPr>
                <w:rFonts w:hint="eastAsia" w:ascii="宋体" w:hAnsi="宋体" w:eastAsia="宋体" w:cs="宋体"/>
                <w:i w:val="0"/>
                <w:iCs w:val="0"/>
                <w:color w:val="000000"/>
                <w:sz w:val="21"/>
                <w:szCs w:val="22"/>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鱼虾蛙</w:t>
            </w:r>
          </w:p>
        </w:tc>
      </w:tr>
      <w:tr w14:paraId="23425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22B8A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13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6C1C8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项目名称</w:t>
            </w:r>
          </w:p>
        </w:tc>
        <w:tc>
          <w:tcPr>
            <w:tcW w:w="6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5E651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参数</w:t>
            </w:r>
          </w:p>
        </w:tc>
      </w:tr>
      <w:tr w14:paraId="73D82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48670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CD96E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虾米</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D321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符合GB 2733、GB2762、GB2763标准</w:t>
            </w:r>
          </w:p>
        </w:tc>
      </w:tr>
      <w:tr w14:paraId="67CE6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A169B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7311E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小鱼仔</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2F170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符合GB 2733、GB2762、GB2763标准</w:t>
            </w:r>
          </w:p>
        </w:tc>
      </w:tr>
      <w:tr w14:paraId="1BA29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7A5DA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1DDF6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草鱼(杀）</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3C007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符合GB 2733、GB2762、GB2763标准</w:t>
            </w:r>
          </w:p>
        </w:tc>
      </w:tr>
      <w:tr w14:paraId="4A32D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75582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DB01C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雄鱼（杀）</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727EF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符合GB 2733、GB2762、GB2763标准</w:t>
            </w:r>
          </w:p>
        </w:tc>
      </w:tr>
      <w:tr w14:paraId="37A3E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5403C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C8FA5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黄鸭叫(杀）</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94C98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符合GB 2733、GB2762、GB2763标准</w:t>
            </w:r>
          </w:p>
        </w:tc>
      </w:tr>
      <w:tr w14:paraId="7C726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E7ADF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9D7D0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鱼籽鱼泡</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5B6BD9">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符合GB 2733、GB2762、GB2763标准</w:t>
            </w:r>
          </w:p>
        </w:tc>
      </w:tr>
      <w:tr w14:paraId="6B5B0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4D2BA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31500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牛蛙(杀）</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9C7E2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符合GB 2733、GB2762、GB2763标准</w:t>
            </w:r>
          </w:p>
        </w:tc>
      </w:tr>
      <w:tr w14:paraId="7B595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BC97E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AC038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鳝鱼(杀）</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13BE9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符合GB 2733、GB2762、GB2763标准</w:t>
            </w:r>
          </w:p>
        </w:tc>
      </w:tr>
      <w:tr w14:paraId="427EF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32" w:type="dxa"/>
            <w:left w:w="64" w:type="dxa"/>
            <w:bottom w:w="32" w:type="dxa"/>
            <w:right w:w="64" w:type="dxa"/>
          </w:tblCellMar>
        </w:tblPrEx>
        <w:trPr>
          <w:trHeight w:val="0" w:hRule="atLeast"/>
          <w:jc w:val="center"/>
        </w:trPr>
        <w:tc>
          <w:tcPr>
            <w:tcW w:w="8522"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4AE7F">
            <w:pPr>
              <w:snapToGrid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豆制品</w:t>
            </w:r>
          </w:p>
        </w:tc>
      </w:tr>
      <w:tr w14:paraId="61049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E635C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序号</w:t>
            </w:r>
          </w:p>
        </w:tc>
        <w:tc>
          <w:tcPr>
            <w:tcW w:w="13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8BDFD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项目名称</w:t>
            </w:r>
          </w:p>
        </w:tc>
        <w:tc>
          <w:tcPr>
            <w:tcW w:w="62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9EB44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参数</w:t>
            </w:r>
          </w:p>
        </w:tc>
      </w:tr>
      <w:tr w14:paraId="2A649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1FA0E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1E316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油豆腐</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4967D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w:t>
            </w:r>
            <w:r>
              <w:rPr>
                <w:rStyle w:val="222"/>
                <w:rFonts w:ascii="宋体" w:eastAsia="宋体"/>
                <w:sz w:val="21"/>
                <w:highlight w:val="none"/>
                <w:lang w:val="en-US" w:eastAsia="zh-CN" w:bidi="ar"/>
              </w:rPr>
              <w:t xml:space="preserve"> </w:t>
            </w:r>
            <w:r>
              <w:rPr>
                <w:rStyle w:val="170"/>
                <w:rFonts w:ascii="宋体" w:eastAsia="宋体"/>
                <w:sz w:val="21"/>
                <w:highlight w:val="none"/>
                <w:lang w:val="en-US" w:eastAsia="zh-CN" w:bidi="ar"/>
              </w:rPr>
              <w:t>GB/T 23494、GB 2712标准</w:t>
            </w:r>
          </w:p>
        </w:tc>
      </w:tr>
      <w:tr w14:paraId="0DE63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73BB0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2335E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米豆腐</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CB467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w:t>
            </w:r>
            <w:r>
              <w:rPr>
                <w:rStyle w:val="222"/>
                <w:rFonts w:ascii="宋体" w:eastAsia="宋体"/>
                <w:sz w:val="21"/>
                <w:highlight w:val="none"/>
                <w:lang w:val="en-US" w:eastAsia="zh-CN" w:bidi="ar"/>
              </w:rPr>
              <w:t xml:space="preserve"> </w:t>
            </w:r>
            <w:r>
              <w:rPr>
                <w:rStyle w:val="170"/>
                <w:rFonts w:ascii="宋体" w:eastAsia="宋体"/>
                <w:sz w:val="21"/>
                <w:highlight w:val="none"/>
                <w:lang w:val="en-US" w:eastAsia="zh-CN" w:bidi="ar"/>
              </w:rPr>
              <w:t>GB/T 23494、GB 2712标准</w:t>
            </w:r>
          </w:p>
        </w:tc>
      </w:tr>
      <w:tr w14:paraId="40D35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4B8B5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2C4A9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卤香干</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0C726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w:t>
            </w:r>
            <w:r>
              <w:rPr>
                <w:rStyle w:val="222"/>
                <w:rFonts w:ascii="宋体" w:eastAsia="宋体"/>
                <w:sz w:val="21"/>
                <w:highlight w:val="none"/>
                <w:lang w:val="en-US" w:eastAsia="zh-CN" w:bidi="ar"/>
              </w:rPr>
              <w:t xml:space="preserve"> </w:t>
            </w:r>
            <w:r>
              <w:rPr>
                <w:rStyle w:val="170"/>
                <w:rFonts w:ascii="宋体" w:eastAsia="宋体"/>
                <w:sz w:val="21"/>
                <w:highlight w:val="none"/>
                <w:lang w:val="en-US" w:eastAsia="zh-CN" w:bidi="ar"/>
              </w:rPr>
              <w:t>GB/T 23494、GB 2712标准</w:t>
            </w:r>
          </w:p>
        </w:tc>
      </w:tr>
      <w:tr w14:paraId="07475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2DC0B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693E14">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柴火香干</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9A34D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w:t>
            </w:r>
            <w:r>
              <w:rPr>
                <w:rStyle w:val="222"/>
                <w:rFonts w:ascii="宋体" w:eastAsia="宋体"/>
                <w:sz w:val="21"/>
                <w:highlight w:val="none"/>
                <w:lang w:val="en-US" w:eastAsia="zh-CN" w:bidi="ar"/>
              </w:rPr>
              <w:t xml:space="preserve"> </w:t>
            </w:r>
            <w:r>
              <w:rPr>
                <w:rStyle w:val="170"/>
                <w:rFonts w:ascii="宋体" w:eastAsia="宋体"/>
                <w:sz w:val="21"/>
                <w:highlight w:val="none"/>
                <w:lang w:val="en-US" w:eastAsia="zh-CN" w:bidi="ar"/>
              </w:rPr>
              <w:t>GB/T 23494、GB 2712标准</w:t>
            </w:r>
          </w:p>
        </w:tc>
      </w:tr>
      <w:tr w14:paraId="574A9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7B1D6">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8D5893">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攸县香干</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F52D6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w:t>
            </w:r>
            <w:r>
              <w:rPr>
                <w:rStyle w:val="222"/>
                <w:rFonts w:ascii="宋体" w:eastAsia="宋体"/>
                <w:sz w:val="21"/>
                <w:highlight w:val="none"/>
                <w:lang w:val="en-US" w:eastAsia="zh-CN" w:bidi="ar"/>
              </w:rPr>
              <w:t xml:space="preserve"> </w:t>
            </w:r>
            <w:r>
              <w:rPr>
                <w:rStyle w:val="170"/>
                <w:rFonts w:ascii="宋体" w:eastAsia="宋体"/>
                <w:sz w:val="21"/>
                <w:highlight w:val="none"/>
                <w:lang w:val="en-US" w:eastAsia="zh-CN" w:bidi="ar"/>
              </w:rPr>
              <w:t>GB/T 23494、GB 2712标准</w:t>
            </w:r>
          </w:p>
        </w:tc>
      </w:tr>
      <w:tr w14:paraId="59F14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32" w:type="dxa"/>
            <w:left w:w="64" w:type="dxa"/>
            <w:bottom w:w="32" w:type="dxa"/>
            <w:right w:w="64" w:type="dxa"/>
          </w:tblCellMar>
        </w:tblPrEx>
        <w:trPr>
          <w:trHeight w:val="0" w:hRule="atLeast"/>
          <w:jc w:val="center"/>
        </w:trPr>
        <w:tc>
          <w:tcPr>
            <w:tcW w:w="9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2D417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13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AAFE61">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白豆腐</w:t>
            </w:r>
          </w:p>
        </w:tc>
        <w:tc>
          <w:tcPr>
            <w:tcW w:w="623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252E8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符合</w:t>
            </w:r>
            <w:r>
              <w:rPr>
                <w:rStyle w:val="222"/>
                <w:rFonts w:ascii="宋体" w:eastAsia="宋体"/>
                <w:sz w:val="21"/>
                <w:highlight w:val="none"/>
                <w:lang w:val="en-US" w:eastAsia="zh-CN" w:bidi="ar"/>
              </w:rPr>
              <w:t xml:space="preserve"> </w:t>
            </w:r>
            <w:r>
              <w:rPr>
                <w:rStyle w:val="170"/>
                <w:rFonts w:ascii="宋体" w:eastAsia="宋体"/>
                <w:sz w:val="21"/>
                <w:highlight w:val="none"/>
                <w:lang w:val="en-US" w:eastAsia="zh-CN" w:bidi="ar"/>
              </w:rPr>
              <w:t>GB/T 23494、GB 2712标准</w:t>
            </w:r>
          </w:p>
        </w:tc>
      </w:tr>
    </w:tbl>
    <w:p w14:paraId="2AABA839">
      <w:pPr>
        <w:keepNext w:val="0"/>
        <w:keepLines w:val="0"/>
        <w:pageBreakBefore w:val="0"/>
        <w:widowControl w:val="0"/>
        <w:kinsoku/>
        <w:wordWrap/>
        <w:overflowPunct w:val="0"/>
        <w:topLinePunct w:val="0"/>
        <w:autoSpaceDE w:val="0"/>
        <w:autoSpaceDN w:val="0"/>
        <w:bidi w:val="0"/>
        <w:adjustRightInd w:val="0"/>
        <w:snapToGrid w:val="0"/>
        <w:spacing w:line="440" w:lineRule="exact"/>
        <w:ind w:left="0" w:firstLine="420" w:firstLineChars="200"/>
        <w:rPr>
          <w:rFonts w:hint="eastAsia" w:ascii="宋体" w:hAnsi="宋体" w:eastAsia="宋体" w:cs="宋体"/>
          <w:b/>
          <w:bCs/>
          <w:sz w:val="21"/>
          <w:szCs w:val="21"/>
          <w:highlight w:val="none"/>
          <w:lang w:val="en-US" w:eastAsia="zh-CN"/>
        </w:rPr>
      </w:pPr>
      <w:r>
        <w:rPr>
          <w:rFonts w:hint="eastAsia" w:ascii="宋体" w:hAnsi="宋体" w:eastAsia="宋体" w:cs="宋体"/>
          <w:bCs/>
          <w:sz w:val="21"/>
          <w:szCs w:val="21"/>
          <w:highlight w:val="none"/>
        </w:rPr>
        <w:t>备注：以上所有国标如有更新，以最新且最严版为准</w:t>
      </w:r>
    </w:p>
    <w:p w14:paraId="03ED5BB9">
      <w:pPr>
        <w:keepNext w:val="0"/>
        <w:keepLines w:val="0"/>
        <w:pageBreakBefore w:val="0"/>
        <w:widowControl w:val="0"/>
        <w:kinsoku/>
        <w:wordWrap/>
        <w:overflowPunct w:val="0"/>
        <w:topLinePunct w:val="0"/>
        <w:autoSpaceDE w:val="0"/>
        <w:autoSpaceDN w:val="0"/>
        <w:bidi w:val="0"/>
        <w:adjustRightInd w:val="0"/>
        <w:snapToGrid w:val="0"/>
        <w:spacing w:line="440" w:lineRule="exact"/>
        <w:ind w:left="0" w:leftChars="0" w:firstLine="422" w:firstLineChars="200"/>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八、验收标准</w:t>
      </w:r>
    </w:p>
    <w:p w14:paraId="4A62B100">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（一）粉面类（鲜米粉、鲜米线、鲜碱面）</w:t>
      </w:r>
    </w:p>
    <w:p w14:paraId="71A94773">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1.要求如下：</w:t>
      </w:r>
    </w:p>
    <w:p w14:paraId="1FEA93B9">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（1）甲方按需采购粉面类，乙方必须满足甲方实际需求；</w:t>
      </w:r>
    </w:p>
    <w:p w14:paraId="0B530BF4">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（2）粉面质量要求：色泽光洁、无霉味，无酸味，无异味，新鲜，感官检验、化学检验均符合要求。</w:t>
      </w:r>
    </w:p>
    <w:p w14:paraId="5916CDD9">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（3）成交乙方必须讲诚信，讲究职业道德，所供货物不得以次充好，不得将残剩等不合格品掺杂其中，一经发现，取消其供货资格，并承担由此造成的一切后果，如构成违法，将依法追求其法律责任。</w:t>
      </w:r>
    </w:p>
    <w:p w14:paraId="4557CFC6">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2.安全卫生要求：</w:t>
      </w:r>
    </w:p>
    <w:p w14:paraId="0E21A815">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（1）中华人民共和国食品安全法实施条例。</w:t>
      </w:r>
    </w:p>
    <w:p w14:paraId="5F9323CD">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（2）《米粉制品》SB/T 10652。</w:t>
      </w:r>
    </w:p>
    <w:p w14:paraId="29EC96F1">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（3）《生湿面制品（标准规范）10652》QB/T 5472。</w:t>
      </w:r>
    </w:p>
    <w:p w14:paraId="7AFBE785">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（4）《食品安全国家标准 食品中污染物限量》GB 2762。</w:t>
      </w:r>
    </w:p>
    <w:p w14:paraId="64C6A800">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（5）其他可能适用于本用户需求书/技术规格书以及甲方与乙方签订的有关合同（合同具体名称以实际为准）内容的相关法律法规或质量标准。</w:t>
      </w:r>
    </w:p>
    <w:p w14:paraId="1BDB7A04">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（二）蔬菜类（含瓜果类、水果类）</w:t>
      </w:r>
    </w:p>
    <w:p w14:paraId="453D23D2">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1.要求如下：</w:t>
      </w:r>
    </w:p>
    <w:p w14:paraId="4876B8E9">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（1）成交乙方须提供市场上常规绿叶类、根茎类、瓜果类蔬菜品种，不排除有采购所列品种之外蔬菜的可能，若采购其他品种，需满足甲方实际需求；</w:t>
      </w:r>
    </w:p>
    <w:p w14:paraId="67059109">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（2）所供蔬菜的规格大小按市场行情确定；</w:t>
      </w:r>
    </w:p>
    <w:p w14:paraId="24662850">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基本要求：大小均匀，颜色自然有光泽，质地鲜嫩纯净，饱满清洁，不枯萎、干瘪、苍老等，无病斑、虫蚀、发霉、变色、异味、淤泥、杂质和滴水现象，无污染、残缺、变质等；原产地分类预包装，整齐统一，新鲜无坏臭现象；提供有害物质残留检测报告；</w:t>
      </w:r>
    </w:p>
    <w:p w14:paraId="118B1628">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2.安全卫生要求：</w:t>
      </w:r>
    </w:p>
    <w:p w14:paraId="7790C734">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（1）中华人民共和国食品安全法实施条例。</w:t>
      </w:r>
    </w:p>
    <w:p w14:paraId="4CB3DFB6">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（2）中华人民共和国动植物检疫法及其实施条例。</w:t>
      </w:r>
    </w:p>
    <w:p w14:paraId="6BB03A2B">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（3）污染物残留限量指标应符合《食品安全国家标准食品中污染物限量》 GB 2762要求。</w:t>
      </w:r>
    </w:p>
    <w:p w14:paraId="791B47AE">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（4）农药残留限量指标应符合《食品中农药的最大残留限量》 GB 2763 要求。</w:t>
      </w:r>
    </w:p>
    <w:p w14:paraId="600BDB8E">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（三）肉类及其副产品类（含猪、牛、羊类、冻品类）</w:t>
      </w:r>
    </w:p>
    <w:p w14:paraId="342AAD74">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1.要求如下：</w:t>
      </w:r>
    </w:p>
    <w:p w14:paraId="4C9B4283">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（1）甲方按需采购分割肉类或各种冻品肉类，乙方必须满足甲方实际需求；</w:t>
      </w:r>
    </w:p>
    <w:p w14:paraId="3B63A8A2">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（2）冷鲜肉品质量要求：新鲜、冷鲜肉，不注水，肉上有屠宰场经质量检验合格的滚花，提供所供当批次的动物检疫和肉的肉品品质检验合格证。并按甲方要求的分割肉类别按时供应；</w:t>
      </w:r>
    </w:p>
    <w:p w14:paraId="68AC6985">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（3）冻品质量要求：感官检验、化学检验、添加剂检验、有害金属的检验均符合要求。</w:t>
      </w:r>
    </w:p>
    <w:p w14:paraId="67429973">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（4）乙方所供货物不得以次充好，不得将病死、残剩肉、老母猪肉等不合格品掺杂其中，一经发现，取消其供货资格，并由乙方承担一切后果，如构成违法，将依法追求其法律责任。</w:t>
      </w:r>
    </w:p>
    <w:p w14:paraId="10E66209">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2.安全卫生要求：</w:t>
      </w:r>
    </w:p>
    <w:p w14:paraId="5E157CFB">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（1）中华人民共和国食品安全法实施条例。</w:t>
      </w:r>
    </w:p>
    <w:p w14:paraId="2D43C1B8">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（2）中华人民共和国动植物检疫法及其实施条例。</w:t>
      </w:r>
    </w:p>
    <w:p w14:paraId="2A0D8A67">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（3）中华人民共和国动物防疫法。</w:t>
      </w:r>
    </w:p>
    <w:p w14:paraId="6FA58739">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（4）《食品安全国家标准 鲜（冻）畜、禽产品》GB 2707。</w:t>
      </w:r>
    </w:p>
    <w:p w14:paraId="21BAE486">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（5）《食品安全国家标准 食品中农药最大残留限量》GB 2763。</w:t>
      </w:r>
    </w:p>
    <w:p w14:paraId="3CEF2F69">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（6）《食品安全国家标准 食品中污染物限量》GB 2762。</w:t>
      </w:r>
    </w:p>
    <w:p w14:paraId="0342A1AB">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（7）其他可能适用于本用户需求书/技术规格书以及甲方与乙方签订的有关合同（合同具体名称以实际为准）内容的相关法律法规或质量标准。</w:t>
      </w:r>
    </w:p>
    <w:p w14:paraId="18D7E4BA">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（四）活禽类及禽蛋类</w:t>
      </w:r>
    </w:p>
    <w:p w14:paraId="5D5AA284">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1.要求如下：</w:t>
      </w:r>
    </w:p>
    <w:p w14:paraId="77CF6DF3">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（1）甲方按需采购活禽、禽蛋类，乙方必须满足甲方实际需求，并符合《冷鲜禽加工经营卫生规范》要求及符合GB2707、GB2762、GB2763标准。</w:t>
      </w:r>
    </w:p>
    <w:p w14:paraId="16151679">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（2）鲜活禽类质量要求：新鲜，感官检验、化学检验均符合要求。</w:t>
      </w:r>
    </w:p>
    <w:p w14:paraId="79389D6E">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冻禽质量标准：产品无变质、无异味、无腐败、无杂质；产品无过保质期；产品非病死禽、畜制品；产品应经检验、检疫合格；产品不得超过国家食品卫生法规规定的指标；所有物资产品需有相关检验、检疫及相关合格证明；包装规格统一，完好无破损。有明确保质期的，在送达甲方要求地点时保质期剩余时间应在三分之二以上。禽类肌肉有光泽，红色或暗红色，脂肪白色。畜类体表光泽、肌肉坚实。所有冷冻食品均不得为二次化冰食品。</w:t>
      </w:r>
    </w:p>
    <w:p w14:paraId="4292A0C6">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 入围单位必须讲诚信，讲究职业道德，所供货物不得以次充好，不得将病死、残剩等不合格品掺杂其中，一经发现，取消其供货资格，并承担由此造成的一切后果，如构成违法，将依法追求其法律责任。</w:t>
      </w:r>
    </w:p>
    <w:p w14:paraId="5FB20178">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2.安全卫生要求：</w:t>
      </w:r>
    </w:p>
    <w:p w14:paraId="5583E817">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（1）中华人民共和国食品安全法实施条例。</w:t>
      </w:r>
    </w:p>
    <w:p w14:paraId="11E6839D">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（2）中华人民共和国动植物检疫法及其实施条例。</w:t>
      </w:r>
    </w:p>
    <w:p w14:paraId="68A8716A">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（3）中华人民共和国动物防疫法。</w:t>
      </w:r>
    </w:p>
    <w:p w14:paraId="7981E246">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 《食品安全国家标准 鲜（冻）畜、禽产品》GB 2707。</w:t>
      </w:r>
    </w:p>
    <w:p w14:paraId="679C44EE">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（5）《食品安全国家标准 食品中农药最大残留限量》GB 2763。</w:t>
      </w:r>
    </w:p>
    <w:p w14:paraId="4C638BAD">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（6）《食品安全国家标准 食品中污染物限量》GB 2762。</w:t>
      </w:r>
    </w:p>
    <w:p w14:paraId="2FDA5BEA">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（7）其他可能适用于本用户需求书/技术规格书以及甲方与乙方签订的有关合同（合同具体名称以实际为准）内容的相关法律法规或质量标准。</w:t>
      </w:r>
    </w:p>
    <w:p w14:paraId="35C50045">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（五）水产类（鱼、虾、蛙类）</w:t>
      </w:r>
    </w:p>
    <w:p w14:paraId="48D7FE6B">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1.要求如下：</w:t>
      </w:r>
    </w:p>
    <w:p w14:paraId="0549DC61">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（1）甲方按需采购水产类，乙方必须满足甲方实际需求；</w:t>
      </w:r>
    </w:p>
    <w:p w14:paraId="1D2EA3E4">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（2）鲜活水产质量要求：鲜活，感官检验、化学检验、添加剂检验、有害金属的检验均符合要求。</w:t>
      </w:r>
    </w:p>
    <w:p w14:paraId="36A26A78">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（3）水产类、海鲜类、速冻海水产品等符合国家 GB 2733、GB 2763、GB 2762及其他相关标准。</w:t>
      </w:r>
    </w:p>
    <w:p w14:paraId="40B466CF">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 成交乙方必须讲诚信，讲究职业道德，所供货物不得以次充好，不得将病死、残剩等不合格品掺杂其中，一经发现，取消其供货资格，并承担由此造成的一切后果，如构成违法，将依法追求其法律责任。</w:t>
      </w:r>
    </w:p>
    <w:p w14:paraId="30918A7A">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2、安全卫生要求：</w:t>
      </w:r>
    </w:p>
    <w:p w14:paraId="526F1A35">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（1）中华人民共和国食品安全法实施条例。</w:t>
      </w:r>
    </w:p>
    <w:p w14:paraId="589A2BBC">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（2）中华人民共和国动植物检疫法及其实施条例。</w:t>
      </w:r>
    </w:p>
    <w:p w14:paraId="41220605">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（3）中华人民共和国动物防疫法。</w:t>
      </w:r>
    </w:p>
    <w:p w14:paraId="5297ACBC">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（4）《食品安全国家标准 鲜、冻动物性水产品》GB 2733。</w:t>
      </w:r>
    </w:p>
    <w:p w14:paraId="050DB153">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（5）《食品安全国家标准 食品中农药最大残留限量》GB 27633。</w:t>
      </w:r>
    </w:p>
    <w:p w14:paraId="4C346C0B">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（6）《食品安全国家标准 食品中污染物限量》GB 2762。</w:t>
      </w:r>
    </w:p>
    <w:p w14:paraId="71FCBC41">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（7）其他可能适用于本用户需求书/技术规格书以及甲方与乙方签订的有关合同（合同具体名称以实际为准）内容的相关法律法规或质量标准。</w:t>
      </w:r>
    </w:p>
    <w:p w14:paraId="46AA3369">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（六）豆制品类</w:t>
      </w:r>
    </w:p>
    <w:p w14:paraId="76FD26CD">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1.要求如下：</w:t>
      </w:r>
    </w:p>
    <w:p w14:paraId="1E68A4B6">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（1）甲方按需采购各类豆制品，乙方必须满足甲方实际需求。</w:t>
      </w:r>
    </w:p>
    <w:p w14:paraId="354B0CFD">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（2）质量要求：新鲜，感官检验、化学检验均符合要求。</w:t>
      </w:r>
    </w:p>
    <w:p w14:paraId="3DE5B0CB">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（3）成交乙方必须讲诚信，讲究职业道德，所供货物不得以次充好，不得将残剩等不合格品掺杂其中，一经发现，取消其供货资格，并承担由此造成的一切后果，如构成违法，将依法追求其法律责任。</w:t>
      </w:r>
    </w:p>
    <w:p w14:paraId="1BE2C56C">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2.安全卫生要求：</w:t>
      </w:r>
    </w:p>
    <w:p w14:paraId="7301044F">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（1）中华人民共和国食品安全法实施条例。</w:t>
      </w:r>
    </w:p>
    <w:p w14:paraId="7C8E9403">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（2）中华人民共和国动植物检疫法及其实施条例。</w:t>
      </w:r>
    </w:p>
    <w:p w14:paraId="2D1590A6">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（3）符合GB/T23494、GB2712标准。</w:t>
      </w:r>
    </w:p>
    <w:p w14:paraId="380314F7">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 其他可能适用于本用户需求书/技术规格书以及甲方与乙方签订的有关合同（合同具体名称以实际为准）内容的相关法律法规或质量标准。</w:t>
      </w:r>
    </w:p>
    <w:p w14:paraId="4D2DFA55">
      <w:pPr>
        <w:pStyle w:val="80"/>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备注：以上所有国标如有更新，以最新且最严版为准。</w:t>
      </w:r>
    </w:p>
    <w:p w14:paraId="39E815DA">
      <w:pPr>
        <w:keepNext w:val="0"/>
        <w:keepLines w:val="0"/>
        <w:pageBreakBefore w:val="0"/>
        <w:widowControl w:val="0"/>
        <w:kinsoku/>
        <w:wordWrap/>
        <w:overflowPunct w:val="0"/>
        <w:topLinePunct w:val="0"/>
        <w:autoSpaceDE w:val="0"/>
        <w:autoSpaceDN w:val="0"/>
        <w:bidi w:val="0"/>
        <w:adjustRightInd w:val="0"/>
        <w:snapToGrid w:val="0"/>
        <w:spacing w:line="440" w:lineRule="exact"/>
        <w:ind w:left="0" w:leftChars="0" w:firstLine="422" w:firstLineChars="200"/>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九、双方的权利与义务</w:t>
      </w:r>
    </w:p>
    <w:p w14:paraId="35070E4B">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（一）</w:t>
      </w:r>
      <w:r>
        <w:rPr>
          <w:rFonts w:hint="eastAsia" w:ascii="宋体" w:hAnsi="宋体" w:cs="宋体"/>
          <w:bCs/>
          <w:color w:val="auto"/>
          <w:szCs w:val="21"/>
          <w:highlight w:val="none"/>
        </w:rPr>
        <w:t>甲方根据</w:t>
      </w:r>
      <w:r>
        <w:rPr>
          <w:rFonts w:hint="eastAsia" w:ascii="宋体" w:hAnsi="宋体" w:cs="宋体"/>
          <w:bCs/>
          <w:color w:val="auto"/>
          <w:szCs w:val="21"/>
          <w:highlight w:val="none"/>
          <w:lang w:val="en-US" w:eastAsia="zh-CN"/>
        </w:rPr>
        <w:t>履约</w:t>
      </w:r>
      <w:r>
        <w:rPr>
          <w:rFonts w:hint="eastAsia" w:ascii="宋体" w:hAnsi="宋体" w:cs="宋体"/>
          <w:bCs/>
          <w:color w:val="auto"/>
          <w:szCs w:val="21"/>
          <w:highlight w:val="none"/>
        </w:rPr>
        <w:t>实际情况，对乙方</w:t>
      </w:r>
      <w:r>
        <w:rPr>
          <w:rFonts w:hint="eastAsia" w:ascii="宋体" w:hAnsi="宋体" w:cs="宋体"/>
          <w:bCs/>
          <w:color w:val="auto"/>
          <w:szCs w:val="21"/>
          <w:highlight w:val="none"/>
          <w:lang w:val="en-US" w:eastAsia="zh-CN"/>
        </w:rPr>
        <w:t>履约</w:t>
      </w:r>
      <w:r>
        <w:rPr>
          <w:rFonts w:hint="eastAsia" w:ascii="宋体" w:hAnsi="宋体" w:cs="宋体"/>
          <w:bCs/>
          <w:color w:val="auto"/>
          <w:szCs w:val="21"/>
          <w:highlight w:val="none"/>
        </w:rPr>
        <w:t>质量进行监管，甲方有权依据甲方相关管理制度及考评办法向乙方签发考评通知书,并按相关考评办法作相应奖罚处理，考评金由甲方在乙方当期应付款项中兑现。</w:t>
      </w:r>
    </w:p>
    <w:p w14:paraId="3DEC73DE">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kern w:val="2"/>
          <w:sz w:val="21"/>
          <w:szCs w:val="21"/>
          <w:highlight w:val="none"/>
          <w:lang w:val="en-US" w:eastAsia="zh-CN" w:bidi="ar-SA"/>
        </w:rPr>
        <w:t>（</w:t>
      </w:r>
      <w:r>
        <w:rPr>
          <w:rFonts w:hint="eastAsia" w:ascii="宋体" w:hAnsi="宋体" w:cs="宋体"/>
          <w:bCs/>
          <w:color w:val="auto"/>
          <w:kern w:val="2"/>
          <w:sz w:val="21"/>
          <w:szCs w:val="21"/>
          <w:highlight w:val="none"/>
          <w:lang w:val="en-US" w:eastAsia="zh-CN" w:bidi="ar-SA"/>
        </w:rPr>
        <w:t>二</w:t>
      </w:r>
      <w:r>
        <w:rPr>
          <w:rFonts w:hint="eastAsia" w:ascii="宋体" w:hAnsi="宋体" w:eastAsia="宋体" w:cs="宋体"/>
          <w:bCs/>
          <w:color w:val="auto"/>
          <w:kern w:val="2"/>
          <w:sz w:val="21"/>
          <w:szCs w:val="21"/>
          <w:highlight w:val="none"/>
          <w:lang w:val="en-US" w:eastAsia="zh-CN" w:bidi="ar-SA"/>
        </w:rPr>
        <w:t>）</w:t>
      </w:r>
      <w:r>
        <w:rPr>
          <w:rFonts w:hint="eastAsia" w:ascii="宋体" w:hAnsi="宋体" w:eastAsia="宋体" w:cs="宋体"/>
          <w:bCs/>
          <w:color w:val="auto"/>
          <w:sz w:val="21"/>
          <w:szCs w:val="21"/>
          <w:highlight w:val="none"/>
        </w:rPr>
        <w:t>下订单：甲方向乙方订购的蔬菜、肉类等货品，须提前一天并在18:00之前以微信、电话、传真、书面等任何一种方式向乙方下订单，订单内容包括名称、数量、质量等要求。</w:t>
      </w:r>
    </w:p>
    <w:p w14:paraId="1C600E6A">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三</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根据国家相关政策及规定，乙方在服务周期内，须配合甲方完成一定比例的乡村振兴农副产品采购任务。</w:t>
      </w:r>
    </w:p>
    <w:p w14:paraId="20B78089">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kern w:val="2"/>
          <w:sz w:val="21"/>
          <w:szCs w:val="21"/>
          <w:highlight w:val="none"/>
          <w:lang w:val="en-US" w:eastAsia="zh-CN" w:bidi="ar-SA"/>
        </w:rPr>
        <w:t>（</w:t>
      </w:r>
      <w:r>
        <w:rPr>
          <w:rFonts w:hint="eastAsia" w:ascii="宋体" w:hAnsi="宋体" w:cs="宋体"/>
          <w:bCs/>
          <w:color w:val="auto"/>
          <w:kern w:val="2"/>
          <w:sz w:val="21"/>
          <w:szCs w:val="21"/>
          <w:highlight w:val="none"/>
          <w:lang w:val="en-US" w:eastAsia="zh-CN" w:bidi="ar-SA"/>
        </w:rPr>
        <w:t>四</w:t>
      </w:r>
      <w:r>
        <w:rPr>
          <w:rFonts w:hint="eastAsia" w:ascii="宋体" w:hAnsi="宋体" w:eastAsia="宋体" w:cs="宋体"/>
          <w:bCs/>
          <w:color w:val="auto"/>
          <w:kern w:val="2"/>
          <w:sz w:val="21"/>
          <w:szCs w:val="21"/>
          <w:highlight w:val="none"/>
          <w:lang w:val="en-US" w:eastAsia="zh-CN" w:bidi="ar-SA"/>
        </w:rPr>
        <w:t>）</w:t>
      </w:r>
      <w:r>
        <w:rPr>
          <w:rFonts w:hint="eastAsia" w:ascii="宋体" w:hAnsi="宋体" w:eastAsia="宋体" w:cs="宋体"/>
          <w:bCs/>
          <w:color w:val="auto"/>
          <w:sz w:val="21"/>
          <w:szCs w:val="21"/>
          <w:highlight w:val="none"/>
        </w:rPr>
        <w:t>乙方所送货物无质量、数量、包装、品牌等问题，甲方不能无故拒收。</w:t>
      </w:r>
    </w:p>
    <w:p w14:paraId="55BF5C70">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五</w:t>
      </w:r>
      <w:r>
        <w:rPr>
          <w:rFonts w:hint="eastAsia" w:ascii="宋体" w:hAnsi="宋体" w:cs="宋体"/>
          <w:bCs/>
          <w:color w:val="auto"/>
          <w:sz w:val="21"/>
          <w:szCs w:val="21"/>
          <w:highlight w:val="none"/>
          <w:lang w:eastAsia="zh-CN"/>
        </w:rPr>
        <w:t>）</w:t>
      </w:r>
      <w:r>
        <w:rPr>
          <w:rFonts w:hint="eastAsia" w:ascii="宋体" w:hAnsi="宋体" w:eastAsia="宋体" w:cs="宋体"/>
          <w:bCs/>
          <w:color w:val="auto"/>
          <w:sz w:val="21"/>
          <w:szCs w:val="21"/>
          <w:highlight w:val="none"/>
        </w:rPr>
        <w:t>乙方</w:t>
      </w:r>
      <w:r>
        <w:rPr>
          <w:rFonts w:hint="eastAsia" w:ascii="宋体" w:hAnsi="宋体" w:eastAsia="宋体" w:cs="宋体"/>
          <w:bCs/>
          <w:color w:val="auto"/>
          <w:sz w:val="21"/>
          <w:szCs w:val="21"/>
          <w:highlight w:val="none"/>
          <w:lang w:val="en-US" w:eastAsia="zh-CN"/>
        </w:rPr>
        <w:t>为本项目配备3台冷链轻型厢式专用货车与3名专职配送人员、2台非冷链轻型封闭式专用货车与2名专职配送人员。</w:t>
      </w:r>
    </w:p>
    <w:p w14:paraId="0296DD79">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kern w:val="2"/>
          <w:sz w:val="21"/>
          <w:szCs w:val="21"/>
          <w:highlight w:val="none"/>
          <w:lang w:val="en-US" w:eastAsia="zh-CN" w:bidi="ar-SA"/>
        </w:rPr>
        <w:t>（六）</w:t>
      </w:r>
      <w:r>
        <w:rPr>
          <w:rFonts w:hint="eastAsia" w:ascii="宋体" w:hAnsi="宋体" w:eastAsia="宋体" w:cs="宋体"/>
          <w:bCs/>
          <w:color w:val="auto"/>
          <w:sz w:val="21"/>
          <w:szCs w:val="21"/>
          <w:highlight w:val="none"/>
        </w:rPr>
        <w:t>乙方供货用的器具（菜筐、油桶、豆腐板、充氧机等），乙方当天拿走；如甲方需要使用器具，甲方需保管好。</w:t>
      </w:r>
    </w:p>
    <w:p w14:paraId="77A7B745">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kern w:val="2"/>
          <w:sz w:val="21"/>
          <w:szCs w:val="21"/>
          <w:highlight w:val="none"/>
          <w:lang w:val="en-US" w:eastAsia="zh-CN" w:bidi="ar-SA"/>
        </w:rPr>
        <w:t>（七）</w:t>
      </w:r>
      <w:r>
        <w:rPr>
          <w:rFonts w:hint="eastAsia" w:ascii="宋体" w:hAnsi="宋体" w:eastAsia="宋体" w:cs="宋体"/>
          <w:bCs/>
          <w:color w:val="auto"/>
          <w:sz w:val="21"/>
          <w:szCs w:val="21"/>
          <w:highlight w:val="none"/>
        </w:rPr>
        <w:t>乙方所送货物的质量、品类等达不到要求的，甲方有权无条件退货或换货，乙方应保证在甲方指定的时间内退换到位。</w:t>
      </w:r>
    </w:p>
    <w:p w14:paraId="30208F6B">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kern w:val="2"/>
          <w:sz w:val="21"/>
          <w:szCs w:val="21"/>
          <w:highlight w:val="none"/>
          <w:lang w:val="en-US" w:eastAsia="zh-CN" w:bidi="ar-SA"/>
        </w:rPr>
        <w:t>（八）</w:t>
      </w:r>
      <w:r>
        <w:rPr>
          <w:rFonts w:hint="eastAsia" w:ascii="宋体" w:hAnsi="宋体" w:eastAsia="宋体" w:cs="宋体"/>
          <w:bCs/>
          <w:color w:val="auto"/>
          <w:sz w:val="21"/>
          <w:szCs w:val="21"/>
          <w:highlight w:val="none"/>
        </w:rPr>
        <w:t>乙方所提供的货物被政府部门、甲方或第三方机构（组织）检测、检验出食品/健康/卫生方面的安全或质量问题（包括不符合甲方要求或存在缺陷等），或因乙方货物引发食品/健康/卫生方面的安全或质量事故，由乙方承担全部责任（包括但不限于：恢复、治疗（医疗）或护理（丧葬）等费用，诉讼费用、律师代理费用、鉴定费用、保全等费用，以及消除影响、恢复企业形象和社会形象等相关费用）。</w:t>
      </w:r>
    </w:p>
    <w:p w14:paraId="3EA8DBE6">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kern w:val="2"/>
          <w:sz w:val="21"/>
          <w:szCs w:val="21"/>
          <w:highlight w:val="none"/>
          <w:lang w:val="en-US" w:eastAsia="zh-CN" w:bidi="ar-SA"/>
        </w:rPr>
        <w:t>（</w:t>
      </w:r>
      <w:r>
        <w:rPr>
          <w:rFonts w:hint="eastAsia" w:ascii="宋体" w:hAnsi="宋体" w:cs="宋体"/>
          <w:bCs/>
          <w:color w:val="auto"/>
          <w:kern w:val="2"/>
          <w:sz w:val="21"/>
          <w:szCs w:val="21"/>
          <w:highlight w:val="none"/>
          <w:lang w:val="en-US" w:eastAsia="zh-CN" w:bidi="ar-SA"/>
        </w:rPr>
        <w:t>九</w:t>
      </w:r>
      <w:r>
        <w:rPr>
          <w:rFonts w:hint="eastAsia" w:ascii="宋体" w:hAnsi="宋体" w:eastAsia="宋体" w:cs="宋体"/>
          <w:bCs/>
          <w:color w:val="auto"/>
          <w:kern w:val="2"/>
          <w:sz w:val="21"/>
          <w:szCs w:val="21"/>
          <w:highlight w:val="none"/>
          <w:lang w:val="en-US" w:eastAsia="zh-CN" w:bidi="ar-SA"/>
        </w:rPr>
        <w:t>）</w:t>
      </w:r>
      <w:r>
        <w:rPr>
          <w:rFonts w:hint="eastAsia" w:ascii="宋体" w:hAnsi="宋体" w:eastAsia="宋体" w:cs="宋体"/>
          <w:bCs/>
          <w:color w:val="auto"/>
          <w:sz w:val="21"/>
          <w:szCs w:val="21"/>
          <w:highlight w:val="none"/>
        </w:rPr>
        <w:t xml:space="preserve">甲方临时加货处理当甲方临时增加用餐人数或有客餐任务时，乙方要尽力确保供货，以使甲方能准时开餐。 </w:t>
      </w:r>
    </w:p>
    <w:p w14:paraId="497CB1DB">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kern w:val="2"/>
          <w:sz w:val="21"/>
          <w:szCs w:val="21"/>
          <w:highlight w:val="none"/>
          <w:lang w:val="en-US" w:eastAsia="zh-CN" w:bidi="ar-SA"/>
        </w:rPr>
        <w:t>（十）</w:t>
      </w:r>
      <w:r>
        <w:rPr>
          <w:rFonts w:hint="eastAsia" w:ascii="宋体" w:hAnsi="宋体" w:eastAsia="宋体" w:cs="宋体"/>
          <w:bCs/>
          <w:color w:val="auto"/>
          <w:sz w:val="21"/>
          <w:szCs w:val="21"/>
          <w:highlight w:val="none"/>
        </w:rPr>
        <w:t xml:space="preserve">接到甲方的订菜通知后，个别品种因缺货而不能按时送到，乙方应提前通知甲方，并协商好解决方法以确保甲方所需货物能按时送到。 </w:t>
      </w:r>
    </w:p>
    <w:p w14:paraId="09C9445A">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（十一</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乙方</w:t>
      </w:r>
      <w:r>
        <w:rPr>
          <w:rFonts w:hint="eastAsia" w:ascii="宋体" w:hAnsi="宋体" w:eastAsia="宋体" w:cs="宋体"/>
          <w:bCs/>
          <w:i w:val="0"/>
          <w:iCs w:val="0"/>
          <w:color w:val="auto"/>
          <w:sz w:val="21"/>
          <w:szCs w:val="21"/>
          <w:highlight w:val="none"/>
          <w:u w:val="none"/>
          <w:lang w:val="en-US" w:eastAsia="zh-CN"/>
        </w:rPr>
        <w:t>针对甲方的紧急订单</w:t>
      </w:r>
      <w:r>
        <w:rPr>
          <w:rFonts w:hint="eastAsia" w:ascii="宋体" w:hAnsi="宋体" w:eastAsia="宋体" w:cs="宋体"/>
          <w:bCs/>
          <w:i w:val="0"/>
          <w:iCs w:val="0"/>
          <w:caps w:val="0"/>
          <w:color w:val="auto"/>
          <w:spacing w:val="0"/>
          <w:sz w:val="21"/>
          <w:szCs w:val="21"/>
          <w:highlight w:val="none"/>
          <w:shd w:val="clear" w:color="auto" w:fill="auto"/>
        </w:rPr>
        <w:t>设立紧急响应机制</w:t>
      </w:r>
      <w:r>
        <w:rPr>
          <w:rFonts w:hint="eastAsia" w:ascii="宋体" w:hAnsi="宋体" w:eastAsia="宋体" w:cs="宋体"/>
          <w:bCs/>
          <w:i w:val="0"/>
          <w:iCs w:val="0"/>
          <w:caps w:val="0"/>
          <w:color w:val="auto"/>
          <w:spacing w:val="0"/>
          <w:sz w:val="21"/>
          <w:szCs w:val="21"/>
          <w:highlight w:val="none"/>
          <w:shd w:val="clear" w:color="auto" w:fill="auto"/>
          <w:lang w:eastAsia="zh-CN"/>
        </w:rPr>
        <w:t>，</w:t>
      </w:r>
      <w:r>
        <w:rPr>
          <w:rFonts w:hint="eastAsia" w:ascii="宋体" w:hAnsi="宋体" w:cs="宋体"/>
          <w:bCs/>
          <w:i w:val="0"/>
          <w:iCs w:val="0"/>
          <w:caps w:val="0"/>
          <w:color w:val="auto"/>
          <w:spacing w:val="0"/>
          <w:sz w:val="21"/>
          <w:szCs w:val="21"/>
          <w:highlight w:val="none"/>
          <w:shd w:val="clear" w:color="auto" w:fill="auto"/>
          <w:lang w:val="en-US" w:eastAsia="zh-CN"/>
        </w:rPr>
        <w:t>乙方</w:t>
      </w:r>
      <w:r>
        <w:rPr>
          <w:rFonts w:hint="eastAsia" w:ascii="宋体" w:hAnsi="宋体" w:eastAsia="宋体" w:cs="宋体"/>
          <w:bCs/>
          <w:i w:val="0"/>
          <w:iCs w:val="0"/>
          <w:color w:val="auto"/>
          <w:sz w:val="21"/>
          <w:szCs w:val="21"/>
          <w:highlight w:val="none"/>
          <w:u w:val="none"/>
          <w:lang w:val="en-US" w:eastAsia="zh-CN"/>
        </w:rPr>
        <w:t>在接到紧急配送需求后1小时内送达</w:t>
      </w:r>
      <w:r>
        <w:rPr>
          <w:rFonts w:hint="eastAsia" w:ascii="宋体" w:hAnsi="宋体" w:cs="宋体"/>
          <w:bCs/>
          <w:i w:val="0"/>
          <w:iCs w:val="0"/>
          <w:color w:val="auto"/>
          <w:sz w:val="21"/>
          <w:szCs w:val="21"/>
          <w:highlight w:val="none"/>
          <w:u w:val="none"/>
          <w:lang w:val="en-US" w:eastAsia="zh-CN"/>
        </w:rPr>
        <w:t>甲方</w:t>
      </w:r>
      <w:r>
        <w:rPr>
          <w:rFonts w:hint="eastAsia" w:ascii="宋体" w:hAnsi="宋体" w:eastAsia="宋体" w:cs="宋体"/>
          <w:bCs/>
          <w:i w:val="0"/>
          <w:iCs w:val="0"/>
          <w:color w:val="auto"/>
          <w:sz w:val="21"/>
          <w:szCs w:val="21"/>
          <w:highlight w:val="none"/>
          <w:u w:val="none"/>
          <w:lang w:val="en-US" w:eastAsia="zh-CN"/>
        </w:rPr>
        <w:t>指定地点。</w:t>
      </w:r>
    </w:p>
    <w:p w14:paraId="3916D8DB">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kern w:val="2"/>
          <w:sz w:val="21"/>
          <w:szCs w:val="21"/>
          <w:highlight w:val="none"/>
          <w:lang w:val="en-US" w:eastAsia="zh-CN" w:bidi="ar-SA"/>
        </w:rPr>
        <w:t>（</w:t>
      </w:r>
      <w:r>
        <w:rPr>
          <w:rFonts w:hint="eastAsia" w:ascii="宋体" w:hAnsi="宋体" w:cs="宋体"/>
          <w:bCs/>
          <w:color w:val="auto"/>
          <w:kern w:val="2"/>
          <w:sz w:val="21"/>
          <w:szCs w:val="21"/>
          <w:highlight w:val="none"/>
          <w:lang w:val="en-US" w:eastAsia="zh-CN" w:bidi="ar-SA"/>
        </w:rPr>
        <w:t>十二</w:t>
      </w:r>
      <w:r>
        <w:rPr>
          <w:rFonts w:hint="eastAsia" w:ascii="宋体" w:hAnsi="宋体" w:eastAsia="宋体" w:cs="宋体"/>
          <w:bCs/>
          <w:color w:val="auto"/>
          <w:kern w:val="2"/>
          <w:sz w:val="21"/>
          <w:szCs w:val="21"/>
          <w:highlight w:val="none"/>
          <w:lang w:val="en-US" w:eastAsia="zh-CN" w:bidi="ar-SA"/>
        </w:rPr>
        <w:t>）</w:t>
      </w:r>
      <w:r>
        <w:rPr>
          <w:rFonts w:hint="eastAsia" w:ascii="宋体" w:hAnsi="宋体" w:eastAsia="宋体" w:cs="宋体"/>
          <w:bCs/>
          <w:color w:val="auto"/>
          <w:sz w:val="21"/>
          <w:szCs w:val="21"/>
          <w:highlight w:val="none"/>
        </w:rPr>
        <w:t xml:space="preserve">在供货过程中，对甲方提出的各种合理要求和建议应诚恳接受并切实作出改进。 </w:t>
      </w:r>
    </w:p>
    <w:p w14:paraId="0C7F1063">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kern w:val="2"/>
          <w:sz w:val="21"/>
          <w:szCs w:val="21"/>
          <w:highlight w:val="none"/>
          <w:lang w:val="en-US" w:eastAsia="zh-CN" w:bidi="ar-SA"/>
        </w:rPr>
        <w:t>（</w:t>
      </w:r>
      <w:r>
        <w:rPr>
          <w:rFonts w:hint="eastAsia" w:ascii="宋体" w:hAnsi="宋体" w:cs="宋体"/>
          <w:bCs/>
          <w:color w:val="auto"/>
          <w:kern w:val="2"/>
          <w:sz w:val="21"/>
          <w:szCs w:val="21"/>
          <w:highlight w:val="none"/>
          <w:lang w:val="en-US" w:eastAsia="zh-CN" w:bidi="ar-SA"/>
        </w:rPr>
        <w:t>十三</w:t>
      </w:r>
      <w:r>
        <w:rPr>
          <w:rFonts w:hint="eastAsia" w:ascii="宋体" w:hAnsi="宋体" w:eastAsia="宋体" w:cs="宋体"/>
          <w:bCs/>
          <w:color w:val="auto"/>
          <w:kern w:val="2"/>
          <w:sz w:val="21"/>
          <w:szCs w:val="21"/>
          <w:highlight w:val="none"/>
          <w:lang w:val="en-US" w:eastAsia="zh-CN" w:bidi="ar-SA"/>
        </w:rPr>
        <w:t>）</w:t>
      </w:r>
      <w:r>
        <w:rPr>
          <w:rFonts w:hint="eastAsia" w:ascii="宋体" w:hAnsi="宋体" w:eastAsia="宋体" w:cs="宋体"/>
          <w:bCs/>
          <w:color w:val="auto"/>
          <w:sz w:val="21"/>
          <w:szCs w:val="21"/>
          <w:highlight w:val="none"/>
        </w:rPr>
        <w:t>乙方必须每天向甲方提供各类货物检测检验报告。</w:t>
      </w:r>
    </w:p>
    <w:p w14:paraId="10623854">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kern w:val="2"/>
          <w:sz w:val="21"/>
          <w:szCs w:val="21"/>
          <w:highlight w:val="none"/>
          <w:lang w:val="en-US" w:eastAsia="zh-CN" w:bidi="ar-SA"/>
        </w:rPr>
        <w:t>（十四）</w:t>
      </w:r>
      <w:r>
        <w:rPr>
          <w:rFonts w:hint="eastAsia" w:ascii="宋体" w:hAnsi="宋体" w:eastAsia="宋体" w:cs="宋体"/>
          <w:bCs/>
          <w:color w:val="auto"/>
          <w:sz w:val="21"/>
          <w:szCs w:val="21"/>
          <w:highlight w:val="none"/>
        </w:rPr>
        <w:t>如出现特殊情况难以正常供货、货物品种达不到甲方需求的，乙方应针对此类情况制定应急预案，以满足甲方需求。</w:t>
      </w:r>
    </w:p>
    <w:p w14:paraId="099BBA8D">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kern w:val="2"/>
          <w:sz w:val="21"/>
          <w:szCs w:val="21"/>
          <w:highlight w:val="none"/>
          <w:lang w:val="en-US" w:eastAsia="zh-CN" w:bidi="ar-SA"/>
        </w:rPr>
        <w:t>（十五）</w:t>
      </w:r>
      <w:r>
        <w:rPr>
          <w:rFonts w:hint="eastAsia" w:ascii="宋体" w:hAnsi="宋体" w:eastAsia="宋体" w:cs="宋体"/>
          <w:bCs/>
          <w:color w:val="auto"/>
          <w:sz w:val="21"/>
          <w:szCs w:val="21"/>
          <w:highlight w:val="none"/>
        </w:rPr>
        <w:t>乙方须提供全年无休食材配送服务，且满足甲方临时送货需求。</w:t>
      </w:r>
    </w:p>
    <w:p w14:paraId="10C11F4D">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kern w:val="2"/>
          <w:sz w:val="21"/>
          <w:szCs w:val="21"/>
          <w:highlight w:val="none"/>
          <w:lang w:val="en-US" w:eastAsia="zh-CN" w:bidi="ar-SA"/>
        </w:rPr>
        <w:t>（十六）</w:t>
      </w:r>
      <w:r>
        <w:rPr>
          <w:rFonts w:hint="eastAsia" w:ascii="宋体" w:hAnsi="宋体" w:eastAsia="宋体" w:cs="宋体"/>
          <w:bCs/>
          <w:color w:val="auto"/>
          <w:sz w:val="21"/>
          <w:szCs w:val="21"/>
          <w:highlight w:val="none"/>
        </w:rPr>
        <w:t>乙方须对甲方所下订单进行确认，甲方应对乙方所送货物进行签收确认；签收确认的资料将作为付款的依据之一，且乙方须保存好签收确认的资料。本项目物资清点、验收、交接</w:t>
      </w:r>
      <w:r>
        <w:rPr>
          <w:rFonts w:hint="eastAsia" w:ascii="宋体" w:hAnsi="宋体" w:cs="宋体"/>
          <w:bCs/>
          <w:color w:val="auto"/>
          <w:sz w:val="21"/>
          <w:szCs w:val="21"/>
          <w:highlight w:val="none"/>
          <w:lang w:val="en-US" w:eastAsia="zh-CN"/>
        </w:rPr>
        <w:t>工作</w:t>
      </w:r>
      <w:r>
        <w:rPr>
          <w:rFonts w:hint="eastAsia" w:ascii="宋体" w:hAnsi="宋体" w:eastAsia="宋体" w:cs="宋体"/>
          <w:bCs/>
          <w:color w:val="auto"/>
          <w:sz w:val="21"/>
          <w:szCs w:val="21"/>
          <w:highlight w:val="none"/>
        </w:rPr>
        <w:t>须在</w:t>
      </w:r>
      <w:r>
        <w:rPr>
          <w:rFonts w:hint="eastAsia" w:ascii="宋体" w:hAnsi="宋体" w:cs="宋体"/>
          <w:bCs/>
          <w:color w:val="auto"/>
          <w:sz w:val="21"/>
          <w:szCs w:val="21"/>
          <w:highlight w:val="none"/>
          <w:lang w:val="en-US" w:eastAsia="zh-CN"/>
        </w:rPr>
        <w:t>甲方业务主管部门</w:t>
      </w:r>
      <w:r>
        <w:rPr>
          <w:rFonts w:hint="eastAsia" w:ascii="宋体" w:hAnsi="宋体" w:eastAsia="宋体" w:cs="宋体"/>
          <w:bCs/>
          <w:color w:val="auto"/>
          <w:sz w:val="21"/>
          <w:szCs w:val="21"/>
          <w:highlight w:val="none"/>
        </w:rPr>
        <w:t>指定区域</w:t>
      </w:r>
      <w:r>
        <w:rPr>
          <w:rFonts w:hint="eastAsia" w:ascii="宋体" w:hAnsi="宋体" w:cs="宋体"/>
          <w:bCs/>
          <w:color w:val="auto"/>
          <w:sz w:val="21"/>
          <w:szCs w:val="21"/>
          <w:highlight w:val="none"/>
          <w:lang w:val="en-US" w:eastAsia="zh-CN"/>
        </w:rPr>
        <w:t>内</w:t>
      </w:r>
      <w:r>
        <w:rPr>
          <w:rFonts w:hint="eastAsia" w:ascii="宋体" w:hAnsi="宋体" w:eastAsia="宋体" w:cs="宋体"/>
          <w:bCs/>
          <w:color w:val="auto"/>
          <w:sz w:val="21"/>
          <w:szCs w:val="21"/>
          <w:highlight w:val="none"/>
        </w:rPr>
        <w:t>完成。</w:t>
      </w:r>
    </w:p>
    <w:p w14:paraId="59A38EEF">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kern w:val="2"/>
          <w:sz w:val="21"/>
          <w:szCs w:val="21"/>
          <w:highlight w:val="none"/>
          <w:lang w:val="en-US" w:eastAsia="zh-CN" w:bidi="ar-SA"/>
        </w:rPr>
        <w:t>（十七）</w:t>
      </w:r>
      <w:r>
        <w:rPr>
          <w:rFonts w:hint="eastAsia" w:ascii="宋体" w:hAnsi="宋体" w:eastAsia="宋体" w:cs="宋体"/>
          <w:bCs/>
          <w:color w:val="auto"/>
          <w:sz w:val="21"/>
          <w:szCs w:val="21"/>
          <w:highlight w:val="none"/>
        </w:rPr>
        <w:t>甲方有权定期和不定期抽查（检验、检测等）乙方提供的货物，如检验检测等结果不合格（或不符合要求）的，进行相关检验检测等费用全部由乙方承担。</w:t>
      </w:r>
    </w:p>
    <w:p w14:paraId="53593837">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kern w:val="2"/>
          <w:sz w:val="21"/>
          <w:szCs w:val="21"/>
          <w:highlight w:val="none"/>
          <w:lang w:val="en-US" w:eastAsia="zh-CN" w:bidi="ar-SA"/>
        </w:rPr>
        <w:t>（十八）</w:t>
      </w:r>
      <w:r>
        <w:rPr>
          <w:rFonts w:hint="eastAsia" w:ascii="宋体" w:hAnsi="宋体" w:eastAsia="宋体" w:cs="宋体"/>
          <w:bCs/>
          <w:color w:val="auto"/>
          <w:sz w:val="21"/>
          <w:szCs w:val="21"/>
          <w:highlight w:val="none"/>
        </w:rPr>
        <w:t>由于乙方原因，出现一次食品/健康/卫生方面的安全或质量问题（包括不符合甲方要求或存在缺陷等），或因乙方货物引发食品/健康/卫生方面的安全或质量事故的，乙方需承担全部责任，甲方有权无条件解除合同。</w:t>
      </w:r>
    </w:p>
    <w:p w14:paraId="4600FC84">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kern w:val="2"/>
          <w:sz w:val="21"/>
          <w:szCs w:val="21"/>
          <w:highlight w:val="none"/>
          <w:lang w:val="en-US" w:eastAsia="zh-CN" w:bidi="ar-SA"/>
        </w:rPr>
        <w:t>（十九）</w:t>
      </w:r>
      <w:r>
        <w:rPr>
          <w:rFonts w:hint="eastAsia" w:ascii="宋体" w:hAnsi="宋体" w:eastAsia="宋体" w:cs="宋体"/>
          <w:bCs/>
          <w:color w:val="auto"/>
          <w:sz w:val="21"/>
          <w:szCs w:val="21"/>
          <w:highlight w:val="none"/>
        </w:rPr>
        <w:t>由于食品安全或食品抽查中产生的影响，由乙方承担责任。</w:t>
      </w:r>
    </w:p>
    <w:p w14:paraId="1C3B756B">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kern w:val="2"/>
          <w:sz w:val="21"/>
          <w:szCs w:val="21"/>
          <w:highlight w:val="none"/>
          <w:lang w:val="en-US" w:eastAsia="zh-CN" w:bidi="ar-SA"/>
        </w:rPr>
        <w:t>（二十）</w:t>
      </w:r>
      <w:r>
        <w:rPr>
          <w:rFonts w:hint="eastAsia" w:ascii="宋体" w:hAnsi="宋体" w:eastAsia="宋体" w:cs="宋体"/>
          <w:bCs/>
          <w:color w:val="auto"/>
          <w:sz w:val="21"/>
          <w:szCs w:val="21"/>
          <w:highlight w:val="none"/>
        </w:rPr>
        <w:t>经医院确诊及卫生防疫部门确认，因乙方过错造成甲方员工食物中毒，乙方需承担全部责任，并赔偿相关损失。</w:t>
      </w:r>
    </w:p>
    <w:p w14:paraId="7D34D3DF">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kern w:val="2"/>
          <w:sz w:val="21"/>
          <w:szCs w:val="21"/>
          <w:highlight w:val="none"/>
          <w:lang w:val="en-US" w:eastAsia="zh-CN" w:bidi="ar-SA"/>
        </w:rPr>
        <w:t>（</w:t>
      </w:r>
      <w:r>
        <w:rPr>
          <w:rFonts w:hint="eastAsia" w:ascii="宋体" w:hAnsi="宋体" w:cs="宋体"/>
          <w:bCs/>
          <w:color w:val="auto"/>
          <w:kern w:val="2"/>
          <w:sz w:val="21"/>
          <w:szCs w:val="21"/>
          <w:highlight w:val="none"/>
          <w:lang w:val="en-US" w:eastAsia="zh-CN" w:bidi="ar-SA"/>
        </w:rPr>
        <w:t>二十一</w:t>
      </w:r>
      <w:r>
        <w:rPr>
          <w:rFonts w:hint="eastAsia" w:ascii="宋体" w:hAnsi="宋体" w:eastAsia="宋体" w:cs="宋体"/>
          <w:bCs/>
          <w:color w:val="auto"/>
          <w:kern w:val="2"/>
          <w:sz w:val="21"/>
          <w:szCs w:val="21"/>
          <w:highlight w:val="none"/>
          <w:lang w:val="en-US" w:eastAsia="zh-CN" w:bidi="ar-SA"/>
        </w:rPr>
        <w:t>）</w:t>
      </w:r>
      <w:r>
        <w:rPr>
          <w:rFonts w:hint="eastAsia" w:ascii="宋体" w:hAnsi="宋体" w:cs="宋体"/>
          <w:bCs/>
          <w:color w:val="auto"/>
          <w:sz w:val="21"/>
          <w:szCs w:val="21"/>
          <w:highlight w:val="none"/>
          <w:lang w:val="en-US" w:eastAsia="zh-CN"/>
        </w:rPr>
        <w:t>乙方须定期</w:t>
      </w:r>
      <w:r>
        <w:rPr>
          <w:rFonts w:hint="eastAsia" w:ascii="宋体" w:hAnsi="宋体" w:eastAsia="宋体" w:cs="宋体"/>
          <w:bCs/>
          <w:color w:val="auto"/>
          <w:sz w:val="21"/>
          <w:szCs w:val="21"/>
          <w:highlight w:val="none"/>
        </w:rPr>
        <w:t>将物资配送车辆信息、</w:t>
      </w:r>
      <w:r>
        <w:rPr>
          <w:rFonts w:hint="eastAsia" w:ascii="宋体" w:hAnsi="宋体" w:cs="宋体"/>
          <w:bCs/>
          <w:color w:val="auto"/>
          <w:sz w:val="21"/>
          <w:szCs w:val="21"/>
          <w:highlight w:val="none"/>
          <w:lang w:val="en-US" w:eastAsia="zh-CN"/>
        </w:rPr>
        <w:t>配送</w:t>
      </w:r>
      <w:r>
        <w:rPr>
          <w:rFonts w:hint="eastAsia" w:ascii="宋体" w:hAnsi="宋体" w:eastAsia="宋体" w:cs="宋体"/>
          <w:bCs/>
          <w:color w:val="auto"/>
          <w:sz w:val="21"/>
          <w:szCs w:val="21"/>
          <w:highlight w:val="none"/>
        </w:rPr>
        <w:t>人员信息、</w:t>
      </w:r>
      <w:r>
        <w:rPr>
          <w:rFonts w:hint="eastAsia" w:ascii="宋体" w:hAnsi="宋体" w:cs="宋体"/>
          <w:bCs/>
          <w:color w:val="auto"/>
          <w:sz w:val="21"/>
          <w:szCs w:val="21"/>
          <w:highlight w:val="none"/>
          <w:lang w:val="en-US" w:eastAsia="zh-CN"/>
        </w:rPr>
        <w:t>配送</w:t>
      </w:r>
      <w:r>
        <w:rPr>
          <w:rFonts w:hint="eastAsia" w:ascii="宋体" w:hAnsi="宋体" w:eastAsia="宋体" w:cs="宋体"/>
          <w:bCs/>
          <w:color w:val="auto"/>
          <w:sz w:val="21"/>
          <w:szCs w:val="21"/>
          <w:highlight w:val="none"/>
        </w:rPr>
        <w:t>人员体验报告复印件、</w:t>
      </w:r>
      <w:r>
        <w:rPr>
          <w:rFonts w:hint="eastAsia" w:ascii="宋体" w:hAnsi="宋体" w:cs="宋体"/>
          <w:bCs/>
          <w:color w:val="auto"/>
          <w:sz w:val="21"/>
          <w:szCs w:val="21"/>
          <w:highlight w:val="none"/>
          <w:lang w:val="en-US" w:eastAsia="zh-CN"/>
        </w:rPr>
        <w:t>配送</w:t>
      </w:r>
      <w:r>
        <w:rPr>
          <w:rFonts w:hint="eastAsia" w:ascii="宋体" w:hAnsi="宋体" w:eastAsia="宋体" w:cs="宋体"/>
          <w:bCs/>
          <w:color w:val="auto"/>
          <w:sz w:val="21"/>
          <w:szCs w:val="21"/>
          <w:highlight w:val="none"/>
        </w:rPr>
        <w:t>人员无犯罪证明、</w:t>
      </w:r>
      <w:r>
        <w:rPr>
          <w:rFonts w:hint="eastAsia" w:ascii="宋体" w:hAnsi="宋体" w:cs="宋体"/>
          <w:bCs/>
          <w:color w:val="auto"/>
          <w:sz w:val="21"/>
          <w:szCs w:val="21"/>
          <w:highlight w:val="none"/>
          <w:lang w:val="en-US" w:eastAsia="zh-CN"/>
        </w:rPr>
        <w:t>配送</w:t>
      </w:r>
      <w:r>
        <w:rPr>
          <w:rFonts w:hint="eastAsia" w:ascii="宋体" w:hAnsi="宋体" w:eastAsia="宋体" w:cs="宋体"/>
          <w:bCs/>
          <w:color w:val="auto"/>
          <w:sz w:val="21"/>
          <w:szCs w:val="21"/>
          <w:highlight w:val="none"/>
        </w:rPr>
        <w:t>人员毛发检测</w:t>
      </w:r>
      <w:r>
        <w:rPr>
          <w:rFonts w:hint="eastAsia" w:ascii="宋体" w:hAnsi="宋体" w:cs="宋体"/>
          <w:bCs/>
          <w:color w:val="auto"/>
          <w:sz w:val="21"/>
          <w:szCs w:val="21"/>
          <w:highlight w:val="none"/>
          <w:lang w:val="en-US" w:eastAsia="zh-CN"/>
        </w:rPr>
        <w:t>报告等</w:t>
      </w:r>
      <w:r>
        <w:rPr>
          <w:rFonts w:hint="eastAsia" w:ascii="宋体" w:hAnsi="宋体" w:eastAsia="宋体" w:cs="宋体"/>
          <w:bCs/>
          <w:color w:val="auto"/>
          <w:sz w:val="21"/>
          <w:szCs w:val="21"/>
          <w:highlight w:val="none"/>
        </w:rPr>
        <w:t>相关信息报送至</w:t>
      </w:r>
      <w:r>
        <w:rPr>
          <w:rFonts w:hint="eastAsia" w:ascii="宋体" w:hAnsi="宋体" w:cs="宋体"/>
          <w:bCs/>
          <w:color w:val="auto"/>
          <w:sz w:val="21"/>
          <w:szCs w:val="21"/>
          <w:highlight w:val="none"/>
          <w:lang w:val="en-US" w:eastAsia="zh-CN"/>
        </w:rPr>
        <w:t>甲方业务主管部门备案</w:t>
      </w:r>
      <w:r>
        <w:rPr>
          <w:rFonts w:hint="eastAsia" w:ascii="宋体" w:hAnsi="宋体" w:eastAsia="宋体" w:cs="宋体"/>
          <w:bCs/>
          <w:color w:val="auto"/>
          <w:sz w:val="21"/>
          <w:szCs w:val="21"/>
          <w:highlight w:val="none"/>
        </w:rPr>
        <w:t>。</w:t>
      </w:r>
    </w:p>
    <w:p w14:paraId="76581B55">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kern w:val="2"/>
          <w:sz w:val="21"/>
          <w:szCs w:val="21"/>
          <w:highlight w:val="none"/>
          <w:lang w:val="en-US" w:eastAsia="zh-CN" w:bidi="ar-SA"/>
        </w:rPr>
        <w:t>（</w:t>
      </w:r>
      <w:r>
        <w:rPr>
          <w:rFonts w:hint="eastAsia" w:ascii="宋体" w:hAnsi="宋体" w:cs="宋体"/>
          <w:bCs/>
          <w:color w:val="auto"/>
          <w:kern w:val="2"/>
          <w:sz w:val="21"/>
          <w:szCs w:val="21"/>
          <w:highlight w:val="none"/>
          <w:lang w:val="en-US" w:eastAsia="zh-CN" w:bidi="ar-SA"/>
        </w:rPr>
        <w:t>二十二</w:t>
      </w:r>
      <w:r>
        <w:rPr>
          <w:rFonts w:hint="eastAsia" w:ascii="宋体" w:hAnsi="宋体" w:eastAsia="宋体" w:cs="宋体"/>
          <w:bCs/>
          <w:color w:val="auto"/>
          <w:kern w:val="2"/>
          <w:sz w:val="21"/>
          <w:szCs w:val="21"/>
          <w:highlight w:val="none"/>
          <w:lang w:val="en-US" w:eastAsia="zh-CN" w:bidi="ar-SA"/>
        </w:rPr>
        <w:t>）</w:t>
      </w:r>
      <w:r>
        <w:rPr>
          <w:rFonts w:hint="eastAsia" w:ascii="宋体" w:hAnsi="宋体" w:cs="宋体"/>
          <w:bCs/>
          <w:color w:val="auto"/>
          <w:sz w:val="21"/>
          <w:szCs w:val="21"/>
          <w:highlight w:val="none"/>
          <w:lang w:val="en-US" w:eastAsia="zh-CN"/>
        </w:rPr>
        <w:t>乙方须定期</w:t>
      </w:r>
      <w:r>
        <w:rPr>
          <w:rFonts w:hint="eastAsia" w:ascii="宋体" w:hAnsi="宋体" w:eastAsia="宋体" w:cs="宋体"/>
          <w:bCs/>
          <w:color w:val="auto"/>
          <w:sz w:val="21"/>
          <w:szCs w:val="21"/>
          <w:highlight w:val="none"/>
        </w:rPr>
        <w:t>根据</w:t>
      </w:r>
      <w:r>
        <w:rPr>
          <w:rFonts w:hint="eastAsia" w:ascii="宋体" w:hAnsi="宋体" w:cs="宋体"/>
          <w:bCs/>
          <w:color w:val="auto"/>
          <w:sz w:val="21"/>
          <w:szCs w:val="21"/>
          <w:highlight w:val="none"/>
          <w:lang w:val="en-US" w:eastAsia="zh-CN"/>
        </w:rPr>
        <w:t>甲方</w:t>
      </w:r>
      <w:r>
        <w:rPr>
          <w:rFonts w:hint="eastAsia" w:ascii="宋体" w:hAnsi="宋体" w:eastAsia="宋体" w:cs="宋体"/>
          <w:bCs/>
          <w:color w:val="auto"/>
          <w:sz w:val="21"/>
          <w:szCs w:val="21"/>
          <w:highlight w:val="none"/>
        </w:rPr>
        <w:t>的采购需求清单</w:t>
      </w:r>
      <w:r>
        <w:rPr>
          <w:rFonts w:hint="eastAsia" w:ascii="宋体" w:hAnsi="宋体" w:cs="宋体"/>
          <w:bCs/>
          <w:color w:val="auto"/>
          <w:sz w:val="21"/>
          <w:szCs w:val="21"/>
          <w:highlight w:val="none"/>
          <w:lang w:val="en-US" w:eastAsia="zh-CN"/>
        </w:rPr>
        <w:t>编制并</w:t>
      </w:r>
      <w:r>
        <w:rPr>
          <w:rFonts w:hint="eastAsia" w:ascii="宋体" w:hAnsi="宋体" w:eastAsia="宋体" w:cs="宋体"/>
          <w:bCs/>
          <w:color w:val="auto"/>
          <w:sz w:val="21"/>
          <w:szCs w:val="21"/>
          <w:highlight w:val="none"/>
        </w:rPr>
        <w:t>报送商品信息表</w:t>
      </w:r>
      <w:r>
        <w:rPr>
          <w:rFonts w:hint="eastAsia" w:ascii="宋体" w:hAnsi="宋体" w:cs="宋体"/>
          <w:bCs/>
          <w:color w:val="auto"/>
          <w:sz w:val="21"/>
          <w:szCs w:val="21"/>
          <w:highlight w:val="none"/>
          <w:lang w:eastAsia="zh-CN"/>
        </w:rPr>
        <w:t>（商品信息表需包括步步高、</w:t>
      </w:r>
      <w:r>
        <w:rPr>
          <w:rFonts w:hint="eastAsia" w:ascii="宋体" w:hAnsi="宋体" w:cs="宋体"/>
          <w:bCs/>
          <w:color w:val="auto"/>
          <w:sz w:val="21"/>
          <w:szCs w:val="21"/>
          <w:highlight w:val="none"/>
          <w:lang w:val="en-US" w:eastAsia="zh-CN"/>
        </w:rPr>
        <w:t>沃尔玛</w:t>
      </w:r>
      <w:r>
        <w:rPr>
          <w:rFonts w:hint="eastAsia" w:ascii="宋体" w:hAnsi="宋体" w:cs="宋体"/>
          <w:bCs/>
          <w:color w:val="auto"/>
          <w:sz w:val="21"/>
          <w:szCs w:val="21"/>
          <w:highlight w:val="none"/>
          <w:lang w:eastAsia="zh-CN"/>
        </w:rPr>
        <w:t>、大润发三家超市的</w:t>
      </w:r>
      <w:r>
        <w:rPr>
          <w:rFonts w:hint="eastAsia" w:ascii="宋体" w:hAnsi="宋体" w:cs="宋体"/>
          <w:bCs/>
          <w:color w:val="auto"/>
          <w:sz w:val="21"/>
          <w:szCs w:val="21"/>
          <w:highlight w:val="none"/>
          <w:lang w:val="en-US" w:eastAsia="zh-CN"/>
        </w:rPr>
        <w:t>常规零售价以供甲方</w:t>
      </w:r>
      <w:r>
        <w:rPr>
          <w:rFonts w:hint="eastAsia" w:ascii="宋体" w:hAnsi="宋体" w:cs="宋体"/>
          <w:bCs/>
          <w:color w:val="auto"/>
          <w:sz w:val="21"/>
          <w:szCs w:val="21"/>
          <w:highlight w:val="none"/>
          <w:lang w:eastAsia="zh-CN"/>
        </w:rPr>
        <w:t>参考、核价）</w:t>
      </w:r>
      <w:r>
        <w:rPr>
          <w:rFonts w:hint="eastAsia" w:ascii="宋体" w:hAnsi="宋体" w:eastAsia="宋体" w:cs="宋体"/>
          <w:bCs/>
          <w:color w:val="auto"/>
          <w:sz w:val="21"/>
          <w:szCs w:val="21"/>
          <w:highlight w:val="none"/>
        </w:rPr>
        <w:t>至</w:t>
      </w:r>
      <w:r>
        <w:rPr>
          <w:rFonts w:hint="eastAsia" w:ascii="宋体" w:hAnsi="宋体" w:cs="宋体"/>
          <w:bCs/>
          <w:color w:val="auto"/>
          <w:sz w:val="21"/>
          <w:szCs w:val="21"/>
          <w:highlight w:val="none"/>
          <w:lang w:val="en-US" w:eastAsia="zh-CN"/>
        </w:rPr>
        <w:t>甲方业务主管部门备案</w:t>
      </w:r>
      <w:r>
        <w:rPr>
          <w:rFonts w:hint="eastAsia" w:ascii="宋体" w:hAnsi="宋体" w:eastAsia="宋体" w:cs="宋体"/>
          <w:bCs/>
          <w:color w:val="auto"/>
          <w:sz w:val="21"/>
          <w:szCs w:val="21"/>
          <w:highlight w:val="none"/>
        </w:rPr>
        <w:t>。</w:t>
      </w:r>
    </w:p>
    <w:p w14:paraId="099E542A">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lang w:eastAsia="zh-CN"/>
        </w:rPr>
      </w:pPr>
      <w:r>
        <w:rPr>
          <w:rFonts w:hint="eastAsia" w:ascii="宋体" w:hAnsi="宋体" w:eastAsia="宋体" w:cs="宋体"/>
          <w:bCs/>
          <w:color w:val="auto"/>
          <w:kern w:val="2"/>
          <w:sz w:val="21"/>
          <w:szCs w:val="21"/>
          <w:highlight w:val="none"/>
          <w:lang w:val="en-US" w:eastAsia="zh-CN" w:bidi="ar-SA"/>
        </w:rPr>
        <w:t>（</w:t>
      </w:r>
      <w:r>
        <w:rPr>
          <w:rFonts w:hint="eastAsia" w:ascii="宋体" w:hAnsi="宋体" w:cs="宋体"/>
          <w:bCs/>
          <w:color w:val="auto"/>
          <w:kern w:val="2"/>
          <w:sz w:val="21"/>
          <w:szCs w:val="21"/>
          <w:highlight w:val="none"/>
          <w:lang w:val="en-US" w:eastAsia="zh-CN" w:bidi="ar-SA"/>
        </w:rPr>
        <w:t>二十三</w:t>
      </w:r>
      <w:r>
        <w:rPr>
          <w:rFonts w:hint="eastAsia" w:ascii="宋体" w:hAnsi="宋体" w:eastAsia="宋体" w:cs="宋体"/>
          <w:bCs/>
          <w:color w:val="auto"/>
          <w:kern w:val="2"/>
          <w:sz w:val="21"/>
          <w:szCs w:val="21"/>
          <w:highlight w:val="none"/>
          <w:lang w:val="en-US" w:eastAsia="zh-CN" w:bidi="ar-SA"/>
        </w:rPr>
        <w:t>）</w:t>
      </w:r>
      <w:r>
        <w:rPr>
          <w:rFonts w:hint="eastAsia" w:ascii="宋体" w:hAnsi="宋体" w:eastAsia="宋体" w:cs="宋体"/>
          <w:bCs/>
          <w:color w:val="auto"/>
          <w:szCs w:val="21"/>
          <w:highlight w:val="none"/>
          <w:lang w:val="en-US" w:eastAsia="zh-CN"/>
        </w:rPr>
        <w:t>出现以下情况甲方有权解除合同，</w:t>
      </w:r>
      <w:r>
        <w:rPr>
          <w:rFonts w:hint="eastAsia" w:ascii="宋体" w:hAnsi="宋体" w:eastAsia="宋体" w:cs="宋体"/>
          <w:color w:val="auto"/>
          <w:kern w:val="0"/>
          <w:szCs w:val="21"/>
          <w:highlight w:val="none"/>
        </w:rPr>
        <w:t>乙方必须完全承担经济责任与法律责任</w:t>
      </w:r>
      <w:r>
        <w:rPr>
          <w:rFonts w:hint="eastAsia" w:ascii="宋体" w:hAnsi="宋体" w:eastAsia="宋体" w:cs="宋体"/>
          <w:color w:val="auto"/>
          <w:kern w:val="0"/>
          <w:szCs w:val="21"/>
          <w:highlight w:val="none"/>
          <w:lang w:eastAsia="zh-CN"/>
        </w:rPr>
        <w:t>：</w:t>
      </w:r>
    </w:p>
    <w:p w14:paraId="3E45F3CE">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1.违反《食品安全法》造成严重后果的；或因乙方食材原因出现食品安全事故。</w:t>
      </w:r>
    </w:p>
    <w:p w14:paraId="4CC3D32C">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2.未经甲方同意，擅自委托其它第三方单位或人员代为履行合同，将合同项目转包或分包的。</w:t>
      </w:r>
    </w:p>
    <w:p w14:paraId="3A50A9A4">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3.未经甲方同意，擅自中断或停止提供配送服务的。</w:t>
      </w:r>
    </w:p>
    <w:p w14:paraId="4A2EA2BB">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4.因乙方管理不善，给甲方造成重大经济损失或造成恶劣的社会声誉影响的。</w:t>
      </w:r>
    </w:p>
    <w:p w14:paraId="38DAAE50">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5.乙方未按照双方的约定提供送货服务、送货质量不符合甲方需求、送货时间延误等影响甲方正常开餐的情形，服务期内累计超过3次的。</w:t>
      </w:r>
    </w:p>
    <w:p w14:paraId="5E7F39B0">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6.如出现特殊情况难以正常供货、货物品种达不到甲方需求的，乙方应针对此类情况制定应急预案，以满足甲方需求；实际履约中，乙方出现不当应急行为。</w:t>
      </w:r>
    </w:p>
    <w:p w14:paraId="13B84ECC">
      <w:pPr>
        <w:keepNext w:val="0"/>
        <w:keepLines w:val="0"/>
        <w:pageBreakBefore w:val="0"/>
        <w:widowControl w:val="0"/>
        <w:kinsoku/>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宋体"/>
          <w:b/>
          <w:bCs/>
          <w:sz w:val="21"/>
          <w:szCs w:val="21"/>
          <w:highlight w:val="none"/>
          <w:lang w:val="en-US" w:eastAsia="zh-CN"/>
        </w:rPr>
      </w:pPr>
      <w:r>
        <w:rPr>
          <w:rFonts w:hint="eastAsia" w:ascii="微软雅黑" w:hAnsi="微软雅黑" w:eastAsia="微软雅黑" w:cs="微软雅黑"/>
          <w:color w:val="auto"/>
          <w:sz w:val="21"/>
          <w:szCs w:val="21"/>
          <w:highlight w:val="none"/>
          <w:lang w:val="en-US" w:eastAsia="zh-CN"/>
        </w:rPr>
        <w:t>★</w:t>
      </w:r>
      <w:r>
        <w:rPr>
          <w:rFonts w:hint="eastAsia" w:ascii="宋体" w:hAnsi="宋体" w:eastAsia="宋体" w:cs="宋体"/>
          <w:b/>
          <w:bCs/>
          <w:sz w:val="21"/>
          <w:szCs w:val="21"/>
          <w:highlight w:val="none"/>
          <w:lang w:val="en-US" w:eastAsia="zh-CN"/>
        </w:rPr>
        <w:t>十、质量瑕疵的补救措施和索赔</w:t>
      </w:r>
    </w:p>
    <w:p w14:paraId="0BA46D84">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kern w:val="2"/>
          <w:sz w:val="21"/>
          <w:szCs w:val="21"/>
          <w:highlight w:val="none"/>
          <w:lang w:val="en-US" w:eastAsia="zh-CN" w:bidi="ar-SA"/>
        </w:rPr>
        <w:t>（一）</w:t>
      </w:r>
      <w:r>
        <w:rPr>
          <w:rFonts w:hint="eastAsia" w:ascii="宋体" w:hAnsi="宋体" w:eastAsia="宋体" w:cs="宋体"/>
          <w:bCs/>
          <w:sz w:val="21"/>
          <w:szCs w:val="21"/>
          <w:highlight w:val="none"/>
        </w:rPr>
        <w:t>如果乙方提供的产品不符合质量标准或存在产品质量缺陷，而甲方在用户需求书“</w:t>
      </w:r>
      <w:r>
        <w:rPr>
          <w:rFonts w:hint="eastAsia" w:ascii="宋体" w:hAnsi="宋体" w:eastAsia="宋体" w:cs="宋体"/>
          <w:bCs/>
          <w:sz w:val="21"/>
          <w:szCs w:val="21"/>
          <w:highlight w:val="none"/>
          <w:lang w:val="en-US" w:eastAsia="zh-CN"/>
        </w:rPr>
        <w:t>六</w:t>
      </w:r>
      <w:r>
        <w:rPr>
          <w:rFonts w:hint="eastAsia" w:ascii="宋体" w:hAnsi="宋体" w:eastAsia="宋体" w:cs="宋体"/>
          <w:bCs/>
          <w:sz w:val="21"/>
          <w:szCs w:val="21"/>
          <w:highlight w:val="none"/>
        </w:rPr>
        <w:t>、质量要求”、“</w:t>
      </w:r>
      <w:r>
        <w:rPr>
          <w:rFonts w:hint="eastAsia" w:ascii="宋体" w:hAnsi="宋体" w:eastAsia="宋体" w:cs="宋体"/>
          <w:bCs/>
          <w:sz w:val="21"/>
          <w:szCs w:val="21"/>
          <w:highlight w:val="none"/>
          <w:lang w:val="en-US" w:eastAsia="zh-CN"/>
        </w:rPr>
        <w:t>八</w:t>
      </w:r>
      <w:r>
        <w:rPr>
          <w:rFonts w:hint="eastAsia" w:ascii="宋体" w:hAnsi="宋体" w:eastAsia="宋体" w:cs="宋体"/>
          <w:bCs/>
          <w:sz w:val="21"/>
          <w:szCs w:val="21"/>
          <w:highlight w:val="none"/>
        </w:rPr>
        <w:t>、验收标准”或其他条款规定的检验、验收和质量保证期内，根据法定质量检测部门出具的检验证书向乙方提出了索赔，乙方应按照甲方同意的下列一种或几种方式</w:t>
      </w:r>
      <w:r>
        <w:rPr>
          <w:rFonts w:hint="eastAsia" w:ascii="宋体" w:hAnsi="宋体" w:eastAsia="宋体" w:cs="宋体"/>
          <w:bCs/>
          <w:sz w:val="21"/>
          <w:szCs w:val="21"/>
          <w:highlight w:val="none"/>
          <w:lang w:val="en-US" w:eastAsia="zh-CN"/>
        </w:rPr>
        <w:t>综合进行</w:t>
      </w:r>
      <w:r>
        <w:rPr>
          <w:rFonts w:hint="eastAsia" w:ascii="宋体" w:hAnsi="宋体" w:eastAsia="宋体" w:cs="宋体"/>
          <w:bCs/>
          <w:sz w:val="21"/>
          <w:szCs w:val="21"/>
          <w:highlight w:val="none"/>
        </w:rPr>
        <w:t>解决索赔事宜：</w:t>
      </w:r>
    </w:p>
    <w:p w14:paraId="744E910E">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kern w:val="2"/>
          <w:sz w:val="21"/>
          <w:szCs w:val="21"/>
          <w:highlight w:val="none"/>
          <w:lang w:val="en-US" w:eastAsia="zh-CN" w:bidi="ar-SA"/>
        </w:rPr>
        <w:t>1.</w:t>
      </w:r>
      <w:r>
        <w:rPr>
          <w:rFonts w:hint="eastAsia" w:ascii="宋体" w:hAnsi="宋体" w:eastAsia="宋体" w:cs="宋体"/>
          <w:bCs/>
          <w:sz w:val="21"/>
          <w:szCs w:val="21"/>
          <w:highlight w:val="none"/>
        </w:rPr>
        <w:t>乙方同意退货并将货款退还给甲方，由此发生的一切费用和损失由乙方承担（</w:t>
      </w:r>
      <w:r>
        <w:rPr>
          <w:rFonts w:hint="eastAsia" w:ascii="宋体" w:hAnsi="宋体" w:eastAsia="宋体" w:cs="宋体"/>
          <w:kern w:val="0"/>
          <w:sz w:val="21"/>
          <w:szCs w:val="21"/>
          <w:highlight w:val="none"/>
        </w:rPr>
        <w:t>包括但不限于：相应的运输、装卸、调换或退换货费用，恢复、治疗（医疗）或护理（丧葬）等费用，诉讼费用、律师代理费用、鉴定费用、保全等费用，以及消除影响、恢复企业形象和社会形象等相关费用</w:t>
      </w:r>
      <w:r>
        <w:rPr>
          <w:rFonts w:hint="eastAsia" w:ascii="宋体" w:hAnsi="宋体" w:eastAsia="宋体" w:cs="宋体"/>
          <w:bCs/>
          <w:sz w:val="21"/>
          <w:szCs w:val="21"/>
          <w:highlight w:val="none"/>
        </w:rPr>
        <w:t>）。</w:t>
      </w:r>
    </w:p>
    <w:p w14:paraId="7147CF85">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kern w:val="2"/>
          <w:sz w:val="21"/>
          <w:szCs w:val="21"/>
          <w:highlight w:val="none"/>
          <w:lang w:val="en-US" w:eastAsia="zh-CN" w:bidi="ar-SA"/>
        </w:rPr>
        <w:t>2.</w:t>
      </w:r>
      <w:r>
        <w:rPr>
          <w:rFonts w:hint="eastAsia" w:ascii="宋体" w:hAnsi="宋体" w:eastAsia="宋体" w:cs="宋体"/>
          <w:bCs/>
          <w:sz w:val="21"/>
          <w:szCs w:val="21"/>
          <w:highlight w:val="none"/>
        </w:rPr>
        <w:t>根据货物的质量状况以及甲方所遭受的损失，经过甲乙双方商定降低货物的价格。</w:t>
      </w:r>
    </w:p>
    <w:p w14:paraId="6B6417B2">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kern w:val="2"/>
          <w:sz w:val="21"/>
          <w:szCs w:val="21"/>
          <w:highlight w:val="none"/>
          <w:lang w:val="en-US" w:eastAsia="zh-CN" w:bidi="ar-SA"/>
        </w:rPr>
        <w:t>3.</w:t>
      </w:r>
      <w:r>
        <w:rPr>
          <w:rFonts w:hint="eastAsia" w:ascii="宋体" w:hAnsi="宋体" w:eastAsia="宋体" w:cs="宋体"/>
          <w:bCs/>
          <w:sz w:val="21"/>
          <w:szCs w:val="21"/>
          <w:highlight w:val="none"/>
        </w:rPr>
        <w:t>乙方应在接到甲方通知后七日内负责采用符合合同规定的规格、质量及满足甲方需求的同类产品进行更换，其费用由乙方负担。</w:t>
      </w:r>
    </w:p>
    <w:p w14:paraId="3682E9DC">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宋体"/>
          <w:bCs/>
          <w:sz w:val="21"/>
          <w:szCs w:val="21"/>
          <w:highlight w:val="none"/>
          <w:lang w:eastAsia="zh-CN"/>
        </w:rPr>
      </w:pPr>
      <w:r>
        <w:rPr>
          <w:rFonts w:hint="eastAsia" w:ascii="宋体" w:hAnsi="宋体" w:eastAsia="宋体" w:cs="宋体"/>
          <w:bCs/>
          <w:kern w:val="2"/>
          <w:sz w:val="21"/>
          <w:szCs w:val="21"/>
          <w:highlight w:val="none"/>
          <w:lang w:val="en-US" w:eastAsia="zh-CN" w:bidi="ar-SA"/>
        </w:rPr>
        <w:t>（二）</w:t>
      </w:r>
      <w:r>
        <w:rPr>
          <w:rFonts w:hint="eastAsia" w:ascii="宋体" w:hAnsi="宋体" w:eastAsia="宋体" w:cs="宋体"/>
          <w:bCs/>
          <w:sz w:val="21"/>
          <w:szCs w:val="21"/>
          <w:highlight w:val="none"/>
        </w:rPr>
        <w:t>如果在甲方发出索赔通知后十日内乙方未作答复，上述索赔应视为已被乙方接受。如果乙方未能在甲方发出索赔通知后十日内或甲方同意延长的期限内，按照上述规定的任何一种方法采取补救措施，甲方有权从应付货款或履约保证金中扣除索赔金额，如不足以弥补甲方损失的，甲方有权进一步要求乙方赔偿</w:t>
      </w:r>
      <w:r>
        <w:rPr>
          <w:rFonts w:hint="eastAsia" w:ascii="宋体" w:hAnsi="宋体" w:cs="宋体"/>
          <w:bCs/>
          <w:sz w:val="21"/>
          <w:szCs w:val="21"/>
          <w:highlight w:val="none"/>
          <w:lang w:eastAsia="zh-CN"/>
        </w:rPr>
        <w:t>。</w:t>
      </w:r>
    </w:p>
    <w:p w14:paraId="719DC955">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kern w:val="2"/>
          <w:sz w:val="21"/>
          <w:szCs w:val="21"/>
          <w:highlight w:val="none"/>
          <w:lang w:val="en-US" w:eastAsia="zh-CN" w:bidi="ar-SA"/>
        </w:rPr>
        <w:t>（三）</w:t>
      </w:r>
      <w:r>
        <w:rPr>
          <w:rFonts w:hint="eastAsia" w:ascii="宋体" w:hAnsi="宋体" w:eastAsia="宋体" w:cs="宋体"/>
          <w:bCs/>
          <w:sz w:val="21"/>
          <w:szCs w:val="21"/>
          <w:highlight w:val="none"/>
        </w:rPr>
        <w:t>如因乙方提供的货物原因发生了食品/健康/卫生方面的安全或质量问题（包括不符合甲方要求或存在缺陷等），或因乙方货物引发食品/健康/卫生方面的安全或质量事故，乙方应承担全部责任，甲方有权索取赔偿，同时甲方有权终止合同。</w:t>
      </w:r>
    </w:p>
    <w:p w14:paraId="706D2919">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kern w:val="2"/>
          <w:sz w:val="21"/>
          <w:szCs w:val="21"/>
          <w:highlight w:val="none"/>
          <w:lang w:val="en-US" w:eastAsia="zh-CN" w:bidi="ar-SA"/>
        </w:rPr>
        <w:t>（四）</w:t>
      </w:r>
      <w:r>
        <w:rPr>
          <w:rFonts w:hint="eastAsia" w:ascii="宋体" w:hAnsi="宋体" w:eastAsia="宋体" w:cs="宋体"/>
          <w:bCs/>
          <w:sz w:val="21"/>
          <w:szCs w:val="21"/>
          <w:highlight w:val="none"/>
        </w:rPr>
        <w:t>如因乙方提供的货物原因被政府相关部门、甲方或第三方机构（组织）查出食品/健康/卫生方面的安全或质量问题（包括不符合甲方要求或存在缺陷等），或因乙方货物引发食品/健康/卫生方面的安全或质量事故，所产生的责任由供货商全权承担，甲方有权进一步追究责任。</w:t>
      </w:r>
    </w:p>
    <w:p w14:paraId="2D7B1B70">
      <w:pPr>
        <w:keepNext w:val="0"/>
        <w:keepLines w:val="0"/>
        <w:pageBreakBefore w:val="0"/>
        <w:widowControl w:val="0"/>
        <w:kinsoku/>
        <w:wordWrap/>
        <w:overflowPunct w:val="0"/>
        <w:topLinePunct w:val="0"/>
        <w:autoSpaceDE w:val="0"/>
        <w:autoSpaceDN w:val="0"/>
        <w:bidi w:val="0"/>
        <w:adjustRightInd w:val="0"/>
        <w:snapToGrid w:val="0"/>
        <w:spacing w:line="440" w:lineRule="exact"/>
        <w:ind w:left="0" w:firstLine="420" w:firstLineChars="200"/>
        <w:textAlignment w:val="auto"/>
        <w:rPr>
          <w:rFonts w:hint="eastAsia" w:ascii="宋体" w:hAnsi="宋体" w:eastAsia="宋体" w:cs="宋体"/>
          <w:b/>
          <w:bCs/>
          <w:sz w:val="21"/>
          <w:szCs w:val="21"/>
          <w:highlight w:val="none"/>
        </w:rPr>
      </w:pPr>
      <w:r>
        <w:rPr>
          <w:rFonts w:hint="eastAsia" w:ascii="微软雅黑" w:hAnsi="微软雅黑" w:eastAsia="微软雅黑" w:cs="微软雅黑"/>
          <w:color w:val="auto"/>
          <w:sz w:val="21"/>
          <w:szCs w:val="21"/>
          <w:highlight w:val="none"/>
          <w:lang w:val="en-US" w:eastAsia="zh-CN"/>
        </w:rPr>
        <w:t>★</w:t>
      </w:r>
      <w:r>
        <w:rPr>
          <w:rFonts w:hint="eastAsia" w:ascii="宋体" w:hAnsi="宋体" w:eastAsia="宋体" w:cs="宋体"/>
          <w:b/>
          <w:bCs/>
          <w:sz w:val="21"/>
          <w:szCs w:val="21"/>
          <w:highlight w:val="none"/>
          <w:lang w:val="en-US" w:eastAsia="zh-CN"/>
        </w:rPr>
        <w:t>十一、</w:t>
      </w:r>
      <w:r>
        <w:rPr>
          <w:rFonts w:hint="eastAsia" w:ascii="宋体" w:hAnsi="宋体" w:eastAsia="宋体" w:cs="宋体"/>
          <w:b/>
          <w:bCs/>
          <w:sz w:val="21"/>
          <w:szCs w:val="21"/>
          <w:highlight w:val="none"/>
        </w:rPr>
        <w:t>迟延交货的违约责任</w:t>
      </w:r>
    </w:p>
    <w:p w14:paraId="2C34C45E">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（一）</w:t>
      </w:r>
      <w:r>
        <w:rPr>
          <w:rFonts w:hint="eastAsia" w:ascii="宋体" w:hAnsi="宋体" w:eastAsia="宋体" w:cs="宋体"/>
          <w:bCs/>
          <w:sz w:val="21"/>
          <w:szCs w:val="21"/>
          <w:highlight w:val="none"/>
        </w:rPr>
        <w:t>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14:paraId="60868FBF">
      <w:pPr>
        <w:keepNext w:val="0"/>
        <w:keepLines w:val="0"/>
        <w:pageBreakBefore w:val="0"/>
        <w:widowControl w:val="0"/>
        <w:numPr>
          <w:ilvl w:val="0"/>
          <w:numId w:val="0"/>
        </w:numPr>
        <w:kinsoku/>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（二）</w:t>
      </w:r>
      <w:r>
        <w:rPr>
          <w:rFonts w:hint="eastAsia" w:ascii="宋体" w:hAnsi="宋体" w:eastAsia="宋体" w:cs="宋体"/>
          <w:bCs/>
          <w:sz w:val="21"/>
          <w:szCs w:val="21"/>
          <w:highlight w:val="none"/>
        </w:rPr>
        <w:t>除自然灾害等不可抗力因素情况外，如果乙方没有按照合同规定的时间交货和提供服务，甲方视情况有权考核。乙方未按照双方的约定（含合同约定、送货清单等双方各种方式的约定）提供送货服务、送货质量不符合甲方需求、送货时间延误等影响甲方正常开餐的情形，</w:t>
      </w:r>
      <w:r>
        <w:rPr>
          <w:rFonts w:hint="eastAsia" w:ascii="宋体" w:hAnsi="宋体" w:cs="宋体"/>
          <w:bCs/>
          <w:sz w:val="21"/>
          <w:szCs w:val="21"/>
          <w:highlight w:val="none"/>
          <w:lang w:val="en-US" w:eastAsia="zh-CN"/>
        </w:rPr>
        <w:t>合同期内</w:t>
      </w:r>
      <w:r>
        <w:rPr>
          <w:rFonts w:hint="eastAsia" w:ascii="宋体" w:hAnsi="宋体" w:eastAsia="宋体" w:cs="宋体"/>
          <w:bCs/>
          <w:sz w:val="21"/>
          <w:szCs w:val="21"/>
          <w:highlight w:val="none"/>
        </w:rPr>
        <w:t>累计超过3次的，甲方可提前十个工作日告知乙方终止合同，无需承担任何赔偿责任。</w:t>
      </w:r>
    </w:p>
    <w:p w14:paraId="3E24FC94">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line="440" w:lineRule="exact"/>
        <w:ind w:left="0" w:leftChars="0"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（三）</w:t>
      </w:r>
      <w:r>
        <w:rPr>
          <w:rFonts w:hint="eastAsia" w:ascii="宋体" w:hAnsi="宋体" w:eastAsia="宋体" w:cs="宋体"/>
          <w:bCs/>
          <w:sz w:val="21"/>
          <w:szCs w:val="21"/>
          <w:highlight w:val="none"/>
        </w:rPr>
        <w:t>如果乙方有迟延交货等情形的，甲方有权终止全部或部分合同，并依其认为适当的条件和方法有权从第三方购买货物，乙方应对购买类似货物所超出的部分费用负责。</w:t>
      </w:r>
      <w:r>
        <w:rPr>
          <w:rFonts w:hint="eastAsia" w:ascii="宋体" w:hAnsi="宋体" w:cs="宋体"/>
          <w:bCs/>
          <w:sz w:val="21"/>
          <w:szCs w:val="21"/>
          <w:highlight w:val="none"/>
          <w:lang w:val="en-US" w:eastAsia="zh-CN"/>
        </w:rPr>
        <w:t>同时</w:t>
      </w:r>
      <w:r>
        <w:rPr>
          <w:rFonts w:hint="eastAsia" w:ascii="宋体" w:hAnsi="宋体" w:eastAsia="宋体" w:cs="宋体"/>
          <w:bCs/>
          <w:sz w:val="21"/>
          <w:szCs w:val="21"/>
          <w:highlight w:val="none"/>
        </w:rPr>
        <w:t>乙方应继续执行合同中未终止的部分，并承担相应赔偿责任。</w:t>
      </w:r>
    </w:p>
    <w:p w14:paraId="212BE39B">
      <w:pPr>
        <w:rPr>
          <w:rFonts w:hAnsi="黑体"/>
          <w:color w:val="auto"/>
          <w:sz w:val="44"/>
          <w:szCs w:val="44"/>
          <w:highlight w:val="none"/>
        </w:rPr>
      </w:pPr>
      <w:r>
        <w:rPr>
          <w:rFonts w:hAnsi="黑体"/>
          <w:color w:val="auto"/>
          <w:sz w:val="44"/>
          <w:szCs w:val="44"/>
          <w:highlight w:val="none"/>
        </w:rPr>
        <w:br w:type="page"/>
      </w:r>
    </w:p>
    <w:p w14:paraId="3FEB15F2">
      <w:pPr>
        <w:pStyle w:val="3"/>
        <w:wordWrap w:val="0"/>
        <w:spacing w:line="360" w:lineRule="auto"/>
        <w:ind w:left="0" w:leftChars="0" w:right="0" w:rightChars="0" w:firstLine="0" w:firstLineChars="0"/>
        <w:jc w:val="center"/>
        <w:rPr>
          <w:rFonts w:hAnsi="黑体"/>
          <w:color w:val="auto"/>
          <w:sz w:val="44"/>
          <w:szCs w:val="44"/>
          <w:highlight w:val="none"/>
        </w:rPr>
      </w:pPr>
      <w:bookmarkStart w:id="55" w:name="_Toc6230"/>
      <w:r>
        <w:rPr>
          <w:rFonts w:hAnsi="黑体"/>
          <w:color w:val="auto"/>
          <w:sz w:val="44"/>
          <w:szCs w:val="44"/>
          <w:highlight w:val="none"/>
        </w:rPr>
        <w:t>第六章</w:t>
      </w:r>
      <w:r>
        <w:rPr>
          <w:rFonts w:hint="eastAsia" w:hAnsi="黑体"/>
          <w:color w:val="auto"/>
          <w:sz w:val="44"/>
          <w:szCs w:val="44"/>
          <w:highlight w:val="none"/>
        </w:rPr>
        <w:t xml:space="preserve"> </w:t>
      </w:r>
      <w:r>
        <w:rPr>
          <w:rFonts w:hAnsi="黑体"/>
          <w:color w:val="auto"/>
          <w:sz w:val="44"/>
          <w:szCs w:val="44"/>
          <w:highlight w:val="none"/>
        </w:rPr>
        <w:t>投标文件格式</w:t>
      </w:r>
      <w:bookmarkEnd w:id="51"/>
      <w:bookmarkEnd w:id="52"/>
      <w:bookmarkEnd w:id="55"/>
    </w:p>
    <w:p w14:paraId="3C4FAE39">
      <w:pPr>
        <w:jc w:val="center"/>
        <w:rPr>
          <w:rFonts w:hint="eastAsia" w:ascii="宋体" w:hAnsi="宋体" w:cs="宋体"/>
          <w:b/>
          <w:bCs/>
          <w:color w:val="auto"/>
          <w:sz w:val="72"/>
          <w:szCs w:val="72"/>
          <w:highlight w:val="none"/>
          <w:lang w:val="en-US" w:eastAsia="zh-CN"/>
        </w:rPr>
      </w:pPr>
    </w:p>
    <w:p w14:paraId="23902659">
      <w:pPr>
        <w:jc w:val="center"/>
        <w:outlineLvl w:val="0"/>
        <w:rPr>
          <w:rFonts w:hint="default" w:ascii="宋体" w:hAnsi="宋体" w:eastAsia="宋体" w:cs="宋体"/>
          <w:b/>
          <w:bCs/>
          <w:color w:val="auto"/>
          <w:sz w:val="72"/>
          <w:szCs w:val="72"/>
          <w:highlight w:val="none"/>
          <w:lang w:val="en-US" w:eastAsia="zh-CN"/>
        </w:rPr>
      </w:pPr>
      <w:bookmarkStart w:id="56" w:name="_Toc5407"/>
      <w:r>
        <w:rPr>
          <w:rFonts w:hint="eastAsia" w:ascii="宋体" w:hAnsi="宋体" w:cs="宋体"/>
          <w:b/>
          <w:bCs/>
          <w:color w:val="auto"/>
          <w:sz w:val="72"/>
          <w:szCs w:val="72"/>
          <w:highlight w:val="none"/>
          <w:lang w:val="en-US" w:eastAsia="zh-CN"/>
        </w:rPr>
        <w:t>一标段</w:t>
      </w:r>
      <w:bookmarkEnd w:id="56"/>
    </w:p>
    <w:p w14:paraId="4B0C4DFA">
      <w:pPr>
        <w:jc w:val="center"/>
        <w:rPr>
          <w:rFonts w:ascii="宋体" w:hAnsi="宋体" w:cs="宋体"/>
          <w:b/>
          <w:bCs/>
          <w:color w:val="auto"/>
          <w:sz w:val="84"/>
          <w:szCs w:val="84"/>
          <w:highlight w:val="none"/>
        </w:rPr>
      </w:pPr>
    </w:p>
    <w:p w14:paraId="3B7344C9">
      <w:pPr>
        <w:jc w:val="center"/>
        <w:rPr>
          <w:rFonts w:hAnsi="宋体"/>
          <w:color w:val="auto"/>
          <w:szCs w:val="24"/>
          <w:highlight w:val="none"/>
        </w:rPr>
      </w:pPr>
      <w:r>
        <w:rPr>
          <w:rFonts w:ascii="宋体" w:hAnsi="宋体" w:cs="宋体"/>
          <w:b/>
          <w:bCs/>
          <w:color w:val="auto"/>
          <w:sz w:val="84"/>
          <w:szCs w:val="84"/>
          <w:highlight w:val="none"/>
        </w:rPr>
        <w:t>公开招标投标文件</w:t>
      </w:r>
    </w:p>
    <w:p w14:paraId="3073E1AD">
      <w:pPr>
        <w:wordWrap w:val="0"/>
        <w:spacing w:line="360" w:lineRule="auto"/>
        <w:rPr>
          <w:color w:val="auto"/>
          <w:highlight w:val="none"/>
        </w:rPr>
      </w:pPr>
    </w:p>
    <w:p w14:paraId="3CDF6A37">
      <w:pPr>
        <w:wordWrap w:val="0"/>
        <w:spacing w:line="360" w:lineRule="auto"/>
        <w:rPr>
          <w:color w:val="auto"/>
          <w:highlight w:val="none"/>
        </w:rPr>
      </w:pPr>
    </w:p>
    <w:p w14:paraId="13CEE4C5">
      <w:pPr>
        <w:wordWrap w:val="0"/>
        <w:spacing w:line="360" w:lineRule="auto"/>
        <w:rPr>
          <w:color w:val="auto"/>
          <w:highlight w:val="none"/>
        </w:rPr>
      </w:pPr>
    </w:p>
    <w:p w14:paraId="5E26B17A">
      <w:pPr>
        <w:wordWrap w:val="0"/>
        <w:spacing w:line="360" w:lineRule="auto"/>
        <w:rPr>
          <w:color w:val="auto"/>
          <w:highlight w:val="none"/>
        </w:rPr>
      </w:pPr>
    </w:p>
    <w:p w14:paraId="26978154">
      <w:pPr>
        <w:wordWrap w:val="0"/>
        <w:spacing w:line="360" w:lineRule="auto"/>
        <w:rPr>
          <w:color w:val="auto"/>
          <w:highlight w:val="none"/>
        </w:rPr>
      </w:pPr>
    </w:p>
    <w:p w14:paraId="14C9A286">
      <w:pPr>
        <w:wordWrap w:val="0"/>
        <w:spacing w:line="360" w:lineRule="auto"/>
        <w:rPr>
          <w:color w:val="auto"/>
          <w:highlight w:val="none"/>
        </w:rPr>
      </w:pPr>
    </w:p>
    <w:p w14:paraId="422995D2">
      <w:pPr>
        <w:wordWrap w:val="0"/>
        <w:adjustRightInd w:val="0"/>
        <w:snapToGrid w:val="0"/>
        <w:spacing w:line="360" w:lineRule="auto"/>
        <w:ind w:firstLine="321" w:firstLineChars="100"/>
        <w:rPr>
          <w:rFonts w:hint="default" w:hAnsi="宋体" w:eastAsia="宋体" w:cs="宋体"/>
          <w:b/>
          <w:color w:val="auto"/>
          <w:sz w:val="32"/>
          <w:szCs w:val="32"/>
          <w:highlight w:val="none"/>
          <w:lang w:val="en-US" w:eastAsia="zh-CN"/>
        </w:rPr>
      </w:pPr>
      <w:r>
        <w:rPr>
          <w:rFonts w:hint="eastAsia" w:hAnsi="宋体" w:cs="宋体"/>
          <w:b/>
          <w:color w:val="auto"/>
          <w:sz w:val="32"/>
          <w:szCs w:val="32"/>
          <w:highlight w:val="none"/>
        </w:rPr>
        <w:t>项目名称：</w:t>
      </w:r>
      <w:r>
        <w:rPr>
          <w:rFonts w:hint="eastAsia" w:hAnsi="宋体" w:cs="宋体"/>
          <w:b w:val="0"/>
          <w:bCs/>
          <w:color w:val="auto"/>
          <w:sz w:val="32"/>
          <w:szCs w:val="32"/>
          <w:highlight w:val="none"/>
          <w:u w:val="single"/>
          <w:lang w:val="en-US" w:eastAsia="zh-CN"/>
        </w:rPr>
        <w:t xml:space="preserve">                                       </w:t>
      </w:r>
    </w:p>
    <w:p w14:paraId="3F3B5344">
      <w:pPr>
        <w:wordWrap w:val="0"/>
        <w:adjustRightInd w:val="0"/>
        <w:snapToGrid w:val="0"/>
        <w:spacing w:line="360" w:lineRule="auto"/>
        <w:ind w:firstLine="321" w:firstLineChars="100"/>
        <w:rPr>
          <w:rFonts w:hAnsi="宋体" w:cs="宋体"/>
          <w:color w:val="auto"/>
          <w:sz w:val="32"/>
          <w:szCs w:val="32"/>
          <w:highlight w:val="none"/>
        </w:rPr>
      </w:pPr>
      <w:r>
        <w:rPr>
          <w:rFonts w:hint="eastAsia" w:hAnsi="宋体" w:cs="宋体"/>
          <w:b/>
          <w:color w:val="auto"/>
          <w:sz w:val="32"/>
          <w:szCs w:val="32"/>
          <w:highlight w:val="none"/>
        </w:rPr>
        <w:t>招标编号：</w:t>
      </w:r>
      <w:r>
        <w:rPr>
          <w:rFonts w:hint="eastAsia" w:hAnsi="宋体" w:cs="宋体"/>
          <w:bCs/>
          <w:color w:val="auto"/>
          <w:sz w:val="32"/>
          <w:szCs w:val="32"/>
          <w:highlight w:val="none"/>
          <w:u w:val="single"/>
        </w:rPr>
        <w:t xml:space="preserve">                                       </w:t>
      </w:r>
      <w:r>
        <w:rPr>
          <w:rFonts w:hint="eastAsia" w:hAnsi="宋体" w:cs="宋体"/>
          <w:bCs/>
          <w:color w:val="auto"/>
          <w:sz w:val="32"/>
          <w:szCs w:val="32"/>
          <w:highlight w:val="none"/>
        </w:rPr>
        <w:t xml:space="preserve"> </w:t>
      </w:r>
    </w:p>
    <w:p w14:paraId="29CB7D48">
      <w:pPr>
        <w:wordWrap w:val="0"/>
        <w:adjustRightInd w:val="0"/>
        <w:snapToGrid w:val="0"/>
        <w:spacing w:line="360" w:lineRule="auto"/>
        <w:ind w:firstLine="321" w:firstLineChars="100"/>
        <w:rPr>
          <w:rFonts w:hAnsi="宋体" w:cs="宋体"/>
          <w:color w:val="auto"/>
          <w:sz w:val="32"/>
          <w:szCs w:val="32"/>
          <w:highlight w:val="none"/>
        </w:rPr>
      </w:pPr>
      <w:r>
        <w:rPr>
          <w:rFonts w:hint="eastAsia" w:hAnsi="宋体" w:cs="宋体"/>
          <w:b/>
          <w:color w:val="auto"/>
          <w:sz w:val="32"/>
          <w:szCs w:val="32"/>
          <w:highlight w:val="none"/>
        </w:rPr>
        <w:t>投 标 人（盖单位公章）：</w:t>
      </w:r>
      <w:r>
        <w:rPr>
          <w:rFonts w:hint="eastAsia" w:hAnsi="宋体" w:cs="宋体"/>
          <w:color w:val="auto"/>
          <w:sz w:val="32"/>
          <w:szCs w:val="32"/>
          <w:highlight w:val="none"/>
          <w:u w:val="single"/>
        </w:rPr>
        <w:t xml:space="preserve">          </w:t>
      </w:r>
      <w:r>
        <w:rPr>
          <w:rFonts w:hAnsi="宋体" w:cs="宋体"/>
          <w:color w:val="auto"/>
          <w:sz w:val="32"/>
          <w:szCs w:val="32"/>
          <w:highlight w:val="none"/>
          <w:u w:val="single"/>
        </w:rPr>
        <w:t xml:space="preserve">               </w:t>
      </w:r>
    </w:p>
    <w:p w14:paraId="71D433EC">
      <w:pPr>
        <w:wordWrap w:val="0"/>
        <w:spacing w:line="360" w:lineRule="auto"/>
        <w:ind w:firstLine="321" w:firstLineChars="100"/>
        <w:rPr>
          <w:rFonts w:hint="eastAsia"/>
          <w:b/>
          <w:color w:val="auto"/>
          <w:sz w:val="32"/>
          <w:szCs w:val="32"/>
          <w:highlight w:val="none"/>
        </w:rPr>
      </w:pPr>
      <w:r>
        <w:rPr>
          <w:rFonts w:hint="eastAsia"/>
          <w:b/>
          <w:color w:val="auto"/>
          <w:sz w:val="32"/>
          <w:szCs w:val="32"/>
          <w:highlight w:val="none"/>
        </w:rPr>
        <w:t xml:space="preserve">日    期： </w:t>
      </w:r>
      <w:r>
        <w:rPr>
          <w:rFonts w:hint="eastAsia"/>
          <w:color w:val="auto"/>
          <w:sz w:val="32"/>
          <w:szCs w:val="32"/>
          <w:highlight w:val="none"/>
          <w:u w:val="single"/>
        </w:rPr>
        <w:t xml:space="preserve">    </w:t>
      </w:r>
      <w:r>
        <w:rPr>
          <w:rFonts w:hint="eastAsia"/>
          <w:b/>
          <w:color w:val="auto"/>
          <w:sz w:val="32"/>
          <w:szCs w:val="32"/>
          <w:highlight w:val="none"/>
        </w:rPr>
        <w:t>年</w:t>
      </w:r>
      <w:r>
        <w:rPr>
          <w:rFonts w:hint="eastAsia"/>
          <w:color w:val="auto"/>
          <w:sz w:val="32"/>
          <w:szCs w:val="32"/>
          <w:highlight w:val="none"/>
          <w:u w:val="single"/>
        </w:rPr>
        <w:t xml:space="preserve">    </w:t>
      </w:r>
      <w:r>
        <w:rPr>
          <w:rFonts w:hint="eastAsia"/>
          <w:b/>
          <w:color w:val="auto"/>
          <w:sz w:val="32"/>
          <w:szCs w:val="32"/>
          <w:highlight w:val="none"/>
        </w:rPr>
        <w:t>月</w:t>
      </w:r>
      <w:r>
        <w:rPr>
          <w:rFonts w:hint="eastAsia"/>
          <w:color w:val="auto"/>
          <w:sz w:val="32"/>
          <w:szCs w:val="32"/>
          <w:highlight w:val="none"/>
          <w:u w:val="single"/>
        </w:rPr>
        <w:t xml:space="preserve">    </w:t>
      </w:r>
      <w:r>
        <w:rPr>
          <w:rFonts w:hint="eastAsia"/>
          <w:b/>
          <w:color w:val="auto"/>
          <w:sz w:val="32"/>
          <w:szCs w:val="32"/>
          <w:highlight w:val="none"/>
        </w:rPr>
        <w:t>日</w:t>
      </w:r>
    </w:p>
    <w:p w14:paraId="7AF89940">
      <w:pPr>
        <w:wordWrap w:val="0"/>
        <w:spacing w:line="360" w:lineRule="auto"/>
        <w:ind w:firstLine="321" w:firstLineChars="100"/>
        <w:rPr>
          <w:rFonts w:hint="eastAsia"/>
          <w:b/>
          <w:color w:val="auto"/>
          <w:sz w:val="32"/>
          <w:szCs w:val="32"/>
          <w:highlight w:val="none"/>
        </w:rPr>
      </w:pPr>
    </w:p>
    <w:p w14:paraId="3EDD11A2">
      <w:pPr>
        <w:wordWrap w:val="0"/>
        <w:spacing w:line="360" w:lineRule="auto"/>
        <w:ind w:firstLine="321" w:firstLineChars="100"/>
        <w:rPr>
          <w:rFonts w:hint="eastAsia"/>
          <w:b/>
          <w:color w:val="auto"/>
          <w:sz w:val="32"/>
          <w:szCs w:val="32"/>
          <w:highlight w:val="none"/>
        </w:rPr>
      </w:pPr>
    </w:p>
    <w:p w14:paraId="5BF235F6">
      <w:pPr>
        <w:wordWrap w:val="0"/>
        <w:spacing w:line="360" w:lineRule="auto"/>
        <w:ind w:firstLine="442" w:firstLineChars="100"/>
        <w:rPr>
          <w:rFonts w:hint="eastAsia"/>
          <w:b/>
          <w:bCs/>
          <w:color w:val="auto"/>
          <w:sz w:val="44"/>
          <w:szCs w:val="44"/>
          <w:highlight w:val="none"/>
        </w:rPr>
      </w:pPr>
    </w:p>
    <w:p w14:paraId="376E7535">
      <w:pPr>
        <w:widowControl/>
        <w:jc w:val="center"/>
        <w:rPr>
          <w:rFonts w:ascii="宋体" w:hAnsi="宋体"/>
          <w:b/>
          <w:color w:val="auto"/>
          <w:sz w:val="44"/>
          <w:szCs w:val="44"/>
          <w:highlight w:val="none"/>
        </w:rPr>
      </w:pPr>
      <w:r>
        <w:rPr>
          <w:rFonts w:ascii="宋体" w:hAnsi="宋体"/>
          <w:b/>
          <w:color w:val="auto"/>
          <w:sz w:val="44"/>
          <w:szCs w:val="44"/>
          <w:highlight w:val="none"/>
        </w:rPr>
        <w:br w:type="page"/>
      </w:r>
    </w:p>
    <w:p w14:paraId="5A3D5B44">
      <w:pPr>
        <w:widowControl/>
        <w:wordWrap w:val="0"/>
        <w:spacing w:line="360" w:lineRule="auto"/>
        <w:jc w:val="center"/>
        <w:rPr>
          <w:rFonts w:hAnsi="宋体" w:cs="宋体"/>
          <w:b/>
          <w:bCs/>
          <w:color w:val="auto"/>
          <w:sz w:val="32"/>
          <w:szCs w:val="32"/>
          <w:highlight w:val="none"/>
        </w:rPr>
      </w:pPr>
      <w:r>
        <w:rPr>
          <w:rFonts w:hint="eastAsia" w:ascii="宋体" w:hAnsi="宋体"/>
          <w:b/>
          <w:color w:val="auto"/>
          <w:sz w:val="44"/>
          <w:szCs w:val="44"/>
          <w:highlight w:val="none"/>
        </w:rPr>
        <w:t>目 录</w:t>
      </w:r>
    </w:p>
    <w:p w14:paraId="283D3640">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一、投标函</w:t>
      </w:r>
    </w:p>
    <w:p w14:paraId="207B3736">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二、开标一览表</w:t>
      </w:r>
    </w:p>
    <w:p w14:paraId="6353D0F5">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三、投标报价表</w:t>
      </w:r>
    </w:p>
    <w:p w14:paraId="11CB3477">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四、法定代表人身份证明</w:t>
      </w:r>
    </w:p>
    <w:p w14:paraId="3CCA1928">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五、授权委托书(如有）</w:t>
      </w:r>
    </w:p>
    <w:p w14:paraId="562C660F">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六、投标人具备投标资格的证明文件</w:t>
      </w:r>
    </w:p>
    <w:p w14:paraId="7B610446">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七、投标保证金</w:t>
      </w:r>
    </w:p>
    <w:p w14:paraId="14AAC61D">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八、投标人承诺函</w:t>
      </w:r>
    </w:p>
    <w:p w14:paraId="1FA2D565">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九、实质性条款（标注“★”符号）响应表</w:t>
      </w:r>
    </w:p>
    <w:p w14:paraId="3ADC2A39">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十、商务和技术偏差表</w:t>
      </w:r>
    </w:p>
    <w:p w14:paraId="152D9B0D">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ascii="Times New Roman" w:hAnsi="Times New Roman" w:eastAsia="宋体"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十</w:t>
      </w:r>
      <w:r>
        <w:rPr>
          <w:rFonts w:hint="eastAsia" w:ascii="Times New Roman" w:hAnsi="Times New Roman" w:eastAsia="宋体" w:cs="Times New Roman"/>
          <w:color w:val="auto"/>
          <w:kern w:val="2"/>
          <w:sz w:val="24"/>
          <w:szCs w:val="22"/>
          <w:highlight w:val="none"/>
          <w:lang w:val="en-US" w:eastAsia="zh-CN" w:bidi="ar-SA"/>
        </w:rPr>
        <w:t>一、投标人类似业绩</w:t>
      </w:r>
    </w:p>
    <w:p w14:paraId="08A04483">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default" w:ascii="Times New Roman" w:hAnsi="Times New Roman" w:eastAsia="宋体" w:cs="Times New Roman"/>
          <w:color w:val="auto"/>
          <w:kern w:val="2"/>
          <w:sz w:val="24"/>
          <w:szCs w:val="22"/>
          <w:highlight w:val="none"/>
          <w:lang w:val="en-US" w:eastAsia="zh-CN" w:bidi="ar-SA"/>
        </w:rPr>
      </w:pPr>
      <w:r>
        <w:rPr>
          <w:rFonts w:hint="eastAsia" w:ascii="Times New Roman" w:hAnsi="Times New Roman" w:eastAsia="宋体" w:cs="Times New Roman"/>
          <w:color w:val="auto"/>
          <w:kern w:val="2"/>
          <w:sz w:val="24"/>
          <w:szCs w:val="22"/>
          <w:highlight w:val="none"/>
          <w:lang w:val="en-US" w:eastAsia="zh-CN" w:bidi="ar-SA"/>
        </w:rPr>
        <w:t>十二、综合实力</w:t>
      </w:r>
    </w:p>
    <w:p w14:paraId="50420254">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ascii="Times New Roman" w:hAnsi="Times New Roman" w:eastAsia="宋体" w:cs="Times New Roman"/>
          <w:color w:val="auto"/>
          <w:kern w:val="2"/>
          <w:sz w:val="24"/>
          <w:szCs w:val="22"/>
          <w:highlight w:val="none"/>
          <w:lang w:val="en-US" w:eastAsia="zh-CN" w:bidi="ar-SA"/>
        </w:rPr>
      </w:pPr>
      <w:r>
        <w:rPr>
          <w:rFonts w:hint="eastAsia" w:ascii="Times New Roman" w:hAnsi="Times New Roman" w:eastAsia="宋体" w:cs="Times New Roman"/>
          <w:color w:val="auto"/>
          <w:kern w:val="2"/>
          <w:sz w:val="24"/>
          <w:szCs w:val="22"/>
          <w:highlight w:val="none"/>
          <w:lang w:val="en-US" w:eastAsia="zh-CN" w:bidi="ar-SA"/>
        </w:rPr>
        <w:t>十三、人员配置</w:t>
      </w:r>
    </w:p>
    <w:p w14:paraId="209A820D">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default" w:ascii="Times New Roman" w:hAnsi="Times New Roman" w:eastAsia="宋体" w:cs="Times New Roman"/>
          <w:color w:val="auto"/>
          <w:kern w:val="2"/>
          <w:sz w:val="24"/>
          <w:szCs w:val="22"/>
          <w:highlight w:val="none"/>
          <w:lang w:val="en-US" w:eastAsia="zh-CN" w:bidi="ar-SA"/>
        </w:rPr>
      </w:pPr>
      <w:r>
        <w:rPr>
          <w:rFonts w:hint="eastAsia" w:ascii="Times New Roman" w:hAnsi="Times New Roman" w:eastAsia="宋体" w:cs="Times New Roman"/>
          <w:color w:val="auto"/>
          <w:kern w:val="2"/>
          <w:sz w:val="24"/>
          <w:szCs w:val="22"/>
          <w:highlight w:val="none"/>
          <w:lang w:val="en-US" w:eastAsia="zh-CN" w:bidi="ar-SA"/>
        </w:rPr>
        <w:t>十四、投标人认为需提供的其他商务评审资料</w:t>
      </w:r>
    </w:p>
    <w:p w14:paraId="13F69BF2">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default" w:ascii="Times New Roman" w:hAnsi="Times New Roman" w:eastAsia="宋体" w:cs="Times New Roman"/>
          <w:color w:val="auto"/>
          <w:kern w:val="2"/>
          <w:sz w:val="24"/>
          <w:szCs w:val="22"/>
          <w:highlight w:val="none"/>
          <w:lang w:val="en-US" w:eastAsia="zh-CN" w:bidi="ar-SA"/>
        </w:rPr>
      </w:pPr>
      <w:r>
        <w:rPr>
          <w:rFonts w:hint="eastAsia" w:ascii="Times New Roman" w:hAnsi="Times New Roman" w:eastAsia="宋体" w:cs="Times New Roman"/>
          <w:color w:val="auto"/>
          <w:kern w:val="2"/>
          <w:sz w:val="24"/>
          <w:szCs w:val="22"/>
          <w:highlight w:val="none"/>
          <w:lang w:val="en-US" w:eastAsia="zh-CN" w:bidi="ar-SA"/>
        </w:rPr>
        <w:t>十五、项目实施方案</w:t>
      </w:r>
    </w:p>
    <w:p w14:paraId="7CDC5495">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ascii="Times New Roman" w:hAnsi="Times New Roman" w:eastAsia="宋体" w:cs="Times New Roman"/>
          <w:color w:val="auto"/>
          <w:kern w:val="2"/>
          <w:sz w:val="24"/>
          <w:szCs w:val="22"/>
          <w:highlight w:val="none"/>
          <w:lang w:val="en-US" w:eastAsia="zh-CN" w:bidi="ar-SA"/>
        </w:rPr>
      </w:pPr>
      <w:r>
        <w:rPr>
          <w:rFonts w:hint="eastAsia" w:ascii="Times New Roman" w:hAnsi="Times New Roman" w:eastAsia="宋体" w:cs="Times New Roman"/>
          <w:color w:val="auto"/>
          <w:kern w:val="2"/>
          <w:sz w:val="24"/>
          <w:szCs w:val="22"/>
          <w:highlight w:val="none"/>
          <w:lang w:val="en-US" w:eastAsia="zh-CN" w:bidi="ar-SA"/>
        </w:rPr>
        <w:t>十六、投标人认为需提供的其他技术评审资料</w:t>
      </w:r>
    </w:p>
    <w:p w14:paraId="1BB4837A">
      <w:pPr>
        <w:spacing w:line="360" w:lineRule="auto"/>
        <w:jc w:val="center"/>
        <w:outlineLvl w:val="1"/>
        <w:rPr>
          <w:rFonts w:ascii="Calibri" w:cs="宋体"/>
          <w:b/>
          <w:color w:val="auto"/>
          <w:sz w:val="28"/>
          <w:szCs w:val="28"/>
          <w:highlight w:val="none"/>
        </w:rPr>
      </w:pPr>
      <w:r>
        <w:rPr>
          <w:rFonts w:ascii="Calibri" w:cs="宋体"/>
          <w:color w:val="auto"/>
          <w:szCs w:val="28"/>
          <w:highlight w:val="none"/>
        </w:rPr>
        <w:br w:type="page"/>
      </w:r>
      <w:r>
        <w:rPr>
          <w:rFonts w:ascii="Calibri" w:cs="宋体"/>
          <w:b/>
          <w:color w:val="auto"/>
          <w:sz w:val="28"/>
          <w:szCs w:val="28"/>
          <w:highlight w:val="none"/>
        </w:rPr>
        <w:t>一、投标函</w:t>
      </w:r>
    </w:p>
    <w:p w14:paraId="00B1906F">
      <w:pPr>
        <w:pStyle w:val="2"/>
        <w:wordWrap w:val="0"/>
        <w:spacing w:line="360" w:lineRule="auto"/>
        <w:rPr>
          <w:rFonts w:ascii="宋体" w:hAnsi="宋体"/>
          <w:b/>
          <w:color w:val="auto"/>
          <w:szCs w:val="21"/>
          <w:highlight w:val="none"/>
        </w:rPr>
      </w:pPr>
    </w:p>
    <w:p w14:paraId="23DAC067">
      <w:pPr>
        <w:pStyle w:val="2"/>
        <w:tabs>
          <w:tab w:val="left" w:pos="1991"/>
        </w:tabs>
        <w:wordWrap w:val="0"/>
        <w:spacing w:after="0"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（招标人名称）：</w:t>
      </w:r>
    </w:p>
    <w:p w14:paraId="22FA32B8">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1、我方已仔细研究了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（项目名称）</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ab/>
      </w:r>
      <w:r>
        <w:rPr>
          <w:rFonts w:hint="eastAsia" w:ascii="宋体" w:hAnsi="宋体" w:cs="宋体"/>
          <w:color w:val="auto"/>
          <w:szCs w:val="21"/>
          <w:highlight w:val="none"/>
          <w:lang w:val="en-US" w:eastAsia="zh-CN"/>
        </w:rPr>
        <w:t>标段</w:t>
      </w:r>
      <w:r>
        <w:rPr>
          <w:rFonts w:hint="eastAsia" w:ascii="宋体" w:hAnsi="宋体" w:cs="宋体"/>
          <w:color w:val="auto"/>
          <w:szCs w:val="21"/>
          <w:highlight w:val="none"/>
        </w:rPr>
        <w:t>招标文件的全部内容，愿意以人民币（大写）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）的投标总报价提供本项目招标文件要求的所有内容及要求，并按合同约定履行义务。</w:t>
      </w:r>
    </w:p>
    <w:p w14:paraId="67D46B17">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2、我方的投标文件包括下列内容：</w:t>
      </w:r>
    </w:p>
    <w:p w14:paraId="604D943F">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hAnsi="宋体" w:cs="Times New Roman"/>
          <w:color w:val="auto"/>
          <w:kern w:val="2"/>
          <w:sz w:val="21"/>
          <w:szCs w:val="24"/>
          <w:highlight w:val="none"/>
          <w:lang w:val="en-US" w:eastAsia="zh-CN" w:bidi="ar-SA"/>
        </w:rPr>
      </w:pPr>
      <w:r>
        <w:rPr>
          <w:rFonts w:hint="eastAsia" w:hAnsi="宋体" w:cs="Times New Roman"/>
          <w:color w:val="auto"/>
          <w:kern w:val="2"/>
          <w:sz w:val="21"/>
          <w:szCs w:val="24"/>
          <w:highlight w:val="none"/>
          <w:lang w:val="en-US" w:eastAsia="zh-CN" w:bidi="ar-SA"/>
        </w:rPr>
        <w:t>一、投标函</w:t>
      </w:r>
    </w:p>
    <w:p w14:paraId="447691C1">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hAnsi="宋体" w:cs="Times New Roman"/>
          <w:color w:val="auto"/>
          <w:kern w:val="2"/>
          <w:sz w:val="21"/>
          <w:szCs w:val="24"/>
          <w:highlight w:val="none"/>
          <w:lang w:val="en-US" w:eastAsia="zh-CN" w:bidi="ar-SA"/>
        </w:rPr>
      </w:pPr>
      <w:r>
        <w:rPr>
          <w:rFonts w:hint="eastAsia" w:hAnsi="宋体" w:cs="Times New Roman"/>
          <w:color w:val="auto"/>
          <w:kern w:val="2"/>
          <w:sz w:val="21"/>
          <w:szCs w:val="24"/>
          <w:highlight w:val="none"/>
          <w:lang w:val="en-US" w:eastAsia="zh-CN" w:bidi="ar-SA"/>
        </w:rPr>
        <w:t>二、开标一览表</w:t>
      </w:r>
    </w:p>
    <w:p w14:paraId="05782A39">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hAnsi="宋体" w:cs="Times New Roman"/>
          <w:color w:val="auto"/>
          <w:kern w:val="2"/>
          <w:sz w:val="21"/>
          <w:szCs w:val="24"/>
          <w:highlight w:val="none"/>
          <w:lang w:val="en-US" w:eastAsia="zh-CN" w:bidi="ar-SA"/>
        </w:rPr>
      </w:pPr>
      <w:r>
        <w:rPr>
          <w:rFonts w:hint="eastAsia" w:hAnsi="宋体" w:cs="Times New Roman"/>
          <w:color w:val="auto"/>
          <w:kern w:val="2"/>
          <w:sz w:val="21"/>
          <w:szCs w:val="24"/>
          <w:highlight w:val="none"/>
          <w:lang w:val="en-US" w:eastAsia="zh-CN" w:bidi="ar-SA"/>
        </w:rPr>
        <w:t>三、投标报价表</w:t>
      </w:r>
    </w:p>
    <w:p w14:paraId="6A8B0553">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hAnsi="宋体" w:cs="Times New Roman"/>
          <w:color w:val="auto"/>
          <w:kern w:val="2"/>
          <w:sz w:val="21"/>
          <w:szCs w:val="24"/>
          <w:highlight w:val="none"/>
          <w:lang w:val="en-US" w:eastAsia="zh-CN" w:bidi="ar-SA"/>
        </w:rPr>
      </w:pPr>
      <w:r>
        <w:rPr>
          <w:rFonts w:hint="eastAsia" w:hAnsi="宋体" w:cs="Times New Roman"/>
          <w:color w:val="auto"/>
          <w:kern w:val="2"/>
          <w:sz w:val="21"/>
          <w:szCs w:val="24"/>
          <w:highlight w:val="none"/>
          <w:lang w:val="en-US" w:eastAsia="zh-CN" w:bidi="ar-SA"/>
        </w:rPr>
        <w:t>四、法定代表人身份证明</w:t>
      </w:r>
    </w:p>
    <w:p w14:paraId="6AACF59B">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hAnsi="宋体" w:cs="Times New Roman"/>
          <w:color w:val="auto"/>
          <w:kern w:val="2"/>
          <w:sz w:val="21"/>
          <w:szCs w:val="24"/>
          <w:highlight w:val="none"/>
          <w:lang w:val="en-US" w:eastAsia="zh-CN" w:bidi="ar-SA"/>
        </w:rPr>
      </w:pPr>
      <w:r>
        <w:rPr>
          <w:rFonts w:hint="eastAsia" w:hAnsi="宋体" w:cs="Times New Roman"/>
          <w:color w:val="auto"/>
          <w:kern w:val="2"/>
          <w:sz w:val="21"/>
          <w:szCs w:val="24"/>
          <w:highlight w:val="none"/>
          <w:lang w:val="en-US" w:eastAsia="zh-CN" w:bidi="ar-SA"/>
        </w:rPr>
        <w:t>五、授权委托书(如有）</w:t>
      </w:r>
    </w:p>
    <w:p w14:paraId="27C9E3D3">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hAnsi="宋体" w:cs="Times New Roman"/>
          <w:color w:val="auto"/>
          <w:kern w:val="2"/>
          <w:sz w:val="21"/>
          <w:szCs w:val="24"/>
          <w:highlight w:val="none"/>
          <w:lang w:val="en-US" w:eastAsia="zh-CN" w:bidi="ar-SA"/>
        </w:rPr>
      </w:pPr>
      <w:r>
        <w:rPr>
          <w:rFonts w:hint="eastAsia" w:hAnsi="宋体" w:cs="Times New Roman"/>
          <w:color w:val="auto"/>
          <w:kern w:val="2"/>
          <w:sz w:val="21"/>
          <w:szCs w:val="24"/>
          <w:highlight w:val="none"/>
          <w:lang w:val="en-US" w:eastAsia="zh-CN" w:bidi="ar-SA"/>
        </w:rPr>
        <w:t>六、投标人具备投标资格的证明文件</w:t>
      </w:r>
    </w:p>
    <w:p w14:paraId="1BE0C7E0">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hAnsi="宋体" w:cs="Times New Roman"/>
          <w:color w:val="auto"/>
          <w:kern w:val="2"/>
          <w:sz w:val="21"/>
          <w:szCs w:val="24"/>
          <w:highlight w:val="none"/>
          <w:lang w:val="en-US" w:eastAsia="zh-CN" w:bidi="ar-SA"/>
        </w:rPr>
      </w:pPr>
      <w:r>
        <w:rPr>
          <w:rFonts w:hint="eastAsia" w:hAnsi="宋体" w:cs="Times New Roman"/>
          <w:color w:val="auto"/>
          <w:kern w:val="2"/>
          <w:sz w:val="21"/>
          <w:szCs w:val="24"/>
          <w:highlight w:val="none"/>
          <w:lang w:val="en-US" w:eastAsia="zh-CN" w:bidi="ar-SA"/>
        </w:rPr>
        <w:t>七、投标保证金</w:t>
      </w:r>
    </w:p>
    <w:p w14:paraId="0699404F">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hAnsi="宋体" w:cs="Times New Roman"/>
          <w:color w:val="auto"/>
          <w:kern w:val="2"/>
          <w:sz w:val="21"/>
          <w:szCs w:val="24"/>
          <w:highlight w:val="none"/>
          <w:lang w:val="en-US" w:eastAsia="zh-CN" w:bidi="ar-SA"/>
        </w:rPr>
      </w:pPr>
      <w:r>
        <w:rPr>
          <w:rFonts w:hint="eastAsia" w:hAnsi="宋体" w:cs="Times New Roman"/>
          <w:color w:val="auto"/>
          <w:kern w:val="2"/>
          <w:sz w:val="21"/>
          <w:szCs w:val="24"/>
          <w:highlight w:val="none"/>
          <w:lang w:val="en-US" w:eastAsia="zh-CN" w:bidi="ar-SA"/>
        </w:rPr>
        <w:t>八、投标人承诺函</w:t>
      </w:r>
    </w:p>
    <w:p w14:paraId="494CD295">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hAnsi="宋体" w:cs="Times New Roman"/>
          <w:color w:val="auto"/>
          <w:kern w:val="2"/>
          <w:sz w:val="21"/>
          <w:szCs w:val="24"/>
          <w:highlight w:val="none"/>
          <w:lang w:val="en-US" w:eastAsia="zh-CN" w:bidi="ar-SA"/>
        </w:rPr>
      </w:pPr>
      <w:r>
        <w:rPr>
          <w:rFonts w:hint="eastAsia" w:hAnsi="宋体" w:cs="Times New Roman"/>
          <w:color w:val="auto"/>
          <w:kern w:val="2"/>
          <w:sz w:val="21"/>
          <w:szCs w:val="24"/>
          <w:highlight w:val="none"/>
          <w:lang w:val="en-US" w:eastAsia="zh-CN" w:bidi="ar-SA"/>
        </w:rPr>
        <w:t>九、实质性条款（标注“★”符号）响应表</w:t>
      </w:r>
    </w:p>
    <w:p w14:paraId="6C9C1E27">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hAnsi="宋体" w:cs="Times New Roman"/>
          <w:color w:val="auto"/>
          <w:kern w:val="2"/>
          <w:sz w:val="21"/>
          <w:szCs w:val="24"/>
          <w:highlight w:val="none"/>
          <w:lang w:val="en-US" w:eastAsia="zh-CN" w:bidi="ar-SA"/>
        </w:rPr>
      </w:pPr>
      <w:r>
        <w:rPr>
          <w:rFonts w:hint="eastAsia" w:hAnsi="宋体" w:cs="Times New Roman"/>
          <w:color w:val="auto"/>
          <w:kern w:val="2"/>
          <w:sz w:val="21"/>
          <w:szCs w:val="24"/>
          <w:highlight w:val="none"/>
          <w:lang w:val="en-US" w:eastAsia="zh-CN" w:bidi="ar-SA"/>
        </w:rPr>
        <w:t>十、商务和技术偏差表</w:t>
      </w:r>
    </w:p>
    <w:p w14:paraId="5D3F55C1">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ascii="Times New Roman" w:hAnsi="宋体" w:eastAsia="宋体" w:cs="Times New Roman"/>
          <w:color w:val="auto"/>
          <w:kern w:val="2"/>
          <w:sz w:val="21"/>
          <w:szCs w:val="24"/>
          <w:highlight w:val="none"/>
          <w:lang w:val="en-US" w:eastAsia="zh-CN" w:bidi="ar-SA"/>
        </w:rPr>
      </w:pPr>
      <w:r>
        <w:rPr>
          <w:rFonts w:hint="eastAsia" w:hAnsi="宋体" w:cs="Times New Roman"/>
          <w:color w:val="auto"/>
          <w:kern w:val="2"/>
          <w:sz w:val="21"/>
          <w:szCs w:val="24"/>
          <w:highlight w:val="none"/>
          <w:lang w:val="en-US" w:eastAsia="zh-CN" w:bidi="ar-SA"/>
        </w:rPr>
        <w:t>十</w:t>
      </w:r>
      <w:r>
        <w:rPr>
          <w:rFonts w:hint="eastAsia" w:ascii="Times New Roman" w:hAnsi="宋体" w:eastAsia="宋体" w:cs="Times New Roman"/>
          <w:color w:val="auto"/>
          <w:kern w:val="2"/>
          <w:sz w:val="21"/>
          <w:szCs w:val="24"/>
          <w:highlight w:val="none"/>
          <w:lang w:val="en-US" w:eastAsia="zh-CN" w:bidi="ar-SA"/>
        </w:rPr>
        <w:t>一、投标人类似业绩</w:t>
      </w:r>
    </w:p>
    <w:p w14:paraId="77D227F8">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ascii="Times New Roman" w:hAnsi="宋体" w:eastAsia="宋体" w:cs="Times New Roman"/>
          <w:color w:val="auto"/>
          <w:kern w:val="2"/>
          <w:sz w:val="21"/>
          <w:szCs w:val="24"/>
          <w:highlight w:val="none"/>
          <w:lang w:val="en-US" w:eastAsia="zh-CN" w:bidi="ar-SA"/>
        </w:rPr>
      </w:pPr>
      <w:r>
        <w:rPr>
          <w:rFonts w:hint="eastAsia" w:ascii="Times New Roman" w:hAnsi="宋体" w:eastAsia="宋体" w:cs="Times New Roman"/>
          <w:color w:val="auto"/>
          <w:kern w:val="2"/>
          <w:sz w:val="21"/>
          <w:szCs w:val="24"/>
          <w:highlight w:val="none"/>
          <w:lang w:val="en-US" w:eastAsia="zh-CN" w:bidi="ar-SA"/>
        </w:rPr>
        <w:t>十二、综合实力</w:t>
      </w:r>
    </w:p>
    <w:p w14:paraId="1DF76CBD">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ascii="Times New Roman" w:hAnsi="宋体" w:eastAsia="宋体" w:cs="Times New Roman"/>
          <w:color w:val="auto"/>
          <w:kern w:val="2"/>
          <w:sz w:val="21"/>
          <w:szCs w:val="24"/>
          <w:highlight w:val="none"/>
          <w:lang w:val="en-US" w:eastAsia="zh-CN" w:bidi="ar-SA"/>
        </w:rPr>
      </w:pPr>
      <w:r>
        <w:rPr>
          <w:rFonts w:hint="eastAsia" w:ascii="Times New Roman" w:hAnsi="宋体" w:eastAsia="宋体" w:cs="Times New Roman"/>
          <w:color w:val="auto"/>
          <w:kern w:val="2"/>
          <w:sz w:val="21"/>
          <w:szCs w:val="24"/>
          <w:highlight w:val="none"/>
          <w:lang w:val="en-US" w:eastAsia="zh-CN" w:bidi="ar-SA"/>
        </w:rPr>
        <w:t>十三、人员配置</w:t>
      </w:r>
    </w:p>
    <w:p w14:paraId="717B52F7">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ascii="Times New Roman" w:hAnsi="宋体" w:eastAsia="宋体" w:cs="Times New Roman"/>
          <w:color w:val="auto"/>
          <w:kern w:val="2"/>
          <w:sz w:val="21"/>
          <w:szCs w:val="24"/>
          <w:highlight w:val="none"/>
          <w:lang w:val="en-US" w:eastAsia="zh-CN" w:bidi="ar-SA"/>
        </w:rPr>
      </w:pPr>
      <w:r>
        <w:rPr>
          <w:rFonts w:hint="eastAsia" w:ascii="Times New Roman" w:hAnsi="宋体" w:eastAsia="宋体" w:cs="Times New Roman"/>
          <w:color w:val="auto"/>
          <w:kern w:val="2"/>
          <w:sz w:val="21"/>
          <w:szCs w:val="24"/>
          <w:highlight w:val="none"/>
          <w:lang w:val="en-US" w:eastAsia="zh-CN" w:bidi="ar-SA"/>
        </w:rPr>
        <w:t>十四、投标人认为需提供的其他商务评审资料</w:t>
      </w:r>
    </w:p>
    <w:p w14:paraId="0AEE2B0A">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ascii="Times New Roman" w:hAnsi="宋体" w:eastAsia="宋体" w:cs="Times New Roman"/>
          <w:color w:val="auto"/>
          <w:kern w:val="2"/>
          <w:sz w:val="21"/>
          <w:szCs w:val="24"/>
          <w:highlight w:val="none"/>
          <w:lang w:val="en-US" w:eastAsia="zh-CN" w:bidi="ar-SA"/>
        </w:rPr>
      </w:pPr>
      <w:r>
        <w:rPr>
          <w:rFonts w:hint="eastAsia" w:ascii="Times New Roman" w:hAnsi="宋体" w:eastAsia="宋体" w:cs="Times New Roman"/>
          <w:color w:val="auto"/>
          <w:kern w:val="2"/>
          <w:sz w:val="21"/>
          <w:szCs w:val="24"/>
          <w:highlight w:val="none"/>
          <w:lang w:val="en-US" w:eastAsia="zh-CN" w:bidi="ar-SA"/>
        </w:rPr>
        <w:t>十五、项目实施方案</w:t>
      </w:r>
    </w:p>
    <w:p w14:paraId="11EA083E">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ascii="Times New Roman" w:hAnsi="宋体" w:eastAsia="宋体" w:cs="Times New Roman"/>
          <w:color w:val="auto"/>
          <w:kern w:val="2"/>
          <w:sz w:val="21"/>
          <w:szCs w:val="24"/>
          <w:highlight w:val="none"/>
          <w:lang w:val="en-US" w:eastAsia="zh-CN" w:bidi="ar-SA"/>
        </w:rPr>
      </w:pPr>
      <w:r>
        <w:rPr>
          <w:rFonts w:hint="eastAsia" w:ascii="Times New Roman" w:hAnsi="宋体" w:eastAsia="宋体" w:cs="Times New Roman"/>
          <w:color w:val="auto"/>
          <w:kern w:val="2"/>
          <w:sz w:val="21"/>
          <w:szCs w:val="24"/>
          <w:highlight w:val="none"/>
          <w:lang w:val="en-US" w:eastAsia="zh-CN" w:bidi="ar-SA"/>
        </w:rPr>
        <w:t>十六、投标人认为需提供的其他技术评审资料</w:t>
      </w:r>
    </w:p>
    <w:p w14:paraId="21663A48">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3、按本项目招标公告规定交纳投标保证金，其金额为（大写）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，交纳方式为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1E22B7E2">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4、除《商务和技术偏差表》中列出的偏差外，我方承诺完全响应或优于招标文件的全部要求。</w:t>
      </w:r>
    </w:p>
    <w:p w14:paraId="2ABACA55">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5、本投标有效期为自招标文件规定的提交投标文件截止之日起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个日历天，我方承诺在招标文件规定的投标有效期内不撤销投标文件。</w:t>
      </w:r>
    </w:p>
    <w:p w14:paraId="705A1CCA">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6、如我方中标，我方承诺：</w:t>
      </w:r>
    </w:p>
    <w:p w14:paraId="38C80994">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（1）在收到中标通知书后，在中标通知书规定的期限内与贵方签订合同；</w:t>
      </w:r>
    </w:p>
    <w:p w14:paraId="656339AB">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（2）在签订合同时不向贵方提出附加条件；</w:t>
      </w:r>
    </w:p>
    <w:p w14:paraId="3EE75208">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（3）按照招标文件要求提交履约保证金；</w:t>
      </w:r>
    </w:p>
    <w:p w14:paraId="4BAA9C67">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（4）在合同约定的期限内完成合同规定的全部义务。</w:t>
      </w:r>
    </w:p>
    <w:p w14:paraId="47DBA093">
      <w:pPr>
        <w:wordWrap w:val="0"/>
        <w:spacing w:line="360" w:lineRule="auto"/>
        <w:ind w:firstLine="420" w:firstLineChars="200"/>
        <w:rPr>
          <w:rFonts w:hint="eastAsia" w:ascii="宋体" w:hAnsi="宋体" w:cs="宋体"/>
          <w:bCs/>
          <w:color w:val="auto"/>
          <w:szCs w:val="21"/>
          <w:highlight w:val="none"/>
        </w:rPr>
      </w:pPr>
      <w:r>
        <w:rPr>
          <w:rFonts w:hint="eastAsia" w:ascii="宋体" w:hAnsi="宋体" w:cs="宋体"/>
          <w:color w:val="auto"/>
          <w:szCs w:val="21"/>
          <w:highlight w:val="none"/>
        </w:rPr>
        <w:t>7、我方在此声明，所递交的投标文件及有关资料内容完整、真实和准确，且</w:t>
      </w:r>
      <w:r>
        <w:rPr>
          <w:rFonts w:hint="eastAsia" w:ascii="宋体" w:hAnsi="宋体" w:cs="宋体"/>
          <w:bCs/>
          <w:color w:val="auto"/>
          <w:szCs w:val="21"/>
          <w:highlight w:val="none"/>
        </w:rPr>
        <w:t>不存在第二章“投标人须知”第1.4.</w:t>
      </w:r>
      <w:r>
        <w:rPr>
          <w:rFonts w:hint="eastAsia" w:ascii="宋体" w:hAnsi="宋体" w:cs="宋体"/>
          <w:bCs/>
          <w:color w:val="auto"/>
          <w:szCs w:val="21"/>
          <w:highlight w:val="none"/>
          <w:lang w:val="en-US" w:eastAsia="zh-CN"/>
        </w:rPr>
        <w:t>2</w:t>
      </w:r>
      <w:r>
        <w:rPr>
          <w:rFonts w:hint="eastAsia" w:ascii="宋体" w:hAnsi="宋体" w:cs="宋体"/>
          <w:bCs/>
          <w:color w:val="auto"/>
          <w:szCs w:val="21"/>
          <w:highlight w:val="none"/>
        </w:rPr>
        <w:t>项规定的任何一种情形；且没有发生“</w:t>
      </w:r>
      <w:r>
        <w:rPr>
          <w:rFonts w:hint="eastAsia" w:ascii="宋体" w:hAnsi="宋体" w:cs="宋体"/>
          <w:bCs/>
          <w:color w:val="auto"/>
          <w:szCs w:val="21"/>
          <w:highlight w:val="none"/>
          <w:lang w:eastAsia="zh-CN"/>
        </w:rPr>
        <w:t>被长沙市轨道交通集团有限公司或长沙穗城轨道交通有限公司函告禁止在一定期限内参与轨道项目投标的单位按函告内容执行</w:t>
      </w:r>
      <w:r>
        <w:rPr>
          <w:rFonts w:hint="eastAsia" w:ascii="宋体" w:hAnsi="宋体" w:cs="宋体"/>
          <w:bCs/>
          <w:color w:val="auto"/>
          <w:szCs w:val="21"/>
          <w:highlight w:val="none"/>
        </w:rPr>
        <w:t>”此规定的情形。</w:t>
      </w:r>
    </w:p>
    <w:p w14:paraId="2C928D00">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8、我方已详细审核了全部招标文件，包括招标文件的修改、补充通知（如果有的话）。我方知道必须放弃对上述文件中所有条款提出存有含糊不清或不理解之问题的权利。</w:t>
      </w:r>
    </w:p>
    <w:p w14:paraId="5F82FCD9">
      <w:pPr>
        <w:wordWrap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9、投标总报价已包含了招标文件要求的所有内容及要求。投标报价表中未具体列明的，但在合同执行阶段可能发生的一切费用已经包含在投标报价中。</w:t>
      </w:r>
      <w:r>
        <w:rPr>
          <w:rFonts w:hint="eastAsia" w:ascii="宋体" w:hAnsi="宋体" w:cs="宋体"/>
          <w:color w:val="auto"/>
          <w:szCs w:val="21"/>
          <w:highlight w:val="none"/>
          <w:lang w:val="en-US" w:eastAsia="zh-CN"/>
        </w:rPr>
        <w:tab/>
      </w:r>
    </w:p>
    <w:p w14:paraId="29D13E12">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10、如果我方在开标后规定的投标有效期内撤回投标，我方的投标保证金可被贵方没收。如果贵方有要求，我方愿意进一步提供与本投标有关的任何证据或资料。</w:t>
      </w:r>
    </w:p>
    <w:p w14:paraId="0B57EB01">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11、我方自愿承诺和遵守长沙穗城轨道交通有限公司的相关规定和要求，如有违反，我司自愿承担因我方违反相关规定所引起的一切后果。</w:t>
      </w:r>
    </w:p>
    <w:p w14:paraId="5C9EBA15">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（其他补充说明）。</w:t>
      </w:r>
    </w:p>
    <w:p w14:paraId="0BAF03DD">
      <w:pPr>
        <w:pStyle w:val="2"/>
        <w:tabs>
          <w:tab w:val="left" w:pos="3880"/>
        </w:tabs>
        <w:wordWrap w:val="0"/>
        <w:spacing w:after="0" w:line="360" w:lineRule="auto"/>
        <w:rPr>
          <w:rFonts w:ascii="宋体" w:hAnsi="宋体" w:cs="宋体"/>
          <w:color w:val="auto"/>
          <w:szCs w:val="21"/>
          <w:highlight w:val="none"/>
        </w:rPr>
      </w:pPr>
    </w:p>
    <w:p w14:paraId="063517D8">
      <w:pPr>
        <w:pStyle w:val="2"/>
        <w:tabs>
          <w:tab w:val="left" w:pos="3880"/>
        </w:tabs>
        <w:wordWrap w:val="0"/>
        <w:spacing w:after="0" w:line="360" w:lineRule="auto"/>
        <w:rPr>
          <w:rFonts w:ascii="宋体" w:hAnsi="宋体" w:cs="宋体"/>
          <w:color w:val="auto"/>
          <w:szCs w:val="21"/>
          <w:highlight w:val="none"/>
        </w:rPr>
      </w:pPr>
      <w:r>
        <w:rPr>
          <w:rFonts w:hint="eastAsia" w:ascii="宋体" w:hAnsi="宋体" w:cs="宋体"/>
          <w:color w:val="auto"/>
          <w:szCs w:val="21"/>
          <w:highlight w:val="none"/>
        </w:rPr>
        <w:t>投 标 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（盖单位公章）</w:t>
      </w:r>
    </w:p>
    <w:p w14:paraId="30C1D38C">
      <w:pPr>
        <w:pStyle w:val="2"/>
        <w:tabs>
          <w:tab w:val="left" w:pos="3232"/>
          <w:tab w:val="left" w:pos="8529"/>
        </w:tabs>
        <w:wordWrap w:val="0"/>
        <w:spacing w:after="0" w:line="360" w:lineRule="auto"/>
        <w:rPr>
          <w:rFonts w:ascii="宋体" w:hAnsi="宋体" w:cs="宋体"/>
          <w:color w:val="auto"/>
          <w:szCs w:val="21"/>
          <w:highlight w:val="none"/>
        </w:rPr>
      </w:pPr>
      <w:r>
        <w:rPr>
          <w:rFonts w:hint="eastAsia" w:ascii="宋体" w:hAnsi="宋体" w:cs="宋体"/>
          <w:color w:val="auto"/>
          <w:szCs w:val="21"/>
          <w:highlight w:val="none"/>
        </w:rPr>
        <w:t>地    址：</w:t>
      </w:r>
      <w:r>
        <w:rPr>
          <w:rFonts w:hint="eastAsia" w:ascii="宋体" w:hAnsi="宋体" w:cs="宋体"/>
          <w:color w:val="auto"/>
          <w:szCs w:val="21"/>
          <w:highlight w:val="none"/>
          <w:u w:val="single"/>
        </w:rPr>
        <w:t xml:space="preserve">                                              </w:t>
      </w:r>
    </w:p>
    <w:p w14:paraId="578C8744">
      <w:pPr>
        <w:pStyle w:val="2"/>
        <w:tabs>
          <w:tab w:val="left" w:pos="3232"/>
          <w:tab w:val="left" w:pos="8529"/>
        </w:tabs>
        <w:wordWrap w:val="0"/>
        <w:spacing w:after="0" w:line="360" w:lineRule="auto"/>
        <w:rPr>
          <w:rFonts w:ascii="宋体" w:hAnsi="宋体" w:cs="宋体"/>
          <w:color w:val="auto"/>
          <w:szCs w:val="21"/>
          <w:highlight w:val="none"/>
        </w:rPr>
      </w:pPr>
      <w:r>
        <w:rPr>
          <w:rFonts w:hint="eastAsia" w:ascii="宋体" w:hAnsi="宋体" w:cs="宋体"/>
          <w:color w:val="auto"/>
          <w:szCs w:val="21"/>
          <w:highlight w:val="none"/>
        </w:rPr>
        <w:t>网    址：</w:t>
      </w:r>
      <w:r>
        <w:rPr>
          <w:rFonts w:hint="eastAsia" w:ascii="宋体" w:hAnsi="宋体" w:cs="宋体"/>
          <w:color w:val="auto"/>
          <w:szCs w:val="21"/>
          <w:highlight w:val="none"/>
          <w:u w:val="single"/>
        </w:rPr>
        <w:t xml:space="preserve">                                              </w:t>
      </w:r>
    </w:p>
    <w:p w14:paraId="52844F24">
      <w:pPr>
        <w:pStyle w:val="2"/>
        <w:tabs>
          <w:tab w:val="left" w:pos="3232"/>
          <w:tab w:val="left" w:pos="8529"/>
        </w:tabs>
        <w:wordWrap w:val="0"/>
        <w:spacing w:after="0" w:line="360" w:lineRule="auto"/>
        <w:rPr>
          <w:rFonts w:ascii="宋体" w:hAnsi="宋体" w:cs="宋体"/>
          <w:color w:val="auto"/>
          <w:szCs w:val="21"/>
          <w:highlight w:val="none"/>
        </w:rPr>
      </w:pPr>
      <w:r>
        <w:rPr>
          <w:rFonts w:hint="eastAsia" w:ascii="宋体" w:hAnsi="宋体" w:cs="宋体"/>
          <w:color w:val="auto"/>
          <w:szCs w:val="21"/>
          <w:highlight w:val="none"/>
        </w:rPr>
        <w:t>电    话：</w:t>
      </w:r>
      <w:r>
        <w:rPr>
          <w:rFonts w:hint="eastAsia" w:ascii="宋体" w:hAnsi="宋体" w:cs="宋体"/>
          <w:color w:val="auto"/>
          <w:szCs w:val="21"/>
          <w:highlight w:val="none"/>
          <w:u w:val="single"/>
        </w:rPr>
        <w:t xml:space="preserve">                                              </w:t>
      </w:r>
    </w:p>
    <w:p w14:paraId="01CE576A">
      <w:pPr>
        <w:pStyle w:val="2"/>
        <w:tabs>
          <w:tab w:val="left" w:pos="3232"/>
          <w:tab w:val="left" w:pos="8529"/>
        </w:tabs>
        <w:wordWrap w:val="0"/>
        <w:spacing w:after="0" w:line="360" w:lineRule="auto"/>
        <w:rPr>
          <w:rFonts w:ascii="宋体" w:hAnsi="宋体" w:cs="宋体"/>
          <w:color w:val="auto"/>
          <w:szCs w:val="21"/>
          <w:highlight w:val="none"/>
        </w:rPr>
      </w:pPr>
      <w:r>
        <w:rPr>
          <w:rFonts w:hint="eastAsia" w:ascii="宋体" w:hAnsi="宋体" w:cs="宋体"/>
          <w:color w:val="auto"/>
          <w:szCs w:val="21"/>
          <w:highlight w:val="none"/>
        </w:rPr>
        <w:t>传    真：</w:t>
      </w:r>
      <w:r>
        <w:rPr>
          <w:rFonts w:hint="eastAsia" w:ascii="宋体" w:hAnsi="宋体" w:cs="宋体"/>
          <w:color w:val="auto"/>
          <w:szCs w:val="21"/>
          <w:highlight w:val="none"/>
          <w:u w:val="single"/>
        </w:rPr>
        <w:t xml:space="preserve">                                              </w:t>
      </w:r>
    </w:p>
    <w:p w14:paraId="0DB40A76">
      <w:pPr>
        <w:pStyle w:val="2"/>
        <w:tabs>
          <w:tab w:val="left" w:pos="8529"/>
        </w:tabs>
        <w:wordWrap w:val="0"/>
        <w:spacing w:after="0" w:line="360" w:lineRule="auto"/>
        <w:rPr>
          <w:rFonts w:ascii="宋体" w:hAnsi="宋体" w:cs="宋体"/>
          <w:color w:val="auto"/>
          <w:szCs w:val="21"/>
          <w:highlight w:val="none"/>
        </w:rPr>
      </w:pPr>
      <w:r>
        <w:rPr>
          <w:rFonts w:hint="eastAsia" w:ascii="宋体" w:hAnsi="宋体" w:cs="宋体"/>
          <w:color w:val="auto"/>
          <w:szCs w:val="21"/>
          <w:highlight w:val="none"/>
        </w:rPr>
        <w:t>邮政编码：</w:t>
      </w:r>
      <w:r>
        <w:rPr>
          <w:rFonts w:hint="eastAsia" w:ascii="宋体" w:hAnsi="宋体" w:cs="宋体"/>
          <w:color w:val="auto"/>
          <w:szCs w:val="21"/>
          <w:highlight w:val="none"/>
          <w:u w:val="single"/>
        </w:rPr>
        <w:t xml:space="preserve">                                              </w:t>
      </w:r>
    </w:p>
    <w:p w14:paraId="49B27EA6">
      <w:pPr>
        <w:pStyle w:val="2"/>
        <w:tabs>
          <w:tab w:val="left" w:pos="631"/>
          <w:tab w:val="left" w:pos="1471"/>
          <w:tab w:val="left" w:pos="2311"/>
        </w:tabs>
        <w:wordWrap w:val="0"/>
        <w:spacing w:line="360" w:lineRule="auto"/>
        <w:jc w:val="right"/>
        <w:rPr>
          <w:rFonts w:ascii="宋体" w:hAnsi="宋体"/>
          <w:color w:val="auto"/>
          <w:szCs w:val="21"/>
          <w:highlight w:val="none"/>
        </w:rPr>
      </w:pP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月</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日</w:t>
      </w:r>
    </w:p>
    <w:p w14:paraId="0C46A974">
      <w:pPr>
        <w:wordWrap w:val="0"/>
        <w:spacing w:after="240"/>
        <w:ind w:left="220" w:right="339"/>
        <w:jc w:val="center"/>
        <w:rPr>
          <w:rFonts w:hint="eastAsia" w:ascii="Calibri" w:cs="宋体"/>
          <w:color w:val="auto"/>
          <w:szCs w:val="28"/>
          <w:highlight w:val="none"/>
        </w:rPr>
      </w:pPr>
      <w:r>
        <w:rPr>
          <w:rFonts w:hint="eastAsia" w:ascii="Calibri" w:cs="宋体"/>
          <w:color w:val="auto"/>
          <w:szCs w:val="28"/>
          <w:highlight w:val="none"/>
        </w:rPr>
        <w:br w:type="page"/>
      </w:r>
    </w:p>
    <w:p w14:paraId="57D44ACD">
      <w:pPr>
        <w:pStyle w:val="138"/>
        <w:tabs>
          <w:tab w:val="left" w:pos="4538"/>
          <w:tab w:val="left" w:pos="5484"/>
          <w:tab w:val="left" w:pos="6427"/>
        </w:tabs>
        <w:wordWrap w:val="0"/>
        <w:spacing w:after="240" w:line="360" w:lineRule="auto"/>
        <w:ind w:left="220" w:right="339"/>
        <w:jc w:val="center"/>
        <w:rPr>
          <w:rFonts w:hint="eastAsia" w:ascii="Calibri" w:eastAsia="宋体" w:cs="宋体"/>
          <w:color w:val="auto"/>
          <w:szCs w:val="28"/>
          <w:highlight w:val="none"/>
          <w:lang w:eastAsia="zh-CN"/>
        </w:rPr>
      </w:pPr>
      <w:r>
        <w:rPr>
          <w:rFonts w:hint="eastAsia" w:ascii="Calibri" w:cs="宋体"/>
          <w:color w:val="auto"/>
          <w:szCs w:val="28"/>
          <w:highlight w:val="none"/>
        </w:rPr>
        <w:t>二、</w:t>
      </w:r>
      <w:r>
        <w:rPr>
          <w:rFonts w:ascii="Calibri" w:cs="宋体"/>
          <w:color w:val="auto"/>
          <w:szCs w:val="28"/>
          <w:highlight w:val="none"/>
        </w:rPr>
        <w:t>开标一览</w:t>
      </w:r>
      <w:r>
        <w:rPr>
          <w:rFonts w:hint="eastAsia" w:ascii="Calibri" w:cs="宋体"/>
          <w:color w:val="auto"/>
          <w:szCs w:val="28"/>
          <w:highlight w:val="none"/>
        </w:rPr>
        <w:t>表</w:t>
      </w:r>
    </w:p>
    <w:p w14:paraId="56C2D304">
      <w:pPr>
        <w:tabs>
          <w:tab w:val="left" w:pos="8364"/>
        </w:tabs>
        <w:wordWrap w:val="0"/>
        <w:snapToGrid w:val="0"/>
        <w:spacing w:before="156" w:beforeLines="50" w:line="360" w:lineRule="auto"/>
        <w:jc w:val="right"/>
        <w:rPr>
          <w:rFonts w:hAnsi="宋体" w:cs="宋体"/>
          <w:bCs/>
          <w:color w:val="auto"/>
          <w:szCs w:val="21"/>
          <w:highlight w:val="none"/>
        </w:rPr>
      </w:pPr>
      <w:r>
        <w:rPr>
          <w:rFonts w:hint="eastAsia" w:hAnsi="宋体" w:cs="宋体"/>
          <w:bCs/>
          <w:color w:val="auto"/>
          <w:szCs w:val="21"/>
          <w:highlight w:val="none"/>
        </w:rPr>
        <w:t>（单位：人民币元）</w:t>
      </w:r>
    </w:p>
    <w:tbl>
      <w:tblPr>
        <w:tblStyle w:val="64"/>
        <w:tblW w:w="5000"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697"/>
        <w:gridCol w:w="1813"/>
        <w:gridCol w:w="7452"/>
      </w:tblGrid>
      <w:tr w14:paraId="3F21928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75" w:hRule="atLeast"/>
          <w:jc w:val="center"/>
        </w:trPr>
        <w:tc>
          <w:tcPr>
            <w:tcW w:w="5000" w:type="pct"/>
            <w:gridSpan w:val="3"/>
            <w:tcBorders>
              <w:tl2br w:val="nil"/>
              <w:tr2bl w:val="nil"/>
            </w:tcBorders>
            <w:vAlign w:val="center"/>
          </w:tcPr>
          <w:p w14:paraId="42A735E9">
            <w:pPr>
              <w:wordWrap w:val="0"/>
              <w:jc w:val="center"/>
              <w:rPr>
                <w:rFonts w:hint="default" w:hAnsi="宋体" w:eastAsia="宋体" w:cs="宋体"/>
                <w:color w:val="auto"/>
                <w:szCs w:val="21"/>
                <w:highlight w:val="none"/>
                <w:u w:val="single"/>
                <w:lang w:val="en-US" w:eastAsia="zh-CN"/>
              </w:rPr>
            </w:pPr>
            <w:r>
              <w:rPr>
                <w:rFonts w:hint="eastAsia" w:ascii="宋体" w:hAnsi="宋体" w:eastAsia="宋体" w:cs="宋体"/>
                <w:snapToGrid w:val="0"/>
                <w:color w:val="auto"/>
                <w:kern w:val="0"/>
                <w:szCs w:val="21"/>
                <w:highlight w:val="none"/>
                <w:lang w:val="en-US" w:eastAsia="zh-CN"/>
              </w:rPr>
              <w:t>2026-2028年员工食堂劳务外包、物资供应项目</w:t>
            </w:r>
            <w:r>
              <w:rPr>
                <w:rFonts w:hint="eastAsia" w:ascii="宋体" w:hAnsi="宋体" w:cs="宋体"/>
                <w:b/>
                <w:bCs/>
                <w:snapToGrid w:val="0"/>
                <w:color w:val="auto"/>
                <w:kern w:val="0"/>
                <w:szCs w:val="21"/>
                <w:highlight w:val="none"/>
                <w:lang w:val="en-US" w:eastAsia="zh-CN"/>
              </w:rPr>
              <w:t>（</w:t>
            </w:r>
            <w:r>
              <w:rPr>
                <w:rFonts w:hint="eastAsia" w:ascii="宋体" w:hAnsi="宋体" w:cs="宋体"/>
                <w:b/>
                <w:bCs/>
                <w:snapToGrid w:val="0"/>
                <w:color w:val="auto"/>
                <w:kern w:val="0"/>
                <w:szCs w:val="21"/>
                <w:highlight w:val="none"/>
                <w:u w:val="single"/>
                <w:lang w:val="en-US" w:eastAsia="zh-CN"/>
              </w:rPr>
              <w:t>一</w:t>
            </w:r>
            <w:r>
              <w:rPr>
                <w:rFonts w:hint="eastAsia" w:ascii="宋体" w:hAnsi="宋体" w:cs="宋体"/>
                <w:b/>
                <w:bCs/>
                <w:snapToGrid w:val="0"/>
                <w:color w:val="auto"/>
                <w:kern w:val="0"/>
                <w:szCs w:val="21"/>
                <w:highlight w:val="none"/>
                <w:u w:val="none"/>
                <w:lang w:val="en-US" w:eastAsia="zh-CN"/>
              </w:rPr>
              <w:t>标段）</w:t>
            </w:r>
          </w:p>
        </w:tc>
      </w:tr>
      <w:tr w14:paraId="119B52D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350" w:type="pct"/>
            <w:tcBorders>
              <w:tl2br w:val="nil"/>
              <w:tr2bl w:val="nil"/>
            </w:tcBorders>
            <w:vAlign w:val="center"/>
          </w:tcPr>
          <w:p w14:paraId="17E9FC89">
            <w:pPr>
              <w:widowControl/>
              <w:wordWrap w:val="0"/>
              <w:jc w:val="center"/>
              <w:rPr>
                <w:rFonts w:hAnsi="宋体" w:cs="宋体"/>
                <w:color w:val="auto"/>
                <w:szCs w:val="21"/>
                <w:highlight w:val="none"/>
              </w:rPr>
            </w:pPr>
            <w:r>
              <w:rPr>
                <w:rFonts w:hint="eastAsia" w:hAnsi="宋体" w:cs="宋体"/>
                <w:color w:val="auto"/>
                <w:szCs w:val="21"/>
                <w:highlight w:val="none"/>
              </w:rPr>
              <w:t>1</w:t>
            </w:r>
          </w:p>
        </w:tc>
        <w:tc>
          <w:tcPr>
            <w:tcW w:w="910" w:type="pct"/>
            <w:tcBorders>
              <w:tl2br w:val="nil"/>
              <w:tr2bl w:val="nil"/>
            </w:tcBorders>
            <w:vAlign w:val="center"/>
          </w:tcPr>
          <w:p w14:paraId="12E916F4">
            <w:pPr>
              <w:wordWrap w:val="0"/>
              <w:jc w:val="center"/>
              <w:rPr>
                <w:rFonts w:hAnsi="宋体" w:cs="宋体"/>
                <w:color w:val="auto"/>
                <w:szCs w:val="21"/>
                <w:highlight w:val="none"/>
              </w:rPr>
            </w:pPr>
            <w:r>
              <w:rPr>
                <w:rFonts w:hint="eastAsia" w:hAnsi="宋体" w:cs="宋体"/>
                <w:color w:val="auto"/>
                <w:szCs w:val="21"/>
                <w:highlight w:val="none"/>
              </w:rPr>
              <w:t>投标</w:t>
            </w:r>
            <w:r>
              <w:rPr>
                <w:rFonts w:hint="eastAsia" w:hAnsi="宋体" w:cs="宋体"/>
                <w:color w:val="auto"/>
                <w:szCs w:val="21"/>
                <w:highlight w:val="none"/>
                <w:lang w:val="en-US" w:eastAsia="zh-CN"/>
              </w:rPr>
              <w:t>总</w:t>
            </w:r>
            <w:r>
              <w:rPr>
                <w:rFonts w:hint="eastAsia" w:hAnsi="宋体" w:cs="宋体"/>
                <w:color w:val="auto"/>
                <w:szCs w:val="21"/>
                <w:highlight w:val="none"/>
              </w:rPr>
              <w:t>报价</w:t>
            </w:r>
          </w:p>
          <w:p w14:paraId="536FC7E5">
            <w:pPr>
              <w:wordWrap w:val="0"/>
              <w:jc w:val="center"/>
              <w:rPr>
                <w:rFonts w:hAnsi="宋体" w:cs="宋体"/>
                <w:color w:val="auto"/>
                <w:szCs w:val="21"/>
                <w:highlight w:val="none"/>
              </w:rPr>
            </w:pPr>
            <w:r>
              <w:rPr>
                <w:rFonts w:hint="eastAsia" w:hAnsi="宋体" w:cs="宋体"/>
                <w:b/>
                <w:color w:val="auto"/>
                <w:szCs w:val="21"/>
                <w:highlight w:val="none"/>
              </w:rPr>
              <w:t>（含税）</w:t>
            </w:r>
          </w:p>
        </w:tc>
        <w:tc>
          <w:tcPr>
            <w:tcW w:w="3738" w:type="pct"/>
            <w:tcBorders>
              <w:tl2br w:val="nil"/>
              <w:tr2bl w:val="nil"/>
            </w:tcBorders>
            <w:vAlign w:val="center"/>
          </w:tcPr>
          <w:p w14:paraId="63106E43">
            <w:pPr>
              <w:widowControl/>
              <w:ind w:firstLine="316" w:firstLineChars="150"/>
              <w:jc w:val="left"/>
              <w:rPr>
                <w:rFonts w:hAnsi="宋体" w:cs="宋体"/>
                <w:b/>
                <w:color w:val="auto"/>
                <w:szCs w:val="21"/>
                <w:highlight w:val="none"/>
              </w:rPr>
            </w:pPr>
            <w:r>
              <w:rPr>
                <w:rFonts w:hint="eastAsia" w:ascii="宋体" w:hAnsi="宋体" w:cs="宋体"/>
                <w:b/>
                <w:color w:val="auto"/>
                <w:szCs w:val="21"/>
                <w:highlight w:val="none"/>
                <w:lang w:val="en-US" w:eastAsia="zh-CN"/>
              </w:rPr>
              <w:t>大写：           ；</w:t>
            </w:r>
            <w:r>
              <w:rPr>
                <w:rFonts w:hint="eastAsia" w:ascii="宋体" w:hAnsi="宋体" w:cs="宋体"/>
                <w:b/>
                <w:color w:val="auto"/>
                <w:szCs w:val="21"/>
                <w:highlight w:val="none"/>
              </w:rPr>
              <w:t>小写：</w:t>
            </w:r>
          </w:p>
        </w:tc>
      </w:tr>
      <w:tr w14:paraId="2DDF047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350" w:type="pct"/>
            <w:tcBorders>
              <w:tl2br w:val="nil"/>
              <w:tr2bl w:val="nil"/>
            </w:tcBorders>
            <w:vAlign w:val="center"/>
          </w:tcPr>
          <w:p w14:paraId="09DA1203">
            <w:pPr>
              <w:widowControl/>
              <w:wordWrap w:val="0"/>
              <w:jc w:val="center"/>
              <w:rPr>
                <w:rFonts w:hAnsi="宋体" w:cs="宋体"/>
                <w:color w:val="auto"/>
                <w:szCs w:val="21"/>
                <w:highlight w:val="none"/>
              </w:rPr>
            </w:pPr>
            <w:r>
              <w:rPr>
                <w:rFonts w:hAnsi="宋体" w:cs="宋体"/>
                <w:color w:val="auto"/>
                <w:szCs w:val="21"/>
                <w:highlight w:val="none"/>
              </w:rPr>
              <w:t>1.1</w:t>
            </w:r>
          </w:p>
        </w:tc>
        <w:tc>
          <w:tcPr>
            <w:tcW w:w="910" w:type="pct"/>
            <w:tcBorders>
              <w:tl2br w:val="nil"/>
              <w:tr2bl w:val="nil"/>
            </w:tcBorders>
            <w:vAlign w:val="center"/>
          </w:tcPr>
          <w:p w14:paraId="0BFBF4C7">
            <w:pPr>
              <w:wordWrap w:val="0"/>
              <w:jc w:val="center"/>
              <w:rPr>
                <w:rFonts w:hAnsi="宋体" w:cs="宋体"/>
                <w:color w:val="auto"/>
                <w:szCs w:val="21"/>
                <w:highlight w:val="none"/>
              </w:rPr>
            </w:pPr>
            <w:r>
              <w:rPr>
                <w:rFonts w:hint="eastAsia" w:hAnsi="宋体" w:cs="宋体"/>
                <w:color w:val="auto"/>
                <w:szCs w:val="21"/>
                <w:highlight w:val="none"/>
              </w:rPr>
              <w:t>增值税税金</w:t>
            </w:r>
          </w:p>
        </w:tc>
        <w:tc>
          <w:tcPr>
            <w:tcW w:w="3738" w:type="pct"/>
            <w:tcBorders>
              <w:tl2br w:val="nil"/>
              <w:tr2bl w:val="nil"/>
            </w:tcBorders>
            <w:vAlign w:val="center"/>
          </w:tcPr>
          <w:p w14:paraId="25A2F551">
            <w:pPr>
              <w:widowControl/>
              <w:wordWrap w:val="0"/>
              <w:ind w:firstLine="316" w:firstLineChars="150"/>
              <w:jc w:val="left"/>
              <w:rPr>
                <w:rFonts w:hAnsi="宋体" w:cs="宋体"/>
                <w:b/>
                <w:color w:val="auto"/>
                <w:szCs w:val="21"/>
                <w:highlight w:val="none"/>
              </w:rPr>
            </w:pPr>
            <w:r>
              <w:rPr>
                <w:rFonts w:hint="eastAsia" w:hAnsi="宋体" w:cs="宋体"/>
                <w:b/>
                <w:color w:val="auto"/>
                <w:szCs w:val="21"/>
                <w:highlight w:val="none"/>
              </w:rPr>
              <w:t>大写：           ；</w:t>
            </w:r>
            <w:r>
              <w:rPr>
                <w:rFonts w:hAnsi="宋体" w:cs="宋体"/>
                <w:b/>
                <w:color w:val="auto"/>
                <w:szCs w:val="21"/>
                <w:highlight w:val="none"/>
              </w:rPr>
              <w:t>小写</w:t>
            </w:r>
            <w:r>
              <w:rPr>
                <w:rFonts w:hint="eastAsia" w:hAnsi="宋体" w:cs="宋体"/>
                <w:b/>
                <w:color w:val="auto"/>
                <w:szCs w:val="21"/>
                <w:highlight w:val="none"/>
              </w:rPr>
              <w:t>：</w:t>
            </w:r>
          </w:p>
        </w:tc>
      </w:tr>
      <w:tr w14:paraId="4E6D469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350" w:type="pct"/>
            <w:tcBorders>
              <w:tl2br w:val="nil"/>
              <w:tr2bl w:val="nil"/>
            </w:tcBorders>
            <w:vAlign w:val="center"/>
          </w:tcPr>
          <w:p w14:paraId="46D21F5D">
            <w:pPr>
              <w:widowControl/>
              <w:wordWrap w:val="0"/>
              <w:jc w:val="center"/>
              <w:rPr>
                <w:rFonts w:hAnsi="宋体" w:cs="宋体"/>
                <w:color w:val="auto"/>
                <w:szCs w:val="21"/>
                <w:highlight w:val="none"/>
              </w:rPr>
            </w:pPr>
            <w:r>
              <w:rPr>
                <w:rFonts w:hAnsi="宋体" w:cs="宋体"/>
                <w:color w:val="auto"/>
                <w:szCs w:val="21"/>
                <w:highlight w:val="none"/>
              </w:rPr>
              <w:t>1.2</w:t>
            </w:r>
          </w:p>
        </w:tc>
        <w:tc>
          <w:tcPr>
            <w:tcW w:w="910" w:type="pct"/>
            <w:tcBorders>
              <w:tl2br w:val="nil"/>
              <w:tr2bl w:val="nil"/>
            </w:tcBorders>
            <w:vAlign w:val="center"/>
          </w:tcPr>
          <w:p w14:paraId="7A1A48B9">
            <w:pPr>
              <w:wordWrap w:val="0"/>
              <w:jc w:val="center"/>
              <w:rPr>
                <w:rFonts w:hAnsi="宋体" w:cs="宋体"/>
                <w:color w:val="auto"/>
                <w:szCs w:val="21"/>
                <w:highlight w:val="none"/>
              </w:rPr>
            </w:pPr>
            <w:r>
              <w:rPr>
                <w:rFonts w:hint="eastAsia" w:hAnsi="宋体" w:cs="宋体"/>
                <w:color w:val="auto"/>
                <w:szCs w:val="21"/>
                <w:highlight w:val="none"/>
              </w:rPr>
              <w:t>投标报价</w:t>
            </w:r>
          </w:p>
          <w:p w14:paraId="6429976A">
            <w:pPr>
              <w:wordWrap w:val="0"/>
              <w:jc w:val="center"/>
              <w:rPr>
                <w:rFonts w:hAnsi="宋体" w:cs="宋体"/>
                <w:b/>
                <w:color w:val="auto"/>
                <w:szCs w:val="21"/>
                <w:highlight w:val="none"/>
              </w:rPr>
            </w:pPr>
            <w:r>
              <w:rPr>
                <w:rFonts w:hint="eastAsia" w:hAnsi="宋体" w:cs="宋体"/>
                <w:b/>
                <w:color w:val="auto"/>
                <w:szCs w:val="21"/>
                <w:highlight w:val="none"/>
              </w:rPr>
              <w:t>（不含税）</w:t>
            </w:r>
          </w:p>
        </w:tc>
        <w:tc>
          <w:tcPr>
            <w:tcW w:w="3738" w:type="pct"/>
            <w:tcBorders>
              <w:tl2br w:val="nil"/>
              <w:tr2bl w:val="nil"/>
            </w:tcBorders>
            <w:vAlign w:val="center"/>
          </w:tcPr>
          <w:p w14:paraId="2AA5ACDC">
            <w:pPr>
              <w:widowControl/>
              <w:wordWrap w:val="0"/>
              <w:ind w:firstLine="316" w:firstLineChars="150"/>
              <w:jc w:val="left"/>
              <w:rPr>
                <w:rFonts w:hAnsi="宋体" w:cs="宋体"/>
                <w:b/>
                <w:color w:val="auto"/>
                <w:szCs w:val="21"/>
                <w:highlight w:val="none"/>
              </w:rPr>
            </w:pPr>
            <w:r>
              <w:rPr>
                <w:rFonts w:hint="eastAsia" w:ascii="宋体" w:hAnsi="宋体" w:cs="宋体"/>
                <w:b/>
                <w:color w:val="auto"/>
                <w:szCs w:val="21"/>
                <w:highlight w:val="none"/>
                <w:lang w:val="en-US" w:eastAsia="zh-CN"/>
              </w:rPr>
              <w:t>大写：           ；</w:t>
            </w:r>
            <w:r>
              <w:rPr>
                <w:rFonts w:hint="eastAsia" w:ascii="宋体" w:hAnsi="宋体" w:cs="宋体"/>
                <w:b/>
                <w:color w:val="auto"/>
                <w:szCs w:val="21"/>
                <w:highlight w:val="none"/>
              </w:rPr>
              <w:t>小写：</w:t>
            </w:r>
          </w:p>
        </w:tc>
      </w:tr>
      <w:tr w14:paraId="75B0A1D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350" w:type="pct"/>
            <w:tcBorders>
              <w:tl2br w:val="nil"/>
              <w:tr2bl w:val="nil"/>
            </w:tcBorders>
            <w:vAlign w:val="center"/>
          </w:tcPr>
          <w:p w14:paraId="71379698">
            <w:pPr>
              <w:wordWrap w:val="0"/>
              <w:jc w:val="center"/>
              <w:rPr>
                <w:rFonts w:hAnsi="宋体" w:cs="宋体"/>
                <w:color w:val="auto"/>
                <w:szCs w:val="21"/>
                <w:highlight w:val="none"/>
              </w:rPr>
            </w:pPr>
            <w:r>
              <w:rPr>
                <w:rFonts w:hAnsi="宋体" w:cs="宋体"/>
                <w:color w:val="auto"/>
                <w:szCs w:val="21"/>
                <w:highlight w:val="none"/>
              </w:rPr>
              <w:t>2</w:t>
            </w:r>
          </w:p>
        </w:tc>
        <w:tc>
          <w:tcPr>
            <w:tcW w:w="910" w:type="pct"/>
            <w:tcBorders>
              <w:tl2br w:val="nil"/>
              <w:tr2bl w:val="nil"/>
            </w:tcBorders>
            <w:vAlign w:val="center"/>
          </w:tcPr>
          <w:p w14:paraId="2951F832">
            <w:pPr>
              <w:wordWrap w:val="0"/>
              <w:jc w:val="center"/>
              <w:rPr>
                <w:rFonts w:hint="default" w:hAnsi="宋体" w:eastAsia="宋体" w:cs="宋体"/>
                <w:color w:val="auto"/>
                <w:szCs w:val="21"/>
                <w:highlight w:val="none"/>
                <w:lang w:val="en-US" w:eastAsia="zh-CN"/>
              </w:rPr>
            </w:pPr>
            <w:r>
              <w:rPr>
                <w:rFonts w:hint="eastAsia" w:ascii="宋体" w:hAnsi="宋体" w:cs="宋体"/>
                <w:color w:val="auto"/>
                <w:szCs w:val="21"/>
                <w:highlight w:val="none"/>
                <w:u w:val="none"/>
              </w:rPr>
              <w:t>服务期限</w:t>
            </w:r>
          </w:p>
        </w:tc>
        <w:tc>
          <w:tcPr>
            <w:tcW w:w="3738" w:type="pct"/>
            <w:tcBorders>
              <w:tl2br w:val="nil"/>
              <w:tr2bl w:val="nil"/>
            </w:tcBorders>
            <w:vAlign w:val="center"/>
          </w:tcPr>
          <w:p w14:paraId="00072930">
            <w:pPr>
              <w:wordWrap w:val="0"/>
              <w:jc w:val="center"/>
              <w:rPr>
                <w:rFonts w:hint="default" w:hAnsi="宋体" w:eastAsia="宋体" w:cs="宋体"/>
                <w:color w:val="auto"/>
                <w:szCs w:val="21"/>
                <w:highlight w:val="none"/>
                <w:lang w:val="en-US" w:eastAsia="zh-CN"/>
              </w:rPr>
            </w:pPr>
            <w:r>
              <w:rPr>
                <w:rFonts w:hint="eastAsia" w:ascii="宋体" w:hAnsi="宋体" w:eastAsia="宋体" w:cs="宋体"/>
                <w:sz w:val="21"/>
                <w:szCs w:val="21"/>
                <w:highlight w:val="none"/>
              </w:rPr>
              <w:t>三年，实际服务时间以乙方接到甲方发出开工通知书并正式进场服务开始计算。</w:t>
            </w:r>
          </w:p>
        </w:tc>
      </w:tr>
    </w:tbl>
    <w:p w14:paraId="4F2C0DC9">
      <w:pPr>
        <w:wordWrap w:val="0"/>
        <w:spacing w:line="360" w:lineRule="auto"/>
        <w:rPr>
          <w:rFonts w:hAnsi="宋体" w:cs="宋体"/>
          <w:b/>
          <w:color w:val="auto"/>
          <w:szCs w:val="21"/>
          <w:highlight w:val="none"/>
        </w:rPr>
      </w:pPr>
      <w:r>
        <w:rPr>
          <w:rFonts w:hint="eastAsia" w:hAnsi="宋体" w:cs="宋体"/>
          <w:b/>
          <w:color w:val="auto"/>
          <w:szCs w:val="21"/>
          <w:highlight w:val="none"/>
        </w:rPr>
        <w:t>备注：</w:t>
      </w:r>
    </w:p>
    <w:p w14:paraId="4F6F82D3">
      <w:pPr>
        <w:wordWrap w:val="0"/>
        <w:spacing w:line="360" w:lineRule="auto"/>
        <w:ind w:firstLine="422" w:firstLineChars="200"/>
        <w:rPr>
          <w:rFonts w:hAnsi="宋体" w:cs="宋体"/>
          <w:b/>
          <w:color w:val="auto"/>
          <w:szCs w:val="21"/>
          <w:highlight w:val="none"/>
        </w:rPr>
      </w:pPr>
      <w:r>
        <w:rPr>
          <w:rFonts w:hint="eastAsia" w:hAnsi="宋体" w:cs="宋体"/>
          <w:b/>
          <w:color w:val="auto"/>
          <w:szCs w:val="21"/>
          <w:highlight w:val="none"/>
        </w:rPr>
        <w:t>1、本表中“投标</w:t>
      </w:r>
      <w:r>
        <w:rPr>
          <w:rFonts w:hint="eastAsia" w:hAnsi="宋体" w:cs="宋体"/>
          <w:b/>
          <w:color w:val="auto"/>
          <w:szCs w:val="21"/>
          <w:highlight w:val="none"/>
          <w:lang w:val="en-US" w:eastAsia="zh-CN"/>
        </w:rPr>
        <w:t>总</w:t>
      </w:r>
      <w:r>
        <w:rPr>
          <w:rFonts w:hint="eastAsia" w:hAnsi="宋体" w:cs="宋体"/>
          <w:b/>
          <w:color w:val="auto"/>
          <w:szCs w:val="21"/>
          <w:highlight w:val="none"/>
        </w:rPr>
        <w:t>报价”为含税</w:t>
      </w:r>
      <w:r>
        <w:rPr>
          <w:rFonts w:hint="eastAsia" w:ascii="Times New Roman" w:hAnsi="宋体" w:eastAsia="宋体" w:cs="宋体"/>
          <w:b/>
          <w:color w:val="auto"/>
          <w:szCs w:val="21"/>
          <w:highlight w:val="none"/>
          <w:lang w:val="en-US" w:eastAsia="zh-CN"/>
        </w:rPr>
        <w:t>总</w:t>
      </w:r>
      <w:r>
        <w:rPr>
          <w:rFonts w:hint="eastAsia" w:hAnsi="宋体" w:cs="宋体"/>
          <w:b/>
          <w:color w:val="auto"/>
          <w:szCs w:val="21"/>
          <w:highlight w:val="none"/>
        </w:rPr>
        <w:t>价（即不含税投标报价与增值税之和）。投标人在填写投标报价时应当注意区分“投标报价（不含税）”、“增值税”、“投</w:t>
      </w:r>
      <w:r>
        <w:rPr>
          <w:rFonts w:hint="eastAsia" w:ascii="Times New Roman" w:hAnsi="宋体" w:eastAsia="宋体" w:cs="宋体"/>
          <w:b/>
          <w:color w:val="auto"/>
          <w:szCs w:val="21"/>
          <w:highlight w:val="none"/>
        </w:rPr>
        <w:t>标</w:t>
      </w:r>
      <w:r>
        <w:rPr>
          <w:rFonts w:hint="eastAsia" w:ascii="Times New Roman" w:hAnsi="宋体" w:eastAsia="宋体" w:cs="宋体"/>
          <w:b/>
          <w:color w:val="auto"/>
          <w:szCs w:val="21"/>
          <w:highlight w:val="none"/>
          <w:lang w:val="en-US" w:eastAsia="zh-CN"/>
        </w:rPr>
        <w:t>总</w:t>
      </w:r>
      <w:r>
        <w:rPr>
          <w:rFonts w:hint="eastAsia" w:ascii="Times New Roman" w:hAnsi="宋体" w:eastAsia="宋体" w:cs="宋体"/>
          <w:b/>
          <w:color w:val="auto"/>
          <w:szCs w:val="21"/>
          <w:highlight w:val="none"/>
        </w:rPr>
        <w:t>报价（</w:t>
      </w:r>
      <w:r>
        <w:rPr>
          <w:rFonts w:hint="eastAsia" w:hAnsi="宋体" w:cs="宋体"/>
          <w:b/>
          <w:color w:val="auto"/>
          <w:szCs w:val="21"/>
          <w:highlight w:val="none"/>
        </w:rPr>
        <w:t>含税）”。</w:t>
      </w:r>
    </w:p>
    <w:p w14:paraId="056673E0">
      <w:pPr>
        <w:wordWrap w:val="0"/>
        <w:spacing w:line="360" w:lineRule="auto"/>
        <w:ind w:left="-424" w:leftChars="-202" w:firstLine="840" w:firstLineChars="400"/>
        <w:rPr>
          <w:rFonts w:hAnsi="宋体" w:cs="宋体"/>
          <w:b/>
          <w:color w:val="auto"/>
          <w:szCs w:val="21"/>
          <w:highlight w:val="none"/>
        </w:rPr>
      </w:pPr>
      <w:r>
        <w:rPr>
          <w:rFonts w:hint="eastAsia" w:hAnsi="宋体" w:cs="宋体"/>
          <w:color w:val="auto"/>
          <w:szCs w:val="21"/>
          <w:highlight w:val="none"/>
        </w:rPr>
        <w:t>2、所有投标报价相关表格保留小数点后两位，小数点后第三位“四舍五入”。</w:t>
      </w:r>
    </w:p>
    <w:p w14:paraId="31389D8E">
      <w:pPr>
        <w:wordWrap w:val="0"/>
        <w:spacing w:line="360" w:lineRule="auto"/>
        <w:ind w:firstLine="420" w:firstLineChars="200"/>
        <w:rPr>
          <w:rFonts w:hAnsi="宋体" w:cs="宋体"/>
          <w:color w:val="auto"/>
          <w:szCs w:val="21"/>
          <w:highlight w:val="none"/>
        </w:rPr>
      </w:pPr>
      <w:r>
        <w:rPr>
          <w:rFonts w:hint="eastAsia" w:hAnsi="宋体" w:cs="宋体"/>
          <w:color w:val="auto"/>
          <w:szCs w:val="21"/>
          <w:highlight w:val="none"/>
        </w:rPr>
        <w:t>3、投标</w:t>
      </w:r>
      <w:r>
        <w:rPr>
          <w:rFonts w:hint="eastAsia" w:hAnsi="宋体" w:cs="宋体"/>
          <w:color w:val="auto"/>
          <w:szCs w:val="21"/>
          <w:highlight w:val="none"/>
          <w:lang w:val="en-US" w:eastAsia="zh-CN"/>
        </w:rPr>
        <w:t>总</w:t>
      </w:r>
      <w:r>
        <w:rPr>
          <w:rFonts w:hint="eastAsia" w:hAnsi="宋体" w:cs="宋体"/>
          <w:color w:val="auto"/>
          <w:szCs w:val="21"/>
          <w:highlight w:val="none"/>
        </w:rPr>
        <w:t>报价已包含了招标文件要求的所有内容及要求；任何投标报价相关表格中未具体列明的，但在合同执行阶段可能发生的一切税费及费用等均已包含在投标</w:t>
      </w:r>
      <w:r>
        <w:rPr>
          <w:rFonts w:hint="eastAsia" w:hAnsi="宋体" w:cs="宋体"/>
          <w:color w:val="auto"/>
          <w:szCs w:val="21"/>
          <w:highlight w:val="none"/>
          <w:lang w:val="en-US" w:eastAsia="zh-CN"/>
        </w:rPr>
        <w:t>总</w:t>
      </w:r>
      <w:r>
        <w:rPr>
          <w:rFonts w:hint="eastAsia" w:hAnsi="宋体" w:cs="宋体"/>
          <w:color w:val="auto"/>
          <w:szCs w:val="21"/>
          <w:highlight w:val="none"/>
        </w:rPr>
        <w:t>报价中。投标</w:t>
      </w:r>
      <w:r>
        <w:rPr>
          <w:rFonts w:hint="eastAsia" w:hAnsi="宋体" w:cs="宋体"/>
          <w:color w:val="auto"/>
          <w:szCs w:val="21"/>
          <w:highlight w:val="none"/>
          <w:lang w:val="en-US" w:eastAsia="zh-CN"/>
        </w:rPr>
        <w:t>总</w:t>
      </w:r>
      <w:r>
        <w:rPr>
          <w:rFonts w:hint="eastAsia" w:hAnsi="宋体" w:cs="宋体"/>
          <w:color w:val="auto"/>
          <w:szCs w:val="21"/>
          <w:highlight w:val="none"/>
        </w:rPr>
        <w:t>报价视为已充分考虑本项目实施过程中有可能出现的所有市场风险，包括但不限于人力成本的增加、物价上涨、国家宏观调控、经济环境变化等因素。</w:t>
      </w:r>
    </w:p>
    <w:p w14:paraId="7CA7773C">
      <w:pPr>
        <w:wordWrap w:val="0"/>
        <w:spacing w:line="360" w:lineRule="auto"/>
        <w:ind w:left="-424" w:leftChars="-202" w:firstLine="840" w:firstLineChars="400"/>
        <w:rPr>
          <w:rFonts w:hAnsi="宋体" w:cs="宋体"/>
          <w:b/>
          <w:color w:val="auto"/>
          <w:szCs w:val="21"/>
          <w:highlight w:val="none"/>
        </w:rPr>
      </w:pPr>
      <w:r>
        <w:rPr>
          <w:rFonts w:hint="eastAsia" w:hAnsi="宋体" w:cs="宋体"/>
          <w:color w:val="auto"/>
          <w:szCs w:val="21"/>
          <w:highlight w:val="none"/>
          <w:lang w:val="en-US" w:eastAsia="zh-CN"/>
        </w:rPr>
        <w:t>4</w:t>
      </w:r>
      <w:r>
        <w:rPr>
          <w:rFonts w:hint="eastAsia" w:hAnsi="宋体" w:cs="宋体"/>
          <w:color w:val="auto"/>
          <w:szCs w:val="21"/>
          <w:highlight w:val="none"/>
        </w:rPr>
        <w:t>、本表中的“投标</w:t>
      </w:r>
      <w:r>
        <w:rPr>
          <w:rFonts w:hint="eastAsia" w:hAnsi="宋体" w:cs="宋体"/>
          <w:color w:val="auto"/>
          <w:szCs w:val="21"/>
          <w:highlight w:val="none"/>
          <w:lang w:val="en-US" w:eastAsia="zh-CN"/>
        </w:rPr>
        <w:t>总</w:t>
      </w:r>
      <w:r>
        <w:rPr>
          <w:rFonts w:hint="eastAsia" w:hAnsi="宋体" w:cs="宋体"/>
          <w:color w:val="auto"/>
          <w:szCs w:val="21"/>
          <w:highlight w:val="none"/>
        </w:rPr>
        <w:t>报价（含税）”的金额应与《投标报价表》中的相应金额一致。</w:t>
      </w:r>
    </w:p>
    <w:p w14:paraId="0774717C">
      <w:pPr>
        <w:wordWrap w:val="0"/>
        <w:spacing w:line="360" w:lineRule="auto"/>
        <w:ind w:firstLine="422" w:firstLineChars="200"/>
        <w:rPr>
          <w:rFonts w:hAnsi="宋体" w:cs="宋体"/>
          <w:b/>
          <w:color w:val="auto"/>
          <w:szCs w:val="21"/>
          <w:highlight w:val="none"/>
        </w:rPr>
      </w:pPr>
      <w:r>
        <w:rPr>
          <w:rFonts w:hint="eastAsia" w:hAnsi="宋体" w:cs="宋体"/>
          <w:b/>
          <w:bCs w:val="0"/>
          <w:color w:val="auto"/>
          <w:szCs w:val="21"/>
          <w:highlight w:val="none"/>
          <w:lang w:val="en-US" w:eastAsia="zh-CN"/>
        </w:rPr>
        <w:t>5</w:t>
      </w:r>
      <w:r>
        <w:rPr>
          <w:rFonts w:hint="eastAsia" w:hAnsi="宋体" w:cs="宋体"/>
          <w:b/>
          <w:bCs w:val="0"/>
          <w:color w:val="auto"/>
          <w:szCs w:val="21"/>
          <w:highlight w:val="none"/>
        </w:rPr>
        <w:t>、</w:t>
      </w:r>
      <w:r>
        <w:rPr>
          <w:rFonts w:hint="eastAsia" w:ascii="Times New Roman" w:hAnsi="宋体" w:eastAsia="宋体" w:cs="宋体"/>
          <w:b/>
          <w:bCs w:val="0"/>
          <w:color w:val="auto"/>
          <w:szCs w:val="21"/>
          <w:highlight w:val="none"/>
        </w:rPr>
        <w:t>任何关于投标报价不一致的情形，报价评审环节均以投标文件“开标一览表”中的含税总报价为准，合 同签订阶段，按照招标文件相关要求执行。</w:t>
      </w:r>
    </w:p>
    <w:p w14:paraId="43209810">
      <w:pPr>
        <w:wordWrap w:val="0"/>
        <w:spacing w:line="360" w:lineRule="auto"/>
        <w:ind w:firstLine="630" w:firstLineChars="300"/>
        <w:rPr>
          <w:rFonts w:hAnsi="宋体" w:cs="宋体"/>
          <w:color w:val="auto"/>
          <w:szCs w:val="21"/>
          <w:highlight w:val="none"/>
        </w:rPr>
      </w:pPr>
    </w:p>
    <w:p w14:paraId="6D20B780">
      <w:pPr>
        <w:wordWrap w:val="0"/>
        <w:spacing w:line="360" w:lineRule="auto"/>
        <w:rPr>
          <w:rFonts w:hAnsi="宋体" w:cs="宋体"/>
          <w:color w:val="auto"/>
          <w:szCs w:val="21"/>
          <w:highlight w:val="none"/>
          <w:u w:val="single"/>
        </w:rPr>
      </w:pPr>
      <w:r>
        <w:rPr>
          <w:rFonts w:hint="eastAsia" w:hAnsi="宋体" w:cs="宋体"/>
          <w:color w:val="auto"/>
          <w:szCs w:val="21"/>
          <w:highlight w:val="none"/>
        </w:rPr>
        <w:t>投标人：</w:t>
      </w:r>
      <w:r>
        <w:rPr>
          <w:rFonts w:hint="eastAsia" w:hAnsi="宋体" w:cs="宋体"/>
          <w:color w:val="auto"/>
          <w:szCs w:val="21"/>
          <w:highlight w:val="none"/>
          <w:u w:val="single"/>
        </w:rPr>
        <w:t xml:space="preserve">                  </w:t>
      </w:r>
      <w:r>
        <w:rPr>
          <w:rFonts w:hint="eastAsia" w:hAnsi="宋体" w:cs="宋体"/>
          <w:color w:val="auto"/>
          <w:szCs w:val="21"/>
          <w:highlight w:val="none"/>
        </w:rPr>
        <w:t>（盖单位公章）</w:t>
      </w:r>
    </w:p>
    <w:p w14:paraId="02D94B30">
      <w:pPr>
        <w:wordWrap w:val="0"/>
        <w:adjustRightInd w:val="0"/>
        <w:snapToGrid w:val="0"/>
        <w:spacing w:line="360" w:lineRule="auto"/>
        <w:rPr>
          <w:rFonts w:hAnsi="宋体" w:cs="宋体"/>
          <w:color w:val="auto"/>
          <w:szCs w:val="21"/>
          <w:highlight w:val="none"/>
        </w:rPr>
      </w:pPr>
      <w:r>
        <w:rPr>
          <w:rFonts w:hint="eastAsia" w:ascii="宋体" w:hAnsi="宋体" w:cs="宋体"/>
          <w:color w:val="auto"/>
          <w:szCs w:val="21"/>
          <w:highlight w:val="none"/>
        </w:rPr>
        <w:t>法定代表人或其委托代理人(签字或盖章)：</w:t>
      </w:r>
      <w:r>
        <w:rPr>
          <w:rFonts w:hint="eastAsia" w:ascii="宋体" w:hAnsi="宋体" w:cs="宋体"/>
          <w:color w:val="auto"/>
          <w:szCs w:val="21"/>
          <w:highlight w:val="none"/>
          <w:u w:val="single"/>
        </w:rPr>
        <w:t xml:space="preserve">                </w:t>
      </w:r>
    </w:p>
    <w:p w14:paraId="103ECE7E">
      <w:pPr>
        <w:wordWrap w:val="0"/>
        <w:spacing w:line="360" w:lineRule="auto"/>
        <w:rPr>
          <w:rFonts w:hint="eastAsia" w:hAnsi="宋体" w:cs="宋体"/>
          <w:color w:val="auto"/>
          <w:szCs w:val="21"/>
          <w:highlight w:val="none"/>
        </w:rPr>
      </w:pPr>
      <w:r>
        <w:rPr>
          <w:rFonts w:hint="eastAsia" w:hAnsi="宋体" w:cs="宋体"/>
          <w:color w:val="auto"/>
          <w:szCs w:val="21"/>
          <w:highlight w:val="none"/>
          <w:u w:val="single"/>
        </w:rPr>
        <w:t xml:space="preserve">       </w:t>
      </w:r>
      <w:r>
        <w:rPr>
          <w:rFonts w:hint="eastAsia" w:hAnsi="宋体" w:cs="宋体"/>
          <w:color w:val="auto"/>
          <w:szCs w:val="21"/>
          <w:highlight w:val="none"/>
        </w:rPr>
        <w:t>年</w:t>
      </w:r>
      <w:r>
        <w:rPr>
          <w:rFonts w:hint="eastAsia" w:hAnsi="宋体" w:cs="宋体"/>
          <w:color w:val="auto"/>
          <w:szCs w:val="21"/>
          <w:highlight w:val="none"/>
          <w:u w:val="single"/>
        </w:rPr>
        <w:t xml:space="preserve">    </w:t>
      </w:r>
      <w:r>
        <w:rPr>
          <w:rFonts w:hint="eastAsia" w:hAnsi="宋体" w:cs="宋体"/>
          <w:color w:val="auto"/>
          <w:szCs w:val="21"/>
          <w:highlight w:val="none"/>
        </w:rPr>
        <w:t>月</w:t>
      </w:r>
      <w:r>
        <w:rPr>
          <w:rFonts w:hint="eastAsia" w:hAnsi="宋体" w:cs="宋体"/>
          <w:color w:val="auto"/>
          <w:szCs w:val="21"/>
          <w:highlight w:val="none"/>
          <w:u w:val="single"/>
        </w:rPr>
        <w:t xml:space="preserve">     </w:t>
      </w:r>
      <w:r>
        <w:rPr>
          <w:rFonts w:hint="eastAsia" w:hAnsi="宋体" w:cs="宋体"/>
          <w:color w:val="auto"/>
          <w:szCs w:val="21"/>
          <w:highlight w:val="none"/>
        </w:rPr>
        <w:t>日</w:t>
      </w:r>
    </w:p>
    <w:p w14:paraId="6EBB51E2">
      <w:pPr>
        <w:wordWrap w:val="0"/>
        <w:spacing w:line="360" w:lineRule="auto"/>
        <w:rPr>
          <w:rFonts w:hint="eastAsia" w:hAnsi="宋体" w:cs="宋体"/>
          <w:color w:val="auto"/>
          <w:szCs w:val="21"/>
          <w:highlight w:val="none"/>
        </w:rPr>
      </w:pPr>
    </w:p>
    <w:p w14:paraId="6E29CD5F">
      <w:pPr>
        <w:wordWrap w:val="0"/>
        <w:spacing w:line="360" w:lineRule="auto"/>
        <w:rPr>
          <w:rFonts w:hint="eastAsia" w:hAnsi="宋体" w:cs="宋体"/>
          <w:color w:val="auto"/>
          <w:szCs w:val="21"/>
          <w:highlight w:val="none"/>
        </w:rPr>
      </w:pPr>
    </w:p>
    <w:p w14:paraId="00EE1B4A">
      <w:pPr>
        <w:rPr>
          <w:rFonts w:ascii="Calibri" w:cs="宋体"/>
          <w:color w:val="auto"/>
          <w:szCs w:val="28"/>
          <w:highlight w:val="none"/>
        </w:rPr>
      </w:pPr>
      <w:r>
        <w:rPr>
          <w:rFonts w:ascii="Calibri" w:cs="宋体"/>
          <w:color w:val="auto"/>
          <w:szCs w:val="28"/>
          <w:highlight w:val="none"/>
        </w:rPr>
        <w:br w:type="page"/>
      </w:r>
    </w:p>
    <w:p w14:paraId="42AFDAAF">
      <w:pPr>
        <w:pStyle w:val="138"/>
        <w:tabs>
          <w:tab w:val="left" w:pos="4538"/>
          <w:tab w:val="left" w:pos="5484"/>
          <w:tab w:val="left" w:pos="6427"/>
        </w:tabs>
        <w:wordWrap w:val="0"/>
        <w:spacing w:after="240" w:line="360" w:lineRule="auto"/>
        <w:ind w:left="220" w:right="339"/>
        <w:jc w:val="center"/>
        <w:rPr>
          <w:rFonts w:hint="default" w:ascii="Calibri" w:hAnsi="宋体" w:eastAsia="宋体" w:cs="宋体"/>
          <w:color w:val="auto"/>
          <w:szCs w:val="28"/>
          <w:highlight w:val="none"/>
        </w:rPr>
      </w:pPr>
      <w:r>
        <w:rPr>
          <w:rFonts w:hint="eastAsia" w:ascii="Calibri" w:hAnsi="宋体" w:eastAsia="宋体" w:cs="宋体"/>
          <w:color w:val="auto"/>
          <w:szCs w:val="28"/>
          <w:highlight w:val="none"/>
        </w:rPr>
        <w:t>三、投标报价表</w:t>
      </w:r>
    </w:p>
    <w:p w14:paraId="0B863BA1">
      <w:pPr>
        <w:wordWrap w:val="0"/>
        <w:adjustRightInd w:val="0"/>
        <w:snapToGrid w:val="0"/>
        <w:spacing w:after="157" w:afterLines="50" w:line="240" w:lineRule="auto"/>
        <w:rPr>
          <w:rFonts w:hint="default"/>
          <w:color w:val="auto"/>
          <w:highlight w:val="none"/>
          <w:lang w:val="en-US"/>
        </w:rPr>
      </w:pPr>
      <w:r>
        <w:rPr>
          <w:rFonts w:hAnsi="宋体" w:cs="宋体"/>
          <w:b/>
          <w:bCs/>
          <w:color w:val="auto"/>
          <w:szCs w:val="21"/>
          <w:highlight w:val="none"/>
        </w:rPr>
        <w:t>项目名称</w:t>
      </w:r>
      <w:r>
        <w:rPr>
          <w:rFonts w:hint="eastAsia" w:hAnsi="宋体" w:cs="宋体"/>
          <w:b/>
          <w:bCs/>
          <w:color w:val="auto"/>
          <w:szCs w:val="21"/>
          <w:highlight w:val="none"/>
        </w:rPr>
        <w:t>：</w:t>
      </w:r>
      <w:r>
        <w:rPr>
          <w:rFonts w:hint="eastAsia" w:ascii="宋体" w:hAnsi="宋体" w:eastAsia="宋体" w:cs="宋体"/>
          <w:b/>
          <w:bCs/>
          <w:snapToGrid w:val="0"/>
          <w:color w:val="auto"/>
          <w:kern w:val="0"/>
          <w:szCs w:val="21"/>
          <w:highlight w:val="none"/>
          <w:lang w:val="en-US" w:eastAsia="zh-CN"/>
        </w:rPr>
        <w:t>2026-2028年员工食堂劳务外包、物资供应项目</w:t>
      </w:r>
      <w:r>
        <w:rPr>
          <w:rFonts w:hint="eastAsia" w:ascii="宋体" w:hAnsi="宋体" w:cs="宋体"/>
          <w:b/>
          <w:bCs/>
          <w:snapToGrid w:val="0"/>
          <w:color w:val="auto"/>
          <w:kern w:val="0"/>
          <w:szCs w:val="21"/>
          <w:highlight w:val="none"/>
          <w:lang w:val="en-US" w:eastAsia="zh-CN"/>
        </w:rPr>
        <w:t>一标段</w:t>
      </w:r>
    </w:p>
    <w:tbl>
      <w:tblPr>
        <w:tblStyle w:val="65"/>
        <w:tblW w:w="10498" w:type="dxa"/>
        <w:tblInd w:w="-2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1143"/>
        <w:gridCol w:w="1582"/>
        <w:gridCol w:w="841"/>
        <w:gridCol w:w="1143"/>
        <w:gridCol w:w="1293"/>
        <w:gridCol w:w="1029"/>
        <w:gridCol w:w="1107"/>
        <w:gridCol w:w="1721"/>
      </w:tblGrid>
      <w:tr w14:paraId="26907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2" w:hRule="atLeast"/>
        </w:trPr>
        <w:tc>
          <w:tcPr>
            <w:tcW w:w="639" w:type="dxa"/>
            <w:vMerge w:val="restart"/>
            <w:vAlign w:val="center"/>
          </w:tcPr>
          <w:p w14:paraId="75FAF06C">
            <w:pPr>
              <w:pStyle w:val="139"/>
              <w:jc w:val="center"/>
              <w:rPr>
                <w:rFonts w:hint="eastAsia" w:eastAsia="宋体"/>
                <w:color w:val="auto"/>
                <w:szCs w:val="22"/>
                <w:highlight w:val="none"/>
                <w:vertAlign w:val="baseline"/>
                <w:lang w:val="en-US" w:eastAsia="zh-CN"/>
              </w:rPr>
            </w:pPr>
            <w:r>
              <w:rPr>
                <w:rFonts w:hint="eastAsia"/>
                <w:color w:val="auto"/>
                <w:szCs w:val="22"/>
                <w:highlight w:val="none"/>
                <w:vertAlign w:val="baseline"/>
                <w:lang w:val="en-US" w:eastAsia="zh-CN"/>
              </w:rPr>
              <w:t>序号</w:t>
            </w:r>
          </w:p>
        </w:tc>
        <w:tc>
          <w:tcPr>
            <w:tcW w:w="1143" w:type="dxa"/>
            <w:vMerge w:val="restart"/>
            <w:vAlign w:val="center"/>
          </w:tcPr>
          <w:p w14:paraId="66B3BFB7">
            <w:pPr>
              <w:pStyle w:val="139"/>
              <w:jc w:val="center"/>
              <w:rPr>
                <w:rFonts w:hint="default" w:eastAsia="宋体"/>
                <w:color w:val="auto"/>
                <w:szCs w:val="22"/>
                <w:highlight w:val="none"/>
                <w:vertAlign w:val="baseline"/>
                <w:lang w:val="en-US" w:eastAsia="zh-CN"/>
              </w:rPr>
            </w:pPr>
            <w:r>
              <w:rPr>
                <w:rFonts w:hint="eastAsia"/>
                <w:color w:val="auto"/>
                <w:szCs w:val="22"/>
                <w:highlight w:val="none"/>
                <w:vertAlign w:val="baseline"/>
                <w:lang w:val="en-US" w:eastAsia="zh-CN"/>
              </w:rPr>
              <w:t>费用类别</w:t>
            </w:r>
          </w:p>
        </w:tc>
        <w:tc>
          <w:tcPr>
            <w:tcW w:w="1582" w:type="dxa"/>
            <w:vMerge w:val="restart"/>
            <w:vAlign w:val="center"/>
          </w:tcPr>
          <w:p w14:paraId="10ECD1EE">
            <w:pPr>
              <w:pStyle w:val="139"/>
              <w:jc w:val="center"/>
              <w:rPr>
                <w:rFonts w:hint="eastAsia" w:eastAsia="宋体"/>
                <w:color w:val="auto"/>
                <w:szCs w:val="22"/>
                <w:highlight w:val="none"/>
                <w:vertAlign w:val="baseline"/>
                <w:lang w:val="en-US" w:eastAsia="zh-CN"/>
              </w:rPr>
            </w:pPr>
            <w:r>
              <w:rPr>
                <w:rFonts w:hint="eastAsia"/>
                <w:color w:val="auto"/>
                <w:szCs w:val="22"/>
                <w:highlight w:val="none"/>
                <w:vertAlign w:val="baseline"/>
                <w:lang w:val="en-US" w:eastAsia="zh-CN"/>
              </w:rPr>
              <w:t>岗位</w:t>
            </w:r>
          </w:p>
        </w:tc>
        <w:tc>
          <w:tcPr>
            <w:tcW w:w="841" w:type="dxa"/>
            <w:vMerge w:val="restart"/>
            <w:vAlign w:val="center"/>
          </w:tcPr>
          <w:p w14:paraId="54466371">
            <w:pPr>
              <w:pStyle w:val="139"/>
              <w:jc w:val="center"/>
              <w:rPr>
                <w:rFonts w:hint="eastAsia"/>
                <w:color w:val="auto"/>
                <w:szCs w:val="22"/>
                <w:highlight w:val="none"/>
                <w:vertAlign w:val="baseline"/>
                <w:lang w:val="en-US" w:eastAsia="zh-CN"/>
              </w:rPr>
            </w:pPr>
            <w:r>
              <w:rPr>
                <w:rFonts w:hint="eastAsia"/>
                <w:color w:val="auto"/>
                <w:szCs w:val="22"/>
                <w:highlight w:val="none"/>
                <w:vertAlign w:val="baseline"/>
                <w:lang w:val="en-US" w:eastAsia="zh-CN"/>
              </w:rPr>
              <w:t>配置</w:t>
            </w:r>
          </w:p>
          <w:p w14:paraId="0AEE9B6B">
            <w:pPr>
              <w:pStyle w:val="139"/>
              <w:jc w:val="center"/>
              <w:rPr>
                <w:rFonts w:hint="default" w:eastAsia="宋体"/>
                <w:color w:val="auto"/>
                <w:szCs w:val="22"/>
                <w:highlight w:val="none"/>
                <w:vertAlign w:val="baseline"/>
                <w:lang w:val="en-US" w:eastAsia="zh-CN"/>
              </w:rPr>
            </w:pPr>
            <w:r>
              <w:rPr>
                <w:rFonts w:hint="eastAsia"/>
                <w:color w:val="auto"/>
                <w:szCs w:val="22"/>
                <w:highlight w:val="none"/>
                <w:vertAlign w:val="baseline"/>
                <w:lang w:val="en-US" w:eastAsia="zh-CN"/>
              </w:rPr>
              <w:t>人数</w:t>
            </w:r>
          </w:p>
        </w:tc>
        <w:tc>
          <w:tcPr>
            <w:tcW w:w="1143" w:type="dxa"/>
            <w:vMerge w:val="restart"/>
            <w:vAlign w:val="center"/>
          </w:tcPr>
          <w:p w14:paraId="630CF260">
            <w:pPr>
              <w:pStyle w:val="139"/>
              <w:jc w:val="center"/>
              <w:rPr>
                <w:rFonts w:hint="eastAsia"/>
                <w:color w:val="auto"/>
                <w:szCs w:val="22"/>
                <w:highlight w:val="none"/>
                <w:vertAlign w:val="baseline"/>
                <w:lang w:val="en-US" w:eastAsia="zh-CN"/>
              </w:rPr>
            </w:pPr>
            <w:r>
              <w:rPr>
                <w:rFonts w:hint="eastAsia"/>
                <w:color w:val="auto"/>
                <w:szCs w:val="22"/>
                <w:highlight w:val="none"/>
                <w:vertAlign w:val="baseline"/>
                <w:lang w:val="en-US" w:eastAsia="zh-CN"/>
              </w:rPr>
              <w:t>服务期限</w:t>
            </w:r>
          </w:p>
          <w:p w14:paraId="05CB4657">
            <w:pPr>
              <w:pStyle w:val="139"/>
              <w:ind w:left="0" w:firstLine="0"/>
              <w:jc w:val="center"/>
              <w:rPr>
                <w:rFonts w:hint="default" w:eastAsia="宋体"/>
                <w:color w:val="auto"/>
                <w:szCs w:val="22"/>
                <w:highlight w:val="none"/>
                <w:vertAlign w:val="baseline"/>
                <w:lang w:val="en-US" w:eastAsia="zh-CN"/>
              </w:rPr>
            </w:pPr>
            <w:r>
              <w:rPr>
                <w:rFonts w:hint="eastAsia"/>
                <w:color w:val="auto"/>
                <w:szCs w:val="22"/>
                <w:highlight w:val="none"/>
                <w:vertAlign w:val="baseline"/>
                <w:lang w:val="en-US" w:eastAsia="zh-CN"/>
              </w:rPr>
              <w:t>（月）</w:t>
            </w:r>
          </w:p>
        </w:tc>
        <w:tc>
          <w:tcPr>
            <w:tcW w:w="3429" w:type="dxa"/>
            <w:gridSpan w:val="3"/>
            <w:vAlign w:val="center"/>
          </w:tcPr>
          <w:p w14:paraId="5EF03E6F">
            <w:pPr>
              <w:pStyle w:val="139"/>
              <w:ind w:left="0" w:leftChars="0" w:firstLine="0" w:firstLineChars="0"/>
              <w:jc w:val="center"/>
              <w:rPr>
                <w:rFonts w:hint="default"/>
                <w:color w:val="auto"/>
                <w:szCs w:val="22"/>
                <w:highlight w:val="none"/>
                <w:vertAlign w:val="baseline"/>
              </w:rPr>
            </w:pPr>
            <w:r>
              <w:rPr>
                <w:rFonts w:hint="eastAsia" w:ascii="宋体" w:hAnsi="Times New Roman" w:eastAsia="宋体" w:cs="Times New Roman"/>
                <w:color w:val="auto"/>
                <w:szCs w:val="22"/>
                <w:highlight w:val="none"/>
                <w:vertAlign w:val="baseline"/>
                <w:lang w:val="en-US" w:eastAsia="zh-CN"/>
              </w:rPr>
              <w:t>单价（元/月/人）</w:t>
            </w:r>
          </w:p>
        </w:tc>
        <w:tc>
          <w:tcPr>
            <w:tcW w:w="1721" w:type="dxa"/>
            <w:vAlign w:val="center"/>
          </w:tcPr>
          <w:p w14:paraId="27C5230F">
            <w:pPr>
              <w:pStyle w:val="139"/>
              <w:jc w:val="center"/>
              <w:rPr>
                <w:rFonts w:hint="eastAsia" w:ascii="宋体" w:hAnsi="Times New Roman" w:eastAsia="宋体" w:cs="Times New Roman"/>
                <w:color w:val="auto"/>
                <w:szCs w:val="22"/>
                <w:highlight w:val="none"/>
                <w:vertAlign w:val="baseline"/>
                <w:lang w:val="en-US" w:eastAsia="zh-CN"/>
              </w:rPr>
            </w:pPr>
            <w:r>
              <w:rPr>
                <w:rFonts w:hint="eastAsia" w:ascii="宋体" w:hAnsi="Times New Roman" w:eastAsia="宋体" w:cs="Times New Roman"/>
                <w:color w:val="auto"/>
                <w:szCs w:val="22"/>
                <w:highlight w:val="none"/>
                <w:vertAlign w:val="baseline"/>
                <w:lang w:val="en-US" w:eastAsia="zh-CN"/>
              </w:rPr>
              <w:t>总价</w:t>
            </w:r>
          </w:p>
        </w:tc>
      </w:tr>
      <w:tr w14:paraId="2501A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39" w:type="dxa"/>
            <w:vMerge w:val="continue"/>
            <w:vAlign w:val="center"/>
          </w:tcPr>
          <w:p w14:paraId="1B27C038">
            <w:pPr>
              <w:pStyle w:val="139"/>
              <w:jc w:val="center"/>
              <w:rPr>
                <w:szCs w:val="22"/>
                <w:highlight w:val="none"/>
              </w:rPr>
            </w:pPr>
          </w:p>
        </w:tc>
        <w:tc>
          <w:tcPr>
            <w:tcW w:w="1143" w:type="dxa"/>
            <w:vMerge w:val="continue"/>
            <w:vAlign w:val="center"/>
          </w:tcPr>
          <w:p w14:paraId="307DC335">
            <w:pPr>
              <w:pStyle w:val="139"/>
              <w:jc w:val="center"/>
              <w:rPr>
                <w:szCs w:val="22"/>
                <w:highlight w:val="none"/>
              </w:rPr>
            </w:pPr>
          </w:p>
        </w:tc>
        <w:tc>
          <w:tcPr>
            <w:tcW w:w="1582" w:type="dxa"/>
            <w:vMerge w:val="continue"/>
            <w:vAlign w:val="center"/>
          </w:tcPr>
          <w:p w14:paraId="564268C7">
            <w:pPr>
              <w:pStyle w:val="139"/>
              <w:jc w:val="center"/>
              <w:rPr>
                <w:szCs w:val="22"/>
                <w:highlight w:val="none"/>
              </w:rPr>
            </w:pPr>
          </w:p>
        </w:tc>
        <w:tc>
          <w:tcPr>
            <w:tcW w:w="841" w:type="dxa"/>
            <w:vMerge w:val="continue"/>
            <w:vAlign w:val="center"/>
          </w:tcPr>
          <w:p w14:paraId="7F348723">
            <w:pPr>
              <w:pStyle w:val="139"/>
              <w:jc w:val="center"/>
              <w:rPr>
                <w:szCs w:val="22"/>
                <w:highlight w:val="none"/>
              </w:rPr>
            </w:pPr>
          </w:p>
        </w:tc>
        <w:tc>
          <w:tcPr>
            <w:tcW w:w="1143" w:type="dxa"/>
            <w:vMerge w:val="continue"/>
            <w:vAlign w:val="center"/>
          </w:tcPr>
          <w:p w14:paraId="3358C4BA">
            <w:pPr>
              <w:pStyle w:val="139"/>
              <w:jc w:val="center"/>
              <w:rPr>
                <w:szCs w:val="22"/>
                <w:highlight w:val="none"/>
              </w:rPr>
            </w:pPr>
          </w:p>
        </w:tc>
        <w:tc>
          <w:tcPr>
            <w:tcW w:w="1293" w:type="dxa"/>
            <w:vAlign w:val="center"/>
          </w:tcPr>
          <w:p w14:paraId="25B236E5">
            <w:pPr>
              <w:pStyle w:val="139"/>
              <w:ind w:left="0" w:leftChars="0" w:firstLine="0" w:firstLineChars="0"/>
              <w:jc w:val="both"/>
              <w:rPr>
                <w:rFonts w:hint="default" w:eastAsia="宋体"/>
                <w:color w:val="auto"/>
                <w:szCs w:val="22"/>
                <w:highlight w:val="none"/>
                <w:vertAlign w:val="baseline"/>
                <w:lang w:val="en-US" w:eastAsia="zh-CN"/>
              </w:rPr>
            </w:pPr>
            <w:r>
              <w:rPr>
                <w:rFonts w:hint="eastAsia"/>
                <w:color w:val="auto"/>
                <w:szCs w:val="22"/>
                <w:highlight w:val="none"/>
                <w:vertAlign w:val="baseline"/>
                <w:lang w:val="en-US" w:eastAsia="zh-CN"/>
              </w:rPr>
              <w:t>不含税单价</w:t>
            </w:r>
          </w:p>
        </w:tc>
        <w:tc>
          <w:tcPr>
            <w:tcW w:w="1029" w:type="dxa"/>
            <w:vAlign w:val="center"/>
          </w:tcPr>
          <w:p w14:paraId="24C51C8D">
            <w:pPr>
              <w:pStyle w:val="139"/>
              <w:ind w:left="0" w:leftChars="0" w:firstLine="0" w:firstLineChars="0"/>
              <w:jc w:val="center"/>
              <w:rPr>
                <w:rFonts w:hint="eastAsia" w:eastAsia="宋体"/>
                <w:color w:val="auto"/>
                <w:szCs w:val="22"/>
                <w:highlight w:val="none"/>
                <w:vertAlign w:val="baseline"/>
                <w:lang w:val="en-US" w:eastAsia="zh-CN"/>
              </w:rPr>
            </w:pPr>
            <w:r>
              <w:rPr>
                <w:rFonts w:hint="eastAsia"/>
                <w:color w:val="auto"/>
                <w:szCs w:val="22"/>
                <w:highlight w:val="none"/>
                <w:vertAlign w:val="baseline"/>
                <w:lang w:val="en-US" w:eastAsia="zh-CN"/>
              </w:rPr>
              <w:t>增值税</w:t>
            </w:r>
          </w:p>
        </w:tc>
        <w:tc>
          <w:tcPr>
            <w:tcW w:w="1107" w:type="dxa"/>
            <w:vAlign w:val="center"/>
          </w:tcPr>
          <w:p w14:paraId="38E565C9">
            <w:pPr>
              <w:pStyle w:val="139"/>
              <w:ind w:left="0" w:leftChars="0" w:firstLine="0" w:firstLineChars="0"/>
              <w:jc w:val="center"/>
              <w:rPr>
                <w:rFonts w:hint="default" w:eastAsia="宋体"/>
                <w:color w:val="auto"/>
                <w:szCs w:val="22"/>
                <w:highlight w:val="none"/>
                <w:vertAlign w:val="baseline"/>
                <w:lang w:val="en-US" w:eastAsia="zh-CN"/>
              </w:rPr>
            </w:pPr>
            <w:r>
              <w:rPr>
                <w:rFonts w:hint="eastAsia"/>
                <w:color w:val="auto"/>
                <w:szCs w:val="22"/>
                <w:highlight w:val="none"/>
                <w:vertAlign w:val="baseline"/>
                <w:lang w:val="en-US" w:eastAsia="zh-CN"/>
              </w:rPr>
              <w:t>含税单价</w:t>
            </w:r>
          </w:p>
        </w:tc>
        <w:tc>
          <w:tcPr>
            <w:tcW w:w="1721" w:type="dxa"/>
            <w:vAlign w:val="center"/>
          </w:tcPr>
          <w:p w14:paraId="3FC4C9BA">
            <w:pPr>
              <w:pStyle w:val="139"/>
              <w:ind w:left="0" w:leftChars="0" w:firstLine="0" w:firstLineChars="0"/>
              <w:jc w:val="both"/>
              <w:rPr>
                <w:rFonts w:hint="default" w:ascii="宋体" w:hAnsi="Times New Roman" w:eastAsia="宋体" w:cs="Times New Roman"/>
                <w:color w:val="auto"/>
                <w:szCs w:val="22"/>
                <w:highlight w:val="none"/>
                <w:vertAlign w:val="baseline"/>
                <w:lang w:val="en-US" w:eastAsia="zh-CN"/>
              </w:rPr>
            </w:pPr>
            <w:r>
              <w:rPr>
                <w:rFonts w:hint="eastAsia" w:ascii="宋体" w:hAnsi="Times New Roman" w:eastAsia="宋体" w:cs="Times New Roman"/>
                <w:color w:val="auto"/>
                <w:szCs w:val="22"/>
                <w:highlight w:val="none"/>
                <w:vertAlign w:val="baseline"/>
                <w:lang w:val="en-US" w:eastAsia="zh-CN"/>
              </w:rPr>
              <w:t>（含税单价*</w:t>
            </w:r>
            <w:r>
              <w:rPr>
                <w:rFonts w:hint="eastAsia"/>
                <w:color w:val="auto"/>
                <w:szCs w:val="22"/>
                <w:highlight w:val="none"/>
              </w:rPr>
              <w:t>配置人数</w:t>
            </w:r>
            <w:r>
              <w:rPr>
                <w:rFonts w:hint="eastAsia" w:ascii="宋体" w:hAnsi="Times New Roman" w:eastAsia="宋体" w:cs="Times New Roman"/>
                <w:color w:val="auto"/>
                <w:szCs w:val="22"/>
                <w:highlight w:val="none"/>
                <w:vertAlign w:val="baseline"/>
                <w:lang w:val="en-US" w:eastAsia="zh-CN"/>
              </w:rPr>
              <w:t>*</w:t>
            </w:r>
            <w:r>
              <w:rPr>
                <w:rFonts w:hint="eastAsia"/>
                <w:color w:val="auto"/>
                <w:szCs w:val="22"/>
                <w:highlight w:val="none"/>
              </w:rPr>
              <w:t>服务期限</w:t>
            </w:r>
            <w:r>
              <w:rPr>
                <w:rFonts w:hint="eastAsia" w:ascii="宋体" w:hAnsi="Times New Roman" w:eastAsia="宋体" w:cs="Times New Roman"/>
                <w:color w:val="auto"/>
                <w:szCs w:val="22"/>
                <w:highlight w:val="none"/>
                <w:vertAlign w:val="baseline"/>
                <w:lang w:val="en-US" w:eastAsia="zh-CN"/>
              </w:rPr>
              <w:t>）</w:t>
            </w:r>
          </w:p>
        </w:tc>
      </w:tr>
      <w:tr w14:paraId="1397A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639" w:type="dxa"/>
            <w:vAlign w:val="center"/>
          </w:tcPr>
          <w:p w14:paraId="0182B3A2">
            <w:pPr>
              <w:pStyle w:val="139"/>
              <w:jc w:val="center"/>
              <w:rPr>
                <w:rFonts w:hint="eastAsia" w:eastAsia="宋体"/>
                <w:color w:val="auto"/>
                <w:szCs w:val="22"/>
                <w:highlight w:val="none"/>
                <w:vertAlign w:val="baseline"/>
                <w:lang w:val="en-US" w:eastAsia="zh-CN"/>
              </w:rPr>
            </w:pPr>
            <w:r>
              <w:rPr>
                <w:rFonts w:hint="eastAsia"/>
                <w:color w:val="auto"/>
                <w:szCs w:val="22"/>
                <w:highlight w:val="none"/>
                <w:vertAlign w:val="baseline"/>
                <w:lang w:val="en-US" w:eastAsia="zh-CN"/>
              </w:rPr>
              <w:t>1</w:t>
            </w:r>
          </w:p>
        </w:tc>
        <w:tc>
          <w:tcPr>
            <w:tcW w:w="1143" w:type="dxa"/>
            <w:vMerge w:val="restart"/>
            <w:vAlign w:val="center"/>
          </w:tcPr>
          <w:p w14:paraId="606D35B1">
            <w:pPr>
              <w:pStyle w:val="139"/>
              <w:jc w:val="center"/>
              <w:rPr>
                <w:rFonts w:hint="eastAsia"/>
                <w:color w:val="auto"/>
                <w:szCs w:val="22"/>
                <w:highlight w:val="none"/>
                <w:vertAlign w:val="baseline"/>
                <w:lang w:val="en-US" w:eastAsia="zh-CN"/>
              </w:rPr>
            </w:pPr>
            <w:r>
              <w:rPr>
                <w:rFonts w:hint="eastAsia"/>
                <w:color w:val="auto"/>
                <w:szCs w:val="22"/>
                <w:highlight w:val="none"/>
                <w:vertAlign w:val="baseline"/>
                <w:lang w:val="en-US" w:eastAsia="zh-CN"/>
              </w:rPr>
              <w:t>劳务服务</w:t>
            </w:r>
          </w:p>
          <w:p w14:paraId="283B4A79">
            <w:pPr>
              <w:pStyle w:val="139"/>
              <w:jc w:val="center"/>
              <w:rPr>
                <w:rFonts w:hint="default" w:eastAsia="宋体"/>
                <w:color w:val="auto"/>
                <w:szCs w:val="22"/>
                <w:highlight w:val="none"/>
                <w:vertAlign w:val="baseline"/>
                <w:lang w:val="en-US" w:eastAsia="zh-CN"/>
              </w:rPr>
            </w:pPr>
            <w:r>
              <w:rPr>
                <w:rFonts w:hint="eastAsia"/>
                <w:color w:val="auto"/>
                <w:szCs w:val="22"/>
                <w:highlight w:val="none"/>
                <w:vertAlign w:val="baseline"/>
                <w:lang w:val="en-US" w:eastAsia="zh-CN"/>
              </w:rPr>
              <w:t>费用</w:t>
            </w:r>
          </w:p>
        </w:tc>
        <w:tc>
          <w:tcPr>
            <w:tcW w:w="1582" w:type="dxa"/>
            <w:vAlign w:val="center"/>
          </w:tcPr>
          <w:p w14:paraId="222951F6">
            <w:pPr>
              <w:pStyle w:val="139"/>
              <w:jc w:val="center"/>
              <w:rPr>
                <w:rFonts w:hint="default"/>
                <w:color w:val="auto"/>
                <w:szCs w:val="22"/>
                <w:highlight w:val="none"/>
                <w:vertAlign w:val="baseline"/>
              </w:rPr>
            </w:pPr>
            <w:r>
              <w:rPr>
                <w:rFonts w:hint="eastAsia" w:ascii="宋体" w:hAnsi="宋体" w:eastAsia="宋体" w:cs="宋体"/>
                <w:i w:val="0"/>
                <w:iCs w:val="0"/>
                <w:color w:val="auto"/>
                <w:kern w:val="0"/>
                <w:sz w:val="21"/>
                <w:szCs w:val="21"/>
                <w:highlight w:val="none"/>
                <w:u w:val="none"/>
                <w:lang w:val="en-US" w:eastAsia="zh-CN" w:bidi="ar"/>
              </w:rPr>
              <w:t>项目经理</w:t>
            </w:r>
          </w:p>
        </w:tc>
        <w:tc>
          <w:tcPr>
            <w:tcW w:w="841" w:type="dxa"/>
            <w:vAlign w:val="center"/>
          </w:tcPr>
          <w:p w14:paraId="24259077">
            <w:pPr>
              <w:pStyle w:val="139"/>
              <w:jc w:val="center"/>
              <w:rPr>
                <w:rFonts w:hint="eastAsia" w:eastAsia="宋体"/>
                <w:color w:val="auto"/>
                <w:szCs w:val="22"/>
                <w:highlight w:val="none"/>
                <w:vertAlign w:val="baseline"/>
                <w:lang w:val="en-US" w:eastAsia="zh-CN"/>
              </w:rPr>
            </w:pPr>
            <w:r>
              <w:rPr>
                <w:rFonts w:hint="eastAsia"/>
                <w:color w:val="auto"/>
                <w:szCs w:val="22"/>
                <w:highlight w:val="none"/>
                <w:vertAlign w:val="baseline"/>
                <w:lang w:val="en-US" w:eastAsia="zh-CN"/>
              </w:rPr>
              <w:t>1人</w:t>
            </w:r>
          </w:p>
        </w:tc>
        <w:tc>
          <w:tcPr>
            <w:tcW w:w="1143" w:type="dxa"/>
            <w:vAlign w:val="center"/>
          </w:tcPr>
          <w:p w14:paraId="14E8C867">
            <w:pPr>
              <w:pStyle w:val="139"/>
              <w:jc w:val="center"/>
              <w:rPr>
                <w:rFonts w:hint="default" w:ascii="宋体" w:hAnsi="Times New Roman" w:eastAsia="宋体" w:cs="Times New Roman"/>
                <w:color w:val="auto"/>
                <w:szCs w:val="22"/>
                <w:highlight w:val="none"/>
                <w:vertAlign w:val="baseline"/>
                <w:lang w:val="en-US" w:eastAsia="zh-CN"/>
              </w:rPr>
            </w:pPr>
            <w:r>
              <w:rPr>
                <w:rFonts w:hint="eastAsia" w:ascii="宋体" w:hAnsi="Times New Roman" w:eastAsia="宋体" w:cs="Times New Roman"/>
                <w:color w:val="auto"/>
                <w:szCs w:val="22"/>
                <w:highlight w:val="none"/>
                <w:vertAlign w:val="baseline"/>
                <w:lang w:val="en-US" w:eastAsia="zh-CN"/>
              </w:rPr>
              <w:t>36</w:t>
            </w:r>
          </w:p>
        </w:tc>
        <w:tc>
          <w:tcPr>
            <w:tcW w:w="1293" w:type="dxa"/>
            <w:vAlign w:val="center"/>
          </w:tcPr>
          <w:p w14:paraId="1B716B55">
            <w:pPr>
              <w:pStyle w:val="139"/>
              <w:jc w:val="center"/>
              <w:rPr>
                <w:rFonts w:hint="default"/>
                <w:color w:val="auto"/>
                <w:szCs w:val="22"/>
                <w:highlight w:val="none"/>
                <w:vertAlign w:val="baseline"/>
              </w:rPr>
            </w:pPr>
          </w:p>
        </w:tc>
        <w:tc>
          <w:tcPr>
            <w:tcW w:w="1029" w:type="dxa"/>
            <w:vAlign w:val="center"/>
          </w:tcPr>
          <w:p w14:paraId="37362801">
            <w:pPr>
              <w:pStyle w:val="139"/>
              <w:jc w:val="center"/>
              <w:rPr>
                <w:rFonts w:hint="default"/>
                <w:color w:val="auto"/>
                <w:szCs w:val="22"/>
                <w:highlight w:val="none"/>
                <w:vertAlign w:val="baseline"/>
              </w:rPr>
            </w:pPr>
          </w:p>
        </w:tc>
        <w:tc>
          <w:tcPr>
            <w:tcW w:w="1107" w:type="dxa"/>
            <w:vAlign w:val="center"/>
          </w:tcPr>
          <w:p w14:paraId="7675E573">
            <w:pPr>
              <w:pStyle w:val="139"/>
              <w:jc w:val="center"/>
              <w:rPr>
                <w:rFonts w:hint="default"/>
                <w:color w:val="auto"/>
                <w:szCs w:val="22"/>
                <w:highlight w:val="none"/>
                <w:vertAlign w:val="baseline"/>
              </w:rPr>
            </w:pPr>
          </w:p>
        </w:tc>
        <w:tc>
          <w:tcPr>
            <w:tcW w:w="1721" w:type="dxa"/>
            <w:vAlign w:val="center"/>
          </w:tcPr>
          <w:p w14:paraId="420AF964">
            <w:pPr>
              <w:pStyle w:val="139"/>
              <w:jc w:val="center"/>
              <w:rPr>
                <w:rFonts w:hint="default"/>
                <w:color w:val="auto"/>
                <w:szCs w:val="22"/>
                <w:highlight w:val="none"/>
                <w:vertAlign w:val="baseline"/>
              </w:rPr>
            </w:pPr>
          </w:p>
        </w:tc>
      </w:tr>
      <w:tr w14:paraId="4293C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639" w:type="dxa"/>
            <w:vAlign w:val="center"/>
          </w:tcPr>
          <w:p w14:paraId="1D92EBB9">
            <w:pPr>
              <w:pStyle w:val="139"/>
              <w:jc w:val="center"/>
              <w:rPr>
                <w:rFonts w:hint="eastAsia" w:eastAsia="宋体"/>
                <w:color w:val="auto"/>
                <w:szCs w:val="22"/>
                <w:highlight w:val="none"/>
                <w:vertAlign w:val="baseline"/>
                <w:lang w:val="en-US" w:eastAsia="zh-CN"/>
              </w:rPr>
            </w:pPr>
            <w:r>
              <w:rPr>
                <w:rFonts w:hint="eastAsia"/>
                <w:color w:val="auto"/>
                <w:szCs w:val="22"/>
                <w:highlight w:val="none"/>
                <w:vertAlign w:val="baseline"/>
                <w:lang w:val="en-US" w:eastAsia="zh-CN"/>
              </w:rPr>
              <w:t>2</w:t>
            </w:r>
          </w:p>
        </w:tc>
        <w:tc>
          <w:tcPr>
            <w:tcW w:w="1143" w:type="dxa"/>
            <w:vMerge w:val="continue"/>
            <w:vAlign w:val="center"/>
          </w:tcPr>
          <w:p w14:paraId="5A15D6E1">
            <w:pPr>
              <w:pStyle w:val="139"/>
              <w:jc w:val="center"/>
              <w:rPr>
                <w:rFonts w:hint="default"/>
                <w:color w:val="auto"/>
                <w:szCs w:val="22"/>
                <w:highlight w:val="none"/>
                <w:vertAlign w:val="baseline"/>
              </w:rPr>
            </w:pPr>
          </w:p>
        </w:tc>
        <w:tc>
          <w:tcPr>
            <w:tcW w:w="1582" w:type="dxa"/>
            <w:vAlign w:val="center"/>
          </w:tcPr>
          <w:p w14:paraId="1E4B89EA">
            <w:pPr>
              <w:pStyle w:val="139"/>
              <w:jc w:val="center"/>
              <w:rPr>
                <w:rFonts w:hint="default"/>
                <w:color w:val="auto"/>
                <w:szCs w:val="22"/>
                <w:highlight w:val="none"/>
                <w:vertAlign w:val="baseline"/>
              </w:rPr>
            </w:pPr>
            <w:r>
              <w:rPr>
                <w:rFonts w:hint="eastAsia" w:ascii="宋体" w:hAnsi="宋体" w:eastAsia="宋体" w:cs="宋体"/>
                <w:i w:val="0"/>
                <w:iCs w:val="0"/>
                <w:color w:val="auto"/>
                <w:kern w:val="0"/>
                <w:sz w:val="21"/>
                <w:szCs w:val="21"/>
                <w:highlight w:val="none"/>
                <w:u w:val="none"/>
                <w:lang w:val="en-US" w:eastAsia="zh-CN" w:bidi="ar"/>
              </w:rPr>
              <w:t>厨师长</w:t>
            </w:r>
          </w:p>
        </w:tc>
        <w:tc>
          <w:tcPr>
            <w:tcW w:w="841" w:type="dxa"/>
            <w:vAlign w:val="center"/>
          </w:tcPr>
          <w:p w14:paraId="7BF526FC">
            <w:pPr>
              <w:pStyle w:val="139"/>
              <w:jc w:val="center"/>
              <w:rPr>
                <w:rFonts w:hint="eastAsia" w:eastAsia="宋体"/>
                <w:color w:val="auto"/>
                <w:szCs w:val="22"/>
                <w:highlight w:val="none"/>
                <w:vertAlign w:val="baseline"/>
                <w:lang w:val="en-US" w:eastAsia="zh-CN"/>
              </w:rPr>
            </w:pPr>
            <w:r>
              <w:rPr>
                <w:rFonts w:hint="eastAsia"/>
                <w:color w:val="auto"/>
                <w:szCs w:val="22"/>
                <w:highlight w:val="none"/>
                <w:vertAlign w:val="baseline"/>
                <w:lang w:val="en-US" w:eastAsia="zh-CN"/>
              </w:rPr>
              <w:t>2人</w:t>
            </w:r>
          </w:p>
        </w:tc>
        <w:tc>
          <w:tcPr>
            <w:tcW w:w="1143" w:type="dxa"/>
            <w:vAlign w:val="center"/>
          </w:tcPr>
          <w:p w14:paraId="5D031FE6">
            <w:pPr>
              <w:pStyle w:val="139"/>
              <w:jc w:val="center"/>
              <w:rPr>
                <w:rFonts w:hint="default" w:ascii="宋体" w:hAnsi="Times New Roman" w:eastAsia="宋体" w:cs="Times New Roman"/>
                <w:color w:val="auto"/>
                <w:szCs w:val="22"/>
                <w:highlight w:val="none"/>
                <w:vertAlign w:val="baseline"/>
                <w:lang w:val="en-US" w:eastAsia="zh-CN"/>
              </w:rPr>
            </w:pPr>
            <w:r>
              <w:rPr>
                <w:rFonts w:hint="eastAsia" w:ascii="宋体" w:hAnsi="Times New Roman" w:eastAsia="宋体" w:cs="Times New Roman"/>
                <w:color w:val="auto"/>
                <w:szCs w:val="22"/>
                <w:highlight w:val="none"/>
                <w:vertAlign w:val="baseline"/>
                <w:lang w:val="en-US" w:eastAsia="zh-CN"/>
              </w:rPr>
              <w:t>36</w:t>
            </w:r>
          </w:p>
        </w:tc>
        <w:tc>
          <w:tcPr>
            <w:tcW w:w="1293" w:type="dxa"/>
            <w:vAlign w:val="center"/>
          </w:tcPr>
          <w:p w14:paraId="1056FDEB">
            <w:pPr>
              <w:pStyle w:val="139"/>
              <w:jc w:val="center"/>
              <w:rPr>
                <w:rFonts w:hint="default"/>
                <w:color w:val="auto"/>
                <w:szCs w:val="22"/>
                <w:highlight w:val="none"/>
                <w:vertAlign w:val="baseline"/>
              </w:rPr>
            </w:pPr>
          </w:p>
        </w:tc>
        <w:tc>
          <w:tcPr>
            <w:tcW w:w="1029" w:type="dxa"/>
            <w:vAlign w:val="center"/>
          </w:tcPr>
          <w:p w14:paraId="792492A4">
            <w:pPr>
              <w:pStyle w:val="139"/>
              <w:jc w:val="center"/>
              <w:rPr>
                <w:rFonts w:hint="default"/>
                <w:color w:val="auto"/>
                <w:szCs w:val="22"/>
                <w:highlight w:val="none"/>
                <w:vertAlign w:val="baseline"/>
              </w:rPr>
            </w:pPr>
          </w:p>
        </w:tc>
        <w:tc>
          <w:tcPr>
            <w:tcW w:w="1107" w:type="dxa"/>
            <w:vAlign w:val="center"/>
          </w:tcPr>
          <w:p w14:paraId="717AC3D1">
            <w:pPr>
              <w:pStyle w:val="139"/>
              <w:jc w:val="center"/>
              <w:rPr>
                <w:rFonts w:hint="default"/>
                <w:color w:val="auto"/>
                <w:szCs w:val="22"/>
                <w:highlight w:val="none"/>
                <w:vertAlign w:val="baseline"/>
              </w:rPr>
            </w:pPr>
          </w:p>
        </w:tc>
        <w:tc>
          <w:tcPr>
            <w:tcW w:w="1721" w:type="dxa"/>
            <w:vAlign w:val="center"/>
          </w:tcPr>
          <w:p w14:paraId="30DA8C97">
            <w:pPr>
              <w:pStyle w:val="139"/>
              <w:jc w:val="center"/>
              <w:rPr>
                <w:rFonts w:hint="default"/>
                <w:color w:val="auto"/>
                <w:szCs w:val="22"/>
                <w:highlight w:val="none"/>
                <w:vertAlign w:val="baseline"/>
              </w:rPr>
            </w:pPr>
          </w:p>
        </w:tc>
      </w:tr>
      <w:tr w14:paraId="49902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639" w:type="dxa"/>
            <w:vAlign w:val="center"/>
          </w:tcPr>
          <w:p w14:paraId="0D8C0E95">
            <w:pPr>
              <w:pStyle w:val="139"/>
              <w:jc w:val="center"/>
              <w:rPr>
                <w:rFonts w:hint="eastAsia" w:eastAsia="宋体"/>
                <w:color w:val="auto"/>
                <w:szCs w:val="22"/>
                <w:highlight w:val="none"/>
                <w:vertAlign w:val="baseline"/>
                <w:lang w:val="en-US" w:eastAsia="zh-CN"/>
              </w:rPr>
            </w:pPr>
            <w:r>
              <w:rPr>
                <w:rFonts w:hint="eastAsia"/>
                <w:color w:val="auto"/>
                <w:szCs w:val="22"/>
                <w:highlight w:val="none"/>
                <w:vertAlign w:val="baseline"/>
                <w:lang w:val="en-US" w:eastAsia="zh-CN"/>
              </w:rPr>
              <w:t>3</w:t>
            </w:r>
          </w:p>
        </w:tc>
        <w:tc>
          <w:tcPr>
            <w:tcW w:w="1143" w:type="dxa"/>
            <w:vMerge w:val="continue"/>
            <w:vAlign w:val="center"/>
          </w:tcPr>
          <w:p w14:paraId="3C14D650">
            <w:pPr>
              <w:pStyle w:val="139"/>
              <w:jc w:val="center"/>
              <w:rPr>
                <w:rFonts w:hint="default"/>
                <w:color w:val="auto"/>
                <w:szCs w:val="22"/>
                <w:highlight w:val="none"/>
                <w:vertAlign w:val="baseline"/>
              </w:rPr>
            </w:pPr>
          </w:p>
        </w:tc>
        <w:tc>
          <w:tcPr>
            <w:tcW w:w="1582" w:type="dxa"/>
            <w:vAlign w:val="center"/>
          </w:tcPr>
          <w:p w14:paraId="3271453B">
            <w:pPr>
              <w:pStyle w:val="139"/>
              <w:jc w:val="center"/>
              <w:rPr>
                <w:rFonts w:hint="default"/>
                <w:color w:val="auto"/>
                <w:szCs w:val="22"/>
                <w:highlight w:val="none"/>
                <w:vertAlign w:val="baseline"/>
              </w:rPr>
            </w:pPr>
            <w:r>
              <w:rPr>
                <w:rFonts w:hint="eastAsia" w:ascii="宋体" w:hAnsi="宋体" w:eastAsia="宋体" w:cs="宋体"/>
                <w:i w:val="0"/>
                <w:iCs w:val="0"/>
                <w:color w:val="auto"/>
                <w:kern w:val="0"/>
                <w:sz w:val="21"/>
                <w:szCs w:val="21"/>
                <w:highlight w:val="none"/>
                <w:u w:val="none"/>
                <w:lang w:val="en-US" w:eastAsia="zh-CN" w:bidi="ar"/>
              </w:rPr>
              <w:t>厨师</w:t>
            </w:r>
          </w:p>
        </w:tc>
        <w:tc>
          <w:tcPr>
            <w:tcW w:w="841" w:type="dxa"/>
            <w:vAlign w:val="center"/>
          </w:tcPr>
          <w:p w14:paraId="791A892D">
            <w:pPr>
              <w:pStyle w:val="139"/>
              <w:jc w:val="center"/>
              <w:rPr>
                <w:rFonts w:hint="eastAsia" w:eastAsia="宋体"/>
                <w:color w:val="auto"/>
                <w:szCs w:val="22"/>
                <w:highlight w:val="none"/>
                <w:vertAlign w:val="baseline"/>
                <w:lang w:val="en-US" w:eastAsia="zh-CN"/>
              </w:rPr>
            </w:pPr>
            <w:r>
              <w:rPr>
                <w:rFonts w:hint="eastAsia"/>
                <w:color w:val="auto"/>
                <w:szCs w:val="22"/>
                <w:highlight w:val="none"/>
                <w:vertAlign w:val="baseline"/>
                <w:lang w:val="en-US" w:eastAsia="zh-CN"/>
              </w:rPr>
              <w:t>6人</w:t>
            </w:r>
          </w:p>
        </w:tc>
        <w:tc>
          <w:tcPr>
            <w:tcW w:w="1143" w:type="dxa"/>
            <w:vAlign w:val="center"/>
          </w:tcPr>
          <w:p w14:paraId="44AF9036">
            <w:pPr>
              <w:pStyle w:val="139"/>
              <w:jc w:val="center"/>
              <w:rPr>
                <w:rFonts w:hint="default" w:ascii="宋体" w:hAnsi="Times New Roman" w:eastAsia="宋体" w:cs="Times New Roman"/>
                <w:color w:val="auto"/>
                <w:szCs w:val="22"/>
                <w:highlight w:val="none"/>
                <w:vertAlign w:val="baseline"/>
                <w:lang w:val="en-US" w:eastAsia="zh-CN"/>
              </w:rPr>
            </w:pPr>
            <w:r>
              <w:rPr>
                <w:rFonts w:hint="eastAsia" w:ascii="宋体" w:hAnsi="Times New Roman" w:eastAsia="宋体" w:cs="Times New Roman"/>
                <w:color w:val="auto"/>
                <w:szCs w:val="22"/>
                <w:highlight w:val="none"/>
                <w:vertAlign w:val="baseline"/>
                <w:lang w:val="en-US" w:eastAsia="zh-CN"/>
              </w:rPr>
              <w:t>36</w:t>
            </w:r>
          </w:p>
        </w:tc>
        <w:tc>
          <w:tcPr>
            <w:tcW w:w="1293" w:type="dxa"/>
            <w:vAlign w:val="center"/>
          </w:tcPr>
          <w:p w14:paraId="54199C18">
            <w:pPr>
              <w:pStyle w:val="139"/>
              <w:jc w:val="center"/>
              <w:rPr>
                <w:rFonts w:hint="default"/>
                <w:color w:val="auto"/>
                <w:szCs w:val="22"/>
                <w:highlight w:val="none"/>
                <w:vertAlign w:val="baseline"/>
              </w:rPr>
            </w:pPr>
          </w:p>
        </w:tc>
        <w:tc>
          <w:tcPr>
            <w:tcW w:w="1029" w:type="dxa"/>
            <w:vAlign w:val="center"/>
          </w:tcPr>
          <w:p w14:paraId="568DC6B9">
            <w:pPr>
              <w:pStyle w:val="139"/>
              <w:jc w:val="center"/>
              <w:rPr>
                <w:rFonts w:hint="default"/>
                <w:color w:val="auto"/>
                <w:szCs w:val="22"/>
                <w:highlight w:val="none"/>
                <w:vertAlign w:val="baseline"/>
              </w:rPr>
            </w:pPr>
          </w:p>
        </w:tc>
        <w:tc>
          <w:tcPr>
            <w:tcW w:w="1107" w:type="dxa"/>
            <w:vAlign w:val="center"/>
          </w:tcPr>
          <w:p w14:paraId="13010D57">
            <w:pPr>
              <w:pStyle w:val="139"/>
              <w:jc w:val="center"/>
              <w:rPr>
                <w:rFonts w:hint="default"/>
                <w:color w:val="auto"/>
                <w:szCs w:val="22"/>
                <w:highlight w:val="none"/>
                <w:vertAlign w:val="baseline"/>
              </w:rPr>
            </w:pPr>
          </w:p>
        </w:tc>
        <w:tc>
          <w:tcPr>
            <w:tcW w:w="1721" w:type="dxa"/>
            <w:vAlign w:val="center"/>
          </w:tcPr>
          <w:p w14:paraId="08B47E34">
            <w:pPr>
              <w:pStyle w:val="139"/>
              <w:jc w:val="center"/>
              <w:rPr>
                <w:rFonts w:hint="default"/>
                <w:color w:val="auto"/>
                <w:szCs w:val="22"/>
                <w:highlight w:val="none"/>
                <w:vertAlign w:val="baseline"/>
              </w:rPr>
            </w:pPr>
          </w:p>
        </w:tc>
      </w:tr>
      <w:tr w14:paraId="7F829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639" w:type="dxa"/>
            <w:vAlign w:val="center"/>
          </w:tcPr>
          <w:p w14:paraId="7B5B9249">
            <w:pPr>
              <w:pStyle w:val="139"/>
              <w:jc w:val="center"/>
              <w:rPr>
                <w:rFonts w:hint="eastAsia" w:eastAsia="宋体"/>
                <w:color w:val="auto"/>
                <w:szCs w:val="22"/>
                <w:highlight w:val="none"/>
                <w:vertAlign w:val="baseline"/>
                <w:lang w:val="en-US" w:eastAsia="zh-CN"/>
              </w:rPr>
            </w:pPr>
            <w:r>
              <w:rPr>
                <w:rFonts w:hint="eastAsia"/>
                <w:color w:val="auto"/>
                <w:szCs w:val="22"/>
                <w:highlight w:val="none"/>
                <w:vertAlign w:val="baseline"/>
                <w:lang w:val="en-US" w:eastAsia="zh-CN"/>
              </w:rPr>
              <w:t>4</w:t>
            </w:r>
          </w:p>
        </w:tc>
        <w:tc>
          <w:tcPr>
            <w:tcW w:w="1143" w:type="dxa"/>
            <w:vMerge w:val="continue"/>
            <w:vAlign w:val="center"/>
          </w:tcPr>
          <w:p w14:paraId="3305629A">
            <w:pPr>
              <w:pStyle w:val="139"/>
              <w:jc w:val="center"/>
              <w:rPr>
                <w:rFonts w:hint="default"/>
                <w:color w:val="auto"/>
                <w:szCs w:val="22"/>
                <w:highlight w:val="none"/>
                <w:vertAlign w:val="baseline"/>
              </w:rPr>
            </w:pPr>
          </w:p>
        </w:tc>
        <w:tc>
          <w:tcPr>
            <w:tcW w:w="1582" w:type="dxa"/>
            <w:vAlign w:val="center"/>
          </w:tcPr>
          <w:p w14:paraId="2DF26B3D">
            <w:pPr>
              <w:pStyle w:val="139"/>
              <w:jc w:val="center"/>
              <w:rPr>
                <w:rFonts w:hint="default"/>
                <w:color w:val="auto"/>
                <w:szCs w:val="22"/>
                <w:highlight w:val="none"/>
                <w:vertAlign w:val="baseline"/>
              </w:rPr>
            </w:pPr>
            <w:r>
              <w:rPr>
                <w:rFonts w:hint="eastAsia" w:ascii="宋体" w:hAnsi="宋体" w:eastAsia="宋体" w:cs="宋体"/>
                <w:i w:val="0"/>
                <w:iCs w:val="0"/>
                <w:color w:val="auto"/>
                <w:kern w:val="0"/>
                <w:sz w:val="21"/>
                <w:szCs w:val="21"/>
                <w:highlight w:val="none"/>
                <w:u w:val="none"/>
                <w:lang w:val="en-US" w:eastAsia="zh-CN" w:bidi="ar"/>
              </w:rPr>
              <w:t>杂工（切配等）</w:t>
            </w:r>
          </w:p>
        </w:tc>
        <w:tc>
          <w:tcPr>
            <w:tcW w:w="841" w:type="dxa"/>
            <w:vAlign w:val="center"/>
          </w:tcPr>
          <w:p w14:paraId="499FDC3E">
            <w:pPr>
              <w:pStyle w:val="139"/>
              <w:jc w:val="center"/>
              <w:rPr>
                <w:rFonts w:hint="default" w:eastAsia="宋体"/>
                <w:color w:val="auto"/>
                <w:szCs w:val="22"/>
                <w:highlight w:val="none"/>
                <w:vertAlign w:val="baseline"/>
                <w:lang w:val="en-US" w:eastAsia="zh-CN"/>
              </w:rPr>
            </w:pPr>
            <w:r>
              <w:rPr>
                <w:rFonts w:hint="eastAsia"/>
                <w:color w:val="auto"/>
                <w:szCs w:val="22"/>
                <w:highlight w:val="none"/>
                <w:vertAlign w:val="baseline"/>
                <w:lang w:val="en-US" w:eastAsia="zh-CN"/>
              </w:rPr>
              <w:t>4人</w:t>
            </w:r>
          </w:p>
        </w:tc>
        <w:tc>
          <w:tcPr>
            <w:tcW w:w="1143" w:type="dxa"/>
            <w:vAlign w:val="center"/>
          </w:tcPr>
          <w:p w14:paraId="2D4054A6">
            <w:pPr>
              <w:pStyle w:val="139"/>
              <w:jc w:val="center"/>
              <w:rPr>
                <w:rFonts w:hint="default" w:ascii="宋体" w:hAnsi="Times New Roman" w:eastAsia="宋体" w:cs="Times New Roman"/>
                <w:color w:val="auto"/>
                <w:szCs w:val="22"/>
                <w:highlight w:val="none"/>
                <w:vertAlign w:val="baseline"/>
                <w:lang w:val="en-US" w:eastAsia="zh-CN"/>
              </w:rPr>
            </w:pPr>
            <w:r>
              <w:rPr>
                <w:rFonts w:hint="eastAsia" w:ascii="宋体" w:hAnsi="Times New Roman" w:eastAsia="宋体" w:cs="Times New Roman"/>
                <w:color w:val="auto"/>
                <w:szCs w:val="22"/>
                <w:highlight w:val="none"/>
                <w:vertAlign w:val="baseline"/>
                <w:lang w:val="en-US" w:eastAsia="zh-CN"/>
              </w:rPr>
              <w:t>36</w:t>
            </w:r>
          </w:p>
        </w:tc>
        <w:tc>
          <w:tcPr>
            <w:tcW w:w="1293" w:type="dxa"/>
            <w:vAlign w:val="center"/>
          </w:tcPr>
          <w:p w14:paraId="55F5A5C6">
            <w:pPr>
              <w:pStyle w:val="139"/>
              <w:jc w:val="center"/>
              <w:rPr>
                <w:rFonts w:hint="default"/>
                <w:color w:val="auto"/>
                <w:szCs w:val="22"/>
                <w:highlight w:val="none"/>
                <w:vertAlign w:val="baseline"/>
              </w:rPr>
            </w:pPr>
          </w:p>
        </w:tc>
        <w:tc>
          <w:tcPr>
            <w:tcW w:w="1029" w:type="dxa"/>
            <w:vAlign w:val="center"/>
          </w:tcPr>
          <w:p w14:paraId="0BD03365">
            <w:pPr>
              <w:pStyle w:val="139"/>
              <w:jc w:val="center"/>
              <w:rPr>
                <w:rFonts w:hint="default"/>
                <w:color w:val="auto"/>
                <w:szCs w:val="22"/>
                <w:highlight w:val="none"/>
                <w:vertAlign w:val="baseline"/>
              </w:rPr>
            </w:pPr>
          </w:p>
        </w:tc>
        <w:tc>
          <w:tcPr>
            <w:tcW w:w="1107" w:type="dxa"/>
            <w:vAlign w:val="center"/>
          </w:tcPr>
          <w:p w14:paraId="6E08596D">
            <w:pPr>
              <w:pStyle w:val="139"/>
              <w:jc w:val="center"/>
              <w:rPr>
                <w:rFonts w:hint="default"/>
                <w:color w:val="auto"/>
                <w:szCs w:val="22"/>
                <w:highlight w:val="none"/>
                <w:vertAlign w:val="baseline"/>
              </w:rPr>
            </w:pPr>
          </w:p>
        </w:tc>
        <w:tc>
          <w:tcPr>
            <w:tcW w:w="1721" w:type="dxa"/>
            <w:vAlign w:val="center"/>
          </w:tcPr>
          <w:p w14:paraId="5955D0E4">
            <w:pPr>
              <w:pStyle w:val="139"/>
              <w:jc w:val="center"/>
              <w:rPr>
                <w:rFonts w:hint="default"/>
                <w:color w:val="auto"/>
                <w:szCs w:val="22"/>
                <w:highlight w:val="none"/>
                <w:vertAlign w:val="baseline"/>
              </w:rPr>
            </w:pPr>
          </w:p>
        </w:tc>
      </w:tr>
      <w:tr w14:paraId="3695D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639" w:type="dxa"/>
            <w:vAlign w:val="center"/>
          </w:tcPr>
          <w:p w14:paraId="10237E9E">
            <w:pPr>
              <w:pStyle w:val="139"/>
              <w:jc w:val="center"/>
              <w:rPr>
                <w:rFonts w:hint="eastAsia" w:eastAsia="宋体"/>
                <w:color w:val="auto"/>
                <w:szCs w:val="22"/>
                <w:highlight w:val="none"/>
                <w:vertAlign w:val="baseline"/>
                <w:lang w:val="en-US" w:eastAsia="zh-CN"/>
              </w:rPr>
            </w:pPr>
            <w:r>
              <w:rPr>
                <w:rFonts w:hint="eastAsia"/>
                <w:color w:val="auto"/>
                <w:szCs w:val="22"/>
                <w:highlight w:val="none"/>
                <w:vertAlign w:val="baseline"/>
                <w:lang w:val="en-US" w:eastAsia="zh-CN"/>
              </w:rPr>
              <w:t>5</w:t>
            </w:r>
          </w:p>
        </w:tc>
        <w:tc>
          <w:tcPr>
            <w:tcW w:w="1143" w:type="dxa"/>
            <w:vMerge w:val="continue"/>
            <w:vAlign w:val="center"/>
          </w:tcPr>
          <w:p w14:paraId="060AC05A">
            <w:pPr>
              <w:pStyle w:val="139"/>
              <w:jc w:val="center"/>
              <w:rPr>
                <w:rFonts w:hint="default"/>
                <w:color w:val="auto"/>
                <w:szCs w:val="22"/>
                <w:highlight w:val="none"/>
                <w:vertAlign w:val="baseline"/>
              </w:rPr>
            </w:pPr>
          </w:p>
        </w:tc>
        <w:tc>
          <w:tcPr>
            <w:tcW w:w="1582" w:type="dxa"/>
            <w:vAlign w:val="center"/>
          </w:tcPr>
          <w:p w14:paraId="5759E064">
            <w:pPr>
              <w:pStyle w:val="139"/>
              <w:jc w:val="center"/>
              <w:rPr>
                <w:rFonts w:hint="default"/>
                <w:color w:val="auto"/>
                <w:szCs w:val="22"/>
                <w:highlight w:val="none"/>
                <w:vertAlign w:val="baseline"/>
              </w:rPr>
            </w:pPr>
            <w:r>
              <w:rPr>
                <w:rFonts w:hint="eastAsia" w:ascii="宋体" w:hAnsi="宋体" w:eastAsia="宋体" w:cs="宋体"/>
                <w:i w:val="0"/>
                <w:iCs w:val="0"/>
                <w:color w:val="auto"/>
                <w:kern w:val="0"/>
                <w:sz w:val="21"/>
                <w:szCs w:val="21"/>
                <w:highlight w:val="none"/>
                <w:u w:val="none"/>
                <w:lang w:val="en-US" w:eastAsia="zh-CN" w:bidi="ar"/>
              </w:rPr>
              <w:t>面点</w:t>
            </w:r>
          </w:p>
        </w:tc>
        <w:tc>
          <w:tcPr>
            <w:tcW w:w="841" w:type="dxa"/>
            <w:vAlign w:val="center"/>
          </w:tcPr>
          <w:p w14:paraId="06254248">
            <w:pPr>
              <w:pStyle w:val="139"/>
              <w:jc w:val="center"/>
              <w:rPr>
                <w:rFonts w:hint="eastAsia" w:eastAsia="宋体"/>
                <w:color w:val="auto"/>
                <w:szCs w:val="22"/>
                <w:highlight w:val="none"/>
                <w:vertAlign w:val="baseline"/>
                <w:lang w:val="en-US" w:eastAsia="zh-CN"/>
              </w:rPr>
            </w:pPr>
            <w:r>
              <w:rPr>
                <w:rFonts w:hint="eastAsia"/>
                <w:color w:val="auto"/>
                <w:szCs w:val="22"/>
                <w:highlight w:val="none"/>
                <w:vertAlign w:val="baseline"/>
                <w:lang w:val="en-US" w:eastAsia="zh-CN"/>
              </w:rPr>
              <w:t>1人</w:t>
            </w:r>
          </w:p>
        </w:tc>
        <w:tc>
          <w:tcPr>
            <w:tcW w:w="1143" w:type="dxa"/>
            <w:vAlign w:val="center"/>
          </w:tcPr>
          <w:p w14:paraId="4951B69D">
            <w:pPr>
              <w:pStyle w:val="139"/>
              <w:jc w:val="center"/>
              <w:rPr>
                <w:rFonts w:hint="default" w:ascii="宋体" w:hAnsi="Times New Roman" w:eastAsia="宋体" w:cs="Times New Roman"/>
                <w:color w:val="auto"/>
                <w:szCs w:val="22"/>
                <w:highlight w:val="none"/>
                <w:vertAlign w:val="baseline"/>
                <w:lang w:val="en-US" w:eastAsia="zh-CN"/>
              </w:rPr>
            </w:pPr>
            <w:r>
              <w:rPr>
                <w:rFonts w:hint="eastAsia" w:ascii="宋体" w:hAnsi="Times New Roman" w:eastAsia="宋体" w:cs="Times New Roman"/>
                <w:color w:val="auto"/>
                <w:szCs w:val="22"/>
                <w:highlight w:val="none"/>
                <w:vertAlign w:val="baseline"/>
                <w:lang w:val="en-US" w:eastAsia="zh-CN"/>
              </w:rPr>
              <w:t>36</w:t>
            </w:r>
          </w:p>
        </w:tc>
        <w:tc>
          <w:tcPr>
            <w:tcW w:w="1293" w:type="dxa"/>
            <w:vAlign w:val="center"/>
          </w:tcPr>
          <w:p w14:paraId="1ED76F5B">
            <w:pPr>
              <w:pStyle w:val="139"/>
              <w:jc w:val="center"/>
              <w:rPr>
                <w:rFonts w:hint="default"/>
                <w:color w:val="auto"/>
                <w:szCs w:val="22"/>
                <w:highlight w:val="none"/>
                <w:vertAlign w:val="baseline"/>
              </w:rPr>
            </w:pPr>
          </w:p>
        </w:tc>
        <w:tc>
          <w:tcPr>
            <w:tcW w:w="1029" w:type="dxa"/>
            <w:vAlign w:val="center"/>
          </w:tcPr>
          <w:p w14:paraId="1ECE237A">
            <w:pPr>
              <w:pStyle w:val="139"/>
              <w:jc w:val="center"/>
              <w:rPr>
                <w:rFonts w:hint="default"/>
                <w:color w:val="auto"/>
                <w:szCs w:val="22"/>
                <w:highlight w:val="none"/>
                <w:vertAlign w:val="baseline"/>
              </w:rPr>
            </w:pPr>
          </w:p>
        </w:tc>
        <w:tc>
          <w:tcPr>
            <w:tcW w:w="1107" w:type="dxa"/>
            <w:vAlign w:val="center"/>
          </w:tcPr>
          <w:p w14:paraId="7B76A3DA">
            <w:pPr>
              <w:pStyle w:val="139"/>
              <w:jc w:val="center"/>
              <w:rPr>
                <w:rFonts w:hint="default"/>
                <w:color w:val="auto"/>
                <w:szCs w:val="22"/>
                <w:highlight w:val="none"/>
                <w:vertAlign w:val="baseline"/>
              </w:rPr>
            </w:pPr>
          </w:p>
        </w:tc>
        <w:tc>
          <w:tcPr>
            <w:tcW w:w="1721" w:type="dxa"/>
            <w:vAlign w:val="center"/>
          </w:tcPr>
          <w:p w14:paraId="63F4252B">
            <w:pPr>
              <w:pStyle w:val="139"/>
              <w:jc w:val="center"/>
              <w:rPr>
                <w:rFonts w:hint="default"/>
                <w:color w:val="auto"/>
                <w:szCs w:val="22"/>
                <w:highlight w:val="none"/>
                <w:vertAlign w:val="baseline"/>
              </w:rPr>
            </w:pPr>
          </w:p>
        </w:tc>
      </w:tr>
      <w:tr w14:paraId="7DDAF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639" w:type="dxa"/>
            <w:vAlign w:val="center"/>
          </w:tcPr>
          <w:p w14:paraId="09067D21">
            <w:pPr>
              <w:pStyle w:val="139"/>
              <w:jc w:val="center"/>
              <w:rPr>
                <w:rFonts w:hint="eastAsia" w:eastAsia="宋体"/>
                <w:color w:val="auto"/>
                <w:szCs w:val="22"/>
                <w:highlight w:val="none"/>
                <w:vertAlign w:val="baseline"/>
                <w:lang w:val="en-US" w:eastAsia="zh-CN"/>
              </w:rPr>
            </w:pPr>
            <w:r>
              <w:rPr>
                <w:rFonts w:hint="eastAsia"/>
                <w:color w:val="auto"/>
                <w:szCs w:val="22"/>
                <w:highlight w:val="none"/>
                <w:vertAlign w:val="baseline"/>
                <w:lang w:val="en-US" w:eastAsia="zh-CN"/>
              </w:rPr>
              <w:t>6</w:t>
            </w:r>
          </w:p>
        </w:tc>
        <w:tc>
          <w:tcPr>
            <w:tcW w:w="1143" w:type="dxa"/>
            <w:vMerge w:val="continue"/>
            <w:vAlign w:val="center"/>
          </w:tcPr>
          <w:p w14:paraId="7FC711C0">
            <w:pPr>
              <w:pStyle w:val="139"/>
              <w:jc w:val="center"/>
              <w:rPr>
                <w:rFonts w:hint="default"/>
                <w:color w:val="auto"/>
                <w:szCs w:val="22"/>
                <w:highlight w:val="none"/>
                <w:vertAlign w:val="baseline"/>
              </w:rPr>
            </w:pPr>
          </w:p>
        </w:tc>
        <w:tc>
          <w:tcPr>
            <w:tcW w:w="1582" w:type="dxa"/>
            <w:vAlign w:val="center"/>
          </w:tcPr>
          <w:p w14:paraId="4CC43ABB">
            <w:pPr>
              <w:pStyle w:val="139"/>
              <w:jc w:val="center"/>
              <w:rPr>
                <w:rFonts w:hint="default"/>
                <w:color w:val="auto"/>
                <w:szCs w:val="22"/>
                <w:highlight w:val="none"/>
                <w:vertAlign w:val="baseline"/>
              </w:rPr>
            </w:pPr>
            <w:r>
              <w:rPr>
                <w:rStyle w:val="212"/>
                <w:rFonts w:hint="eastAsia" w:ascii="宋体" w:hAnsi="宋体" w:eastAsia="宋体" w:cs="宋体"/>
                <w:color w:val="auto"/>
                <w:sz w:val="21"/>
                <w:szCs w:val="21"/>
                <w:highlight w:val="none"/>
                <w:lang w:val="en-US" w:eastAsia="zh-CN" w:bidi="ar"/>
              </w:rPr>
              <w:t>夜宵</w:t>
            </w:r>
          </w:p>
        </w:tc>
        <w:tc>
          <w:tcPr>
            <w:tcW w:w="841" w:type="dxa"/>
            <w:vAlign w:val="center"/>
          </w:tcPr>
          <w:p w14:paraId="09078450">
            <w:pPr>
              <w:pStyle w:val="139"/>
              <w:jc w:val="center"/>
              <w:rPr>
                <w:rFonts w:hint="default"/>
                <w:color w:val="auto"/>
                <w:szCs w:val="22"/>
                <w:highlight w:val="none"/>
                <w:vertAlign w:val="baseline"/>
              </w:rPr>
            </w:pPr>
            <w:r>
              <w:rPr>
                <w:rFonts w:hint="eastAsia" w:ascii="宋体" w:hAnsi="宋体" w:eastAsia="宋体" w:cs="宋体"/>
                <w:i w:val="0"/>
                <w:iCs w:val="0"/>
                <w:color w:val="auto"/>
                <w:kern w:val="0"/>
                <w:sz w:val="21"/>
                <w:szCs w:val="21"/>
                <w:highlight w:val="none"/>
                <w:u w:val="none"/>
                <w:lang w:val="en-US" w:eastAsia="zh-CN" w:bidi="ar"/>
              </w:rPr>
              <w:t>2</w:t>
            </w:r>
            <w:r>
              <w:rPr>
                <w:rFonts w:hint="eastAsia"/>
                <w:color w:val="auto"/>
                <w:szCs w:val="22"/>
                <w:highlight w:val="none"/>
                <w:vertAlign w:val="baseline"/>
                <w:lang w:val="en-US" w:eastAsia="zh-CN"/>
              </w:rPr>
              <w:t>人</w:t>
            </w:r>
          </w:p>
        </w:tc>
        <w:tc>
          <w:tcPr>
            <w:tcW w:w="1143" w:type="dxa"/>
            <w:vAlign w:val="center"/>
          </w:tcPr>
          <w:p w14:paraId="60A88885">
            <w:pPr>
              <w:pStyle w:val="139"/>
              <w:jc w:val="center"/>
              <w:rPr>
                <w:rFonts w:hint="default" w:ascii="宋体" w:hAnsi="Times New Roman" w:eastAsia="宋体" w:cs="Times New Roman"/>
                <w:color w:val="auto"/>
                <w:szCs w:val="22"/>
                <w:highlight w:val="none"/>
                <w:vertAlign w:val="baseline"/>
                <w:lang w:val="en-US" w:eastAsia="zh-CN"/>
              </w:rPr>
            </w:pPr>
            <w:r>
              <w:rPr>
                <w:rFonts w:hint="eastAsia" w:ascii="宋体" w:hAnsi="Times New Roman" w:eastAsia="宋体" w:cs="Times New Roman"/>
                <w:color w:val="auto"/>
                <w:szCs w:val="22"/>
                <w:highlight w:val="none"/>
                <w:vertAlign w:val="baseline"/>
                <w:lang w:val="en-US" w:eastAsia="zh-CN"/>
              </w:rPr>
              <w:t>36</w:t>
            </w:r>
          </w:p>
        </w:tc>
        <w:tc>
          <w:tcPr>
            <w:tcW w:w="1293" w:type="dxa"/>
            <w:vAlign w:val="center"/>
          </w:tcPr>
          <w:p w14:paraId="687EFD6E">
            <w:pPr>
              <w:pStyle w:val="139"/>
              <w:jc w:val="center"/>
              <w:rPr>
                <w:rFonts w:hint="default"/>
                <w:color w:val="auto"/>
                <w:szCs w:val="22"/>
                <w:highlight w:val="none"/>
                <w:vertAlign w:val="baseline"/>
              </w:rPr>
            </w:pPr>
          </w:p>
        </w:tc>
        <w:tc>
          <w:tcPr>
            <w:tcW w:w="1029" w:type="dxa"/>
            <w:vAlign w:val="center"/>
          </w:tcPr>
          <w:p w14:paraId="28E54087">
            <w:pPr>
              <w:pStyle w:val="139"/>
              <w:jc w:val="center"/>
              <w:rPr>
                <w:rFonts w:hint="default"/>
                <w:color w:val="auto"/>
                <w:szCs w:val="22"/>
                <w:highlight w:val="none"/>
                <w:vertAlign w:val="baseline"/>
              </w:rPr>
            </w:pPr>
          </w:p>
        </w:tc>
        <w:tc>
          <w:tcPr>
            <w:tcW w:w="1107" w:type="dxa"/>
            <w:vAlign w:val="center"/>
          </w:tcPr>
          <w:p w14:paraId="4A60E66F">
            <w:pPr>
              <w:pStyle w:val="139"/>
              <w:jc w:val="center"/>
              <w:rPr>
                <w:rFonts w:hint="default"/>
                <w:color w:val="auto"/>
                <w:szCs w:val="22"/>
                <w:highlight w:val="none"/>
                <w:vertAlign w:val="baseline"/>
              </w:rPr>
            </w:pPr>
          </w:p>
        </w:tc>
        <w:tc>
          <w:tcPr>
            <w:tcW w:w="1721" w:type="dxa"/>
            <w:vAlign w:val="center"/>
          </w:tcPr>
          <w:p w14:paraId="2ED9D2F5">
            <w:pPr>
              <w:pStyle w:val="139"/>
              <w:jc w:val="center"/>
              <w:rPr>
                <w:rFonts w:hint="default"/>
                <w:color w:val="auto"/>
                <w:szCs w:val="22"/>
                <w:highlight w:val="none"/>
                <w:vertAlign w:val="baseline"/>
              </w:rPr>
            </w:pPr>
          </w:p>
        </w:tc>
      </w:tr>
      <w:tr w14:paraId="667FE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639" w:type="dxa"/>
            <w:vAlign w:val="center"/>
          </w:tcPr>
          <w:p w14:paraId="6F80F76C">
            <w:pPr>
              <w:pStyle w:val="139"/>
              <w:jc w:val="center"/>
              <w:rPr>
                <w:rFonts w:hint="eastAsia" w:eastAsia="宋体"/>
                <w:color w:val="auto"/>
                <w:szCs w:val="22"/>
                <w:highlight w:val="none"/>
                <w:vertAlign w:val="baseline"/>
                <w:lang w:val="en-US" w:eastAsia="zh-CN"/>
              </w:rPr>
            </w:pPr>
            <w:r>
              <w:rPr>
                <w:rFonts w:hint="eastAsia"/>
                <w:color w:val="auto"/>
                <w:szCs w:val="22"/>
                <w:highlight w:val="none"/>
                <w:vertAlign w:val="baseline"/>
                <w:lang w:val="en-US" w:eastAsia="zh-CN"/>
              </w:rPr>
              <w:t>7</w:t>
            </w:r>
          </w:p>
        </w:tc>
        <w:tc>
          <w:tcPr>
            <w:tcW w:w="1143" w:type="dxa"/>
            <w:vMerge w:val="continue"/>
            <w:vAlign w:val="center"/>
          </w:tcPr>
          <w:p w14:paraId="51CADA9A">
            <w:pPr>
              <w:pStyle w:val="139"/>
              <w:jc w:val="center"/>
              <w:rPr>
                <w:rFonts w:hint="default"/>
                <w:color w:val="auto"/>
                <w:szCs w:val="22"/>
                <w:highlight w:val="none"/>
                <w:vertAlign w:val="baseline"/>
              </w:rPr>
            </w:pPr>
          </w:p>
        </w:tc>
        <w:tc>
          <w:tcPr>
            <w:tcW w:w="1582" w:type="dxa"/>
            <w:vAlign w:val="center"/>
          </w:tcPr>
          <w:p w14:paraId="2FA53630">
            <w:pPr>
              <w:pStyle w:val="139"/>
              <w:jc w:val="center"/>
              <w:rPr>
                <w:rFonts w:hint="default"/>
                <w:color w:val="auto"/>
                <w:szCs w:val="22"/>
                <w:highlight w:val="none"/>
                <w:vertAlign w:val="baseline"/>
              </w:rPr>
            </w:pPr>
            <w:r>
              <w:rPr>
                <w:rFonts w:hint="eastAsia" w:ascii="宋体" w:hAnsi="宋体" w:eastAsia="宋体" w:cs="宋体"/>
                <w:i w:val="0"/>
                <w:iCs w:val="0"/>
                <w:color w:val="auto"/>
                <w:kern w:val="0"/>
                <w:sz w:val="21"/>
                <w:szCs w:val="21"/>
                <w:highlight w:val="none"/>
                <w:u w:val="none"/>
                <w:lang w:val="en-US" w:eastAsia="zh-CN" w:bidi="ar"/>
              </w:rPr>
              <w:t>洗菜/洗碗工</w:t>
            </w:r>
          </w:p>
        </w:tc>
        <w:tc>
          <w:tcPr>
            <w:tcW w:w="841" w:type="dxa"/>
            <w:vAlign w:val="center"/>
          </w:tcPr>
          <w:p w14:paraId="76717E09">
            <w:pPr>
              <w:pStyle w:val="139"/>
              <w:jc w:val="center"/>
              <w:rPr>
                <w:rFonts w:hint="default"/>
                <w:color w:val="auto"/>
                <w:szCs w:val="22"/>
                <w:highlight w:val="none"/>
                <w:vertAlign w:val="baseline"/>
              </w:rPr>
            </w:pPr>
            <w:r>
              <w:rPr>
                <w:rFonts w:hint="eastAsia" w:ascii="宋体" w:hAnsi="宋体" w:eastAsia="宋体" w:cs="宋体"/>
                <w:i w:val="0"/>
                <w:iCs w:val="0"/>
                <w:color w:val="auto"/>
                <w:kern w:val="0"/>
                <w:sz w:val="21"/>
                <w:szCs w:val="21"/>
                <w:highlight w:val="none"/>
                <w:u w:val="none"/>
                <w:lang w:val="en-US" w:eastAsia="zh-CN" w:bidi="ar"/>
              </w:rPr>
              <w:t>3</w:t>
            </w:r>
            <w:r>
              <w:rPr>
                <w:rFonts w:hint="eastAsia"/>
                <w:color w:val="auto"/>
                <w:szCs w:val="22"/>
                <w:highlight w:val="none"/>
                <w:vertAlign w:val="baseline"/>
                <w:lang w:val="en-US" w:eastAsia="zh-CN"/>
              </w:rPr>
              <w:t>人</w:t>
            </w:r>
          </w:p>
        </w:tc>
        <w:tc>
          <w:tcPr>
            <w:tcW w:w="1143" w:type="dxa"/>
            <w:vAlign w:val="center"/>
          </w:tcPr>
          <w:p w14:paraId="5ECF8DED">
            <w:pPr>
              <w:pStyle w:val="139"/>
              <w:jc w:val="center"/>
              <w:rPr>
                <w:rFonts w:hint="default" w:ascii="宋体" w:hAnsi="Times New Roman" w:eastAsia="宋体" w:cs="Times New Roman"/>
                <w:color w:val="auto"/>
                <w:szCs w:val="22"/>
                <w:highlight w:val="none"/>
                <w:vertAlign w:val="baseline"/>
                <w:lang w:val="en-US" w:eastAsia="zh-CN"/>
              </w:rPr>
            </w:pPr>
            <w:r>
              <w:rPr>
                <w:rFonts w:hint="eastAsia" w:ascii="宋体" w:hAnsi="Times New Roman" w:eastAsia="宋体" w:cs="Times New Roman"/>
                <w:color w:val="auto"/>
                <w:szCs w:val="22"/>
                <w:highlight w:val="none"/>
                <w:vertAlign w:val="baseline"/>
                <w:lang w:val="en-US" w:eastAsia="zh-CN"/>
              </w:rPr>
              <w:t>36</w:t>
            </w:r>
          </w:p>
        </w:tc>
        <w:tc>
          <w:tcPr>
            <w:tcW w:w="1293" w:type="dxa"/>
            <w:vAlign w:val="center"/>
          </w:tcPr>
          <w:p w14:paraId="04B601BF">
            <w:pPr>
              <w:pStyle w:val="139"/>
              <w:jc w:val="center"/>
              <w:rPr>
                <w:rFonts w:hint="default"/>
                <w:color w:val="auto"/>
                <w:szCs w:val="22"/>
                <w:highlight w:val="none"/>
                <w:vertAlign w:val="baseline"/>
              </w:rPr>
            </w:pPr>
          </w:p>
        </w:tc>
        <w:tc>
          <w:tcPr>
            <w:tcW w:w="1029" w:type="dxa"/>
            <w:vAlign w:val="center"/>
          </w:tcPr>
          <w:p w14:paraId="10B23521">
            <w:pPr>
              <w:pStyle w:val="139"/>
              <w:jc w:val="center"/>
              <w:rPr>
                <w:rFonts w:hint="default"/>
                <w:color w:val="auto"/>
                <w:szCs w:val="22"/>
                <w:highlight w:val="none"/>
                <w:vertAlign w:val="baseline"/>
              </w:rPr>
            </w:pPr>
          </w:p>
        </w:tc>
        <w:tc>
          <w:tcPr>
            <w:tcW w:w="1107" w:type="dxa"/>
            <w:vAlign w:val="center"/>
          </w:tcPr>
          <w:p w14:paraId="714CCF26">
            <w:pPr>
              <w:pStyle w:val="139"/>
              <w:jc w:val="center"/>
              <w:rPr>
                <w:rFonts w:hint="default"/>
                <w:color w:val="auto"/>
                <w:szCs w:val="22"/>
                <w:highlight w:val="none"/>
                <w:vertAlign w:val="baseline"/>
              </w:rPr>
            </w:pPr>
          </w:p>
        </w:tc>
        <w:tc>
          <w:tcPr>
            <w:tcW w:w="1721" w:type="dxa"/>
            <w:vAlign w:val="center"/>
          </w:tcPr>
          <w:p w14:paraId="0230826E">
            <w:pPr>
              <w:pStyle w:val="139"/>
              <w:jc w:val="center"/>
              <w:rPr>
                <w:rFonts w:hint="default"/>
                <w:color w:val="auto"/>
                <w:szCs w:val="22"/>
                <w:highlight w:val="none"/>
                <w:vertAlign w:val="baseline"/>
              </w:rPr>
            </w:pPr>
          </w:p>
        </w:tc>
      </w:tr>
      <w:tr w14:paraId="6CD5D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639" w:type="dxa"/>
            <w:vAlign w:val="center"/>
          </w:tcPr>
          <w:p w14:paraId="1E6D9259">
            <w:pPr>
              <w:pStyle w:val="139"/>
              <w:jc w:val="center"/>
              <w:rPr>
                <w:rFonts w:hint="default"/>
                <w:color w:val="auto"/>
                <w:szCs w:val="22"/>
                <w:highlight w:val="none"/>
                <w:vertAlign w:val="baseline"/>
                <w:lang w:val="en-US" w:eastAsia="zh-CN"/>
              </w:rPr>
            </w:pPr>
            <w:r>
              <w:rPr>
                <w:rFonts w:hint="eastAsia"/>
                <w:color w:val="auto"/>
                <w:szCs w:val="22"/>
                <w:highlight w:val="none"/>
                <w:vertAlign w:val="baseline"/>
                <w:lang w:val="en-US" w:eastAsia="zh-CN"/>
              </w:rPr>
              <w:t>8</w:t>
            </w:r>
          </w:p>
        </w:tc>
        <w:tc>
          <w:tcPr>
            <w:tcW w:w="1143" w:type="dxa"/>
            <w:vMerge w:val="continue"/>
            <w:vAlign w:val="center"/>
          </w:tcPr>
          <w:p w14:paraId="6B056915">
            <w:pPr>
              <w:pStyle w:val="139"/>
              <w:jc w:val="center"/>
              <w:rPr>
                <w:rFonts w:hint="default"/>
                <w:color w:val="auto"/>
                <w:szCs w:val="22"/>
                <w:highlight w:val="none"/>
                <w:vertAlign w:val="baseline"/>
              </w:rPr>
            </w:pPr>
          </w:p>
        </w:tc>
        <w:tc>
          <w:tcPr>
            <w:tcW w:w="1582" w:type="dxa"/>
            <w:vAlign w:val="center"/>
          </w:tcPr>
          <w:p w14:paraId="02AA935B">
            <w:pPr>
              <w:pStyle w:val="139"/>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服务员</w:t>
            </w:r>
          </w:p>
        </w:tc>
        <w:tc>
          <w:tcPr>
            <w:tcW w:w="841" w:type="dxa"/>
            <w:vAlign w:val="center"/>
          </w:tcPr>
          <w:p w14:paraId="7846D78E">
            <w:pPr>
              <w:pStyle w:val="139"/>
              <w:jc w:val="center"/>
              <w:rPr>
                <w:rFonts w:hint="default"/>
                <w:color w:val="auto"/>
                <w:szCs w:val="22"/>
                <w:highlight w:val="none"/>
                <w:vertAlign w:val="baseline"/>
              </w:rPr>
            </w:pPr>
            <w:r>
              <w:rPr>
                <w:rFonts w:hint="eastAsia" w:ascii="宋体" w:hAnsi="宋体" w:eastAsia="宋体" w:cs="宋体"/>
                <w:i w:val="0"/>
                <w:iCs w:val="0"/>
                <w:color w:val="auto"/>
                <w:kern w:val="0"/>
                <w:sz w:val="21"/>
                <w:szCs w:val="21"/>
                <w:highlight w:val="none"/>
                <w:u w:val="none"/>
                <w:lang w:val="en-US" w:eastAsia="zh-CN" w:bidi="ar"/>
              </w:rPr>
              <w:t>4</w:t>
            </w:r>
            <w:r>
              <w:rPr>
                <w:rFonts w:hint="eastAsia"/>
                <w:color w:val="auto"/>
                <w:szCs w:val="22"/>
                <w:highlight w:val="none"/>
                <w:vertAlign w:val="baseline"/>
                <w:lang w:val="en-US" w:eastAsia="zh-CN"/>
              </w:rPr>
              <w:t>人</w:t>
            </w:r>
          </w:p>
        </w:tc>
        <w:tc>
          <w:tcPr>
            <w:tcW w:w="1143" w:type="dxa"/>
            <w:vAlign w:val="center"/>
          </w:tcPr>
          <w:p w14:paraId="342E86F3">
            <w:pPr>
              <w:pStyle w:val="139"/>
              <w:jc w:val="center"/>
              <w:rPr>
                <w:rFonts w:hint="eastAsia" w:ascii="宋体" w:hAnsi="Times New Roman" w:eastAsia="宋体" w:cs="Times New Roman"/>
                <w:color w:val="auto"/>
                <w:szCs w:val="22"/>
                <w:highlight w:val="none"/>
                <w:vertAlign w:val="baseline"/>
                <w:lang w:val="en-US" w:eastAsia="zh-CN"/>
              </w:rPr>
            </w:pPr>
            <w:r>
              <w:rPr>
                <w:rFonts w:hint="eastAsia" w:ascii="宋体" w:hAnsi="Times New Roman" w:eastAsia="宋体" w:cs="Times New Roman"/>
                <w:color w:val="auto"/>
                <w:szCs w:val="22"/>
                <w:highlight w:val="none"/>
                <w:vertAlign w:val="baseline"/>
                <w:lang w:val="en-US" w:eastAsia="zh-CN"/>
              </w:rPr>
              <w:t>36</w:t>
            </w:r>
          </w:p>
        </w:tc>
        <w:tc>
          <w:tcPr>
            <w:tcW w:w="1293" w:type="dxa"/>
            <w:vAlign w:val="center"/>
          </w:tcPr>
          <w:p w14:paraId="6546986F">
            <w:pPr>
              <w:pStyle w:val="139"/>
              <w:jc w:val="center"/>
              <w:rPr>
                <w:rFonts w:hint="default"/>
                <w:color w:val="auto"/>
                <w:szCs w:val="22"/>
                <w:highlight w:val="none"/>
                <w:vertAlign w:val="baseline"/>
              </w:rPr>
            </w:pPr>
          </w:p>
        </w:tc>
        <w:tc>
          <w:tcPr>
            <w:tcW w:w="1029" w:type="dxa"/>
            <w:vAlign w:val="center"/>
          </w:tcPr>
          <w:p w14:paraId="593CE3E5">
            <w:pPr>
              <w:pStyle w:val="139"/>
              <w:jc w:val="center"/>
              <w:rPr>
                <w:rFonts w:hint="default"/>
                <w:color w:val="auto"/>
                <w:szCs w:val="22"/>
                <w:highlight w:val="none"/>
                <w:vertAlign w:val="baseline"/>
              </w:rPr>
            </w:pPr>
          </w:p>
        </w:tc>
        <w:tc>
          <w:tcPr>
            <w:tcW w:w="1107" w:type="dxa"/>
            <w:vAlign w:val="center"/>
          </w:tcPr>
          <w:p w14:paraId="3BA63696">
            <w:pPr>
              <w:pStyle w:val="139"/>
              <w:jc w:val="center"/>
              <w:rPr>
                <w:rFonts w:hint="default"/>
                <w:color w:val="auto"/>
                <w:szCs w:val="22"/>
                <w:highlight w:val="none"/>
                <w:vertAlign w:val="baseline"/>
              </w:rPr>
            </w:pPr>
          </w:p>
        </w:tc>
        <w:tc>
          <w:tcPr>
            <w:tcW w:w="1721" w:type="dxa"/>
            <w:vAlign w:val="center"/>
          </w:tcPr>
          <w:p w14:paraId="284CD452">
            <w:pPr>
              <w:pStyle w:val="139"/>
              <w:jc w:val="center"/>
              <w:rPr>
                <w:rFonts w:hint="default"/>
                <w:color w:val="auto"/>
                <w:szCs w:val="22"/>
                <w:highlight w:val="none"/>
                <w:vertAlign w:val="baseline"/>
              </w:rPr>
            </w:pPr>
          </w:p>
        </w:tc>
      </w:tr>
      <w:tr w14:paraId="5424F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639" w:type="dxa"/>
            <w:vAlign w:val="center"/>
          </w:tcPr>
          <w:p w14:paraId="0ECAB2E0">
            <w:pPr>
              <w:pStyle w:val="139"/>
              <w:jc w:val="center"/>
              <w:rPr>
                <w:rFonts w:hint="default"/>
                <w:color w:val="auto"/>
                <w:szCs w:val="22"/>
                <w:highlight w:val="none"/>
                <w:vertAlign w:val="baseline"/>
                <w:lang w:val="en-US" w:eastAsia="zh-CN"/>
              </w:rPr>
            </w:pPr>
            <w:r>
              <w:rPr>
                <w:rFonts w:hint="eastAsia"/>
                <w:color w:val="auto"/>
                <w:szCs w:val="22"/>
                <w:highlight w:val="none"/>
                <w:vertAlign w:val="baseline"/>
                <w:lang w:val="en-US" w:eastAsia="zh-CN"/>
              </w:rPr>
              <w:t>9</w:t>
            </w:r>
          </w:p>
        </w:tc>
        <w:tc>
          <w:tcPr>
            <w:tcW w:w="1143" w:type="dxa"/>
            <w:vMerge w:val="continue"/>
            <w:vAlign w:val="center"/>
          </w:tcPr>
          <w:p w14:paraId="44C27AC7">
            <w:pPr>
              <w:pStyle w:val="139"/>
              <w:jc w:val="center"/>
              <w:rPr>
                <w:rFonts w:hint="default"/>
                <w:color w:val="auto"/>
                <w:szCs w:val="22"/>
                <w:highlight w:val="none"/>
                <w:vertAlign w:val="baseline"/>
              </w:rPr>
            </w:pPr>
          </w:p>
        </w:tc>
        <w:tc>
          <w:tcPr>
            <w:tcW w:w="1582" w:type="dxa"/>
            <w:vAlign w:val="center"/>
          </w:tcPr>
          <w:p w14:paraId="32DB459C">
            <w:pPr>
              <w:keepNext w:val="0"/>
              <w:keepLines w:val="0"/>
              <w:pageBreakBefore w:val="0"/>
              <w:widowControl/>
              <w:suppressLineNumbers w:val="0"/>
              <w:kinsoku/>
              <w:topLinePunct w:val="0"/>
              <w:bidi w:val="0"/>
              <w:spacing w:line="240" w:lineRule="auto"/>
              <w:jc w:val="center"/>
              <w:textAlignment w:val="top"/>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送餐员</w:t>
            </w:r>
          </w:p>
        </w:tc>
        <w:tc>
          <w:tcPr>
            <w:tcW w:w="841" w:type="dxa"/>
            <w:vAlign w:val="center"/>
          </w:tcPr>
          <w:p w14:paraId="3B5EBFBF">
            <w:pPr>
              <w:keepNext w:val="0"/>
              <w:keepLines w:val="0"/>
              <w:pageBreakBefore w:val="0"/>
              <w:widowControl/>
              <w:suppressLineNumbers w:val="0"/>
              <w:kinsoku/>
              <w:topLinePunct w:val="0"/>
              <w:bidi w:val="0"/>
              <w:spacing w:line="240" w:lineRule="auto"/>
              <w:jc w:val="center"/>
              <w:textAlignment w:val="top"/>
              <w:rPr>
                <w:rFonts w:hint="default"/>
                <w:color w:val="auto"/>
                <w:szCs w:val="22"/>
                <w:highlight w:val="none"/>
                <w:vertAlign w:val="baseline"/>
              </w:rPr>
            </w:pPr>
            <w:r>
              <w:rPr>
                <w:rFonts w:hint="eastAsia" w:ascii="宋体" w:hAnsi="宋体" w:eastAsia="宋体" w:cs="宋体"/>
                <w:i w:val="0"/>
                <w:iCs w:val="0"/>
                <w:color w:val="auto"/>
                <w:kern w:val="0"/>
                <w:sz w:val="21"/>
                <w:szCs w:val="21"/>
                <w:highlight w:val="none"/>
                <w:u w:val="none"/>
                <w:lang w:val="en-US" w:eastAsia="zh-CN" w:bidi="ar"/>
              </w:rPr>
              <w:t>2</w:t>
            </w:r>
            <w:r>
              <w:rPr>
                <w:rFonts w:hint="eastAsia"/>
                <w:color w:val="auto"/>
                <w:szCs w:val="22"/>
                <w:highlight w:val="none"/>
                <w:vertAlign w:val="baseline"/>
                <w:lang w:val="en-US" w:eastAsia="zh-CN"/>
              </w:rPr>
              <w:t>人</w:t>
            </w:r>
          </w:p>
        </w:tc>
        <w:tc>
          <w:tcPr>
            <w:tcW w:w="1143" w:type="dxa"/>
            <w:vAlign w:val="center"/>
          </w:tcPr>
          <w:p w14:paraId="2D3203D4">
            <w:pPr>
              <w:pStyle w:val="139"/>
              <w:jc w:val="center"/>
              <w:rPr>
                <w:rFonts w:hint="eastAsia" w:ascii="宋体" w:hAnsi="Times New Roman" w:eastAsia="宋体" w:cs="Times New Roman"/>
                <w:color w:val="auto"/>
                <w:szCs w:val="22"/>
                <w:highlight w:val="none"/>
                <w:vertAlign w:val="baseline"/>
                <w:lang w:val="en-US" w:eastAsia="zh-CN"/>
              </w:rPr>
            </w:pPr>
            <w:r>
              <w:rPr>
                <w:rFonts w:hint="eastAsia" w:ascii="宋体" w:hAnsi="Times New Roman" w:eastAsia="宋体" w:cs="Times New Roman"/>
                <w:color w:val="auto"/>
                <w:szCs w:val="22"/>
                <w:highlight w:val="none"/>
                <w:vertAlign w:val="baseline"/>
                <w:lang w:val="en-US" w:eastAsia="zh-CN"/>
              </w:rPr>
              <w:t>36</w:t>
            </w:r>
          </w:p>
        </w:tc>
        <w:tc>
          <w:tcPr>
            <w:tcW w:w="1293" w:type="dxa"/>
            <w:vAlign w:val="center"/>
          </w:tcPr>
          <w:p w14:paraId="6E8B0B3B">
            <w:pPr>
              <w:pStyle w:val="139"/>
              <w:jc w:val="center"/>
              <w:rPr>
                <w:rFonts w:hint="default"/>
                <w:color w:val="auto"/>
                <w:szCs w:val="22"/>
                <w:highlight w:val="none"/>
                <w:vertAlign w:val="baseline"/>
              </w:rPr>
            </w:pPr>
          </w:p>
        </w:tc>
        <w:tc>
          <w:tcPr>
            <w:tcW w:w="1029" w:type="dxa"/>
            <w:vAlign w:val="center"/>
          </w:tcPr>
          <w:p w14:paraId="50CCA134">
            <w:pPr>
              <w:pStyle w:val="139"/>
              <w:jc w:val="center"/>
              <w:rPr>
                <w:rFonts w:hint="default"/>
                <w:color w:val="auto"/>
                <w:szCs w:val="22"/>
                <w:highlight w:val="none"/>
                <w:vertAlign w:val="baseline"/>
              </w:rPr>
            </w:pPr>
          </w:p>
        </w:tc>
        <w:tc>
          <w:tcPr>
            <w:tcW w:w="1107" w:type="dxa"/>
            <w:vAlign w:val="center"/>
          </w:tcPr>
          <w:p w14:paraId="6A7267AC">
            <w:pPr>
              <w:pStyle w:val="139"/>
              <w:jc w:val="center"/>
              <w:rPr>
                <w:rFonts w:hint="default"/>
                <w:color w:val="auto"/>
                <w:szCs w:val="22"/>
                <w:highlight w:val="none"/>
                <w:vertAlign w:val="baseline"/>
              </w:rPr>
            </w:pPr>
          </w:p>
        </w:tc>
        <w:tc>
          <w:tcPr>
            <w:tcW w:w="1721" w:type="dxa"/>
            <w:vAlign w:val="center"/>
          </w:tcPr>
          <w:p w14:paraId="63F75613">
            <w:pPr>
              <w:pStyle w:val="139"/>
              <w:jc w:val="center"/>
              <w:rPr>
                <w:rFonts w:hint="default"/>
                <w:color w:val="auto"/>
                <w:szCs w:val="22"/>
                <w:highlight w:val="none"/>
                <w:vertAlign w:val="baseline"/>
              </w:rPr>
            </w:pPr>
          </w:p>
        </w:tc>
      </w:tr>
      <w:tr w14:paraId="63B0B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9" w:type="dxa"/>
            <w:vAlign w:val="center"/>
          </w:tcPr>
          <w:p w14:paraId="35281B28">
            <w:pPr>
              <w:pStyle w:val="139"/>
              <w:jc w:val="center"/>
              <w:rPr>
                <w:rFonts w:hint="default"/>
                <w:color w:val="auto"/>
                <w:szCs w:val="22"/>
                <w:highlight w:val="none"/>
                <w:vertAlign w:val="baseline"/>
                <w:lang w:val="en-US" w:eastAsia="zh-CN"/>
              </w:rPr>
            </w:pPr>
            <w:r>
              <w:rPr>
                <w:rFonts w:hint="eastAsia"/>
                <w:color w:val="auto"/>
                <w:szCs w:val="22"/>
                <w:highlight w:val="none"/>
                <w:vertAlign w:val="baseline"/>
                <w:lang w:val="en-US" w:eastAsia="zh-CN"/>
              </w:rPr>
              <w:t>10</w:t>
            </w:r>
          </w:p>
        </w:tc>
        <w:tc>
          <w:tcPr>
            <w:tcW w:w="1143" w:type="dxa"/>
            <w:vMerge w:val="continue"/>
            <w:vAlign w:val="center"/>
          </w:tcPr>
          <w:p w14:paraId="1771BD19">
            <w:pPr>
              <w:pStyle w:val="139"/>
              <w:jc w:val="center"/>
              <w:rPr>
                <w:rFonts w:hint="default"/>
                <w:color w:val="auto"/>
                <w:szCs w:val="22"/>
                <w:highlight w:val="none"/>
                <w:vertAlign w:val="baseline"/>
              </w:rPr>
            </w:pPr>
          </w:p>
        </w:tc>
        <w:tc>
          <w:tcPr>
            <w:tcW w:w="1582" w:type="dxa"/>
            <w:vAlign w:val="center"/>
          </w:tcPr>
          <w:p w14:paraId="6A366A33">
            <w:pPr>
              <w:keepNext w:val="0"/>
              <w:keepLines w:val="0"/>
              <w:pageBreakBefore w:val="0"/>
              <w:widowControl/>
              <w:suppressLineNumbers w:val="0"/>
              <w:kinsoku/>
              <w:topLinePunct w:val="0"/>
              <w:bidi w:val="0"/>
              <w:spacing w:line="240" w:lineRule="auto"/>
              <w:jc w:val="center"/>
              <w:textAlignment w:val="top"/>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小卖部收银</w:t>
            </w:r>
          </w:p>
        </w:tc>
        <w:tc>
          <w:tcPr>
            <w:tcW w:w="841" w:type="dxa"/>
            <w:vAlign w:val="center"/>
          </w:tcPr>
          <w:p w14:paraId="1D968384">
            <w:pPr>
              <w:keepNext w:val="0"/>
              <w:keepLines w:val="0"/>
              <w:pageBreakBefore w:val="0"/>
              <w:widowControl/>
              <w:suppressLineNumbers w:val="0"/>
              <w:kinsoku/>
              <w:topLinePunct w:val="0"/>
              <w:bidi w:val="0"/>
              <w:spacing w:line="240" w:lineRule="auto"/>
              <w:jc w:val="center"/>
              <w:textAlignment w:val="top"/>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r>
              <w:rPr>
                <w:rFonts w:hint="eastAsia"/>
                <w:color w:val="auto"/>
                <w:szCs w:val="22"/>
                <w:highlight w:val="none"/>
                <w:vertAlign w:val="baseline"/>
                <w:lang w:val="en-US" w:eastAsia="zh-CN"/>
              </w:rPr>
              <w:t>人</w:t>
            </w:r>
          </w:p>
        </w:tc>
        <w:tc>
          <w:tcPr>
            <w:tcW w:w="1143" w:type="dxa"/>
            <w:vAlign w:val="center"/>
          </w:tcPr>
          <w:p w14:paraId="132AA9CC">
            <w:pPr>
              <w:pStyle w:val="139"/>
              <w:jc w:val="center"/>
              <w:rPr>
                <w:rFonts w:hint="eastAsia" w:ascii="宋体" w:hAnsi="Times New Roman" w:eastAsia="宋体" w:cs="Times New Roman"/>
                <w:color w:val="auto"/>
                <w:szCs w:val="22"/>
                <w:highlight w:val="none"/>
                <w:vertAlign w:val="baseline"/>
                <w:lang w:val="en-US" w:eastAsia="zh-CN"/>
              </w:rPr>
            </w:pPr>
            <w:r>
              <w:rPr>
                <w:rFonts w:hint="eastAsia" w:ascii="宋体" w:hAnsi="Times New Roman" w:eastAsia="宋体" w:cs="Times New Roman"/>
                <w:color w:val="auto"/>
                <w:szCs w:val="22"/>
                <w:highlight w:val="none"/>
                <w:vertAlign w:val="baseline"/>
                <w:lang w:val="en-US" w:eastAsia="zh-CN"/>
              </w:rPr>
              <w:t>36</w:t>
            </w:r>
          </w:p>
        </w:tc>
        <w:tc>
          <w:tcPr>
            <w:tcW w:w="1293" w:type="dxa"/>
            <w:vAlign w:val="center"/>
          </w:tcPr>
          <w:p w14:paraId="5A34C1AB">
            <w:pPr>
              <w:pStyle w:val="139"/>
              <w:jc w:val="center"/>
              <w:rPr>
                <w:rFonts w:hint="default"/>
                <w:color w:val="auto"/>
                <w:szCs w:val="22"/>
                <w:highlight w:val="none"/>
                <w:vertAlign w:val="baseline"/>
              </w:rPr>
            </w:pPr>
          </w:p>
        </w:tc>
        <w:tc>
          <w:tcPr>
            <w:tcW w:w="1029" w:type="dxa"/>
            <w:vAlign w:val="center"/>
          </w:tcPr>
          <w:p w14:paraId="76C03744">
            <w:pPr>
              <w:pStyle w:val="139"/>
              <w:jc w:val="center"/>
              <w:rPr>
                <w:rFonts w:hint="default"/>
                <w:color w:val="auto"/>
                <w:szCs w:val="22"/>
                <w:highlight w:val="none"/>
                <w:vertAlign w:val="baseline"/>
              </w:rPr>
            </w:pPr>
          </w:p>
        </w:tc>
        <w:tc>
          <w:tcPr>
            <w:tcW w:w="1107" w:type="dxa"/>
            <w:vAlign w:val="center"/>
          </w:tcPr>
          <w:p w14:paraId="71C3215E">
            <w:pPr>
              <w:pStyle w:val="139"/>
              <w:jc w:val="center"/>
              <w:rPr>
                <w:rFonts w:hint="default"/>
                <w:color w:val="auto"/>
                <w:szCs w:val="22"/>
                <w:highlight w:val="none"/>
                <w:vertAlign w:val="baseline"/>
              </w:rPr>
            </w:pPr>
          </w:p>
        </w:tc>
        <w:tc>
          <w:tcPr>
            <w:tcW w:w="1721" w:type="dxa"/>
            <w:vAlign w:val="center"/>
          </w:tcPr>
          <w:p w14:paraId="6DE25574">
            <w:pPr>
              <w:pStyle w:val="139"/>
              <w:jc w:val="center"/>
              <w:rPr>
                <w:rFonts w:hint="default"/>
                <w:color w:val="auto"/>
                <w:szCs w:val="22"/>
                <w:highlight w:val="none"/>
                <w:vertAlign w:val="baseline"/>
              </w:rPr>
            </w:pPr>
          </w:p>
        </w:tc>
      </w:tr>
      <w:tr w14:paraId="636C5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639" w:type="dxa"/>
            <w:vAlign w:val="center"/>
          </w:tcPr>
          <w:p w14:paraId="1D682D5A">
            <w:pPr>
              <w:pStyle w:val="139"/>
              <w:jc w:val="center"/>
              <w:rPr>
                <w:rFonts w:hint="default"/>
                <w:color w:val="auto"/>
                <w:szCs w:val="22"/>
                <w:highlight w:val="none"/>
                <w:vertAlign w:val="baseline"/>
                <w:lang w:val="en-US" w:eastAsia="zh-CN"/>
              </w:rPr>
            </w:pPr>
            <w:r>
              <w:rPr>
                <w:rFonts w:hint="eastAsia"/>
                <w:color w:val="auto"/>
                <w:szCs w:val="22"/>
                <w:highlight w:val="none"/>
                <w:vertAlign w:val="baseline"/>
                <w:lang w:val="en-US" w:eastAsia="zh-CN"/>
              </w:rPr>
              <w:t>11</w:t>
            </w:r>
          </w:p>
        </w:tc>
        <w:tc>
          <w:tcPr>
            <w:tcW w:w="1143" w:type="dxa"/>
            <w:vAlign w:val="center"/>
          </w:tcPr>
          <w:p w14:paraId="18F911F7">
            <w:pPr>
              <w:pStyle w:val="139"/>
              <w:jc w:val="center"/>
              <w:rPr>
                <w:rFonts w:hint="default"/>
                <w:color w:val="auto"/>
                <w:szCs w:val="22"/>
                <w:highlight w:val="none"/>
                <w:vertAlign w:val="baseline"/>
              </w:rPr>
            </w:pPr>
            <w:r>
              <w:rPr>
                <w:rFonts w:hint="eastAsia" w:ascii="宋体" w:hAnsi="Times New Roman" w:eastAsia="宋体" w:cs="Times New Roman"/>
                <w:color w:val="auto"/>
                <w:szCs w:val="22"/>
                <w:highlight w:val="none"/>
                <w:vertAlign w:val="baseline"/>
                <w:lang w:val="en-US" w:eastAsia="zh-CN"/>
              </w:rPr>
              <w:t>其它费用</w:t>
            </w:r>
          </w:p>
        </w:tc>
        <w:tc>
          <w:tcPr>
            <w:tcW w:w="1582" w:type="dxa"/>
            <w:vAlign w:val="center"/>
          </w:tcPr>
          <w:p w14:paraId="3B8B3BF9">
            <w:pPr>
              <w:keepNext w:val="0"/>
              <w:keepLines w:val="0"/>
              <w:pageBreakBefore w:val="0"/>
              <w:widowControl/>
              <w:suppressLineNumbers w:val="0"/>
              <w:kinsoku/>
              <w:topLinePunct w:val="0"/>
              <w:bidi w:val="0"/>
              <w:spacing w:line="240" w:lineRule="auto"/>
              <w:jc w:val="center"/>
              <w:textAlignment w:val="top"/>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w:t>
            </w:r>
          </w:p>
        </w:tc>
        <w:tc>
          <w:tcPr>
            <w:tcW w:w="841" w:type="dxa"/>
            <w:vAlign w:val="center"/>
          </w:tcPr>
          <w:p w14:paraId="372D1BB6">
            <w:pPr>
              <w:keepNext w:val="0"/>
              <w:keepLines w:val="0"/>
              <w:pageBreakBefore w:val="0"/>
              <w:widowControl/>
              <w:suppressLineNumbers w:val="0"/>
              <w:kinsoku/>
              <w:topLinePunct w:val="0"/>
              <w:bidi w:val="0"/>
              <w:spacing w:line="240" w:lineRule="auto"/>
              <w:jc w:val="center"/>
              <w:textAlignment w:val="top"/>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1项</w:t>
            </w:r>
          </w:p>
        </w:tc>
        <w:tc>
          <w:tcPr>
            <w:tcW w:w="1143" w:type="dxa"/>
            <w:vAlign w:val="center"/>
          </w:tcPr>
          <w:p w14:paraId="70F52BA2">
            <w:pPr>
              <w:pStyle w:val="139"/>
              <w:jc w:val="center"/>
              <w:rPr>
                <w:rFonts w:hint="default" w:ascii="宋体" w:hAnsi="Times New Roman" w:eastAsia="宋体" w:cs="Times New Roman"/>
                <w:color w:val="auto"/>
                <w:szCs w:val="22"/>
                <w:highlight w:val="none"/>
                <w:vertAlign w:val="baseline"/>
                <w:lang w:val="en-US" w:eastAsia="zh-CN"/>
              </w:rPr>
            </w:pPr>
            <w:r>
              <w:rPr>
                <w:rFonts w:hint="eastAsia" w:ascii="宋体" w:hAnsi="Times New Roman" w:eastAsia="宋体" w:cs="Times New Roman"/>
                <w:color w:val="auto"/>
                <w:szCs w:val="22"/>
                <w:highlight w:val="none"/>
                <w:vertAlign w:val="baseline"/>
                <w:lang w:val="en-US" w:eastAsia="zh-CN"/>
              </w:rPr>
              <w:t>36</w:t>
            </w:r>
          </w:p>
        </w:tc>
        <w:tc>
          <w:tcPr>
            <w:tcW w:w="1293" w:type="dxa"/>
            <w:vAlign w:val="center"/>
          </w:tcPr>
          <w:p w14:paraId="3C90C9E2">
            <w:pPr>
              <w:pStyle w:val="139"/>
              <w:jc w:val="center"/>
              <w:rPr>
                <w:rFonts w:hint="default"/>
                <w:color w:val="auto"/>
                <w:szCs w:val="22"/>
                <w:highlight w:val="none"/>
                <w:vertAlign w:val="baseline"/>
              </w:rPr>
            </w:pPr>
          </w:p>
        </w:tc>
        <w:tc>
          <w:tcPr>
            <w:tcW w:w="1029" w:type="dxa"/>
            <w:vAlign w:val="center"/>
          </w:tcPr>
          <w:p w14:paraId="33C4F7A4">
            <w:pPr>
              <w:pStyle w:val="139"/>
              <w:jc w:val="center"/>
              <w:rPr>
                <w:rFonts w:hint="default"/>
                <w:color w:val="auto"/>
                <w:szCs w:val="22"/>
                <w:highlight w:val="none"/>
                <w:vertAlign w:val="baseline"/>
              </w:rPr>
            </w:pPr>
          </w:p>
        </w:tc>
        <w:tc>
          <w:tcPr>
            <w:tcW w:w="1107" w:type="dxa"/>
            <w:vAlign w:val="center"/>
          </w:tcPr>
          <w:p w14:paraId="52A6B217">
            <w:pPr>
              <w:pStyle w:val="139"/>
              <w:jc w:val="center"/>
              <w:rPr>
                <w:rFonts w:hint="default"/>
                <w:color w:val="auto"/>
                <w:szCs w:val="22"/>
                <w:highlight w:val="none"/>
                <w:vertAlign w:val="baseline"/>
              </w:rPr>
            </w:pPr>
          </w:p>
        </w:tc>
        <w:tc>
          <w:tcPr>
            <w:tcW w:w="1721" w:type="dxa"/>
            <w:vAlign w:val="center"/>
          </w:tcPr>
          <w:p w14:paraId="3D0AE817">
            <w:pPr>
              <w:pStyle w:val="139"/>
              <w:jc w:val="center"/>
              <w:rPr>
                <w:rFonts w:hint="default"/>
                <w:color w:val="auto"/>
                <w:szCs w:val="22"/>
                <w:highlight w:val="none"/>
                <w:vertAlign w:val="baseline"/>
              </w:rPr>
            </w:pPr>
          </w:p>
        </w:tc>
      </w:tr>
      <w:tr w14:paraId="3DFD7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8777" w:type="dxa"/>
            <w:gridSpan w:val="8"/>
            <w:vAlign w:val="center"/>
          </w:tcPr>
          <w:p w14:paraId="2CC40B15">
            <w:pPr>
              <w:pStyle w:val="139"/>
              <w:jc w:val="center"/>
              <w:rPr>
                <w:rFonts w:hint="default"/>
                <w:color w:val="auto"/>
                <w:szCs w:val="22"/>
                <w:highlight w:val="none"/>
                <w:vertAlign w:val="baseline"/>
              </w:rPr>
            </w:pPr>
            <w:r>
              <w:rPr>
                <w:rFonts w:ascii="宋体" w:hAnsi="宋体" w:eastAsia="宋体" w:cs="宋体"/>
                <w:b/>
                <w:bCs/>
                <w:sz w:val="24"/>
                <w:szCs w:val="24"/>
                <w:highlight w:val="none"/>
              </w:rPr>
              <w:t>含税费用合计（劳务费用+其它费用）</w:t>
            </w:r>
          </w:p>
        </w:tc>
        <w:tc>
          <w:tcPr>
            <w:tcW w:w="1721" w:type="dxa"/>
            <w:vAlign w:val="center"/>
          </w:tcPr>
          <w:p w14:paraId="33C26381">
            <w:pPr>
              <w:pStyle w:val="139"/>
              <w:jc w:val="center"/>
              <w:rPr>
                <w:rFonts w:hint="default"/>
                <w:color w:val="auto"/>
                <w:szCs w:val="22"/>
                <w:highlight w:val="none"/>
                <w:vertAlign w:val="baseline"/>
              </w:rPr>
            </w:pPr>
          </w:p>
        </w:tc>
      </w:tr>
      <w:tr w14:paraId="7BD94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3" w:hRule="atLeast"/>
        </w:trPr>
        <w:tc>
          <w:tcPr>
            <w:tcW w:w="10498" w:type="dxa"/>
            <w:gridSpan w:val="9"/>
            <w:vAlign w:val="center"/>
          </w:tcPr>
          <w:p w14:paraId="76FC04B0">
            <w:pPr>
              <w:pStyle w:val="139"/>
              <w:ind w:left="0" w:leftChars="0" w:firstLine="0" w:firstLineChars="0"/>
              <w:jc w:val="both"/>
              <w:rPr>
                <w:rFonts w:ascii="宋体" w:hAnsi="宋体" w:eastAsia="宋体" w:cs="宋体"/>
                <w:sz w:val="21"/>
                <w:szCs w:val="22"/>
                <w:highlight w:val="none"/>
              </w:rPr>
            </w:pPr>
            <w:r>
              <w:rPr>
                <w:rFonts w:ascii="宋体" w:hAnsi="宋体" w:eastAsia="宋体" w:cs="宋体"/>
                <w:sz w:val="21"/>
                <w:szCs w:val="21"/>
                <w:highlight w:val="none"/>
              </w:rPr>
              <w:t>劳务费用说明：①该人员配置为最低</w:t>
            </w:r>
            <w:r>
              <w:rPr>
                <w:rFonts w:hint="eastAsia" w:ascii="宋体" w:hAnsi="宋体" w:eastAsia="宋体" w:cs="宋体"/>
                <w:sz w:val="21"/>
                <w:szCs w:val="21"/>
                <w:highlight w:val="none"/>
                <w:lang w:val="en-US" w:eastAsia="zh-CN"/>
              </w:rPr>
              <w:t>人数配置</w:t>
            </w:r>
            <w:r>
              <w:rPr>
                <w:rFonts w:ascii="宋体" w:hAnsi="宋体" w:eastAsia="宋体" w:cs="宋体"/>
                <w:sz w:val="21"/>
                <w:szCs w:val="21"/>
                <w:highlight w:val="none"/>
              </w:rPr>
              <w:t>标准。如因现场服务需求变化（包括但不限于岗位轮休、突击任务等需临时增派人员），招标人有权要求投标人增派工作人员，相关费用已包含在投标总价中，不另行增加。②人员工资</w:t>
            </w:r>
            <w:r>
              <w:rPr>
                <w:rFonts w:hint="eastAsia" w:hAnsi="宋体" w:cs="宋体"/>
                <w:sz w:val="21"/>
                <w:szCs w:val="21"/>
                <w:highlight w:val="none"/>
                <w:lang w:eastAsia="zh-CN"/>
              </w:rPr>
              <w:t>、</w:t>
            </w:r>
            <w:r>
              <w:rPr>
                <w:rFonts w:ascii="宋体" w:hAnsi="宋体" w:eastAsia="宋体" w:cs="宋体"/>
                <w:sz w:val="21"/>
                <w:szCs w:val="21"/>
                <w:highlight w:val="none"/>
              </w:rPr>
              <w:t xml:space="preserve">社会保险费（含养老、医疗、失业、工伤、生育、大病保险、团体人身意外伤害险及公众责任险）、项目管理费、交通补贴、话费补贴、绩 效、节日福利、年终奖、劳保用品、住宿补贴、水电补贴、工龄补贴、岗位补贴、夜班津贴等费用。 </w:t>
            </w:r>
          </w:p>
          <w:p w14:paraId="32564D3C">
            <w:pPr>
              <w:pStyle w:val="139"/>
              <w:ind w:left="0" w:leftChars="0" w:firstLine="0" w:firstLineChars="0"/>
              <w:jc w:val="both"/>
              <w:rPr>
                <w:rFonts w:ascii="宋体" w:hAnsi="宋体" w:eastAsia="宋体" w:cs="宋体"/>
                <w:sz w:val="21"/>
                <w:szCs w:val="22"/>
                <w:highlight w:val="none"/>
              </w:rPr>
            </w:pPr>
            <w:r>
              <w:rPr>
                <w:rFonts w:ascii="宋体" w:hAnsi="宋体" w:eastAsia="宋体" w:cs="宋体"/>
                <w:sz w:val="21"/>
                <w:szCs w:val="21"/>
                <w:highlight w:val="none"/>
              </w:rPr>
              <w:t xml:space="preserve">项目管理费说明：①该部分费用包括但不限于项目人员管理成本（如：食堂人员培训费、差旅费、职 业健康体检费等）经营性收入（含利润）②办公费用（纸张、笔墨、电脑消耗用品、账证、收据等）。 </w:t>
            </w:r>
          </w:p>
          <w:p w14:paraId="1D42D648">
            <w:pPr>
              <w:pStyle w:val="139"/>
              <w:ind w:left="0" w:leftChars="0" w:firstLine="0" w:firstLineChars="0"/>
              <w:jc w:val="both"/>
              <w:rPr>
                <w:rFonts w:hint="default" w:ascii="宋体" w:hAnsi="宋体" w:eastAsia="宋体" w:cs="宋体"/>
                <w:sz w:val="21"/>
                <w:szCs w:val="22"/>
                <w:highlight w:val="none"/>
              </w:rPr>
            </w:pPr>
            <w:r>
              <w:rPr>
                <w:rFonts w:ascii="宋体" w:hAnsi="宋体" w:eastAsia="宋体" w:cs="宋体"/>
                <w:sz w:val="21"/>
                <w:szCs w:val="21"/>
                <w:highlight w:val="none"/>
              </w:rPr>
              <w:t>其它费用说明：含食品安全及经营场所有关保险（总保额不低于1000万元）、烟机系统清洗费（一年 不少于4次）、烟机排放第三方检测费用（一年不少于1次）、餐厨垃圾收运费用、隔地池及食堂周 边下水道疏通费用、食堂设备设施维修维护[单件耗材1000元以内（含）]相关费用。</w:t>
            </w:r>
          </w:p>
        </w:tc>
      </w:tr>
    </w:tbl>
    <w:p w14:paraId="1F5998D4">
      <w:pPr>
        <w:pStyle w:val="139"/>
        <w:ind w:left="0" w:leftChars="0"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备注：</w:t>
      </w:r>
      <w:r>
        <w:rPr>
          <w:rFonts w:hint="eastAsia" w:ascii="宋体" w:hAnsi="宋体" w:eastAsia="宋体" w:cs="宋体"/>
          <w:sz w:val="21"/>
          <w:szCs w:val="21"/>
          <w:highlight w:val="none"/>
        </w:rPr>
        <w:t>本表中的“含税费用总计（劳务费用+其它费用）”应与《开标一览表》中的“投标总报价（含税）”金额保持一致，未保持一致的按废标情形处理</w:t>
      </w:r>
      <w:r>
        <w:rPr>
          <w:rFonts w:hint="eastAsia" w:ascii="宋体" w:hAnsi="宋体" w:eastAsia="宋体" w:cs="宋体"/>
          <w:sz w:val="21"/>
          <w:szCs w:val="21"/>
          <w:highlight w:val="none"/>
          <w:lang w:eastAsia="zh-CN"/>
        </w:rPr>
        <w:t>。</w:t>
      </w:r>
    </w:p>
    <w:p w14:paraId="5E3618A4">
      <w:pPr>
        <w:wordWrap w:val="0"/>
        <w:spacing w:line="360" w:lineRule="auto"/>
        <w:rPr>
          <w:rFonts w:hint="eastAsia" w:hAnsi="宋体" w:cs="宋体"/>
          <w:iCs/>
          <w:color w:val="auto"/>
          <w:szCs w:val="21"/>
          <w:highlight w:val="none"/>
        </w:rPr>
      </w:pPr>
    </w:p>
    <w:p w14:paraId="161FA8CB">
      <w:pPr>
        <w:wordWrap w:val="0"/>
        <w:spacing w:line="360" w:lineRule="auto"/>
        <w:rPr>
          <w:rFonts w:hAnsi="宋体" w:cs="宋体"/>
          <w:iCs/>
          <w:color w:val="auto"/>
          <w:szCs w:val="21"/>
          <w:highlight w:val="none"/>
          <w:u w:val="single"/>
        </w:rPr>
      </w:pPr>
      <w:r>
        <w:rPr>
          <w:rFonts w:hint="eastAsia" w:hAnsi="宋体" w:cs="宋体"/>
          <w:iCs/>
          <w:color w:val="auto"/>
          <w:szCs w:val="21"/>
          <w:highlight w:val="none"/>
        </w:rPr>
        <w:t>投标人：</w:t>
      </w:r>
      <w:r>
        <w:rPr>
          <w:rFonts w:hint="eastAsia" w:hAnsi="宋体" w:cs="宋体"/>
          <w:iCs/>
          <w:color w:val="auto"/>
          <w:szCs w:val="21"/>
          <w:highlight w:val="none"/>
          <w:u w:val="single"/>
        </w:rPr>
        <w:t xml:space="preserve">                  </w:t>
      </w:r>
      <w:r>
        <w:rPr>
          <w:rFonts w:hint="eastAsia" w:hAnsi="宋体" w:cs="宋体"/>
          <w:iCs/>
          <w:color w:val="auto"/>
          <w:szCs w:val="21"/>
          <w:highlight w:val="none"/>
        </w:rPr>
        <w:t>（盖单位公章）</w:t>
      </w:r>
    </w:p>
    <w:p w14:paraId="2F888D6F">
      <w:pPr>
        <w:wordWrap w:val="0"/>
        <w:adjustRightInd w:val="0"/>
        <w:snapToGrid w:val="0"/>
        <w:spacing w:line="360" w:lineRule="auto"/>
        <w:rPr>
          <w:rFonts w:hAnsi="宋体" w:cs="宋体"/>
          <w:iCs/>
          <w:color w:val="auto"/>
          <w:szCs w:val="21"/>
          <w:highlight w:val="none"/>
        </w:rPr>
      </w:pPr>
      <w:r>
        <w:rPr>
          <w:rFonts w:hint="eastAsia" w:ascii="宋体" w:hAnsi="宋体" w:cs="宋体"/>
          <w:iCs/>
          <w:color w:val="auto"/>
          <w:szCs w:val="21"/>
          <w:highlight w:val="none"/>
        </w:rPr>
        <w:t>法定代表人或其委托代理人(签字或盖章)：</w:t>
      </w:r>
      <w:r>
        <w:rPr>
          <w:rFonts w:hint="eastAsia" w:ascii="宋体" w:hAnsi="宋体" w:cs="宋体"/>
          <w:iCs/>
          <w:color w:val="auto"/>
          <w:szCs w:val="21"/>
          <w:highlight w:val="none"/>
          <w:u w:val="single"/>
        </w:rPr>
        <w:t xml:space="preserve">                </w:t>
      </w:r>
    </w:p>
    <w:p w14:paraId="4C27C558">
      <w:pPr>
        <w:spacing w:line="360" w:lineRule="auto"/>
        <w:rPr>
          <w:rFonts w:hint="eastAsia" w:ascii="Calibri" w:cs="宋体"/>
          <w:color w:val="auto"/>
          <w:szCs w:val="28"/>
          <w:highlight w:val="none"/>
          <w:lang w:val="en-US" w:eastAsia="zh-CN"/>
        </w:rPr>
      </w:pP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月</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日</w:t>
      </w:r>
      <w:r>
        <w:rPr>
          <w:rFonts w:hint="eastAsia" w:ascii="Calibri" w:cs="宋体"/>
          <w:color w:val="auto"/>
          <w:szCs w:val="28"/>
          <w:highlight w:val="none"/>
          <w:lang w:val="en-US" w:eastAsia="zh-CN"/>
        </w:rPr>
        <w:br w:type="page"/>
      </w:r>
    </w:p>
    <w:p w14:paraId="0CA163DC">
      <w:pPr>
        <w:pStyle w:val="138"/>
        <w:tabs>
          <w:tab w:val="left" w:pos="4538"/>
          <w:tab w:val="left" w:pos="5484"/>
          <w:tab w:val="left" w:pos="6427"/>
        </w:tabs>
        <w:spacing w:before="0" w:line="360" w:lineRule="auto"/>
        <w:jc w:val="center"/>
        <w:rPr>
          <w:rFonts w:ascii="Calibri" w:cs="宋体"/>
          <w:color w:val="auto"/>
          <w:szCs w:val="28"/>
          <w:highlight w:val="none"/>
        </w:rPr>
      </w:pPr>
      <w:r>
        <w:rPr>
          <w:rFonts w:hint="eastAsia" w:ascii="Calibri" w:cs="宋体"/>
          <w:color w:val="auto"/>
          <w:szCs w:val="28"/>
          <w:highlight w:val="none"/>
          <w:lang w:val="en-US" w:eastAsia="zh-CN"/>
        </w:rPr>
        <w:t>四</w:t>
      </w:r>
      <w:r>
        <w:rPr>
          <w:rFonts w:hint="eastAsia" w:ascii="Calibri" w:cs="宋体"/>
          <w:color w:val="auto"/>
          <w:szCs w:val="28"/>
          <w:highlight w:val="none"/>
        </w:rPr>
        <w:t>、法定代表人身份证明</w:t>
      </w:r>
    </w:p>
    <w:p w14:paraId="30DCE213">
      <w:pPr>
        <w:pStyle w:val="2"/>
        <w:tabs>
          <w:tab w:val="left" w:pos="3928"/>
        </w:tabs>
        <w:wordWrap w:val="0"/>
        <w:spacing w:after="0" w:line="360" w:lineRule="auto"/>
        <w:rPr>
          <w:rFonts w:ascii="宋体" w:hAnsi="宋体"/>
          <w:color w:val="auto"/>
          <w:szCs w:val="21"/>
          <w:highlight w:val="none"/>
        </w:rPr>
      </w:pPr>
    </w:p>
    <w:p w14:paraId="463E4757">
      <w:pPr>
        <w:pStyle w:val="2"/>
        <w:tabs>
          <w:tab w:val="left" w:pos="3928"/>
        </w:tabs>
        <w:wordWrap w:val="0"/>
        <w:spacing w:after="0" w:line="360" w:lineRule="auto"/>
        <w:rPr>
          <w:rFonts w:ascii="宋体" w:hAnsi="宋体"/>
          <w:color w:val="auto"/>
          <w:szCs w:val="21"/>
          <w:highlight w:val="none"/>
        </w:rPr>
      </w:pPr>
      <w:r>
        <w:rPr>
          <w:rFonts w:ascii="宋体" w:hAnsi="宋体"/>
          <w:color w:val="auto"/>
          <w:szCs w:val="21"/>
          <w:highlight w:val="none"/>
        </w:rPr>
        <w:t>投标人名称：</w:t>
      </w:r>
      <w:r>
        <w:rPr>
          <w:rFonts w:hint="eastAsia" w:ascii="宋体" w:hAnsi="宋体"/>
          <w:color w:val="auto"/>
          <w:szCs w:val="21"/>
          <w:highlight w:val="none"/>
          <w:u w:val="single"/>
        </w:rPr>
        <w:t xml:space="preserve">                                             </w:t>
      </w:r>
    </w:p>
    <w:p w14:paraId="6854C41A">
      <w:pPr>
        <w:pStyle w:val="2"/>
        <w:tabs>
          <w:tab w:val="left" w:pos="2412"/>
          <w:tab w:val="left" w:pos="3883"/>
          <w:tab w:val="left" w:pos="5352"/>
          <w:tab w:val="left" w:pos="6869"/>
        </w:tabs>
        <w:wordWrap w:val="0"/>
        <w:spacing w:after="0" w:line="360" w:lineRule="auto"/>
        <w:rPr>
          <w:rFonts w:ascii="宋体" w:hAnsi="宋体"/>
          <w:color w:val="auto"/>
          <w:szCs w:val="21"/>
          <w:highlight w:val="none"/>
        </w:rPr>
      </w:pPr>
      <w:r>
        <w:rPr>
          <w:rFonts w:ascii="宋体" w:hAnsi="宋体"/>
          <w:color w:val="auto"/>
          <w:szCs w:val="21"/>
          <w:highlight w:val="none"/>
        </w:rPr>
        <w:t>姓名：</w:t>
      </w:r>
      <w:r>
        <w:rPr>
          <w:rFonts w:hint="eastAsia" w:ascii="宋体" w:hAnsi="宋体"/>
          <w:color w:val="auto"/>
          <w:szCs w:val="21"/>
          <w:highlight w:val="none"/>
          <w:u w:val="single"/>
        </w:rPr>
        <w:t xml:space="preserve">      </w:t>
      </w:r>
      <w:r>
        <w:rPr>
          <w:rFonts w:ascii="宋体" w:hAnsi="宋体"/>
          <w:color w:val="auto"/>
          <w:szCs w:val="21"/>
          <w:highlight w:val="none"/>
        </w:rPr>
        <w:t>性别：</w:t>
      </w:r>
      <w:r>
        <w:rPr>
          <w:rFonts w:hint="eastAsia" w:ascii="宋体" w:hAnsi="宋体"/>
          <w:color w:val="auto"/>
          <w:szCs w:val="21"/>
          <w:highlight w:val="none"/>
          <w:u w:val="single"/>
        </w:rPr>
        <w:t xml:space="preserve">         </w:t>
      </w:r>
      <w:r>
        <w:rPr>
          <w:rFonts w:ascii="宋体" w:hAnsi="宋体"/>
          <w:color w:val="auto"/>
          <w:szCs w:val="21"/>
          <w:highlight w:val="none"/>
        </w:rPr>
        <w:t>年龄：</w:t>
      </w:r>
      <w:r>
        <w:rPr>
          <w:rFonts w:hint="eastAsia" w:ascii="宋体" w:hAnsi="宋体"/>
          <w:color w:val="auto"/>
          <w:szCs w:val="21"/>
          <w:highlight w:val="none"/>
          <w:u w:val="single"/>
        </w:rPr>
        <w:t xml:space="preserve">           </w:t>
      </w:r>
      <w:r>
        <w:rPr>
          <w:rFonts w:ascii="宋体" w:hAnsi="宋体"/>
          <w:color w:val="auto"/>
          <w:szCs w:val="21"/>
          <w:highlight w:val="none"/>
        </w:rPr>
        <w:t>职务：</w:t>
      </w:r>
      <w:r>
        <w:rPr>
          <w:rFonts w:hint="eastAsia" w:ascii="宋体" w:hAnsi="宋体"/>
          <w:color w:val="auto"/>
          <w:szCs w:val="21"/>
          <w:highlight w:val="none"/>
          <w:u w:val="single"/>
        </w:rPr>
        <w:t xml:space="preserve">        </w:t>
      </w:r>
    </w:p>
    <w:p w14:paraId="6E032910">
      <w:pPr>
        <w:pStyle w:val="2"/>
        <w:tabs>
          <w:tab w:val="left" w:pos="2832"/>
        </w:tabs>
        <w:wordWrap w:val="0"/>
        <w:spacing w:after="0" w:line="360" w:lineRule="auto"/>
        <w:rPr>
          <w:rFonts w:ascii="宋体" w:hAnsi="宋体"/>
          <w:color w:val="auto"/>
          <w:szCs w:val="21"/>
          <w:highlight w:val="none"/>
        </w:rPr>
      </w:pPr>
      <w:r>
        <w:rPr>
          <w:rFonts w:ascii="宋体" w:hAnsi="宋体"/>
          <w:color w:val="auto"/>
          <w:szCs w:val="21"/>
          <w:highlight w:val="none"/>
        </w:rPr>
        <w:t>系</w:t>
      </w:r>
      <w:r>
        <w:rPr>
          <w:rFonts w:hint="eastAsia" w:ascii="宋体" w:hAnsi="宋体"/>
          <w:color w:val="auto"/>
          <w:szCs w:val="21"/>
          <w:highlight w:val="none"/>
          <w:u w:val="single"/>
        </w:rPr>
        <w:t xml:space="preserve">                           </w:t>
      </w:r>
      <w:r>
        <w:rPr>
          <w:rFonts w:ascii="宋体" w:hAnsi="宋体"/>
          <w:color w:val="auto"/>
          <w:szCs w:val="21"/>
          <w:highlight w:val="none"/>
        </w:rPr>
        <w:t>（投标人名称）的法定代表人</w:t>
      </w:r>
      <w:r>
        <w:rPr>
          <w:rFonts w:hint="eastAsia" w:ascii="宋体" w:hAnsi="宋体" w:cs="宋体"/>
          <w:color w:val="auto"/>
          <w:szCs w:val="21"/>
          <w:highlight w:val="none"/>
        </w:rPr>
        <w:t>/负责人</w:t>
      </w:r>
      <w:r>
        <w:rPr>
          <w:rFonts w:ascii="宋体" w:hAnsi="宋体"/>
          <w:color w:val="auto"/>
          <w:szCs w:val="21"/>
          <w:highlight w:val="none"/>
        </w:rPr>
        <w:t>。</w:t>
      </w:r>
    </w:p>
    <w:p w14:paraId="5D068A9A">
      <w:pPr>
        <w:pStyle w:val="2"/>
        <w:wordWrap w:val="0"/>
        <w:spacing w:after="0" w:line="360" w:lineRule="auto"/>
        <w:rPr>
          <w:rFonts w:ascii="宋体" w:hAnsi="宋体"/>
          <w:color w:val="auto"/>
          <w:szCs w:val="21"/>
          <w:highlight w:val="none"/>
        </w:rPr>
      </w:pPr>
    </w:p>
    <w:p w14:paraId="7F481A52">
      <w:pPr>
        <w:pStyle w:val="2"/>
        <w:wordWrap w:val="0"/>
        <w:spacing w:after="0" w:line="360" w:lineRule="auto"/>
        <w:rPr>
          <w:rFonts w:ascii="宋体" w:hAnsi="宋体"/>
          <w:color w:val="auto"/>
          <w:szCs w:val="21"/>
          <w:highlight w:val="none"/>
        </w:rPr>
      </w:pPr>
      <w:r>
        <w:rPr>
          <w:rFonts w:ascii="宋体" w:hAnsi="宋体"/>
          <w:color w:val="auto"/>
          <w:szCs w:val="21"/>
          <w:highlight w:val="none"/>
        </w:rPr>
        <w:t>特此证明。</w:t>
      </w:r>
    </w:p>
    <w:p w14:paraId="2790426A">
      <w:pPr>
        <w:pStyle w:val="2"/>
        <w:wordWrap w:val="0"/>
        <w:spacing w:after="0" w:line="360" w:lineRule="auto"/>
        <w:rPr>
          <w:rFonts w:ascii="宋体" w:hAnsi="宋体"/>
          <w:color w:val="auto"/>
          <w:szCs w:val="21"/>
          <w:highlight w:val="none"/>
        </w:rPr>
      </w:pPr>
    </w:p>
    <w:p w14:paraId="0DB238A9">
      <w:pPr>
        <w:pStyle w:val="2"/>
        <w:wordWrap w:val="0"/>
        <w:spacing w:after="0" w:line="360" w:lineRule="auto"/>
        <w:ind w:firstLine="422" w:firstLineChars="200"/>
        <w:rPr>
          <w:rFonts w:ascii="宋体" w:hAnsi="宋体"/>
          <w:color w:val="auto"/>
          <w:szCs w:val="21"/>
          <w:highlight w:val="none"/>
        </w:rPr>
      </w:pPr>
      <w:r>
        <w:rPr>
          <w:rFonts w:ascii="宋体" w:hAnsi="宋体"/>
          <w:b/>
          <w:color w:val="auto"/>
          <w:szCs w:val="21"/>
          <w:highlight w:val="none"/>
        </w:rPr>
        <w:t>附：</w:t>
      </w:r>
      <w:r>
        <w:rPr>
          <w:rFonts w:ascii="宋体" w:hAnsi="宋体"/>
          <w:color w:val="auto"/>
          <w:szCs w:val="21"/>
          <w:highlight w:val="none"/>
        </w:rPr>
        <w:t>法定代表人</w:t>
      </w:r>
      <w:r>
        <w:rPr>
          <w:rFonts w:hint="eastAsia" w:ascii="宋体" w:hAnsi="宋体" w:cs="宋体"/>
          <w:color w:val="auto"/>
          <w:szCs w:val="21"/>
          <w:highlight w:val="none"/>
        </w:rPr>
        <w:t>/负责人</w:t>
      </w:r>
      <w:r>
        <w:rPr>
          <w:rFonts w:ascii="宋体" w:hAnsi="宋体"/>
          <w:color w:val="auto"/>
          <w:szCs w:val="21"/>
          <w:highlight w:val="none"/>
        </w:rPr>
        <w:t>身份证</w:t>
      </w:r>
      <w:r>
        <w:rPr>
          <w:rFonts w:hint="eastAsia" w:ascii="宋体" w:hAnsi="宋体"/>
          <w:color w:val="auto"/>
          <w:szCs w:val="21"/>
          <w:highlight w:val="none"/>
          <w:lang w:eastAsia="zh-CN"/>
        </w:rPr>
        <w:t>复印件</w:t>
      </w:r>
      <w:r>
        <w:rPr>
          <w:rFonts w:hint="eastAsia" w:ascii="宋体" w:hAnsi="宋体"/>
          <w:color w:val="auto"/>
          <w:szCs w:val="21"/>
          <w:highlight w:val="none"/>
        </w:rPr>
        <w:t>及营业执照</w:t>
      </w:r>
      <w:r>
        <w:rPr>
          <w:rFonts w:hint="eastAsia" w:ascii="宋体" w:hAnsi="宋体"/>
          <w:color w:val="auto"/>
          <w:szCs w:val="21"/>
          <w:highlight w:val="none"/>
          <w:lang w:eastAsia="zh-CN"/>
        </w:rPr>
        <w:t>复印件</w:t>
      </w:r>
      <w:r>
        <w:rPr>
          <w:rFonts w:hint="eastAsia" w:ascii="宋体" w:hAnsi="宋体"/>
          <w:color w:val="auto"/>
          <w:szCs w:val="21"/>
          <w:highlight w:val="none"/>
        </w:rPr>
        <w:t>（此附件为法定代表人</w:t>
      </w:r>
      <w:r>
        <w:rPr>
          <w:rFonts w:hint="eastAsia" w:ascii="宋体" w:hAnsi="宋体" w:cs="宋体"/>
          <w:color w:val="auto"/>
          <w:szCs w:val="21"/>
          <w:highlight w:val="none"/>
        </w:rPr>
        <w:t>/负责人</w:t>
      </w:r>
      <w:r>
        <w:rPr>
          <w:rFonts w:hint="eastAsia" w:ascii="宋体" w:hAnsi="宋体"/>
          <w:color w:val="auto"/>
          <w:szCs w:val="21"/>
          <w:highlight w:val="none"/>
        </w:rPr>
        <w:t>身份证明的必要组成部分，无此附件的法定代表人</w:t>
      </w:r>
      <w:r>
        <w:rPr>
          <w:rFonts w:hint="eastAsia" w:ascii="宋体" w:hAnsi="宋体" w:cs="宋体"/>
          <w:color w:val="auto"/>
          <w:szCs w:val="21"/>
          <w:highlight w:val="none"/>
        </w:rPr>
        <w:t>/负责人</w:t>
      </w:r>
      <w:r>
        <w:rPr>
          <w:rFonts w:hint="eastAsia" w:ascii="宋体" w:hAnsi="宋体"/>
          <w:color w:val="auto"/>
          <w:szCs w:val="21"/>
          <w:highlight w:val="none"/>
        </w:rPr>
        <w:t>身份证明无效。法定代表人</w:t>
      </w:r>
      <w:r>
        <w:rPr>
          <w:rFonts w:hint="eastAsia" w:ascii="宋体" w:hAnsi="宋体" w:cs="宋体"/>
          <w:color w:val="auto"/>
          <w:szCs w:val="21"/>
          <w:highlight w:val="none"/>
        </w:rPr>
        <w:t>/负责人</w:t>
      </w:r>
      <w:r>
        <w:rPr>
          <w:rFonts w:hint="eastAsia" w:ascii="宋体" w:hAnsi="宋体"/>
          <w:color w:val="auto"/>
          <w:szCs w:val="21"/>
          <w:highlight w:val="none"/>
        </w:rPr>
        <w:t>身份证</w:t>
      </w:r>
      <w:r>
        <w:rPr>
          <w:rFonts w:hint="eastAsia" w:ascii="宋体" w:hAnsi="宋体"/>
          <w:color w:val="auto"/>
          <w:szCs w:val="21"/>
          <w:highlight w:val="none"/>
          <w:lang w:eastAsia="zh-CN"/>
        </w:rPr>
        <w:t>复印件</w:t>
      </w:r>
      <w:r>
        <w:rPr>
          <w:rFonts w:hint="eastAsia" w:ascii="宋体" w:hAnsi="宋体"/>
          <w:color w:val="auto"/>
          <w:szCs w:val="21"/>
          <w:highlight w:val="none"/>
        </w:rPr>
        <w:t>及营业执照</w:t>
      </w:r>
      <w:r>
        <w:rPr>
          <w:rFonts w:hint="eastAsia" w:ascii="宋体" w:hAnsi="宋体"/>
          <w:color w:val="auto"/>
          <w:szCs w:val="21"/>
          <w:highlight w:val="none"/>
          <w:lang w:eastAsia="zh-CN"/>
        </w:rPr>
        <w:t>复印件</w:t>
      </w:r>
      <w:r>
        <w:rPr>
          <w:rFonts w:hint="eastAsia" w:ascii="宋体" w:hAnsi="宋体" w:cs="宋体"/>
          <w:color w:val="auto"/>
          <w:szCs w:val="21"/>
          <w:highlight w:val="none"/>
        </w:rPr>
        <w:t>可另附页，另附时，</w:t>
      </w:r>
      <w:r>
        <w:rPr>
          <w:rFonts w:hint="eastAsia" w:ascii="宋体" w:hAnsi="宋体" w:cs="宋体"/>
          <w:color w:val="auto"/>
          <w:szCs w:val="21"/>
          <w:highlight w:val="none"/>
          <w:lang w:eastAsia="zh-CN"/>
        </w:rPr>
        <w:t>复印件</w:t>
      </w:r>
      <w:r>
        <w:rPr>
          <w:rFonts w:hint="eastAsia" w:ascii="宋体" w:hAnsi="宋体" w:cs="宋体"/>
          <w:color w:val="auto"/>
          <w:szCs w:val="21"/>
          <w:highlight w:val="none"/>
        </w:rPr>
        <w:t>须加盖单位公章</w:t>
      </w:r>
      <w:r>
        <w:rPr>
          <w:rFonts w:hint="eastAsia" w:ascii="宋体" w:hAnsi="宋体"/>
          <w:color w:val="auto"/>
          <w:szCs w:val="21"/>
          <w:highlight w:val="none"/>
        </w:rPr>
        <w:t>）</w:t>
      </w:r>
    </w:p>
    <w:p w14:paraId="76A0A429">
      <w:pPr>
        <w:pStyle w:val="2"/>
        <w:tabs>
          <w:tab w:val="left" w:pos="7140"/>
        </w:tabs>
        <w:wordWrap w:val="0"/>
        <w:spacing w:after="0" w:line="360" w:lineRule="auto"/>
        <w:rPr>
          <w:rFonts w:ascii="宋体" w:hAnsi="宋体"/>
          <w:color w:val="auto"/>
          <w:szCs w:val="21"/>
          <w:highlight w:val="none"/>
        </w:rPr>
      </w:pPr>
    </w:p>
    <w:p w14:paraId="7C2111BA">
      <w:pPr>
        <w:pStyle w:val="2"/>
        <w:tabs>
          <w:tab w:val="left" w:pos="7140"/>
        </w:tabs>
        <w:wordWrap w:val="0"/>
        <w:spacing w:after="0" w:line="360" w:lineRule="auto"/>
        <w:rPr>
          <w:rFonts w:ascii="宋体" w:hAnsi="宋体"/>
          <w:color w:val="auto"/>
          <w:szCs w:val="21"/>
          <w:highlight w:val="none"/>
        </w:rPr>
      </w:pPr>
    </w:p>
    <w:p w14:paraId="5BFDB64C">
      <w:pPr>
        <w:pStyle w:val="2"/>
        <w:tabs>
          <w:tab w:val="left" w:pos="6521"/>
        </w:tabs>
        <w:wordWrap w:val="0"/>
        <w:spacing w:after="0" w:line="360" w:lineRule="auto"/>
        <w:rPr>
          <w:rFonts w:ascii="宋体" w:hAnsi="宋体"/>
          <w:color w:val="auto"/>
          <w:szCs w:val="21"/>
          <w:highlight w:val="none"/>
        </w:rPr>
      </w:pPr>
      <w:r>
        <w:rPr>
          <w:rFonts w:ascii="宋体" w:hAnsi="宋体"/>
          <w:color w:val="auto"/>
          <w:szCs w:val="21"/>
          <w:highlight w:val="none"/>
        </w:rPr>
        <w:t>投标人：</w:t>
      </w:r>
      <w:r>
        <w:rPr>
          <w:rFonts w:hint="eastAsia" w:ascii="宋体" w:hAnsi="宋体"/>
          <w:color w:val="auto"/>
          <w:szCs w:val="21"/>
          <w:highlight w:val="none"/>
          <w:u w:val="single"/>
        </w:rPr>
        <w:t xml:space="preserve">                        </w:t>
      </w:r>
      <w:r>
        <w:rPr>
          <w:rFonts w:ascii="宋体" w:hAnsi="宋体"/>
          <w:color w:val="auto"/>
          <w:szCs w:val="21"/>
          <w:highlight w:val="none"/>
        </w:rPr>
        <w:t>（盖单位</w:t>
      </w:r>
      <w:r>
        <w:rPr>
          <w:rFonts w:hint="eastAsia" w:ascii="宋体" w:hAnsi="宋体"/>
          <w:color w:val="auto"/>
          <w:szCs w:val="21"/>
          <w:highlight w:val="none"/>
        </w:rPr>
        <w:t>公</w:t>
      </w:r>
      <w:r>
        <w:rPr>
          <w:rFonts w:ascii="宋体" w:hAnsi="宋体"/>
          <w:color w:val="auto"/>
          <w:szCs w:val="21"/>
          <w:highlight w:val="none"/>
        </w:rPr>
        <w:t>章）</w:t>
      </w:r>
    </w:p>
    <w:p w14:paraId="41B2DBE6">
      <w:pPr>
        <w:pStyle w:val="2"/>
        <w:tabs>
          <w:tab w:val="left" w:pos="5352"/>
          <w:tab w:val="left" w:pos="6192"/>
          <w:tab w:val="left" w:pos="7032"/>
        </w:tabs>
        <w:wordWrap w:val="0"/>
        <w:spacing w:after="0" w:line="360" w:lineRule="auto"/>
        <w:ind w:firstLine="315" w:firstLineChars="150"/>
        <w:rPr>
          <w:rFonts w:ascii="宋体" w:hAns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月</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日</w:t>
      </w:r>
    </w:p>
    <w:p w14:paraId="601C43EF">
      <w:pPr>
        <w:wordWrap w:val="0"/>
        <w:rPr>
          <w:rFonts w:hAnsi="宋体" w:cs="宋体"/>
          <w:color w:val="auto"/>
          <w:szCs w:val="21"/>
          <w:highlight w:val="none"/>
        </w:rPr>
      </w:pPr>
    </w:p>
    <w:p w14:paraId="551EB588">
      <w:pPr>
        <w:wordWrap w:val="0"/>
        <w:rPr>
          <w:rFonts w:hAnsi="宋体" w:cs="宋体"/>
          <w:color w:val="auto"/>
          <w:szCs w:val="21"/>
          <w:highlight w:val="none"/>
        </w:rPr>
      </w:pPr>
    </w:p>
    <w:p w14:paraId="3DE1D8C7">
      <w:pPr>
        <w:wordWrap w:val="0"/>
        <w:rPr>
          <w:rFonts w:hAnsi="宋体" w:cs="宋体"/>
          <w:color w:val="auto"/>
          <w:szCs w:val="21"/>
          <w:highlight w:val="none"/>
        </w:rPr>
      </w:pPr>
    </w:p>
    <w:p w14:paraId="57CB62E6">
      <w:pPr>
        <w:wordWrap w:val="0"/>
        <w:rPr>
          <w:rFonts w:hAnsi="宋体" w:cs="宋体"/>
          <w:color w:val="auto"/>
          <w:szCs w:val="21"/>
          <w:highlight w:val="none"/>
        </w:rPr>
      </w:pPr>
    </w:p>
    <w:p w14:paraId="5D4B52F7">
      <w:pPr>
        <w:wordWrap w:val="0"/>
        <w:rPr>
          <w:rFonts w:hAnsi="宋体" w:cs="宋体"/>
          <w:color w:val="auto"/>
          <w:szCs w:val="21"/>
          <w:highlight w:val="none"/>
        </w:rPr>
      </w:pPr>
    </w:p>
    <w:p w14:paraId="4C9665FC">
      <w:pPr>
        <w:wordWrap w:val="0"/>
        <w:rPr>
          <w:rFonts w:hAnsi="宋体" w:cs="宋体"/>
          <w:color w:val="auto"/>
          <w:szCs w:val="21"/>
          <w:highlight w:val="none"/>
        </w:rPr>
      </w:pPr>
    </w:p>
    <w:p w14:paraId="06BA2EFE">
      <w:pPr>
        <w:pStyle w:val="272"/>
        <w:wordWrap w:val="0"/>
        <w:ind w:firstLine="480" w:firstLineChars="200"/>
        <w:jc w:val="both"/>
        <w:rPr>
          <w:rFonts w:ascii="宋体" w:hAnsi="宋体" w:eastAsia="宋体" w:cs="Times New Roman"/>
          <w:color w:val="auto"/>
          <w:sz w:val="21"/>
          <w:szCs w:val="21"/>
          <w:highlight w:val="none"/>
        </w:rPr>
      </w:pPr>
      <w:r>
        <w:rPr>
          <w:rFonts w:hint="eastAsia" w:hAnsi="宋体" w:cs="宋体"/>
          <w:color w:val="auto"/>
          <w:szCs w:val="21"/>
          <w:highlight w:val="none"/>
          <w:lang w:val="en-US" w:eastAsia="zh-CN"/>
        </w:rPr>
        <w:t>注：</w:t>
      </w:r>
      <w:r>
        <w:rPr>
          <w:rFonts w:hint="eastAsia" w:ascii="宋体" w:hAnsi="宋体" w:eastAsia="宋体" w:cs="Times New Roman"/>
          <w:color w:val="auto"/>
          <w:sz w:val="21"/>
          <w:szCs w:val="21"/>
          <w:highlight w:val="none"/>
          <w:lang w:val="en-US" w:eastAsia="zh-CN"/>
        </w:rPr>
        <w:t>参加</w:t>
      </w:r>
      <w:r>
        <w:rPr>
          <w:rFonts w:hint="eastAsia" w:ascii="宋体" w:hAnsi="宋体" w:eastAsia="宋体" w:cs="Times New Roman"/>
          <w:color w:val="auto"/>
          <w:sz w:val="21"/>
          <w:szCs w:val="21"/>
          <w:highlight w:val="none"/>
        </w:rPr>
        <w:t>开标会议时，</w:t>
      </w:r>
      <w:r>
        <w:rPr>
          <w:rFonts w:hint="eastAsia" w:ascii="宋体" w:hAnsi="宋体" w:eastAsia="宋体" w:cs="Times New Roman"/>
          <w:color w:val="auto"/>
          <w:sz w:val="21"/>
          <w:szCs w:val="21"/>
          <w:highlight w:val="none"/>
          <w:lang w:val="en-US" w:eastAsia="zh-CN"/>
        </w:rPr>
        <w:t>如为投标人法定代表人参加投标，</w:t>
      </w:r>
      <w:r>
        <w:rPr>
          <w:rFonts w:hint="eastAsia" w:ascii="宋体" w:hAnsi="宋体" w:eastAsia="宋体" w:cs="Times New Roman"/>
          <w:color w:val="auto"/>
          <w:sz w:val="21"/>
          <w:szCs w:val="21"/>
          <w:highlight w:val="none"/>
        </w:rPr>
        <w:t>须</w:t>
      </w:r>
      <w:r>
        <w:rPr>
          <w:rFonts w:hint="eastAsia" w:ascii="宋体" w:hAnsi="宋体" w:eastAsia="宋体" w:cs="Times New Roman"/>
          <w:b/>
          <w:bCs/>
          <w:color w:val="auto"/>
          <w:sz w:val="21"/>
          <w:szCs w:val="21"/>
          <w:highlight w:val="none"/>
        </w:rPr>
        <w:t>持</w:t>
      </w:r>
      <w:r>
        <w:rPr>
          <w:rFonts w:hint="eastAsia" w:hAnsi="宋体"/>
          <w:b/>
          <w:bCs/>
          <w:color w:val="auto"/>
          <w:sz w:val="21"/>
          <w:szCs w:val="21"/>
          <w:highlight w:val="none"/>
        </w:rPr>
        <w:t>投标人营业执照副本复印件并加盖投标人公章的原件及</w:t>
      </w:r>
      <w:r>
        <w:rPr>
          <w:rFonts w:hint="eastAsia" w:ascii="宋体" w:hAnsi="宋体" w:eastAsia="宋体" w:cs="Times New Roman"/>
          <w:b/>
          <w:bCs/>
          <w:color w:val="auto"/>
          <w:sz w:val="21"/>
          <w:szCs w:val="21"/>
          <w:highlight w:val="none"/>
        </w:rPr>
        <w:t>法定代表人身份证明原件</w:t>
      </w:r>
      <w:r>
        <w:rPr>
          <w:rFonts w:hint="eastAsia" w:ascii="宋体" w:hAnsi="宋体" w:eastAsia="宋体" w:cs="Times New Roman"/>
          <w:color w:val="auto"/>
          <w:sz w:val="21"/>
          <w:szCs w:val="21"/>
          <w:highlight w:val="none"/>
        </w:rPr>
        <w:t>、</w:t>
      </w:r>
      <w:r>
        <w:rPr>
          <w:rFonts w:hint="eastAsia" w:ascii="宋体" w:hAnsi="宋体" w:eastAsia="宋体" w:cs="Times New Roman"/>
          <w:b/>
          <w:bCs/>
          <w:color w:val="auto"/>
          <w:sz w:val="21"/>
          <w:szCs w:val="21"/>
          <w:highlight w:val="none"/>
        </w:rPr>
        <w:t>本人身份证原件</w:t>
      </w:r>
      <w:r>
        <w:rPr>
          <w:rFonts w:hint="eastAsia" w:ascii="宋体" w:hAnsi="宋体" w:eastAsia="宋体" w:cs="Times New Roman"/>
          <w:color w:val="auto"/>
          <w:sz w:val="21"/>
          <w:szCs w:val="21"/>
          <w:highlight w:val="none"/>
        </w:rPr>
        <w:t>准时参加</w:t>
      </w:r>
      <w:r>
        <w:rPr>
          <w:rFonts w:hint="eastAsia" w:ascii="宋体" w:hAnsi="宋体" w:eastAsia="宋体" w:cs="Times New Roman"/>
          <w:color w:val="auto"/>
          <w:sz w:val="21"/>
          <w:szCs w:val="21"/>
          <w:highlight w:val="none"/>
          <w:lang w:eastAsia="zh-CN"/>
        </w:rPr>
        <w:t>，</w:t>
      </w:r>
      <w:r>
        <w:rPr>
          <w:rFonts w:hint="eastAsia" w:ascii="宋体" w:hAnsi="宋体" w:eastAsia="宋体" w:cs="Times New Roman"/>
          <w:color w:val="auto"/>
          <w:sz w:val="21"/>
          <w:szCs w:val="21"/>
          <w:highlight w:val="none"/>
        </w:rPr>
        <w:t>不符合要求的，其投标文件将予以拒绝并退还给投标人。</w:t>
      </w:r>
    </w:p>
    <w:p w14:paraId="629A98F7">
      <w:pPr>
        <w:wordWrap w:val="0"/>
        <w:rPr>
          <w:rFonts w:hAnsi="宋体" w:cs="宋体"/>
          <w:color w:val="auto"/>
          <w:szCs w:val="21"/>
          <w:highlight w:val="none"/>
        </w:rPr>
      </w:pPr>
      <w:r>
        <w:rPr>
          <w:rFonts w:hAnsi="宋体" w:cs="宋体"/>
          <w:color w:val="auto"/>
          <w:szCs w:val="21"/>
          <w:highlight w:val="none"/>
        </w:rPr>
        <w:br w:type="page"/>
      </w:r>
    </w:p>
    <w:p w14:paraId="1EBB1882">
      <w:pPr>
        <w:pStyle w:val="138"/>
        <w:tabs>
          <w:tab w:val="left" w:pos="4538"/>
          <w:tab w:val="left" w:pos="5484"/>
          <w:tab w:val="left" w:pos="6427"/>
        </w:tabs>
        <w:spacing w:before="0" w:line="360" w:lineRule="auto"/>
        <w:jc w:val="center"/>
        <w:rPr>
          <w:rFonts w:ascii="Calibri" w:cs="宋体"/>
          <w:color w:val="auto"/>
          <w:szCs w:val="28"/>
          <w:highlight w:val="none"/>
        </w:rPr>
      </w:pPr>
      <w:r>
        <w:rPr>
          <w:rFonts w:hint="eastAsia" w:ascii="Calibri" w:cs="宋体"/>
          <w:color w:val="auto"/>
          <w:szCs w:val="28"/>
          <w:highlight w:val="none"/>
          <w:lang w:val="en-US" w:eastAsia="zh-CN"/>
        </w:rPr>
        <w:t>五</w:t>
      </w:r>
      <w:r>
        <w:rPr>
          <w:rFonts w:hint="eastAsia" w:ascii="Calibri" w:cs="宋体"/>
          <w:color w:val="auto"/>
          <w:szCs w:val="28"/>
          <w:highlight w:val="none"/>
        </w:rPr>
        <w:t>、授权委托书（如有）</w:t>
      </w:r>
    </w:p>
    <w:p w14:paraId="0372E11A">
      <w:pPr>
        <w:pStyle w:val="2"/>
        <w:wordWrap w:val="0"/>
        <w:spacing w:after="0" w:line="360" w:lineRule="auto"/>
        <w:jc w:val="center"/>
        <w:rPr>
          <w:rFonts w:ascii="宋体" w:hAnsi="宋体"/>
          <w:b/>
          <w:bCs/>
          <w:color w:val="auto"/>
          <w:szCs w:val="21"/>
          <w:highlight w:val="none"/>
        </w:rPr>
      </w:pPr>
      <w:r>
        <w:rPr>
          <w:rFonts w:ascii="宋体" w:hAnsi="宋体"/>
          <w:b/>
          <w:bCs/>
          <w:color w:val="auto"/>
          <w:szCs w:val="21"/>
          <w:highlight w:val="none"/>
        </w:rPr>
        <w:t>（</w:t>
      </w:r>
      <w:r>
        <w:rPr>
          <w:rFonts w:hint="eastAsia" w:ascii="宋体" w:hAnsi="宋体"/>
          <w:b/>
          <w:bCs/>
          <w:color w:val="auto"/>
          <w:szCs w:val="21"/>
          <w:highlight w:val="none"/>
        </w:rPr>
        <w:t>委托代理人作为签字代表的提供</w:t>
      </w:r>
      <w:r>
        <w:rPr>
          <w:rFonts w:ascii="宋体" w:hAnsi="宋体"/>
          <w:b/>
          <w:bCs/>
          <w:color w:val="auto"/>
          <w:szCs w:val="21"/>
          <w:highlight w:val="none"/>
        </w:rPr>
        <w:t>）</w:t>
      </w:r>
    </w:p>
    <w:p w14:paraId="0A3399FB">
      <w:pPr>
        <w:pStyle w:val="2"/>
        <w:tabs>
          <w:tab w:val="left" w:pos="2421"/>
          <w:tab w:val="left" w:pos="5585"/>
        </w:tabs>
        <w:wordWrap w:val="0"/>
        <w:spacing w:line="360" w:lineRule="auto"/>
        <w:ind w:left="520" w:right="21"/>
        <w:rPr>
          <w:color w:val="auto"/>
          <w:highlight w:val="none"/>
        </w:rPr>
      </w:pPr>
    </w:p>
    <w:p w14:paraId="3F4A5D5D">
      <w:pPr>
        <w:pStyle w:val="2"/>
        <w:tabs>
          <w:tab w:val="left" w:pos="2421"/>
          <w:tab w:val="left" w:pos="5585"/>
        </w:tabs>
        <w:wordWrap w:val="0"/>
        <w:spacing w:after="0" w:line="360" w:lineRule="auto"/>
        <w:ind w:firstLine="420" w:firstLineChars="200"/>
        <w:rPr>
          <w:rFonts w:ascii="宋体" w:hAnsi="宋体"/>
          <w:color w:val="auto"/>
          <w:szCs w:val="21"/>
          <w:highlight w:val="none"/>
        </w:rPr>
      </w:pPr>
      <w:r>
        <w:rPr>
          <w:rFonts w:ascii="宋体" w:hAnsi="宋体"/>
          <w:color w:val="auto"/>
          <w:szCs w:val="21"/>
          <w:highlight w:val="none"/>
        </w:rPr>
        <w:t>本人</w:t>
      </w:r>
      <w:r>
        <w:rPr>
          <w:rFonts w:hint="eastAsia" w:ascii="宋体" w:hAnsi="宋体"/>
          <w:color w:val="auto"/>
          <w:szCs w:val="21"/>
          <w:highlight w:val="none"/>
          <w:u w:val="single"/>
        </w:rPr>
        <w:t xml:space="preserve">         </w:t>
      </w:r>
      <w:r>
        <w:rPr>
          <w:rFonts w:ascii="宋体" w:hAnsi="宋体"/>
          <w:color w:val="auto"/>
          <w:szCs w:val="21"/>
          <w:highlight w:val="none"/>
        </w:rPr>
        <w:t>（姓名）系</w:t>
      </w:r>
      <w:r>
        <w:rPr>
          <w:rFonts w:hint="eastAsia" w:ascii="宋体" w:hAnsi="宋体"/>
          <w:color w:val="auto"/>
          <w:szCs w:val="21"/>
          <w:highlight w:val="none"/>
          <w:u w:val="single"/>
        </w:rPr>
        <w:t xml:space="preserve">             </w:t>
      </w:r>
      <w:r>
        <w:rPr>
          <w:rFonts w:ascii="宋体" w:hAnsi="宋体"/>
          <w:color w:val="auto"/>
          <w:szCs w:val="21"/>
          <w:highlight w:val="none"/>
        </w:rPr>
        <w:t>（投标人名称）的法定代表人</w:t>
      </w:r>
      <w:r>
        <w:rPr>
          <w:rFonts w:hint="eastAsia" w:ascii="宋体" w:hAnsi="宋体" w:cs="宋体"/>
          <w:iCs/>
          <w:color w:val="auto"/>
          <w:szCs w:val="21"/>
          <w:highlight w:val="none"/>
        </w:rPr>
        <w:t>/负责人</w:t>
      </w:r>
      <w:r>
        <w:rPr>
          <w:rFonts w:ascii="宋体" w:hAnsi="宋体"/>
          <w:color w:val="auto"/>
          <w:szCs w:val="21"/>
          <w:highlight w:val="none"/>
        </w:rPr>
        <w:t>，现委托</w:t>
      </w:r>
      <w:r>
        <w:rPr>
          <w:rFonts w:hint="eastAsia" w:ascii="宋体" w:hAnsi="宋体"/>
          <w:color w:val="auto"/>
          <w:szCs w:val="21"/>
          <w:highlight w:val="none"/>
          <w:u w:val="single"/>
        </w:rPr>
        <w:t xml:space="preserve">       </w:t>
      </w:r>
      <w:r>
        <w:rPr>
          <w:rFonts w:ascii="宋体" w:hAnsi="宋体"/>
          <w:color w:val="auto"/>
          <w:szCs w:val="21"/>
          <w:highlight w:val="none"/>
        </w:rPr>
        <w:t>（姓名）为我方代理人。代理人根据授权，以我方名义签署、澄清确认、递交、撤回、修改</w:t>
      </w:r>
      <w:r>
        <w:rPr>
          <w:rFonts w:hint="eastAsia" w:ascii="宋体" w:hAnsi="宋体"/>
          <w:color w:val="auto"/>
          <w:szCs w:val="21"/>
          <w:highlight w:val="none"/>
          <w:u w:val="single"/>
        </w:rPr>
        <w:t xml:space="preserve">               （项目名称）</w:t>
      </w:r>
      <w:r>
        <w:rPr>
          <w:rFonts w:ascii="宋体" w:hAnsi="宋体"/>
          <w:color w:val="auto"/>
          <w:szCs w:val="21"/>
          <w:highlight w:val="none"/>
        </w:rPr>
        <w:t>项目</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lang w:val="en-US" w:eastAsia="zh-CN"/>
        </w:rPr>
        <w:t>标段</w:t>
      </w:r>
      <w:r>
        <w:rPr>
          <w:rFonts w:ascii="宋体" w:hAnsi="宋体"/>
          <w:color w:val="auto"/>
          <w:szCs w:val="21"/>
          <w:highlight w:val="none"/>
        </w:rPr>
        <w:t>投标文件、签订合同和处理有关事宜，其法律后果由我方承担。</w:t>
      </w:r>
    </w:p>
    <w:p w14:paraId="2D2D624F">
      <w:pPr>
        <w:pStyle w:val="2"/>
        <w:tabs>
          <w:tab w:val="left" w:pos="3566"/>
        </w:tabs>
        <w:wordWrap w:val="0"/>
        <w:spacing w:after="0" w:line="360" w:lineRule="auto"/>
        <w:ind w:firstLine="420" w:firstLineChars="200"/>
        <w:rPr>
          <w:rFonts w:ascii="宋体" w:hAnsi="宋体"/>
          <w:color w:val="auto"/>
          <w:szCs w:val="21"/>
          <w:highlight w:val="none"/>
        </w:rPr>
      </w:pPr>
      <w:r>
        <w:rPr>
          <w:rFonts w:ascii="宋体" w:hAnsi="宋体"/>
          <w:color w:val="auto"/>
          <w:szCs w:val="21"/>
          <w:highlight w:val="none"/>
        </w:rPr>
        <w:t>委托期限：</w:t>
      </w:r>
      <w:r>
        <w:rPr>
          <w:rFonts w:hint="eastAsia" w:ascii="宋体" w:hAnsi="宋体"/>
          <w:color w:val="auto"/>
          <w:szCs w:val="21"/>
          <w:highlight w:val="none"/>
          <w:u w:val="single"/>
        </w:rPr>
        <w:t>自本项目递交投标文件之日起至投标有效期届满止</w:t>
      </w:r>
      <w:r>
        <w:rPr>
          <w:rFonts w:ascii="宋体" w:hAnsi="宋体"/>
          <w:color w:val="auto"/>
          <w:szCs w:val="21"/>
          <w:highlight w:val="none"/>
        </w:rPr>
        <w:t>。</w:t>
      </w:r>
    </w:p>
    <w:p w14:paraId="4B6BD33E">
      <w:pPr>
        <w:pStyle w:val="2"/>
        <w:wordWrap w:val="0"/>
        <w:spacing w:after="0" w:line="360" w:lineRule="auto"/>
        <w:rPr>
          <w:rFonts w:ascii="宋体" w:hAnsi="宋体"/>
          <w:color w:val="auto"/>
          <w:szCs w:val="21"/>
          <w:highlight w:val="none"/>
        </w:rPr>
      </w:pPr>
    </w:p>
    <w:p w14:paraId="6A147CFE">
      <w:pPr>
        <w:pStyle w:val="2"/>
        <w:wordWrap w:val="0"/>
        <w:spacing w:after="0" w:line="360" w:lineRule="auto"/>
        <w:ind w:firstLine="420" w:firstLineChars="200"/>
        <w:rPr>
          <w:rFonts w:ascii="宋体" w:hAnsi="宋体"/>
          <w:color w:val="auto"/>
          <w:szCs w:val="21"/>
          <w:highlight w:val="none"/>
        </w:rPr>
      </w:pPr>
      <w:r>
        <w:rPr>
          <w:rFonts w:ascii="宋体" w:hAnsi="宋体"/>
          <w:color w:val="auto"/>
          <w:szCs w:val="21"/>
          <w:highlight w:val="none"/>
        </w:rPr>
        <w:t>代理人无转委托权。</w:t>
      </w:r>
    </w:p>
    <w:p w14:paraId="38380131">
      <w:pPr>
        <w:pStyle w:val="2"/>
        <w:wordWrap w:val="0"/>
        <w:spacing w:after="0" w:line="360" w:lineRule="auto"/>
        <w:rPr>
          <w:rFonts w:ascii="宋体" w:hAnsi="宋体"/>
          <w:color w:val="auto"/>
          <w:szCs w:val="21"/>
          <w:highlight w:val="none"/>
        </w:rPr>
      </w:pPr>
    </w:p>
    <w:p w14:paraId="1F538354">
      <w:pPr>
        <w:wordWrap w:val="0"/>
        <w:spacing w:line="360" w:lineRule="auto"/>
        <w:ind w:firstLine="420" w:firstLineChars="200"/>
        <w:rPr>
          <w:rFonts w:hAnsi="宋体"/>
          <w:bCs/>
          <w:color w:val="auto"/>
          <w:szCs w:val="21"/>
          <w:highlight w:val="none"/>
        </w:rPr>
      </w:pPr>
      <w:r>
        <w:rPr>
          <w:rFonts w:hAnsi="宋体"/>
          <w:bCs/>
          <w:color w:val="auto"/>
          <w:szCs w:val="21"/>
          <w:highlight w:val="none"/>
        </w:rPr>
        <w:t>附：法定代表人</w:t>
      </w:r>
      <w:r>
        <w:rPr>
          <w:rFonts w:hint="eastAsia" w:ascii="宋体" w:hAnsi="宋体" w:cs="宋体"/>
          <w:iCs/>
          <w:color w:val="auto"/>
          <w:szCs w:val="21"/>
          <w:highlight w:val="none"/>
        </w:rPr>
        <w:t>/负责人</w:t>
      </w:r>
      <w:r>
        <w:rPr>
          <w:rFonts w:hAnsi="宋体"/>
          <w:bCs/>
          <w:color w:val="auto"/>
          <w:szCs w:val="21"/>
          <w:highlight w:val="none"/>
        </w:rPr>
        <w:t>身份证</w:t>
      </w:r>
      <w:r>
        <w:rPr>
          <w:rFonts w:hint="eastAsia" w:hAnsi="宋体"/>
          <w:bCs/>
          <w:color w:val="auto"/>
          <w:szCs w:val="21"/>
          <w:highlight w:val="none"/>
          <w:lang w:eastAsia="zh-CN"/>
        </w:rPr>
        <w:t>复印件</w:t>
      </w:r>
      <w:r>
        <w:rPr>
          <w:rFonts w:hint="eastAsia" w:hAnsi="宋体"/>
          <w:bCs/>
          <w:color w:val="auto"/>
          <w:szCs w:val="21"/>
          <w:highlight w:val="none"/>
        </w:rPr>
        <w:t>、</w:t>
      </w:r>
      <w:r>
        <w:rPr>
          <w:rFonts w:hAnsi="宋体"/>
          <w:bCs/>
          <w:color w:val="auto"/>
          <w:szCs w:val="21"/>
          <w:highlight w:val="none"/>
        </w:rPr>
        <w:t>委托代理人身份证</w:t>
      </w:r>
      <w:r>
        <w:rPr>
          <w:rFonts w:hint="eastAsia" w:hAnsi="宋体"/>
          <w:bCs/>
          <w:color w:val="auto"/>
          <w:szCs w:val="21"/>
          <w:highlight w:val="none"/>
          <w:lang w:eastAsia="zh-CN"/>
        </w:rPr>
        <w:t>复印件</w:t>
      </w:r>
      <w:r>
        <w:rPr>
          <w:rFonts w:hint="eastAsia" w:hAnsi="宋体"/>
          <w:bCs/>
          <w:color w:val="auto"/>
          <w:szCs w:val="21"/>
          <w:highlight w:val="none"/>
        </w:rPr>
        <w:t>（此附件为授权委托书的必要组成部分，无此附件的授权委托书无效。</w:t>
      </w:r>
      <w:r>
        <w:rPr>
          <w:rFonts w:hAnsi="宋体"/>
          <w:bCs/>
          <w:color w:val="auto"/>
          <w:szCs w:val="21"/>
          <w:highlight w:val="none"/>
        </w:rPr>
        <w:t>法定代表人</w:t>
      </w:r>
      <w:r>
        <w:rPr>
          <w:rFonts w:hint="eastAsia" w:ascii="宋体" w:hAnsi="宋体" w:cs="宋体"/>
          <w:iCs/>
          <w:color w:val="auto"/>
          <w:szCs w:val="21"/>
          <w:highlight w:val="none"/>
        </w:rPr>
        <w:t>/负责人</w:t>
      </w:r>
      <w:r>
        <w:rPr>
          <w:rFonts w:hAnsi="宋体"/>
          <w:bCs/>
          <w:color w:val="auto"/>
          <w:szCs w:val="21"/>
          <w:highlight w:val="none"/>
        </w:rPr>
        <w:t>身份证</w:t>
      </w:r>
      <w:r>
        <w:rPr>
          <w:rFonts w:hint="eastAsia" w:hAnsi="宋体"/>
          <w:bCs/>
          <w:color w:val="auto"/>
          <w:szCs w:val="21"/>
          <w:highlight w:val="none"/>
          <w:lang w:eastAsia="zh-CN"/>
        </w:rPr>
        <w:t>复印件</w:t>
      </w:r>
      <w:r>
        <w:rPr>
          <w:rFonts w:hAnsi="宋体"/>
          <w:bCs/>
          <w:color w:val="auto"/>
          <w:szCs w:val="21"/>
          <w:highlight w:val="none"/>
        </w:rPr>
        <w:t>及委托代理人身份证</w:t>
      </w:r>
      <w:r>
        <w:rPr>
          <w:rFonts w:hint="eastAsia" w:hAnsi="宋体"/>
          <w:bCs/>
          <w:color w:val="auto"/>
          <w:szCs w:val="21"/>
          <w:highlight w:val="none"/>
          <w:lang w:eastAsia="zh-CN"/>
        </w:rPr>
        <w:t>复印件</w:t>
      </w:r>
      <w:r>
        <w:rPr>
          <w:rFonts w:hint="eastAsia" w:hAnsi="宋体"/>
          <w:bCs/>
          <w:color w:val="auto"/>
          <w:szCs w:val="21"/>
          <w:highlight w:val="none"/>
        </w:rPr>
        <w:t>可另附页，另附页时，</w:t>
      </w:r>
      <w:r>
        <w:rPr>
          <w:rFonts w:hint="eastAsia" w:hAnsi="宋体"/>
          <w:bCs/>
          <w:color w:val="auto"/>
          <w:szCs w:val="21"/>
          <w:highlight w:val="none"/>
          <w:lang w:eastAsia="zh-CN"/>
        </w:rPr>
        <w:t>复印件</w:t>
      </w:r>
      <w:r>
        <w:rPr>
          <w:rFonts w:hint="eastAsia" w:hAnsi="宋体"/>
          <w:bCs/>
          <w:color w:val="auto"/>
          <w:szCs w:val="21"/>
          <w:highlight w:val="none"/>
        </w:rPr>
        <w:t>须加盖单位公章。）</w:t>
      </w:r>
    </w:p>
    <w:p w14:paraId="12C14D38">
      <w:pPr>
        <w:wordWrap w:val="0"/>
        <w:spacing w:line="360" w:lineRule="auto"/>
        <w:ind w:firstLine="420" w:firstLineChars="200"/>
        <w:rPr>
          <w:rFonts w:hAnsi="宋体"/>
          <w:color w:val="auto"/>
          <w:szCs w:val="21"/>
          <w:highlight w:val="none"/>
        </w:rPr>
      </w:pPr>
    </w:p>
    <w:p w14:paraId="73D55D74">
      <w:pPr>
        <w:pStyle w:val="2"/>
        <w:wordWrap w:val="0"/>
        <w:spacing w:after="0" w:line="360" w:lineRule="auto"/>
        <w:rPr>
          <w:rFonts w:ascii="宋体" w:hAnsi="宋体"/>
          <w:color w:val="auto"/>
          <w:szCs w:val="21"/>
          <w:highlight w:val="none"/>
        </w:rPr>
      </w:pPr>
    </w:p>
    <w:p w14:paraId="6E5989CF">
      <w:pPr>
        <w:pStyle w:val="2"/>
        <w:wordWrap w:val="0"/>
        <w:spacing w:after="0" w:line="360" w:lineRule="auto"/>
        <w:rPr>
          <w:rFonts w:ascii="宋体" w:hAnsi="宋体"/>
          <w:color w:val="auto"/>
          <w:szCs w:val="21"/>
          <w:highlight w:val="none"/>
        </w:rPr>
      </w:pPr>
    </w:p>
    <w:p w14:paraId="549EBD50">
      <w:pPr>
        <w:pStyle w:val="2"/>
        <w:tabs>
          <w:tab w:val="left" w:pos="7241"/>
        </w:tabs>
        <w:wordWrap w:val="0"/>
        <w:spacing w:after="0" w:line="360" w:lineRule="auto"/>
        <w:rPr>
          <w:rFonts w:ascii="宋体" w:hAnsi="宋体"/>
          <w:color w:val="auto"/>
          <w:szCs w:val="21"/>
          <w:highlight w:val="none"/>
        </w:rPr>
      </w:pPr>
      <w:r>
        <w:rPr>
          <w:rFonts w:ascii="宋体" w:hAnsi="宋体"/>
          <w:color w:val="auto"/>
          <w:szCs w:val="21"/>
          <w:highlight w:val="none"/>
        </w:rPr>
        <w:t>投</w:t>
      </w:r>
      <w:r>
        <w:rPr>
          <w:rFonts w:hint="eastAsia" w:ascii="宋体" w:hAnsi="宋体"/>
          <w:color w:val="auto"/>
          <w:szCs w:val="21"/>
          <w:highlight w:val="none"/>
        </w:rPr>
        <w:t xml:space="preserve">  </w:t>
      </w:r>
      <w:r>
        <w:rPr>
          <w:rFonts w:ascii="宋体" w:hAnsi="宋体"/>
          <w:color w:val="auto"/>
          <w:szCs w:val="21"/>
          <w:highlight w:val="none"/>
        </w:rPr>
        <w:t>标</w:t>
      </w:r>
      <w:r>
        <w:rPr>
          <w:rFonts w:hint="eastAsia" w:ascii="宋体" w:hAnsi="宋体"/>
          <w:color w:val="auto"/>
          <w:szCs w:val="21"/>
          <w:highlight w:val="none"/>
        </w:rPr>
        <w:t xml:space="preserve">  </w:t>
      </w:r>
      <w:r>
        <w:rPr>
          <w:rFonts w:ascii="宋体" w:hAnsi="宋体"/>
          <w:color w:val="auto"/>
          <w:szCs w:val="21"/>
          <w:highlight w:val="none"/>
        </w:rPr>
        <w:t>人：</w:t>
      </w:r>
      <w:r>
        <w:rPr>
          <w:rFonts w:hint="eastAsia" w:ascii="宋体" w:hAnsi="宋体"/>
          <w:color w:val="auto"/>
          <w:szCs w:val="21"/>
          <w:highlight w:val="none"/>
          <w:u w:val="single"/>
        </w:rPr>
        <w:t xml:space="preserve">                      </w:t>
      </w:r>
      <w:r>
        <w:rPr>
          <w:rFonts w:ascii="宋体" w:hAnsi="宋体"/>
          <w:color w:val="auto"/>
          <w:szCs w:val="21"/>
          <w:highlight w:val="none"/>
        </w:rPr>
        <w:t>（盖单位</w:t>
      </w:r>
      <w:r>
        <w:rPr>
          <w:rFonts w:hint="eastAsia" w:ascii="宋体" w:hAnsi="宋体"/>
          <w:color w:val="auto"/>
          <w:szCs w:val="21"/>
          <w:highlight w:val="none"/>
        </w:rPr>
        <w:t>公</w:t>
      </w:r>
      <w:r>
        <w:rPr>
          <w:rFonts w:ascii="宋体" w:hAnsi="宋体"/>
          <w:color w:val="auto"/>
          <w:szCs w:val="21"/>
          <w:highlight w:val="none"/>
        </w:rPr>
        <w:t>章）</w:t>
      </w:r>
    </w:p>
    <w:p w14:paraId="4386849A">
      <w:pPr>
        <w:pStyle w:val="2"/>
        <w:tabs>
          <w:tab w:val="left" w:pos="7661"/>
        </w:tabs>
        <w:wordWrap w:val="0"/>
        <w:spacing w:after="0" w:line="360" w:lineRule="auto"/>
        <w:rPr>
          <w:rFonts w:ascii="宋体" w:hAnsi="宋体"/>
          <w:color w:val="auto"/>
          <w:szCs w:val="21"/>
          <w:highlight w:val="none"/>
        </w:rPr>
      </w:pPr>
      <w:r>
        <w:rPr>
          <w:rFonts w:ascii="宋体" w:hAnsi="宋体"/>
          <w:color w:val="auto"/>
          <w:szCs w:val="21"/>
          <w:highlight w:val="none"/>
        </w:rPr>
        <w:t>法定代表人</w:t>
      </w:r>
      <w:r>
        <w:rPr>
          <w:rFonts w:hint="eastAsia" w:ascii="宋体" w:hAnsi="宋体" w:cs="宋体"/>
          <w:iCs/>
          <w:color w:val="auto"/>
          <w:szCs w:val="21"/>
          <w:highlight w:val="none"/>
        </w:rPr>
        <w:t>/负责人</w:t>
      </w:r>
      <w:r>
        <w:rPr>
          <w:rFonts w:ascii="宋体" w:hAnsi="宋体"/>
          <w:color w:val="auto"/>
          <w:szCs w:val="21"/>
          <w:highlight w:val="none"/>
        </w:rPr>
        <w:t>：</w:t>
      </w:r>
      <w:r>
        <w:rPr>
          <w:rFonts w:hint="eastAsia" w:ascii="宋体" w:hAnsi="宋体"/>
          <w:color w:val="auto"/>
          <w:szCs w:val="21"/>
          <w:highlight w:val="none"/>
          <w:u w:val="single"/>
        </w:rPr>
        <w:t xml:space="preserve">                     </w:t>
      </w:r>
      <w:r>
        <w:rPr>
          <w:rFonts w:ascii="宋体" w:hAnsi="宋体"/>
          <w:color w:val="auto"/>
          <w:szCs w:val="21"/>
          <w:highlight w:val="none"/>
        </w:rPr>
        <w:t>（</w:t>
      </w:r>
      <w:r>
        <w:rPr>
          <w:rFonts w:ascii="宋体" w:hAnsi="宋体" w:cs="宋体"/>
          <w:color w:val="auto"/>
          <w:szCs w:val="21"/>
          <w:highlight w:val="none"/>
        </w:rPr>
        <w:t>签字</w:t>
      </w:r>
      <w:r>
        <w:rPr>
          <w:rFonts w:hint="eastAsia" w:ascii="宋体" w:hAnsi="宋体" w:cs="宋体"/>
          <w:color w:val="auto"/>
          <w:szCs w:val="21"/>
          <w:highlight w:val="none"/>
        </w:rPr>
        <w:t>或签章</w:t>
      </w:r>
      <w:r>
        <w:rPr>
          <w:rFonts w:ascii="宋体" w:hAnsi="宋体"/>
          <w:color w:val="auto"/>
          <w:szCs w:val="21"/>
          <w:highlight w:val="none"/>
        </w:rPr>
        <w:t>）</w:t>
      </w:r>
    </w:p>
    <w:p w14:paraId="0D83BEE2">
      <w:pPr>
        <w:pStyle w:val="2"/>
        <w:tabs>
          <w:tab w:val="left" w:pos="8549"/>
        </w:tabs>
        <w:wordWrap w:val="0"/>
        <w:spacing w:after="0" w:line="360" w:lineRule="auto"/>
        <w:rPr>
          <w:rFonts w:ascii="宋体" w:hAnsi="宋体"/>
          <w:color w:val="auto"/>
          <w:szCs w:val="21"/>
          <w:highlight w:val="none"/>
        </w:rPr>
      </w:pPr>
      <w:r>
        <w:rPr>
          <w:rFonts w:ascii="宋体" w:hAnsi="宋体"/>
          <w:color w:val="auto"/>
          <w:szCs w:val="21"/>
          <w:highlight w:val="none"/>
        </w:rPr>
        <w:t>身份证号码：</w:t>
      </w:r>
      <w:r>
        <w:rPr>
          <w:rFonts w:hint="eastAsia" w:ascii="宋体" w:hAnsi="宋体"/>
          <w:color w:val="auto"/>
          <w:szCs w:val="21"/>
          <w:highlight w:val="none"/>
          <w:u w:val="single"/>
        </w:rPr>
        <w:t xml:space="preserve">                                 </w:t>
      </w:r>
    </w:p>
    <w:p w14:paraId="20FE8EA4">
      <w:pPr>
        <w:pStyle w:val="2"/>
        <w:tabs>
          <w:tab w:val="left" w:pos="7661"/>
        </w:tabs>
        <w:wordWrap w:val="0"/>
        <w:spacing w:after="0" w:line="360" w:lineRule="auto"/>
        <w:rPr>
          <w:rFonts w:ascii="宋体" w:hAnsi="宋体"/>
          <w:color w:val="auto"/>
          <w:szCs w:val="21"/>
          <w:highlight w:val="none"/>
        </w:rPr>
      </w:pPr>
      <w:r>
        <w:rPr>
          <w:rFonts w:ascii="宋体" w:hAnsi="宋体"/>
          <w:color w:val="auto"/>
          <w:szCs w:val="21"/>
          <w:highlight w:val="none"/>
        </w:rPr>
        <w:t>委托代理人：</w:t>
      </w:r>
      <w:r>
        <w:rPr>
          <w:rFonts w:hint="eastAsia" w:ascii="宋体" w:hAnsi="宋体"/>
          <w:color w:val="auto"/>
          <w:szCs w:val="21"/>
          <w:highlight w:val="none"/>
          <w:u w:val="single"/>
        </w:rPr>
        <w:t xml:space="preserve">                     </w:t>
      </w:r>
      <w:r>
        <w:rPr>
          <w:rFonts w:ascii="宋体" w:hAnsi="宋体"/>
          <w:color w:val="auto"/>
          <w:szCs w:val="21"/>
          <w:highlight w:val="none"/>
        </w:rPr>
        <w:t>（</w:t>
      </w:r>
      <w:r>
        <w:rPr>
          <w:rFonts w:ascii="宋体" w:hAnsi="宋体" w:cs="宋体"/>
          <w:color w:val="auto"/>
          <w:szCs w:val="21"/>
          <w:highlight w:val="none"/>
        </w:rPr>
        <w:t>签字</w:t>
      </w:r>
      <w:r>
        <w:rPr>
          <w:rFonts w:hint="eastAsia" w:ascii="宋体" w:hAnsi="宋体" w:cs="宋体"/>
          <w:color w:val="auto"/>
          <w:szCs w:val="21"/>
          <w:highlight w:val="none"/>
        </w:rPr>
        <w:t>或签章</w:t>
      </w:r>
      <w:r>
        <w:rPr>
          <w:rFonts w:ascii="宋体" w:hAnsi="宋体"/>
          <w:color w:val="auto"/>
          <w:szCs w:val="21"/>
          <w:highlight w:val="none"/>
        </w:rPr>
        <w:t>）</w:t>
      </w:r>
    </w:p>
    <w:p w14:paraId="20068F4A">
      <w:pPr>
        <w:pStyle w:val="2"/>
        <w:tabs>
          <w:tab w:val="left" w:pos="8549"/>
        </w:tabs>
        <w:wordWrap w:val="0"/>
        <w:spacing w:after="0" w:line="360" w:lineRule="auto"/>
        <w:rPr>
          <w:rFonts w:ascii="宋体" w:hAnsi="宋体"/>
          <w:color w:val="auto"/>
          <w:szCs w:val="21"/>
          <w:highlight w:val="none"/>
        </w:rPr>
      </w:pPr>
      <w:r>
        <w:rPr>
          <w:rFonts w:ascii="宋体" w:hAnsi="宋体"/>
          <w:color w:val="auto"/>
          <w:szCs w:val="21"/>
          <w:highlight w:val="none"/>
        </w:rPr>
        <w:t>身份证号码：</w:t>
      </w:r>
      <w:r>
        <w:rPr>
          <w:rFonts w:hint="eastAsia" w:ascii="宋体" w:hAnsi="宋体"/>
          <w:color w:val="auto"/>
          <w:szCs w:val="21"/>
          <w:highlight w:val="none"/>
          <w:u w:val="single"/>
        </w:rPr>
        <w:t xml:space="preserve">                                  </w:t>
      </w:r>
    </w:p>
    <w:p w14:paraId="7A5129C9">
      <w:pPr>
        <w:bidi w:val="0"/>
        <w:rPr>
          <w:rFonts w:hAnsi="宋体" w:cs="Arial"/>
          <w:color w:val="auto"/>
          <w:kern w:val="0"/>
          <w:szCs w:val="21"/>
          <w:highlight w:val="none"/>
        </w:rPr>
      </w:pPr>
      <w:r>
        <w:rPr>
          <w:rFonts w:hint="eastAsia" w:hAnsi="宋体" w:cs="Arial"/>
          <w:color w:val="auto"/>
          <w:kern w:val="0"/>
          <w:szCs w:val="21"/>
          <w:highlight w:val="none"/>
          <w:u w:val="single"/>
        </w:rPr>
        <w:t xml:space="preserve">     </w:t>
      </w:r>
      <w:r>
        <w:rPr>
          <w:rFonts w:hAnsi="宋体" w:cs="Arial"/>
          <w:color w:val="auto"/>
          <w:kern w:val="0"/>
          <w:szCs w:val="21"/>
          <w:highlight w:val="none"/>
        </w:rPr>
        <w:t>年</w:t>
      </w:r>
      <w:r>
        <w:rPr>
          <w:rFonts w:hint="eastAsia" w:hAnsi="宋体" w:cs="Arial"/>
          <w:color w:val="auto"/>
          <w:kern w:val="0"/>
          <w:szCs w:val="21"/>
          <w:highlight w:val="none"/>
          <w:u w:val="single"/>
        </w:rPr>
        <w:t xml:space="preserve"> </w:t>
      </w:r>
      <w:r>
        <w:rPr>
          <w:rFonts w:hint="eastAsia" w:hAnsi="宋体" w:cs="Arial"/>
          <w:color w:val="auto"/>
          <w:kern w:val="0"/>
          <w:szCs w:val="21"/>
          <w:highlight w:val="none"/>
          <w:u w:val="single"/>
          <w:lang w:val="en-US" w:eastAsia="zh-CN"/>
        </w:rPr>
        <w:t xml:space="preserve">   </w:t>
      </w:r>
      <w:r>
        <w:rPr>
          <w:rFonts w:hAnsi="宋体" w:cs="Arial"/>
          <w:color w:val="auto"/>
          <w:kern w:val="0"/>
          <w:szCs w:val="21"/>
          <w:highlight w:val="none"/>
        </w:rPr>
        <w:t>月</w:t>
      </w:r>
      <w:r>
        <w:rPr>
          <w:rFonts w:hint="eastAsia" w:hAnsi="宋体" w:cs="Arial"/>
          <w:color w:val="auto"/>
          <w:kern w:val="0"/>
          <w:szCs w:val="21"/>
          <w:highlight w:val="none"/>
          <w:u w:val="single"/>
        </w:rPr>
        <w:t xml:space="preserve">   </w:t>
      </w:r>
      <w:r>
        <w:rPr>
          <w:rFonts w:hAnsi="宋体" w:cs="Arial"/>
          <w:color w:val="auto"/>
          <w:kern w:val="0"/>
          <w:szCs w:val="21"/>
          <w:highlight w:val="none"/>
        </w:rPr>
        <w:t>日</w:t>
      </w:r>
    </w:p>
    <w:p w14:paraId="3322D301">
      <w:pPr>
        <w:bidi w:val="0"/>
        <w:rPr>
          <w:rFonts w:hAnsi="宋体" w:cs="Arial"/>
          <w:color w:val="auto"/>
          <w:kern w:val="0"/>
          <w:szCs w:val="21"/>
          <w:highlight w:val="none"/>
        </w:rPr>
      </w:pPr>
    </w:p>
    <w:p w14:paraId="24459D03">
      <w:pPr>
        <w:bidi w:val="0"/>
        <w:rPr>
          <w:rFonts w:hAnsi="宋体" w:cs="Arial"/>
          <w:color w:val="auto"/>
          <w:kern w:val="0"/>
          <w:szCs w:val="21"/>
          <w:highlight w:val="none"/>
        </w:rPr>
      </w:pPr>
    </w:p>
    <w:p w14:paraId="669BFF6C">
      <w:pPr>
        <w:bidi w:val="0"/>
        <w:rPr>
          <w:rFonts w:hAnsi="宋体" w:cs="Arial"/>
          <w:color w:val="auto"/>
          <w:kern w:val="0"/>
          <w:szCs w:val="21"/>
          <w:highlight w:val="none"/>
        </w:rPr>
      </w:pPr>
    </w:p>
    <w:p w14:paraId="16647ECC">
      <w:pPr>
        <w:bidi w:val="0"/>
        <w:rPr>
          <w:rFonts w:hAnsi="宋体" w:cs="Arial"/>
          <w:color w:val="auto"/>
          <w:kern w:val="0"/>
          <w:szCs w:val="21"/>
          <w:highlight w:val="none"/>
        </w:rPr>
      </w:pPr>
    </w:p>
    <w:p w14:paraId="4BD2F95D">
      <w:pPr>
        <w:bidi w:val="0"/>
        <w:spacing w:line="360" w:lineRule="auto"/>
        <w:ind w:firstLine="420" w:firstLineChars="200"/>
        <w:rPr>
          <w:color w:val="auto"/>
          <w:highlight w:val="none"/>
        </w:rPr>
      </w:pPr>
      <w:r>
        <w:rPr>
          <w:rFonts w:hint="eastAsia" w:ascii="宋体" w:hAnsi="宋体" w:eastAsia="宋体" w:cs="Times New Roman"/>
          <w:color w:val="auto"/>
          <w:sz w:val="21"/>
          <w:szCs w:val="21"/>
          <w:highlight w:val="none"/>
          <w:lang w:val="en-US" w:eastAsia="zh-CN"/>
        </w:rPr>
        <w:t>注：参加</w:t>
      </w:r>
      <w:r>
        <w:rPr>
          <w:rFonts w:hint="eastAsia" w:ascii="宋体" w:hAnsi="宋体" w:eastAsia="宋体" w:cs="Times New Roman"/>
          <w:color w:val="auto"/>
          <w:sz w:val="21"/>
          <w:szCs w:val="21"/>
          <w:highlight w:val="none"/>
        </w:rPr>
        <w:t>开标会议时，</w:t>
      </w:r>
      <w:r>
        <w:rPr>
          <w:rFonts w:hint="eastAsia" w:ascii="宋体" w:hAnsi="宋体" w:eastAsia="宋体" w:cs="Times New Roman"/>
          <w:color w:val="auto"/>
          <w:sz w:val="21"/>
          <w:szCs w:val="21"/>
          <w:highlight w:val="none"/>
          <w:lang w:val="en-US" w:eastAsia="zh-CN"/>
        </w:rPr>
        <w:t>如为投标人授权委托代理人参加投标，须</w:t>
      </w:r>
      <w:r>
        <w:rPr>
          <w:rFonts w:hint="eastAsia" w:hAnsi="宋体"/>
          <w:b/>
          <w:bCs/>
          <w:color w:val="auto"/>
          <w:sz w:val="21"/>
          <w:szCs w:val="21"/>
          <w:highlight w:val="none"/>
        </w:rPr>
        <w:t>投标人营业执照副本复印件并加盖投标人公章的原件</w:t>
      </w:r>
      <w:r>
        <w:rPr>
          <w:rFonts w:hint="eastAsia" w:hAnsi="宋体"/>
          <w:b/>
          <w:bCs/>
          <w:color w:val="auto"/>
          <w:sz w:val="21"/>
          <w:szCs w:val="21"/>
          <w:highlight w:val="none"/>
          <w:lang w:eastAsia="zh-CN"/>
        </w:rPr>
        <w:t>、</w:t>
      </w:r>
      <w:r>
        <w:rPr>
          <w:rFonts w:hint="eastAsia" w:ascii="宋体" w:hAnsi="宋体" w:eastAsia="宋体" w:cs="Times New Roman"/>
          <w:b/>
          <w:bCs/>
          <w:color w:val="auto"/>
          <w:sz w:val="21"/>
          <w:szCs w:val="21"/>
          <w:highlight w:val="none"/>
        </w:rPr>
        <w:t>法定代表人身份证明原件</w:t>
      </w:r>
      <w:r>
        <w:rPr>
          <w:rFonts w:hint="eastAsia" w:ascii="宋体" w:hAnsi="宋体" w:eastAsia="宋体" w:cs="Times New Roman"/>
          <w:color w:val="auto"/>
          <w:sz w:val="21"/>
          <w:szCs w:val="21"/>
          <w:highlight w:val="none"/>
        </w:rPr>
        <w:t>、</w:t>
      </w:r>
      <w:r>
        <w:rPr>
          <w:rFonts w:hint="eastAsia" w:ascii="宋体" w:hAnsi="宋体" w:eastAsia="宋体" w:cs="Times New Roman"/>
          <w:b/>
          <w:bCs/>
          <w:color w:val="auto"/>
          <w:sz w:val="21"/>
          <w:szCs w:val="21"/>
          <w:highlight w:val="none"/>
        </w:rPr>
        <w:t>授权委托书原件</w:t>
      </w:r>
      <w:r>
        <w:rPr>
          <w:rFonts w:hint="eastAsia" w:ascii="宋体" w:hAnsi="宋体" w:eastAsia="宋体" w:cs="Times New Roman"/>
          <w:color w:val="auto"/>
          <w:sz w:val="21"/>
          <w:szCs w:val="21"/>
          <w:highlight w:val="none"/>
          <w:lang w:eastAsia="zh-CN"/>
        </w:rPr>
        <w:t>、</w:t>
      </w:r>
      <w:r>
        <w:rPr>
          <w:rFonts w:hint="eastAsia" w:ascii="宋体" w:hAnsi="宋体" w:eastAsia="宋体" w:cs="Times New Roman"/>
          <w:b/>
          <w:bCs/>
          <w:color w:val="auto"/>
          <w:sz w:val="21"/>
          <w:szCs w:val="21"/>
          <w:highlight w:val="none"/>
        </w:rPr>
        <w:t>授权委托代理人身份证原件</w:t>
      </w:r>
      <w:r>
        <w:rPr>
          <w:rFonts w:hint="eastAsia" w:ascii="宋体" w:hAnsi="宋体" w:eastAsia="宋体" w:cs="Times New Roman"/>
          <w:color w:val="auto"/>
          <w:sz w:val="21"/>
          <w:szCs w:val="21"/>
          <w:highlight w:val="none"/>
        </w:rPr>
        <w:t>准时参加</w:t>
      </w:r>
      <w:r>
        <w:rPr>
          <w:rFonts w:hint="eastAsia" w:ascii="宋体" w:hAnsi="宋体" w:eastAsia="宋体" w:cs="Times New Roman"/>
          <w:color w:val="auto"/>
          <w:sz w:val="21"/>
          <w:szCs w:val="21"/>
          <w:highlight w:val="none"/>
          <w:lang w:eastAsia="zh-CN"/>
        </w:rPr>
        <w:t>，</w:t>
      </w:r>
      <w:r>
        <w:rPr>
          <w:rFonts w:hint="eastAsia" w:ascii="宋体" w:hAnsi="宋体" w:eastAsia="宋体" w:cs="Times New Roman"/>
          <w:color w:val="auto"/>
          <w:sz w:val="21"/>
          <w:szCs w:val="21"/>
          <w:highlight w:val="none"/>
        </w:rPr>
        <w:t>不符合要求的，其投标文件将予以拒绝并退还给投标人。</w:t>
      </w:r>
      <w:r>
        <w:rPr>
          <w:color w:val="auto"/>
          <w:highlight w:val="none"/>
        </w:rPr>
        <w:br w:type="page"/>
      </w:r>
    </w:p>
    <w:p w14:paraId="590749F4">
      <w:pPr>
        <w:pStyle w:val="138"/>
        <w:tabs>
          <w:tab w:val="left" w:pos="4538"/>
          <w:tab w:val="left" w:pos="5484"/>
          <w:tab w:val="left" w:pos="6427"/>
        </w:tabs>
        <w:spacing w:before="0" w:line="360" w:lineRule="auto"/>
        <w:jc w:val="center"/>
        <w:rPr>
          <w:rFonts w:ascii="Calibri" w:cs="宋体"/>
          <w:color w:val="auto"/>
          <w:szCs w:val="28"/>
          <w:highlight w:val="none"/>
        </w:rPr>
      </w:pPr>
      <w:r>
        <w:rPr>
          <w:rFonts w:hint="eastAsia" w:ascii="Calibri" w:cs="宋体"/>
          <w:color w:val="auto"/>
          <w:szCs w:val="28"/>
          <w:highlight w:val="none"/>
          <w:lang w:val="en-US" w:eastAsia="zh-CN"/>
        </w:rPr>
        <w:t>六</w:t>
      </w:r>
      <w:r>
        <w:rPr>
          <w:rFonts w:hint="eastAsia" w:ascii="Calibri" w:cs="宋体"/>
          <w:color w:val="auto"/>
          <w:szCs w:val="28"/>
          <w:highlight w:val="none"/>
        </w:rPr>
        <w:t>、投标人具备投标资格的证明文件</w:t>
      </w:r>
    </w:p>
    <w:p w14:paraId="5A5EF8E5">
      <w:pPr>
        <w:wordWrap w:val="0"/>
        <w:spacing w:line="360" w:lineRule="auto"/>
        <w:ind w:firstLine="422" w:firstLineChars="200"/>
        <w:jc w:val="left"/>
        <w:rPr>
          <w:rFonts w:hAnsi="宋体" w:cs="宋体"/>
          <w:b/>
          <w:color w:val="auto"/>
          <w:szCs w:val="21"/>
          <w:highlight w:val="none"/>
        </w:rPr>
      </w:pPr>
    </w:p>
    <w:p w14:paraId="1DFFD303">
      <w:pPr>
        <w:wordWrap w:val="0"/>
        <w:spacing w:line="360" w:lineRule="auto"/>
        <w:ind w:firstLine="422" w:firstLineChars="200"/>
        <w:jc w:val="left"/>
        <w:rPr>
          <w:rFonts w:hAnsi="宋体" w:cs="宋体"/>
          <w:b/>
          <w:color w:val="auto"/>
          <w:szCs w:val="21"/>
          <w:highlight w:val="none"/>
        </w:rPr>
      </w:pPr>
      <w:r>
        <w:rPr>
          <w:rFonts w:hint="eastAsia" w:hAnsi="宋体" w:cs="宋体"/>
          <w:b/>
          <w:color w:val="auto"/>
          <w:szCs w:val="21"/>
          <w:highlight w:val="none"/>
        </w:rPr>
        <w:t>1、投标人须附下列资格证明文件：</w:t>
      </w:r>
    </w:p>
    <w:p w14:paraId="79DB8FA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（1）投标人须为具有独立法人资格的事业单位或企业单位，且营业执照（或事业单位法人证书）处于有效期内，投标人须提供营业执照副本（或事业单位法人证书）复印件；</w:t>
      </w:r>
    </w:p>
    <w:p w14:paraId="2DE28B7C">
      <w:pPr>
        <w:wordWrap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snapToGrid w:val="0"/>
          <w:color w:val="auto"/>
          <w:kern w:val="0"/>
          <w:szCs w:val="21"/>
          <w:highlight w:val="none"/>
          <w:lang w:val="en-US" w:eastAsia="zh-CN"/>
        </w:rPr>
        <w:t>（2）入围业绩证明材料，提供合同复印件。</w:t>
      </w:r>
    </w:p>
    <w:p w14:paraId="0F6BCF9B">
      <w:pPr>
        <w:wordWrap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法定代表人身份证明或授权委托书</w:t>
      </w:r>
      <w:r>
        <w:rPr>
          <w:rFonts w:hint="eastAsia" w:ascii="宋体" w:hAnsi="宋体" w:eastAsia="宋体" w:cs="宋体"/>
          <w:color w:val="000000" w:themeColor="text1"/>
          <w:szCs w:val="21"/>
          <w:highlight w:val="none"/>
          <w:lang w:eastAsia="zh-CN"/>
          <w14:textFill>
            <w14:solidFill>
              <w14:schemeClr w14:val="tx1"/>
            </w14:solidFill>
          </w14:textFill>
        </w:rPr>
        <w:t>复印件</w:t>
      </w:r>
      <w:r>
        <w:rPr>
          <w:rFonts w:hint="eastAsia" w:ascii="宋体" w:hAnsi="宋体" w:eastAsia="宋体" w:cs="宋体"/>
          <w:color w:val="000000" w:themeColor="text1"/>
          <w:szCs w:val="21"/>
          <w:highlight w:val="none"/>
          <w14:textFill>
            <w14:solidFill>
              <w14:schemeClr w14:val="tx1"/>
            </w14:solidFill>
          </w14:textFill>
        </w:rPr>
        <w:t>（法定代表人及委托代理人签字或签章）。法定代表人身份证明或授权委托书应符合第六章“投标文件格式”的要求；</w:t>
      </w:r>
    </w:p>
    <w:p w14:paraId="7A904B07">
      <w:pPr>
        <w:wordWrap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4</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snapToGrid w:val="0"/>
          <w:color w:val="000000" w:themeColor="text1"/>
          <w:kern w:val="0"/>
          <w:szCs w:val="21"/>
          <w:highlight w:val="none"/>
          <w14:textFill>
            <w14:solidFill>
              <w14:schemeClr w14:val="tx1"/>
            </w14:solidFill>
          </w14:textFill>
        </w:rPr>
        <w:t>投标人</w:t>
      </w:r>
      <w:r>
        <w:rPr>
          <w:rFonts w:hint="eastAsia" w:ascii="宋体" w:hAnsi="宋体" w:eastAsia="宋体" w:cs="宋体"/>
          <w:snapToGrid w:val="0"/>
          <w:color w:val="000000" w:themeColor="text1"/>
          <w:kern w:val="0"/>
          <w:szCs w:val="21"/>
          <w:highlight w:val="none"/>
          <w:lang w:val="en-US" w:eastAsia="zh-CN"/>
          <w14:textFill>
            <w14:solidFill>
              <w14:schemeClr w14:val="tx1"/>
            </w14:solidFill>
          </w14:textFill>
        </w:rPr>
        <w:t>未</w:t>
      </w:r>
      <w:r>
        <w:rPr>
          <w:rFonts w:hint="eastAsia" w:ascii="宋体" w:hAnsi="宋体" w:eastAsia="宋体" w:cs="宋体"/>
          <w:snapToGrid w:val="0"/>
          <w:color w:val="000000" w:themeColor="text1"/>
          <w:kern w:val="0"/>
          <w:szCs w:val="21"/>
          <w:highlight w:val="none"/>
          <w14:textFill>
            <w14:solidFill>
              <w14:schemeClr w14:val="tx1"/>
            </w14:solidFill>
          </w14:textFill>
        </w:rPr>
        <w:t>被“信用中国”网站</w:t>
      </w:r>
      <w:r>
        <w:rPr>
          <w:rFonts w:hint="eastAsia" w:ascii="宋体" w:hAnsi="宋体" w:eastAsia="宋体" w:cs="宋体"/>
          <w:snapToGrid w:val="0"/>
          <w:color w:val="000000" w:themeColor="text1"/>
          <w:kern w:val="0"/>
          <w:szCs w:val="21"/>
          <w:highlight w:val="none"/>
          <w:lang w:eastAsia="zh-CN"/>
          <w14:textFill>
            <w14:solidFill>
              <w14:schemeClr w14:val="tx1"/>
            </w14:solidFill>
          </w14:textFill>
        </w:rPr>
        <w:t>（</w:t>
      </w:r>
      <w:r>
        <w:rPr>
          <w:rFonts w:hint="eastAsia" w:ascii="宋体" w:hAnsi="宋体" w:eastAsia="宋体" w:cs="宋体"/>
          <w:snapToGrid w:val="0"/>
          <w:color w:val="000000" w:themeColor="text1"/>
          <w:kern w:val="0"/>
          <w:szCs w:val="21"/>
          <w:highlight w:val="none"/>
          <w14:textFill>
            <w14:solidFill>
              <w14:schemeClr w14:val="tx1"/>
            </w14:solidFill>
          </w14:textFill>
        </w:rPr>
        <w:t>www.creditchina.gov.cn</w:t>
      </w:r>
      <w:r>
        <w:rPr>
          <w:rFonts w:hint="eastAsia" w:ascii="宋体" w:hAnsi="宋体" w:eastAsia="宋体" w:cs="宋体"/>
          <w:snapToGrid w:val="0"/>
          <w:color w:val="000000" w:themeColor="text1"/>
          <w:kern w:val="0"/>
          <w:szCs w:val="21"/>
          <w:highlight w:val="none"/>
          <w:lang w:eastAsia="zh-CN"/>
          <w14:textFill>
            <w14:solidFill>
              <w14:schemeClr w14:val="tx1"/>
            </w14:solidFill>
          </w14:textFill>
        </w:rPr>
        <w:t>）</w:t>
      </w:r>
      <w:r>
        <w:rPr>
          <w:rFonts w:hint="eastAsia" w:ascii="宋体" w:hAnsi="宋体" w:eastAsia="宋体" w:cs="宋体"/>
          <w:snapToGrid w:val="0"/>
          <w:color w:val="000000" w:themeColor="text1"/>
          <w:kern w:val="0"/>
          <w:szCs w:val="21"/>
          <w:highlight w:val="none"/>
          <w14:textFill>
            <w14:solidFill>
              <w14:schemeClr w14:val="tx1"/>
            </w14:solidFill>
          </w14:textFill>
        </w:rPr>
        <w:t>列入失信被执行人和重大税收违法案件当事人名单</w:t>
      </w:r>
      <w:r>
        <w:rPr>
          <w:rFonts w:hint="eastAsia" w:ascii="宋体" w:hAnsi="宋体" w:eastAsia="宋体" w:cs="宋体"/>
          <w:snapToGrid w:val="0"/>
          <w:color w:val="000000" w:themeColor="text1"/>
          <w:kern w:val="0"/>
          <w:szCs w:val="21"/>
          <w:highlight w:val="none"/>
          <w:lang w:val="en-US" w:eastAsia="zh-CN"/>
          <w14:textFill>
            <w14:solidFill>
              <w14:schemeClr w14:val="tx1"/>
            </w14:solidFill>
          </w14:textFill>
        </w:rPr>
        <w:t>截图</w:t>
      </w:r>
      <w:r>
        <w:rPr>
          <w:rFonts w:hint="eastAsia" w:ascii="宋体" w:hAnsi="宋体" w:eastAsia="宋体" w:cs="宋体"/>
          <w:color w:val="000000" w:themeColor="text1"/>
          <w:szCs w:val="21"/>
          <w:highlight w:val="none"/>
          <w14:textFill>
            <w14:solidFill>
              <w14:schemeClr w14:val="tx1"/>
            </w14:solidFill>
          </w14:textFill>
        </w:rPr>
        <w:t>；</w:t>
      </w:r>
    </w:p>
    <w:p w14:paraId="21EC314A">
      <w:pPr>
        <w:wordWrap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eastAsia="宋体" w:cs="宋体"/>
          <w:color w:val="000000" w:themeColor="text1"/>
          <w:szCs w:val="21"/>
          <w:highlight w:val="none"/>
          <w14:textFill>
            <w14:solidFill>
              <w14:schemeClr w14:val="tx1"/>
            </w14:solidFill>
          </w14:textFill>
        </w:rPr>
        <w:t>）投标人承诺函；</w:t>
      </w:r>
    </w:p>
    <w:p w14:paraId="4D9E05C6">
      <w:pPr>
        <w:wordWrap w:val="0"/>
        <w:spacing w:line="360" w:lineRule="auto"/>
        <w:ind w:firstLine="420" w:firstLineChars="200"/>
        <w:jc w:val="left"/>
        <w:rPr>
          <w:rFonts w:hAnsi="宋体" w:cs="宋体"/>
          <w:color w:val="auto"/>
          <w:szCs w:val="21"/>
          <w:highlight w:val="none"/>
        </w:rPr>
      </w:pP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招标文件要求的其他材料。</w:t>
      </w:r>
    </w:p>
    <w:p w14:paraId="29CCEF29">
      <w:pPr>
        <w:wordWrap w:val="0"/>
        <w:spacing w:line="360" w:lineRule="auto"/>
        <w:ind w:firstLine="422" w:firstLineChars="200"/>
        <w:jc w:val="left"/>
        <w:rPr>
          <w:rFonts w:hAnsi="宋体" w:cs="宋体"/>
          <w:b/>
          <w:bCs/>
          <w:color w:val="auto"/>
          <w:szCs w:val="21"/>
          <w:highlight w:val="none"/>
        </w:rPr>
      </w:pPr>
      <w:r>
        <w:rPr>
          <w:rFonts w:hint="eastAsia" w:hAnsi="宋体" w:cs="宋体"/>
          <w:b/>
          <w:bCs/>
          <w:color w:val="auto"/>
          <w:szCs w:val="21"/>
          <w:highlight w:val="none"/>
        </w:rPr>
        <w:t>以上所有证明文件加盖投标人单位公章。</w:t>
      </w:r>
    </w:p>
    <w:p w14:paraId="3A7D7BF8">
      <w:pPr>
        <w:widowControl/>
        <w:ind w:firstLine="422" w:firstLineChars="200"/>
        <w:jc w:val="left"/>
        <w:rPr>
          <w:rFonts w:hAnsi="宋体" w:cs="宋体"/>
          <w:b/>
          <w:color w:val="auto"/>
          <w:szCs w:val="21"/>
          <w:highlight w:val="none"/>
        </w:rPr>
      </w:pPr>
    </w:p>
    <w:p w14:paraId="0E77E435">
      <w:pPr>
        <w:widowControl/>
        <w:ind w:firstLine="422" w:firstLineChars="200"/>
        <w:jc w:val="left"/>
        <w:rPr>
          <w:rFonts w:hAnsi="宋体" w:cs="宋体"/>
          <w:b/>
          <w:color w:val="auto"/>
          <w:szCs w:val="21"/>
          <w:highlight w:val="none"/>
        </w:rPr>
      </w:pPr>
      <w:r>
        <w:rPr>
          <w:rFonts w:hint="eastAsia" w:hAnsi="宋体" w:cs="宋体"/>
          <w:b/>
          <w:color w:val="auto"/>
          <w:szCs w:val="21"/>
          <w:highlight w:val="none"/>
        </w:rPr>
        <w:t>2、投标人须附下列文件（不作为资格审查依据）：</w:t>
      </w:r>
    </w:p>
    <w:p w14:paraId="0A99FE3B">
      <w:pPr>
        <w:wordWrap w:val="0"/>
        <w:spacing w:line="360" w:lineRule="auto"/>
        <w:ind w:firstLine="420" w:firstLineChars="200"/>
        <w:jc w:val="left"/>
        <w:rPr>
          <w:rFonts w:hAnsi="宋体" w:cs="宋体"/>
          <w:color w:val="auto"/>
          <w:szCs w:val="21"/>
          <w:highlight w:val="none"/>
        </w:rPr>
      </w:pPr>
      <w:r>
        <w:rPr>
          <w:rFonts w:hint="eastAsia" w:hAnsi="宋体"/>
          <w:color w:val="auto"/>
          <w:szCs w:val="21"/>
          <w:highlight w:val="none"/>
        </w:rPr>
        <w:t>（1）</w:t>
      </w:r>
      <w:r>
        <w:rPr>
          <w:rFonts w:hint="eastAsia"/>
          <w:color w:val="auto"/>
          <w:szCs w:val="21"/>
          <w:highlight w:val="none"/>
        </w:rPr>
        <w:t>投标人基本情况表</w:t>
      </w:r>
      <w:r>
        <w:rPr>
          <w:rFonts w:hint="eastAsia" w:hAnsi="宋体" w:cs="宋体"/>
          <w:color w:val="auto"/>
          <w:szCs w:val="21"/>
          <w:highlight w:val="none"/>
        </w:rPr>
        <w:t>（格式</w:t>
      </w:r>
      <w:r>
        <w:rPr>
          <w:rFonts w:hint="eastAsia" w:ascii="宋体" w:hAnsi="宋体" w:cs="宋体"/>
          <w:color w:val="auto"/>
          <w:szCs w:val="21"/>
          <w:highlight w:val="none"/>
        </w:rPr>
        <w:t>见附表</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-1）</w:t>
      </w:r>
    </w:p>
    <w:p w14:paraId="59BDA57A">
      <w:pPr>
        <w:wordWrap/>
        <w:spacing w:before="0" w:line="240" w:lineRule="auto"/>
        <w:jc w:val="left"/>
        <w:outlineLvl w:val="9"/>
        <w:rPr>
          <w:rFonts w:hint="eastAsia" w:hAnsi="宋体" w:cs="宋体"/>
          <w:b/>
          <w:color w:val="auto"/>
          <w:sz w:val="28"/>
          <w:szCs w:val="28"/>
          <w:highlight w:val="none"/>
          <w:lang w:eastAsia="zh-CN"/>
        </w:rPr>
      </w:pPr>
      <w:r>
        <w:rPr>
          <w:rFonts w:hint="eastAsia" w:hAnsi="宋体" w:cs="宋体"/>
          <w:b/>
          <w:color w:val="auto"/>
          <w:sz w:val="28"/>
          <w:szCs w:val="28"/>
          <w:highlight w:val="none"/>
          <w:lang w:eastAsia="zh-CN"/>
        </w:rPr>
        <w:br w:type="page"/>
      </w:r>
    </w:p>
    <w:p w14:paraId="3137B31B">
      <w:pPr>
        <w:pStyle w:val="2"/>
        <w:wordWrap w:val="0"/>
        <w:spacing w:after="0" w:line="360" w:lineRule="auto"/>
        <w:jc w:val="left"/>
        <w:rPr>
          <w:rFonts w:ascii="宋体" w:hAnsi="宋体" w:cs="宋体"/>
          <w:b/>
          <w:bCs/>
          <w:color w:val="auto"/>
          <w:sz w:val="28"/>
          <w:szCs w:val="28"/>
          <w:highlight w:val="none"/>
        </w:rPr>
      </w:pPr>
      <w:r>
        <w:rPr>
          <w:rFonts w:hint="eastAsia" w:ascii="宋体" w:hAnsi="宋体" w:cs="宋体"/>
          <w:b/>
          <w:bCs/>
          <w:color w:val="auto"/>
          <w:sz w:val="24"/>
          <w:szCs w:val="24"/>
          <w:highlight w:val="none"/>
        </w:rPr>
        <w:t>附表</w:t>
      </w:r>
      <w:r>
        <w:rPr>
          <w:rFonts w:hint="eastAsia" w:ascii="宋体" w:hAnsi="宋体" w:cs="宋体"/>
          <w:b/>
          <w:bCs/>
          <w:color w:val="auto"/>
          <w:sz w:val="24"/>
          <w:szCs w:val="24"/>
          <w:highlight w:val="none"/>
          <w:lang w:val="en-US" w:eastAsia="zh-CN"/>
        </w:rPr>
        <w:t>6</w:t>
      </w:r>
      <w:r>
        <w:rPr>
          <w:rFonts w:hint="eastAsia" w:ascii="宋体" w:hAnsi="宋体" w:cs="宋体"/>
          <w:b/>
          <w:bCs/>
          <w:color w:val="auto"/>
          <w:sz w:val="24"/>
          <w:szCs w:val="24"/>
          <w:highlight w:val="none"/>
        </w:rPr>
        <w:t>-1</w:t>
      </w:r>
    </w:p>
    <w:p w14:paraId="2ABCB7E6">
      <w:pPr>
        <w:wordWrap w:val="0"/>
        <w:spacing w:line="360" w:lineRule="auto"/>
        <w:jc w:val="center"/>
        <w:rPr>
          <w:rFonts w:hAnsi="宋体"/>
          <w:b/>
          <w:bCs/>
          <w:color w:val="auto"/>
          <w:sz w:val="28"/>
          <w:szCs w:val="28"/>
          <w:highlight w:val="none"/>
        </w:rPr>
      </w:pPr>
      <w:r>
        <w:rPr>
          <w:rFonts w:hint="eastAsia" w:hAnsi="宋体"/>
          <w:b/>
          <w:bCs/>
          <w:color w:val="auto"/>
          <w:sz w:val="28"/>
          <w:szCs w:val="28"/>
          <w:highlight w:val="none"/>
        </w:rPr>
        <w:t>投标人基本情况表</w:t>
      </w:r>
    </w:p>
    <w:tbl>
      <w:tblPr>
        <w:tblStyle w:val="64"/>
        <w:tblW w:w="8932"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
      <w:tblGrid>
        <w:gridCol w:w="2174"/>
        <w:gridCol w:w="944"/>
        <w:gridCol w:w="2410"/>
        <w:gridCol w:w="1135"/>
        <w:gridCol w:w="2269"/>
      </w:tblGrid>
      <w:tr w14:paraId="16CEAF8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51" w:hRule="exact"/>
          <w:jc w:val="center"/>
        </w:trPr>
        <w:tc>
          <w:tcPr>
            <w:tcW w:w="2174" w:type="dxa"/>
            <w:tcBorders>
              <w:tl2br w:val="nil"/>
              <w:tr2bl w:val="nil"/>
            </w:tcBorders>
            <w:vAlign w:val="center"/>
          </w:tcPr>
          <w:p w14:paraId="7756E218">
            <w:pPr>
              <w:wordWrap w:val="0"/>
              <w:jc w:val="center"/>
              <w:rPr>
                <w:rFonts w:hAnsi="宋体"/>
                <w:color w:val="auto"/>
                <w:szCs w:val="21"/>
                <w:highlight w:val="none"/>
              </w:rPr>
            </w:pPr>
            <w:r>
              <w:rPr>
                <w:rFonts w:hint="eastAsia" w:hAnsi="宋体"/>
                <w:color w:val="auto"/>
                <w:szCs w:val="21"/>
                <w:highlight w:val="none"/>
              </w:rPr>
              <w:t>投标人名称</w:t>
            </w:r>
          </w:p>
        </w:tc>
        <w:tc>
          <w:tcPr>
            <w:tcW w:w="6758" w:type="dxa"/>
            <w:gridSpan w:val="4"/>
            <w:tcBorders>
              <w:tl2br w:val="nil"/>
              <w:tr2bl w:val="nil"/>
            </w:tcBorders>
            <w:vAlign w:val="center"/>
          </w:tcPr>
          <w:p w14:paraId="3F47D97A">
            <w:pPr>
              <w:wordWrap w:val="0"/>
              <w:jc w:val="center"/>
              <w:rPr>
                <w:rFonts w:hAnsi="宋体"/>
                <w:color w:val="auto"/>
                <w:szCs w:val="21"/>
                <w:highlight w:val="none"/>
              </w:rPr>
            </w:pPr>
          </w:p>
        </w:tc>
      </w:tr>
      <w:tr w14:paraId="4EC6908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49" w:hRule="exact"/>
          <w:jc w:val="center"/>
        </w:trPr>
        <w:tc>
          <w:tcPr>
            <w:tcW w:w="2174" w:type="dxa"/>
            <w:tcBorders>
              <w:tl2br w:val="nil"/>
              <w:tr2bl w:val="nil"/>
            </w:tcBorders>
            <w:vAlign w:val="center"/>
          </w:tcPr>
          <w:p w14:paraId="65E8CC62">
            <w:pPr>
              <w:wordWrap w:val="0"/>
              <w:jc w:val="center"/>
              <w:rPr>
                <w:rFonts w:hAnsi="宋体"/>
                <w:color w:val="auto"/>
                <w:szCs w:val="21"/>
                <w:highlight w:val="none"/>
              </w:rPr>
            </w:pPr>
            <w:r>
              <w:rPr>
                <w:rFonts w:hint="eastAsia" w:hAnsi="宋体"/>
                <w:color w:val="auto"/>
                <w:szCs w:val="21"/>
                <w:highlight w:val="none"/>
              </w:rPr>
              <w:t>注册资金</w:t>
            </w:r>
          </w:p>
        </w:tc>
        <w:tc>
          <w:tcPr>
            <w:tcW w:w="3354" w:type="dxa"/>
            <w:gridSpan w:val="2"/>
            <w:tcBorders>
              <w:tl2br w:val="nil"/>
              <w:tr2bl w:val="nil"/>
            </w:tcBorders>
            <w:vAlign w:val="center"/>
          </w:tcPr>
          <w:p w14:paraId="2856E13E">
            <w:pPr>
              <w:wordWrap w:val="0"/>
              <w:jc w:val="center"/>
              <w:rPr>
                <w:rFonts w:hAnsi="宋体"/>
                <w:color w:val="auto"/>
                <w:szCs w:val="21"/>
                <w:highlight w:val="none"/>
              </w:rPr>
            </w:pPr>
          </w:p>
        </w:tc>
        <w:tc>
          <w:tcPr>
            <w:tcW w:w="1135" w:type="dxa"/>
            <w:tcBorders>
              <w:tl2br w:val="nil"/>
              <w:tr2bl w:val="nil"/>
            </w:tcBorders>
            <w:vAlign w:val="center"/>
          </w:tcPr>
          <w:p w14:paraId="1896688C">
            <w:pPr>
              <w:wordWrap w:val="0"/>
              <w:jc w:val="center"/>
              <w:rPr>
                <w:rFonts w:hAnsi="宋体"/>
                <w:color w:val="auto"/>
                <w:szCs w:val="21"/>
                <w:highlight w:val="none"/>
              </w:rPr>
            </w:pPr>
            <w:r>
              <w:rPr>
                <w:rFonts w:hint="eastAsia" w:hAnsi="宋体"/>
                <w:color w:val="auto"/>
                <w:szCs w:val="21"/>
                <w:highlight w:val="none"/>
              </w:rPr>
              <w:t>成立时间</w:t>
            </w:r>
          </w:p>
        </w:tc>
        <w:tc>
          <w:tcPr>
            <w:tcW w:w="2269" w:type="dxa"/>
            <w:tcBorders>
              <w:tl2br w:val="nil"/>
              <w:tr2bl w:val="nil"/>
            </w:tcBorders>
            <w:vAlign w:val="center"/>
          </w:tcPr>
          <w:p w14:paraId="68F0E286">
            <w:pPr>
              <w:wordWrap w:val="0"/>
              <w:jc w:val="center"/>
              <w:rPr>
                <w:rFonts w:hAnsi="宋体"/>
                <w:color w:val="auto"/>
                <w:szCs w:val="21"/>
                <w:highlight w:val="none"/>
              </w:rPr>
            </w:pPr>
          </w:p>
        </w:tc>
      </w:tr>
      <w:tr w14:paraId="69D53EB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51" w:hRule="exact"/>
          <w:jc w:val="center"/>
        </w:trPr>
        <w:tc>
          <w:tcPr>
            <w:tcW w:w="2174" w:type="dxa"/>
            <w:tcBorders>
              <w:tl2br w:val="nil"/>
              <w:tr2bl w:val="nil"/>
            </w:tcBorders>
            <w:vAlign w:val="center"/>
          </w:tcPr>
          <w:p w14:paraId="6942D6D9">
            <w:pPr>
              <w:wordWrap w:val="0"/>
              <w:jc w:val="center"/>
              <w:rPr>
                <w:rFonts w:hAnsi="宋体"/>
                <w:color w:val="auto"/>
                <w:szCs w:val="21"/>
                <w:highlight w:val="none"/>
              </w:rPr>
            </w:pPr>
            <w:r>
              <w:rPr>
                <w:rFonts w:hint="eastAsia" w:hAnsi="宋体"/>
                <w:color w:val="auto"/>
                <w:szCs w:val="21"/>
                <w:highlight w:val="none"/>
              </w:rPr>
              <w:t>注册地址</w:t>
            </w:r>
          </w:p>
        </w:tc>
        <w:tc>
          <w:tcPr>
            <w:tcW w:w="6758" w:type="dxa"/>
            <w:gridSpan w:val="4"/>
            <w:tcBorders>
              <w:tl2br w:val="nil"/>
              <w:tr2bl w:val="nil"/>
            </w:tcBorders>
            <w:vAlign w:val="center"/>
          </w:tcPr>
          <w:p w14:paraId="036B4A58">
            <w:pPr>
              <w:wordWrap w:val="0"/>
              <w:jc w:val="center"/>
              <w:rPr>
                <w:rFonts w:hAnsi="宋体"/>
                <w:color w:val="auto"/>
                <w:szCs w:val="21"/>
                <w:highlight w:val="none"/>
              </w:rPr>
            </w:pPr>
          </w:p>
        </w:tc>
      </w:tr>
      <w:tr w14:paraId="06F46E1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49" w:hRule="exact"/>
          <w:jc w:val="center"/>
        </w:trPr>
        <w:tc>
          <w:tcPr>
            <w:tcW w:w="2174" w:type="dxa"/>
            <w:tcBorders>
              <w:tl2br w:val="nil"/>
              <w:tr2bl w:val="nil"/>
            </w:tcBorders>
            <w:vAlign w:val="center"/>
          </w:tcPr>
          <w:p w14:paraId="43696E49">
            <w:pPr>
              <w:wordWrap w:val="0"/>
              <w:jc w:val="center"/>
              <w:rPr>
                <w:rFonts w:hAnsi="宋体"/>
                <w:color w:val="auto"/>
                <w:szCs w:val="21"/>
                <w:highlight w:val="none"/>
              </w:rPr>
            </w:pPr>
            <w:r>
              <w:rPr>
                <w:rFonts w:hint="eastAsia" w:hAnsi="宋体"/>
                <w:color w:val="auto"/>
                <w:szCs w:val="21"/>
                <w:highlight w:val="none"/>
              </w:rPr>
              <w:t>邮政编码</w:t>
            </w:r>
          </w:p>
        </w:tc>
        <w:tc>
          <w:tcPr>
            <w:tcW w:w="3354" w:type="dxa"/>
            <w:gridSpan w:val="2"/>
            <w:tcBorders>
              <w:tl2br w:val="nil"/>
              <w:tr2bl w:val="nil"/>
            </w:tcBorders>
            <w:vAlign w:val="center"/>
          </w:tcPr>
          <w:p w14:paraId="1B13F293">
            <w:pPr>
              <w:wordWrap w:val="0"/>
              <w:jc w:val="center"/>
              <w:rPr>
                <w:rFonts w:hAnsi="宋体"/>
                <w:color w:val="auto"/>
                <w:szCs w:val="21"/>
                <w:highlight w:val="none"/>
              </w:rPr>
            </w:pPr>
          </w:p>
        </w:tc>
        <w:tc>
          <w:tcPr>
            <w:tcW w:w="1135" w:type="dxa"/>
            <w:tcBorders>
              <w:tl2br w:val="nil"/>
              <w:tr2bl w:val="nil"/>
            </w:tcBorders>
            <w:vAlign w:val="center"/>
          </w:tcPr>
          <w:p w14:paraId="793B275E">
            <w:pPr>
              <w:wordWrap w:val="0"/>
              <w:jc w:val="center"/>
              <w:rPr>
                <w:rFonts w:hAnsi="宋体"/>
                <w:color w:val="auto"/>
                <w:szCs w:val="21"/>
                <w:highlight w:val="none"/>
              </w:rPr>
            </w:pPr>
            <w:r>
              <w:rPr>
                <w:rFonts w:hint="eastAsia" w:hAnsi="宋体"/>
                <w:color w:val="auto"/>
                <w:szCs w:val="21"/>
                <w:highlight w:val="none"/>
              </w:rPr>
              <w:t>员工总数</w:t>
            </w:r>
          </w:p>
        </w:tc>
        <w:tc>
          <w:tcPr>
            <w:tcW w:w="2269" w:type="dxa"/>
            <w:tcBorders>
              <w:tl2br w:val="nil"/>
              <w:tr2bl w:val="nil"/>
            </w:tcBorders>
            <w:vAlign w:val="center"/>
          </w:tcPr>
          <w:p w14:paraId="29CC278D">
            <w:pPr>
              <w:wordWrap w:val="0"/>
              <w:jc w:val="center"/>
              <w:rPr>
                <w:rFonts w:hAnsi="宋体"/>
                <w:color w:val="auto"/>
                <w:szCs w:val="21"/>
                <w:highlight w:val="none"/>
              </w:rPr>
            </w:pPr>
          </w:p>
        </w:tc>
      </w:tr>
      <w:tr w14:paraId="168B168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51" w:hRule="exact"/>
          <w:jc w:val="center"/>
        </w:trPr>
        <w:tc>
          <w:tcPr>
            <w:tcW w:w="2174" w:type="dxa"/>
            <w:vMerge w:val="restart"/>
            <w:tcBorders>
              <w:tl2br w:val="nil"/>
              <w:tr2bl w:val="nil"/>
            </w:tcBorders>
            <w:vAlign w:val="center"/>
          </w:tcPr>
          <w:p w14:paraId="50A783D6">
            <w:pPr>
              <w:wordWrap w:val="0"/>
              <w:jc w:val="center"/>
              <w:rPr>
                <w:rFonts w:hAnsi="宋体"/>
                <w:color w:val="auto"/>
                <w:szCs w:val="21"/>
                <w:highlight w:val="none"/>
              </w:rPr>
            </w:pPr>
            <w:r>
              <w:rPr>
                <w:rFonts w:hint="eastAsia" w:hAnsi="宋体"/>
                <w:color w:val="auto"/>
                <w:szCs w:val="21"/>
                <w:highlight w:val="none"/>
              </w:rPr>
              <w:t>联系方式</w:t>
            </w:r>
          </w:p>
        </w:tc>
        <w:tc>
          <w:tcPr>
            <w:tcW w:w="944" w:type="dxa"/>
            <w:tcBorders>
              <w:tl2br w:val="nil"/>
              <w:tr2bl w:val="nil"/>
            </w:tcBorders>
            <w:vAlign w:val="center"/>
          </w:tcPr>
          <w:p w14:paraId="51FA6F38">
            <w:pPr>
              <w:wordWrap w:val="0"/>
              <w:jc w:val="center"/>
              <w:rPr>
                <w:rFonts w:hAnsi="宋体"/>
                <w:color w:val="auto"/>
                <w:szCs w:val="21"/>
                <w:highlight w:val="none"/>
              </w:rPr>
            </w:pPr>
            <w:r>
              <w:rPr>
                <w:rFonts w:hint="eastAsia" w:hAnsi="宋体"/>
                <w:color w:val="auto"/>
                <w:szCs w:val="21"/>
                <w:highlight w:val="none"/>
              </w:rPr>
              <w:t>联系人</w:t>
            </w:r>
          </w:p>
        </w:tc>
        <w:tc>
          <w:tcPr>
            <w:tcW w:w="2410" w:type="dxa"/>
            <w:tcBorders>
              <w:tl2br w:val="nil"/>
              <w:tr2bl w:val="nil"/>
            </w:tcBorders>
            <w:vAlign w:val="center"/>
          </w:tcPr>
          <w:p w14:paraId="019779CE">
            <w:pPr>
              <w:wordWrap w:val="0"/>
              <w:jc w:val="center"/>
              <w:rPr>
                <w:rFonts w:hAnsi="宋体"/>
                <w:color w:val="auto"/>
                <w:szCs w:val="21"/>
                <w:highlight w:val="none"/>
              </w:rPr>
            </w:pPr>
          </w:p>
        </w:tc>
        <w:tc>
          <w:tcPr>
            <w:tcW w:w="1135" w:type="dxa"/>
            <w:tcBorders>
              <w:tl2br w:val="nil"/>
              <w:tr2bl w:val="nil"/>
            </w:tcBorders>
            <w:vAlign w:val="center"/>
          </w:tcPr>
          <w:p w14:paraId="42F9406D">
            <w:pPr>
              <w:wordWrap w:val="0"/>
              <w:jc w:val="center"/>
              <w:rPr>
                <w:rFonts w:hAnsi="宋体"/>
                <w:color w:val="auto"/>
                <w:szCs w:val="21"/>
                <w:highlight w:val="none"/>
              </w:rPr>
            </w:pPr>
            <w:r>
              <w:rPr>
                <w:rFonts w:hint="eastAsia" w:hAnsi="宋体"/>
                <w:color w:val="auto"/>
                <w:szCs w:val="21"/>
                <w:highlight w:val="none"/>
              </w:rPr>
              <w:t>电话</w:t>
            </w:r>
          </w:p>
        </w:tc>
        <w:tc>
          <w:tcPr>
            <w:tcW w:w="2269" w:type="dxa"/>
            <w:tcBorders>
              <w:tl2br w:val="nil"/>
              <w:tr2bl w:val="nil"/>
            </w:tcBorders>
            <w:vAlign w:val="center"/>
          </w:tcPr>
          <w:p w14:paraId="66D991F0">
            <w:pPr>
              <w:wordWrap w:val="0"/>
              <w:jc w:val="center"/>
              <w:rPr>
                <w:rFonts w:hAnsi="宋体"/>
                <w:color w:val="auto"/>
                <w:szCs w:val="21"/>
                <w:highlight w:val="none"/>
              </w:rPr>
            </w:pPr>
          </w:p>
        </w:tc>
      </w:tr>
      <w:tr w14:paraId="50DECA0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49" w:hRule="exact"/>
          <w:jc w:val="center"/>
        </w:trPr>
        <w:tc>
          <w:tcPr>
            <w:tcW w:w="2174" w:type="dxa"/>
            <w:vMerge w:val="continue"/>
            <w:tcBorders>
              <w:tl2br w:val="nil"/>
              <w:tr2bl w:val="nil"/>
            </w:tcBorders>
            <w:vAlign w:val="center"/>
          </w:tcPr>
          <w:p w14:paraId="68F44FBF">
            <w:pPr>
              <w:wordWrap w:val="0"/>
              <w:jc w:val="center"/>
              <w:rPr>
                <w:rFonts w:hAnsi="宋体"/>
                <w:color w:val="auto"/>
                <w:szCs w:val="21"/>
                <w:highlight w:val="none"/>
              </w:rPr>
            </w:pPr>
          </w:p>
        </w:tc>
        <w:tc>
          <w:tcPr>
            <w:tcW w:w="944" w:type="dxa"/>
            <w:tcBorders>
              <w:tl2br w:val="nil"/>
              <w:tr2bl w:val="nil"/>
            </w:tcBorders>
            <w:vAlign w:val="center"/>
          </w:tcPr>
          <w:p w14:paraId="501832DF">
            <w:pPr>
              <w:wordWrap w:val="0"/>
              <w:jc w:val="center"/>
              <w:rPr>
                <w:rFonts w:hAnsi="宋体"/>
                <w:color w:val="auto"/>
                <w:szCs w:val="21"/>
                <w:highlight w:val="none"/>
              </w:rPr>
            </w:pPr>
            <w:r>
              <w:rPr>
                <w:rFonts w:hint="eastAsia" w:hAnsi="宋体"/>
                <w:color w:val="auto"/>
                <w:szCs w:val="21"/>
                <w:highlight w:val="none"/>
              </w:rPr>
              <w:t>网址</w:t>
            </w:r>
          </w:p>
        </w:tc>
        <w:tc>
          <w:tcPr>
            <w:tcW w:w="2410" w:type="dxa"/>
            <w:tcBorders>
              <w:tl2br w:val="nil"/>
              <w:tr2bl w:val="nil"/>
            </w:tcBorders>
            <w:vAlign w:val="center"/>
          </w:tcPr>
          <w:p w14:paraId="03D6FBDE">
            <w:pPr>
              <w:wordWrap w:val="0"/>
              <w:jc w:val="center"/>
              <w:rPr>
                <w:rFonts w:hAnsi="宋体"/>
                <w:color w:val="auto"/>
                <w:szCs w:val="21"/>
                <w:highlight w:val="none"/>
              </w:rPr>
            </w:pPr>
          </w:p>
        </w:tc>
        <w:tc>
          <w:tcPr>
            <w:tcW w:w="1135" w:type="dxa"/>
            <w:tcBorders>
              <w:tl2br w:val="nil"/>
              <w:tr2bl w:val="nil"/>
            </w:tcBorders>
            <w:vAlign w:val="center"/>
          </w:tcPr>
          <w:p w14:paraId="1F15BB7C">
            <w:pPr>
              <w:wordWrap w:val="0"/>
              <w:jc w:val="center"/>
              <w:rPr>
                <w:rFonts w:hAnsi="宋体"/>
                <w:color w:val="auto"/>
                <w:szCs w:val="21"/>
                <w:highlight w:val="none"/>
              </w:rPr>
            </w:pPr>
            <w:r>
              <w:rPr>
                <w:rFonts w:hint="eastAsia" w:hAnsi="宋体"/>
                <w:color w:val="auto"/>
                <w:szCs w:val="21"/>
                <w:highlight w:val="none"/>
              </w:rPr>
              <w:t>传真</w:t>
            </w:r>
          </w:p>
        </w:tc>
        <w:tc>
          <w:tcPr>
            <w:tcW w:w="2269" w:type="dxa"/>
            <w:tcBorders>
              <w:tl2br w:val="nil"/>
              <w:tr2bl w:val="nil"/>
            </w:tcBorders>
            <w:vAlign w:val="center"/>
          </w:tcPr>
          <w:p w14:paraId="2F52DCED">
            <w:pPr>
              <w:wordWrap w:val="0"/>
              <w:jc w:val="center"/>
              <w:rPr>
                <w:rFonts w:hAnsi="宋体"/>
                <w:color w:val="auto"/>
                <w:szCs w:val="21"/>
                <w:highlight w:val="none"/>
              </w:rPr>
            </w:pPr>
          </w:p>
        </w:tc>
      </w:tr>
      <w:tr w14:paraId="270410D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890" w:hRule="exact"/>
          <w:jc w:val="center"/>
        </w:trPr>
        <w:tc>
          <w:tcPr>
            <w:tcW w:w="2174" w:type="dxa"/>
            <w:tcBorders>
              <w:tl2br w:val="nil"/>
              <w:tr2bl w:val="nil"/>
            </w:tcBorders>
            <w:vAlign w:val="center"/>
          </w:tcPr>
          <w:p w14:paraId="33328949">
            <w:pPr>
              <w:wordWrap w:val="0"/>
              <w:jc w:val="center"/>
              <w:rPr>
                <w:rFonts w:hAnsi="宋体"/>
                <w:color w:val="auto"/>
                <w:szCs w:val="21"/>
                <w:highlight w:val="none"/>
              </w:rPr>
            </w:pPr>
            <w:r>
              <w:rPr>
                <w:rFonts w:hint="eastAsia" w:hAnsi="宋体"/>
                <w:color w:val="auto"/>
                <w:szCs w:val="21"/>
                <w:highlight w:val="none"/>
              </w:rPr>
              <w:t>法定代表人</w:t>
            </w:r>
            <w:r>
              <w:rPr>
                <w:rFonts w:hint="eastAsia" w:ascii="宋体" w:hAnsi="宋体" w:cs="宋体"/>
                <w:iCs/>
                <w:color w:val="auto"/>
                <w:szCs w:val="21"/>
                <w:highlight w:val="none"/>
              </w:rPr>
              <w:t>/负责人</w:t>
            </w:r>
          </w:p>
        </w:tc>
        <w:tc>
          <w:tcPr>
            <w:tcW w:w="944" w:type="dxa"/>
            <w:tcBorders>
              <w:tl2br w:val="nil"/>
              <w:tr2bl w:val="nil"/>
            </w:tcBorders>
            <w:vAlign w:val="center"/>
          </w:tcPr>
          <w:p w14:paraId="0AD406B9">
            <w:pPr>
              <w:wordWrap w:val="0"/>
              <w:jc w:val="center"/>
              <w:rPr>
                <w:rFonts w:hAnsi="宋体"/>
                <w:color w:val="auto"/>
                <w:szCs w:val="21"/>
                <w:highlight w:val="none"/>
              </w:rPr>
            </w:pPr>
            <w:r>
              <w:rPr>
                <w:rFonts w:hint="eastAsia" w:hAnsi="宋体"/>
                <w:color w:val="auto"/>
                <w:szCs w:val="21"/>
                <w:highlight w:val="none"/>
              </w:rPr>
              <w:t>姓名</w:t>
            </w:r>
          </w:p>
        </w:tc>
        <w:tc>
          <w:tcPr>
            <w:tcW w:w="2410" w:type="dxa"/>
            <w:tcBorders>
              <w:tl2br w:val="nil"/>
              <w:tr2bl w:val="nil"/>
            </w:tcBorders>
            <w:vAlign w:val="center"/>
          </w:tcPr>
          <w:p w14:paraId="4B6B3780">
            <w:pPr>
              <w:wordWrap w:val="0"/>
              <w:jc w:val="center"/>
              <w:rPr>
                <w:rFonts w:hAnsi="宋体"/>
                <w:color w:val="auto"/>
                <w:szCs w:val="21"/>
                <w:highlight w:val="none"/>
              </w:rPr>
            </w:pPr>
          </w:p>
        </w:tc>
        <w:tc>
          <w:tcPr>
            <w:tcW w:w="1135" w:type="dxa"/>
            <w:tcBorders>
              <w:tl2br w:val="nil"/>
              <w:tr2bl w:val="nil"/>
            </w:tcBorders>
            <w:vAlign w:val="center"/>
          </w:tcPr>
          <w:p w14:paraId="455DB4AA">
            <w:pPr>
              <w:wordWrap w:val="0"/>
              <w:jc w:val="center"/>
              <w:rPr>
                <w:rFonts w:hAnsi="宋体"/>
                <w:color w:val="auto"/>
                <w:szCs w:val="21"/>
                <w:highlight w:val="none"/>
              </w:rPr>
            </w:pPr>
            <w:r>
              <w:rPr>
                <w:rFonts w:hint="eastAsia" w:hAnsi="宋体"/>
                <w:color w:val="auto"/>
                <w:szCs w:val="21"/>
                <w:highlight w:val="none"/>
              </w:rPr>
              <w:t>电话</w:t>
            </w:r>
          </w:p>
        </w:tc>
        <w:tc>
          <w:tcPr>
            <w:tcW w:w="2269" w:type="dxa"/>
            <w:tcBorders>
              <w:tl2br w:val="nil"/>
              <w:tr2bl w:val="nil"/>
            </w:tcBorders>
            <w:vAlign w:val="center"/>
          </w:tcPr>
          <w:p w14:paraId="27997AC9">
            <w:pPr>
              <w:wordWrap w:val="0"/>
              <w:jc w:val="center"/>
              <w:rPr>
                <w:rFonts w:hAnsi="宋体"/>
                <w:color w:val="auto"/>
                <w:szCs w:val="21"/>
                <w:highlight w:val="none"/>
              </w:rPr>
            </w:pPr>
          </w:p>
        </w:tc>
      </w:tr>
      <w:tr w14:paraId="788267D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51" w:hRule="exact"/>
          <w:jc w:val="center"/>
        </w:trPr>
        <w:tc>
          <w:tcPr>
            <w:tcW w:w="2174" w:type="dxa"/>
            <w:tcBorders>
              <w:tl2br w:val="nil"/>
              <w:tr2bl w:val="nil"/>
            </w:tcBorders>
            <w:vAlign w:val="center"/>
          </w:tcPr>
          <w:p w14:paraId="0A1F4A18">
            <w:pPr>
              <w:wordWrap w:val="0"/>
              <w:jc w:val="center"/>
              <w:rPr>
                <w:rFonts w:hAnsi="宋体"/>
                <w:color w:val="auto"/>
                <w:szCs w:val="21"/>
                <w:highlight w:val="none"/>
              </w:rPr>
            </w:pPr>
            <w:r>
              <w:rPr>
                <w:rFonts w:hint="eastAsia" w:hAnsi="宋体"/>
                <w:color w:val="auto"/>
                <w:szCs w:val="21"/>
                <w:highlight w:val="none"/>
              </w:rPr>
              <w:t>基本账户开户银行</w:t>
            </w:r>
          </w:p>
        </w:tc>
        <w:tc>
          <w:tcPr>
            <w:tcW w:w="6758" w:type="dxa"/>
            <w:gridSpan w:val="4"/>
            <w:tcBorders>
              <w:tl2br w:val="nil"/>
              <w:tr2bl w:val="nil"/>
            </w:tcBorders>
            <w:vAlign w:val="center"/>
          </w:tcPr>
          <w:p w14:paraId="44F79AD6">
            <w:pPr>
              <w:wordWrap w:val="0"/>
              <w:jc w:val="center"/>
              <w:rPr>
                <w:rFonts w:hAnsi="宋体"/>
                <w:color w:val="auto"/>
                <w:szCs w:val="21"/>
                <w:highlight w:val="none"/>
              </w:rPr>
            </w:pPr>
          </w:p>
        </w:tc>
      </w:tr>
      <w:tr w14:paraId="24B7296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49" w:hRule="exact"/>
          <w:jc w:val="center"/>
        </w:trPr>
        <w:tc>
          <w:tcPr>
            <w:tcW w:w="2174" w:type="dxa"/>
            <w:tcBorders>
              <w:tl2br w:val="nil"/>
              <w:tr2bl w:val="nil"/>
            </w:tcBorders>
            <w:vAlign w:val="center"/>
          </w:tcPr>
          <w:p w14:paraId="33D48C80">
            <w:pPr>
              <w:wordWrap w:val="0"/>
              <w:jc w:val="center"/>
              <w:rPr>
                <w:rFonts w:hAnsi="宋体"/>
                <w:color w:val="auto"/>
                <w:szCs w:val="21"/>
                <w:highlight w:val="none"/>
              </w:rPr>
            </w:pPr>
            <w:r>
              <w:rPr>
                <w:rFonts w:hint="eastAsia" w:hAnsi="宋体"/>
                <w:color w:val="auto"/>
                <w:szCs w:val="21"/>
                <w:highlight w:val="none"/>
              </w:rPr>
              <w:t>基本账户银行账号</w:t>
            </w:r>
          </w:p>
        </w:tc>
        <w:tc>
          <w:tcPr>
            <w:tcW w:w="6758" w:type="dxa"/>
            <w:gridSpan w:val="4"/>
            <w:tcBorders>
              <w:tl2br w:val="nil"/>
              <w:tr2bl w:val="nil"/>
            </w:tcBorders>
            <w:vAlign w:val="center"/>
          </w:tcPr>
          <w:p w14:paraId="13DFA295">
            <w:pPr>
              <w:wordWrap w:val="0"/>
              <w:jc w:val="center"/>
              <w:rPr>
                <w:rFonts w:hAnsi="宋体"/>
                <w:color w:val="auto"/>
                <w:szCs w:val="21"/>
                <w:highlight w:val="none"/>
              </w:rPr>
            </w:pPr>
          </w:p>
        </w:tc>
      </w:tr>
      <w:tr w14:paraId="3F2ABFB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51" w:hRule="exact"/>
          <w:jc w:val="center"/>
        </w:trPr>
        <w:tc>
          <w:tcPr>
            <w:tcW w:w="2174" w:type="dxa"/>
            <w:tcBorders>
              <w:tl2br w:val="nil"/>
              <w:tr2bl w:val="nil"/>
            </w:tcBorders>
            <w:vAlign w:val="center"/>
          </w:tcPr>
          <w:p w14:paraId="3684D003">
            <w:pPr>
              <w:wordWrap w:val="0"/>
              <w:jc w:val="center"/>
              <w:rPr>
                <w:rFonts w:hAnsi="宋体"/>
                <w:color w:val="auto"/>
                <w:szCs w:val="21"/>
                <w:highlight w:val="none"/>
              </w:rPr>
            </w:pPr>
            <w:r>
              <w:rPr>
                <w:rFonts w:hint="eastAsia" w:hAnsi="宋体"/>
                <w:color w:val="auto"/>
                <w:szCs w:val="21"/>
                <w:highlight w:val="none"/>
              </w:rPr>
              <w:t>近三年营业额</w:t>
            </w:r>
          </w:p>
        </w:tc>
        <w:tc>
          <w:tcPr>
            <w:tcW w:w="6758" w:type="dxa"/>
            <w:gridSpan w:val="4"/>
            <w:tcBorders>
              <w:tl2br w:val="nil"/>
              <w:tr2bl w:val="nil"/>
            </w:tcBorders>
            <w:vAlign w:val="center"/>
          </w:tcPr>
          <w:p w14:paraId="554D9689">
            <w:pPr>
              <w:wordWrap w:val="0"/>
              <w:jc w:val="center"/>
              <w:rPr>
                <w:rFonts w:hAnsi="宋体"/>
                <w:color w:val="auto"/>
                <w:szCs w:val="21"/>
                <w:highlight w:val="none"/>
              </w:rPr>
            </w:pPr>
          </w:p>
        </w:tc>
      </w:tr>
      <w:tr w14:paraId="3020996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650" w:hRule="exact"/>
          <w:jc w:val="center"/>
        </w:trPr>
        <w:tc>
          <w:tcPr>
            <w:tcW w:w="2174" w:type="dxa"/>
            <w:tcBorders>
              <w:tl2br w:val="nil"/>
              <w:tr2bl w:val="nil"/>
            </w:tcBorders>
            <w:vAlign w:val="center"/>
          </w:tcPr>
          <w:p w14:paraId="67CB1001">
            <w:pPr>
              <w:wordWrap w:val="0"/>
              <w:jc w:val="center"/>
              <w:rPr>
                <w:rFonts w:hAnsi="宋体"/>
                <w:color w:val="auto"/>
                <w:szCs w:val="21"/>
                <w:highlight w:val="none"/>
              </w:rPr>
            </w:pPr>
            <w:r>
              <w:rPr>
                <w:rFonts w:hint="eastAsia" w:hAnsi="宋体"/>
                <w:color w:val="auto"/>
                <w:szCs w:val="21"/>
                <w:highlight w:val="none"/>
              </w:rPr>
              <w:t>投标人关联企业情况</w:t>
            </w:r>
          </w:p>
          <w:p w14:paraId="076109A7">
            <w:pPr>
              <w:wordWrap w:val="0"/>
              <w:jc w:val="center"/>
              <w:rPr>
                <w:rFonts w:hAnsi="宋体"/>
                <w:color w:val="auto"/>
                <w:szCs w:val="21"/>
                <w:highlight w:val="none"/>
              </w:rPr>
            </w:pPr>
            <w:r>
              <w:rPr>
                <w:rFonts w:hint="eastAsia" w:hAnsi="宋体"/>
                <w:color w:val="auto"/>
                <w:szCs w:val="21"/>
                <w:highlight w:val="none"/>
              </w:rPr>
              <w:t>（包括但不限于与投</w:t>
            </w:r>
            <w:r>
              <w:rPr>
                <w:rFonts w:hAnsi="宋体"/>
                <w:color w:val="auto"/>
                <w:szCs w:val="21"/>
                <w:highlight w:val="none"/>
              </w:rPr>
              <w:t xml:space="preserve"> </w:t>
            </w:r>
            <w:r>
              <w:rPr>
                <w:rFonts w:hint="eastAsia" w:hAnsi="宋体"/>
                <w:color w:val="auto"/>
                <w:szCs w:val="21"/>
                <w:highlight w:val="none"/>
              </w:rPr>
              <w:t>标人法定代表人为同一人或者存在控股、管理关系的不同单位）</w:t>
            </w:r>
          </w:p>
        </w:tc>
        <w:tc>
          <w:tcPr>
            <w:tcW w:w="6758" w:type="dxa"/>
            <w:gridSpan w:val="4"/>
            <w:tcBorders>
              <w:tl2br w:val="nil"/>
              <w:tr2bl w:val="nil"/>
            </w:tcBorders>
            <w:vAlign w:val="center"/>
          </w:tcPr>
          <w:p w14:paraId="66723AC1">
            <w:pPr>
              <w:wordWrap w:val="0"/>
              <w:jc w:val="center"/>
              <w:rPr>
                <w:rFonts w:hAnsi="宋体"/>
                <w:color w:val="auto"/>
                <w:szCs w:val="21"/>
                <w:highlight w:val="none"/>
              </w:rPr>
            </w:pPr>
          </w:p>
        </w:tc>
      </w:tr>
      <w:tr w14:paraId="4E285B1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811" w:hRule="exact"/>
          <w:jc w:val="center"/>
        </w:trPr>
        <w:tc>
          <w:tcPr>
            <w:tcW w:w="2174" w:type="dxa"/>
            <w:tcBorders>
              <w:tl2br w:val="nil"/>
              <w:tr2bl w:val="nil"/>
            </w:tcBorders>
            <w:vAlign w:val="center"/>
          </w:tcPr>
          <w:p w14:paraId="476AF0F4">
            <w:pPr>
              <w:wordWrap w:val="0"/>
              <w:jc w:val="center"/>
              <w:rPr>
                <w:rFonts w:hAnsi="宋体"/>
                <w:color w:val="auto"/>
                <w:szCs w:val="21"/>
                <w:highlight w:val="none"/>
              </w:rPr>
            </w:pPr>
            <w:r>
              <w:rPr>
                <w:rFonts w:hint="eastAsia" w:hAnsi="宋体"/>
                <w:color w:val="auto"/>
                <w:szCs w:val="21"/>
                <w:highlight w:val="none"/>
              </w:rPr>
              <w:t>备注</w:t>
            </w:r>
          </w:p>
        </w:tc>
        <w:tc>
          <w:tcPr>
            <w:tcW w:w="6758" w:type="dxa"/>
            <w:gridSpan w:val="4"/>
            <w:tcBorders>
              <w:tl2br w:val="nil"/>
              <w:tr2bl w:val="nil"/>
            </w:tcBorders>
            <w:vAlign w:val="center"/>
          </w:tcPr>
          <w:p w14:paraId="7B3A611F">
            <w:pPr>
              <w:wordWrap w:val="0"/>
              <w:jc w:val="center"/>
              <w:rPr>
                <w:rFonts w:hAnsi="宋体"/>
                <w:color w:val="auto"/>
                <w:szCs w:val="21"/>
                <w:highlight w:val="none"/>
              </w:rPr>
            </w:pPr>
          </w:p>
        </w:tc>
      </w:tr>
    </w:tbl>
    <w:p w14:paraId="3892C526">
      <w:pPr>
        <w:wordWrap/>
        <w:spacing w:before="0" w:line="240" w:lineRule="auto"/>
        <w:jc w:val="left"/>
        <w:outlineLvl w:val="9"/>
        <w:rPr>
          <w:rFonts w:hint="eastAsia" w:hAnsi="宋体" w:cs="宋体"/>
          <w:b/>
          <w:color w:val="auto"/>
          <w:sz w:val="28"/>
          <w:szCs w:val="28"/>
          <w:highlight w:val="none"/>
          <w:lang w:eastAsia="zh-CN"/>
        </w:rPr>
      </w:pPr>
      <w:r>
        <w:rPr>
          <w:rFonts w:hint="eastAsia" w:hAnsi="宋体" w:cs="宋体"/>
          <w:b/>
          <w:color w:val="auto"/>
          <w:sz w:val="28"/>
          <w:szCs w:val="28"/>
          <w:highlight w:val="none"/>
          <w:lang w:eastAsia="zh-CN"/>
        </w:rPr>
        <w:br w:type="page"/>
      </w:r>
    </w:p>
    <w:p w14:paraId="2C327D72">
      <w:pPr>
        <w:wordWrap w:val="0"/>
        <w:spacing w:line="360" w:lineRule="auto"/>
        <w:jc w:val="center"/>
        <w:outlineLvl w:val="1"/>
        <w:rPr>
          <w:rFonts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lang w:val="en-US" w:eastAsia="zh-CN"/>
        </w:rPr>
        <w:t>七</w:t>
      </w:r>
      <w:r>
        <w:rPr>
          <w:rFonts w:hint="eastAsia" w:ascii="Calibri" w:hAnsi="宋体" w:cs="宋体"/>
          <w:b/>
          <w:snapToGrid w:val="0"/>
          <w:color w:val="auto"/>
          <w:kern w:val="0"/>
          <w:sz w:val="28"/>
          <w:szCs w:val="28"/>
          <w:highlight w:val="none"/>
        </w:rPr>
        <w:t>、投标保证金</w:t>
      </w:r>
    </w:p>
    <w:p w14:paraId="5C2A7B17">
      <w:pPr>
        <w:wordWrap w:val="0"/>
        <w:snapToGrid w:val="0"/>
        <w:spacing w:line="360" w:lineRule="auto"/>
        <w:ind w:firstLine="420" w:firstLineChars="200"/>
        <w:rPr>
          <w:rFonts w:ascii="宋体" w:hAnsi="宋体"/>
          <w:color w:val="auto"/>
          <w:szCs w:val="21"/>
          <w:highlight w:val="none"/>
          <w:lang w:val="sq-AL"/>
        </w:rPr>
      </w:pPr>
    </w:p>
    <w:p w14:paraId="325BE050">
      <w:pPr>
        <w:wordWrap w:val="0"/>
        <w:snapToGrid w:val="0"/>
        <w:spacing w:line="360" w:lineRule="auto"/>
        <w:ind w:firstLine="420" w:firstLineChars="200"/>
        <w:rPr>
          <w:rFonts w:ascii="宋体" w:hAnsi="宋体"/>
          <w:color w:val="auto"/>
          <w:szCs w:val="21"/>
          <w:highlight w:val="none"/>
          <w:lang w:val="sq-AL"/>
        </w:rPr>
      </w:pPr>
      <w:r>
        <w:rPr>
          <w:rFonts w:hint="eastAsia" w:ascii="宋体" w:hAnsi="宋体"/>
          <w:color w:val="auto"/>
          <w:szCs w:val="21"/>
          <w:highlight w:val="none"/>
          <w:lang w:val="sq-AL"/>
        </w:rPr>
        <w:t>1、采用银行转帐的，请附投标人基本账户开户许可证复印件（或开户银行出具的基本账户证明）以及投标保证金转账凭证复印件；</w:t>
      </w:r>
    </w:p>
    <w:p w14:paraId="3634763B">
      <w:pPr>
        <w:wordWrap w:val="0"/>
        <w:spacing w:line="360" w:lineRule="auto"/>
        <w:ind w:firstLine="424" w:firstLineChars="202"/>
        <w:rPr>
          <w:rFonts w:hAnsi="宋体"/>
          <w:color w:val="auto"/>
          <w:szCs w:val="21"/>
          <w:highlight w:val="none"/>
        </w:rPr>
      </w:pPr>
      <w:r>
        <w:rPr>
          <w:rFonts w:hint="eastAsia" w:ascii="宋体" w:hAnsi="宋体"/>
          <w:color w:val="auto"/>
          <w:szCs w:val="21"/>
          <w:highlight w:val="none"/>
          <w:lang w:val="sq-AL"/>
        </w:rPr>
        <w:t>2、采用银行保函的，请附保函复印件；原</w:t>
      </w:r>
      <w:r>
        <w:rPr>
          <w:rFonts w:hint="eastAsia" w:ascii="宋体" w:hAnsi="宋体"/>
          <w:color w:val="auto"/>
          <w:szCs w:val="21"/>
          <w:highlight w:val="none"/>
        </w:rPr>
        <w:t>件</w:t>
      </w:r>
      <w:r>
        <w:rPr>
          <w:rFonts w:hint="eastAsia" w:ascii="宋体" w:hAnsi="宋体"/>
          <w:color w:val="auto"/>
          <w:szCs w:val="21"/>
          <w:highlight w:val="none"/>
          <w:lang w:val="sq-AL"/>
        </w:rPr>
        <w:t>按招标文件要求提交。</w:t>
      </w:r>
    </w:p>
    <w:p w14:paraId="7DC88441">
      <w:pPr>
        <w:rPr>
          <w:rFonts w:hint="eastAsia" w:hAnsi="宋体" w:cs="宋体"/>
          <w:b/>
          <w:color w:val="auto"/>
          <w:sz w:val="28"/>
          <w:szCs w:val="28"/>
          <w:highlight w:val="none"/>
          <w:lang w:eastAsia="zh-CN"/>
        </w:rPr>
      </w:pPr>
      <w:r>
        <w:rPr>
          <w:rFonts w:hint="eastAsia" w:hAnsi="宋体" w:cs="宋体"/>
          <w:b/>
          <w:color w:val="auto"/>
          <w:sz w:val="28"/>
          <w:szCs w:val="28"/>
          <w:highlight w:val="none"/>
          <w:lang w:eastAsia="zh-CN"/>
        </w:rPr>
        <w:br w:type="page"/>
      </w:r>
    </w:p>
    <w:p w14:paraId="08AFF757">
      <w:pPr>
        <w:wordWrap w:val="0"/>
        <w:spacing w:line="360" w:lineRule="auto"/>
        <w:jc w:val="center"/>
        <w:outlineLvl w:val="1"/>
        <w:rPr>
          <w:rFonts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lang w:val="en-US" w:eastAsia="zh-CN"/>
        </w:rPr>
        <w:t>八</w:t>
      </w:r>
      <w:r>
        <w:rPr>
          <w:rFonts w:hint="eastAsia" w:ascii="Calibri" w:hAnsi="宋体" w:cs="宋体"/>
          <w:b/>
          <w:snapToGrid w:val="0"/>
          <w:color w:val="auto"/>
          <w:kern w:val="0"/>
          <w:sz w:val="28"/>
          <w:szCs w:val="28"/>
          <w:highlight w:val="none"/>
        </w:rPr>
        <w:t>、投标人承诺函</w:t>
      </w:r>
    </w:p>
    <w:p w14:paraId="7F99DB59">
      <w:pPr>
        <w:wordWrap w:val="0"/>
        <w:spacing w:line="360" w:lineRule="auto"/>
        <w:rPr>
          <w:rFonts w:ascii="Calibri" w:hAnsi="Calibri"/>
          <w:color w:val="auto"/>
          <w:szCs w:val="22"/>
          <w:highlight w:val="none"/>
          <w:u w:val="single"/>
        </w:rPr>
      </w:pPr>
    </w:p>
    <w:p w14:paraId="103C0848">
      <w:pPr>
        <w:wordWrap w:val="0"/>
        <w:spacing w:line="360" w:lineRule="auto"/>
        <w:rPr>
          <w:rFonts w:ascii="Calibri" w:hAnsi="Calibri"/>
          <w:color w:val="auto"/>
          <w:szCs w:val="22"/>
          <w:highlight w:val="none"/>
        </w:rPr>
      </w:pPr>
      <w:r>
        <w:rPr>
          <w:rFonts w:hint="eastAsia" w:ascii="Calibri" w:hAnsi="Calibri"/>
          <w:color w:val="auto"/>
          <w:szCs w:val="22"/>
          <w:highlight w:val="none"/>
          <w:u w:val="single"/>
        </w:rPr>
        <w:t xml:space="preserve">                      </w:t>
      </w:r>
      <w:r>
        <w:rPr>
          <w:rFonts w:hint="eastAsia" w:ascii="Calibri" w:hAnsi="Calibri"/>
          <w:color w:val="auto"/>
          <w:szCs w:val="22"/>
          <w:highlight w:val="none"/>
        </w:rPr>
        <w:t>（招标人名称）：</w:t>
      </w:r>
    </w:p>
    <w:p w14:paraId="1BEE936E">
      <w:pPr>
        <w:wordWrap w:val="0"/>
        <w:spacing w:line="360" w:lineRule="auto"/>
        <w:rPr>
          <w:rFonts w:ascii="Calibri" w:hAnsi="Calibri"/>
          <w:color w:val="auto"/>
          <w:szCs w:val="22"/>
          <w:highlight w:val="none"/>
        </w:rPr>
      </w:pPr>
      <w:r>
        <w:rPr>
          <w:rFonts w:hint="eastAsia" w:ascii="Calibri" w:hAnsi="Calibri"/>
          <w:color w:val="auto"/>
          <w:szCs w:val="22"/>
          <w:highlight w:val="none"/>
        </w:rPr>
        <w:t>我方在此声明：</w:t>
      </w:r>
    </w:p>
    <w:p w14:paraId="31D45E79">
      <w:pPr>
        <w:wordWrap w:val="0"/>
        <w:spacing w:line="360" w:lineRule="auto"/>
        <w:ind w:firstLine="420" w:firstLineChars="200"/>
        <w:rPr>
          <w:rFonts w:hint="eastAsia" w:ascii="宋体" w:hAnsi="宋体" w:cs="宋体"/>
          <w:color w:val="auto"/>
          <w:szCs w:val="22"/>
          <w:highlight w:val="none"/>
        </w:rPr>
      </w:pPr>
      <w:r>
        <w:rPr>
          <w:rFonts w:hint="eastAsia" w:ascii="宋体" w:hAnsi="宋体" w:cs="宋体"/>
          <w:color w:val="auto"/>
          <w:szCs w:val="22"/>
          <w:highlight w:val="none"/>
        </w:rPr>
        <w:t>1、我方不存在第二章“投标人须知”第1.4.</w:t>
      </w:r>
      <w:r>
        <w:rPr>
          <w:rFonts w:hint="eastAsia" w:ascii="宋体" w:hAnsi="宋体" w:cs="宋体"/>
          <w:color w:val="auto"/>
          <w:szCs w:val="22"/>
          <w:highlight w:val="none"/>
          <w:lang w:val="en-US" w:eastAsia="zh-CN"/>
        </w:rPr>
        <w:t>2</w:t>
      </w:r>
      <w:r>
        <w:rPr>
          <w:rFonts w:hint="eastAsia" w:ascii="宋体" w:hAnsi="宋体" w:cs="宋体"/>
          <w:color w:val="auto"/>
          <w:szCs w:val="22"/>
          <w:highlight w:val="none"/>
        </w:rPr>
        <w:t>项规定的任何一种情形。</w:t>
      </w:r>
    </w:p>
    <w:p w14:paraId="11D87CF3">
      <w:pPr>
        <w:wordWrap w:val="0"/>
        <w:spacing w:line="360" w:lineRule="auto"/>
        <w:ind w:firstLine="420" w:firstLineChars="200"/>
        <w:rPr>
          <w:rFonts w:hint="eastAsia" w:ascii="宋体" w:hAnsi="宋体" w:cs="宋体"/>
          <w:color w:val="auto"/>
          <w:szCs w:val="22"/>
          <w:highlight w:val="none"/>
        </w:rPr>
      </w:pPr>
      <w:r>
        <w:rPr>
          <w:rFonts w:hint="eastAsia" w:ascii="宋体" w:hAnsi="宋体" w:cs="宋体"/>
          <w:color w:val="auto"/>
          <w:szCs w:val="22"/>
          <w:highlight w:val="none"/>
        </w:rPr>
        <w:t>2、我方没有发生“</w:t>
      </w:r>
      <w:r>
        <w:rPr>
          <w:rFonts w:hint="eastAsia" w:ascii="宋体" w:hAnsi="宋体" w:cs="宋体"/>
          <w:color w:val="auto"/>
          <w:szCs w:val="21"/>
          <w:highlight w:val="none"/>
          <w:lang w:eastAsia="zh-CN"/>
        </w:rPr>
        <w:t>被长沙市轨道交通集团有限公司或长沙穗城轨道交通有限公司函告禁止在一定期限内参与轨道项目投标的单位按函告内容执行</w:t>
      </w:r>
      <w:r>
        <w:rPr>
          <w:rFonts w:hint="eastAsia" w:ascii="宋体" w:hAnsi="宋体" w:cs="宋体"/>
          <w:color w:val="auto"/>
          <w:szCs w:val="22"/>
          <w:highlight w:val="none"/>
        </w:rPr>
        <w:t>”此规定的情形。</w:t>
      </w:r>
    </w:p>
    <w:p w14:paraId="219827E7">
      <w:pPr>
        <w:wordWrap w:val="0"/>
        <w:spacing w:line="360" w:lineRule="auto"/>
        <w:ind w:firstLine="420" w:firstLineChars="200"/>
        <w:rPr>
          <w:rFonts w:hint="eastAsia" w:ascii="宋体" w:hAnsi="宋体" w:cs="宋体"/>
          <w:color w:val="auto"/>
          <w:szCs w:val="22"/>
          <w:highlight w:val="none"/>
        </w:rPr>
      </w:pPr>
      <w:r>
        <w:rPr>
          <w:rFonts w:hint="eastAsia" w:ascii="宋体" w:hAnsi="宋体" w:cs="宋体"/>
          <w:color w:val="auto"/>
          <w:szCs w:val="22"/>
          <w:highlight w:val="none"/>
        </w:rPr>
        <w:t>3、我方严格遵守相关法律法规规定，没有串通投标、资质挂靠等违法、违规行为。</w:t>
      </w:r>
    </w:p>
    <w:p w14:paraId="44BF91C2">
      <w:pPr>
        <w:wordWrap w:val="0"/>
        <w:spacing w:line="360" w:lineRule="auto"/>
        <w:ind w:firstLine="420" w:firstLineChars="200"/>
        <w:rPr>
          <w:rFonts w:hint="eastAsia" w:ascii="宋体" w:hAnsi="宋体" w:cs="宋体"/>
          <w:color w:val="auto"/>
          <w:szCs w:val="22"/>
          <w:highlight w:val="none"/>
        </w:rPr>
      </w:pPr>
      <w:r>
        <w:rPr>
          <w:rFonts w:hint="eastAsia" w:ascii="宋体" w:hAnsi="宋体" w:cs="宋体"/>
          <w:color w:val="auto"/>
          <w:szCs w:val="22"/>
          <w:highlight w:val="none"/>
        </w:rPr>
        <w:t>4、我方保证提供的资质、业绩等证明材料真实、合法、有效，并愿意承担因我方就此弄虚作假所引起的一切后果。</w:t>
      </w:r>
    </w:p>
    <w:p w14:paraId="30C8C447">
      <w:pPr>
        <w:wordWrap w:val="0"/>
        <w:spacing w:line="360" w:lineRule="auto"/>
        <w:ind w:firstLine="420" w:firstLineChars="200"/>
        <w:rPr>
          <w:rFonts w:hint="eastAsia" w:ascii="宋体" w:hAnsi="宋体" w:cs="宋体"/>
          <w:color w:val="auto"/>
          <w:szCs w:val="22"/>
          <w:highlight w:val="none"/>
        </w:rPr>
      </w:pPr>
      <w:r>
        <w:rPr>
          <w:rFonts w:hint="eastAsia" w:ascii="宋体" w:hAnsi="宋体" w:cs="宋体"/>
          <w:color w:val="auto"/>
          <w:szCs w:val="22"/>
          <w:highlight w:val="none"/>
        </w:rPr>
        <w:t>5、我方不参与不正当竞争，不向招标人、招标代理机构、交易中心、评标专家以及行业监督部门行贿以谋取不正当利益。</w:t>
      </w:r>
    </w:p>
    <w:p w14:paraId="14AB39C5">
      <w:pPr>
        <w:wordWrap w:val="0"/>
        <w:spacing w:line="360" w:lineRule="auto"/>
        <w:ind w:firstLine="420" w:firstLineChars="200"/>
        <w:rPr>
          <w:rFonts w:hAnsi="宋体" w:cs="宋体"/>
          <w:color w:val="auto"/>
          <w:szCs w:val="21"/>
          <w:highlight w:val="none"/>
        </w:rPr>
      </w:pPr>
      <w:r>
        <w:rPr>
          <w:rFonts w:hint="eastAsia" w:ascii="Calibri" w:hAnsi="Calibri"/>
          <w:color w:val="auto"/>
          <w:szCs w:val="22"/>
          <w:highlight w:val="none"/>
        </w:rPr>
        <w:t>特此承诺！</w:t>
      </w:r>
    </w:p>
    <w:p w14:paraId="2626E7D3">
      <w:pPr>
        <w:wordWrap w:val="0"/>
        <w:spacing w:line="360" w:lineRule="auto"/>
        <w:rPr>
          <w:rFonts w:hAnsi="宋体" w:cs="宋体"/>
          <w:color w:val="auto"/>
          <w:szCs w:val="21"/>
          <w:highlight w:val="none"/>
        </w:rPr>
      </w:pPr>
    </w:p>
    <w:p w14:paraId="7FAEB7CD">
      <w:pPr>
        <w:pStyle w:val="63"/>
        <w:wordWrap w:val="0"/>
        <w:rPr>
          <w:rFonts w:hAnsi="宋体" w:cs="宋体"/>
          <w:color w:val="auto"/>
          <w:szCs w:val="21"/>
          <w:highlight w:val="none"/>
        </w:rPr>
      </w:pPr>
    </w:p>
    <w:p w14:paraId="519056CB">
      <w:pPr>
        <w:pStyle w:val="6"/>
        <w:wordWrap w:val="0"/>
        <w:rPr>
          <w:color w:val="auto"/>
          <w:highlight w:val="none"/>
        </w:rPr>
      </w:pPr>
    </w:p>
    <w:p w14:paraId="5A8D9EE7">
      <w:pPr>
        <w:wordWrap w:val="0"/>
        <w:spacing w:line="360" w:lineRule="auto"/>
        <w:rPr>
          <w:rFonts w:hAnsi="宋体" w:cs="宋体"/>
          <w:color w:val="auto"/>
          <w:szCs w:val="21"/>
          <w:highlight w:val="none"/>
        </w:rPr>
      </w:pPr>
      <w:r>
        <w:rPr>
          <w:rFonts w:hint="eastAsia" w:hAnsi="宋体" w:cs="宋体"/>
          <w:color w:val="auto"/>
          <w:szCs w:val="21"/>
          <w:highlight w:val="none"/>
        </w:rPr>
        <w:t>投标人：</w:t>
      </w:r>
      <w:r>
        <w:rPr>
          <w:rFonts w:hint="eastAsia" w:hAnsi="宋体" w:cs="宋体"/>
          <w:color w:val="auto"/>
          <w:szCs w:val="21"/>
          <w:highlight w:val="none"/>
          <w:u w:val="single"/>
        </w:rPr>
        <w:t xml:space="preserve">                  </w:t>
      </w:r>
      <w:r>
        <w:rPr>
          <w:rFonts w:hint="eastAsia" w:hAnsi="宋体" w:cs="宋体"/>
          <w:color w:val="auto"/>
          <w:szCs w:val="21"/>
          <w:highlight w:val="none"/>
        </w:rPr>
        <w:t>（盖单位公章）</w:t>
      </w:r>
    </w:p>
    <w:p w14:paraId="060FBD85">
      <w:pPr>
        <w:wordWrap w:val="0"/>
        <w:adjustRightInd w:val="0"/>
        <w:snapToGrid w:val="0"/>
        <w:spacing w:line="280" w:lineRule="exact"/>
        <w:rPr>
          <w:rFonts w:hAnsi="宋体" w:cs="宋体"/>
          <w:color w:val="auto"/>
          <w:szCs w:val="21"/>
          <w:highlight w:val="none"/>
        </w:rPr>
      </w:pPr>
      <w:r>
        <w:rPr>
          <w:rFonts w:hint="eastAsia" w:ascii="宋体" w:hAnsi="宋体" w:cs="宋体"/>
          <w:color w:val="auto"/>
          <w:szCs w:val="21"/>
          <w:highlight w:val="none"/>
        </w:rPr>
        <w:t>法定代表人</w:t>
      </w:r>
      <w:r>
        <w:rPr>
          <w:rFonts w:hint="eastAsia" w:ascii="宋体" w:hAnsi="宋体" w:cs="宋体"/>
          <w:iCs/>
          <w:color w:val="auto"/>
          <w:szCs w:val="21"/>
          <w:highlight w:val="none"/>
        </w:rPr>
        <w:t>/负责人</w:t>
      </w:r>
      <w:r>
        <w:rPr>
          <w:rFonts w:hint="eastAsia" w:ascii="宋体" w:hAnsi="宋体" w:cs="宋体"/>
          <w:color w:val="auto"/>
          <w:szCs w:val="21"/>
          <w:highlight w:val="none"/>
        </w:rPr>
        <w:t>或其委托代理人</w:t>
      </w:r>
      <w:r>
        <w:rPr>
          <w:rFonts w:hint="eastAsia" w:ascii="宋体" w:hAnsi="宋体" w:cs="宋体"/>
          <w:color w:val="auto"/>
          <w:szCs w:val="21"/>
          <w:highlight w:val="none"/>
          <w:lang w:eastAsia="zh-CN"/>
        </w:rPr>
        <w:t>（</w:t>
      </w:r>
      <w:r>
        <w:rPr>
          <w:rFonts w:hint="eastAsia" w:ascii="宋体" w:hAnsi="宋体" w:cs="宋体"/>
          <w:color w:val="auto"/>
          <w:szCs w:val="21"/>
          <w:highlight w:val="none"/>
        </w:rPr>
        <w:t>签字或盖章</w:t>
      </w:r>
      <w:r>
        <w:rPr>
          <w:rFonts w:hint="eastAsia" w:ascii="宋体" w:hAnsi="宋体" w:cs="宋体"/>
          <w:color w:val="auto"/>
          <w:szCs w:val="21"/>
          <w:highlight w:val="none"/>
          <w:lang w:eastAsia="zh-CN"/>
        </w:rPr>
        <w:t>）</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_</w:t>
      </w:r>
    </w:p>
    <w:p w14:paraId="6300DEA3">
      <w:pPr>
        <w:wordWrap w:val="0"/>
        <w:spacing w:line="360" w:lineRule="auto"/>
        <w:rPr>
          <w:rFonts w:hAnsi="宋体" w:cs="宋体"/>
          <w:color w:val="auto"/>
          <w:szCs w:val="21"/>
          <w:highlight w:val="none"/>
        </w:rPr>
      </w:pPr>
      <w:r>
        <w:rPr>
          <w:rFonts w:hint="eastAsia" w:hAnsi="宋体" w:cs="宋体"/>
          <w:color w:val="auto"/>
          <w:szCs w:val="21"/>
          <w:highlight w:val="none"/>
          <w:u w:val="single"/>
        </w:rPr>
        <w:t xml:space="preserve">       </w:t>
      </w:r>
      <w:r>
        <w:rPr>
          <w:rFonts w:hint="eastAsia" w:hAnsi="宋体" w:cs="宋体"/>
          <w:color w:val="auto"/>
          <w:szCs w:val="21"/>
          <w:highlight w:val="none"/>
        </w:rPr>
        <w:t>年</w:t>
      </w:r>
      <w:r>
        <w:rPr>
          <w:rFonts w:hint="eastAsia" w:hAnsi="宋体" w:cs="宋体"/>
          <w:color w:val="auto"/>
          <w:szCs w:val="21"/>
          <w:highlight w:val="none"/>
          <w:u w:val="single"/>
        </w:rPr>
        <w:t xml:space="preserve">    </w:t>
      </w:r>
      <w:r>
        <w:rPr>
          <w:rFonts w:hint="eastAsia" w:hAnsi="宋体" w:cs="宋体"/>
          <w:color w:val="auto"/>
          <w:szCs w:val="21"/>
          <w:highlight w:val="none"/>
        </w:rPr>
        <w:t>月</w:t>
      </w:r>
      <w:r>
        <w:rPr>
          <w:rFonts w:hint="eastAsia" w:hAnsi="宋体" w:cs="宋体"/>
          <w:color w:val="auto"/>
          <w:szCs w:val="21"/>
          <w:highlight w:val="none"/>
          <w:u w:val="single"/>
        </w:rPr>
        <w:t xml:space="preserve">     </w:t>
      </w:r>
      <w:r>
        <w:rPr>
          <w:rFonts w:hint="eastAsia" w:hAnsi="宋体" w:cs="宋体"/>
          <w:color w:val="auto"/>
          <w:szCs w:val="21"/>
          <w:highlight w:val="none"/>
        </w:rPr>
        <w:t>日</w:t>
      </w:r>
    </w:p>
    <w:p w14:paraId="23E3972E">
      <w:pPr>
        <w:pStyle w:val="6"/>
        <w:wordWrap w:val="0"/>
        <w:spacing w:line="360" w:lineRule="auto"/>
        <w:ind w:firstLine="0"/>
        <w:rPr>
          <w:color w:val="auto"/>
          <w:highlight w:val="none"/>
        </w:rPr>
      </w:pPr>
      <w:r>
        <w:rPr>
          <w:color w:val="auto"/>
          <w:highlight w:val="none"/>
        </w:rPr>
        <w:br w:type="page"/>
      </w:r>
    </w:p>
    <w:p w14:paraId="417F7B9A">
      <w:pPr>
        <w:wordWrap w:val="0"/>
        <w:spacing w:line="360" w:lineRule="auto"/>
        <w:jc w:val="center"/>
        <w:outlineLvl w:val="1"/>
        <w:rPr>
          <w:rFonts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lang w:val="en-US" w:eastAsia="zh-CN"/>
        </w:rPr>
        <w:t>九</w:t>
      </w:r>
      <w:r>
        <w:rPr>
          <w:rFonts w:hint="eastAsia" w:ascii="Calibri" w:hAnsi="宋体" w:cs="宋体"/>
          <w:b/>
          <w:snapToGrid w:val="0"/>
          <w:color w:val="auto"/>
          <w:kern w:val="0"/>
          <w:sz w:val="28"/>
          <w:szCs w:val="28"/>
          <w:highlight w:val="none"/>
        </w:rPr>
        <w:t>、实质性条款（标注“★”符号）响应表</w:t>
      </w:r>
    </w:p>
    <w:p w14:paraId="523BCAB5">
      <w:pPr>
        <w:wordWrap w:val="0"/>
        <w:adjustRightInd w:val="0"/>
        <w:snapToGrid w:val="0"/>
        <w:rPr>
          <w:rFonts w:hint="default" w:hAnsi="宋体" w:eastAsia="宋体" w:cs="宋体"/>
          <w:b/>
          <w:bCs/>
          <w:color w:val="auto"/>
          <w:szCs w:val="21"/>
          <w:highlight w:val="none"/>
          <w:u w:val="single"/>
          <w:lang w:val="en-US" w:eastAsia="zh-CN"/>
        </w:rPr>
      </w:pPr>
      <w:r>
        <w:rPr>
          <w:rFonts w:hint="eastAsia" w:hAnsi="宋体" w:cs="宋体"/>
          <w:b/>
          <w:bCs/>
          <w:color w:val="auto"/>
          <w:szCs w:val="21"/>
          <w:highlight w:val="none"/>
        </w:rPr>
        <w:t>项目名称</w:t>
      </w:r>
      <w:r>
        <w:rPr>
          <w:rFonts w:hint="eastAsia" w:ascii="Times New Roman" w:hAnsi="宋体" w:eastAsia="宋体" w:cs="宋体"/>
          <w:b/>
          <w:bCs/>
          <w:color w:val="auto"/>
          <w:szCs w:val="21"/>
          <w:highlight w:val="none"/>
        </w:rPr>
        <w:t>：</w:t>
      </w:r>
      <w:r>
        <w:rPr>
          <w:rFonts w:hint="eastAsia" w:ascii="Times New Roman" w:hAnsi="宋体" w:eastAsia="宋体" w:cs="宋体"/>
          <w:b/>
          <w:bCs/>
          <w:color w:val="auto"/>
          <w:szCs w:val="21"/>
          <w:highlight w:val="none"/>
          <w:lang w:val="en-US" w:eastAsia="zh-CN"/>
        </w:rPr>
        <w:t>2026-2028年员工食堂劳务外包、物资供应项目</w:t>
      </w:r>
      <w:r>
        <w:rPr>
          <w:rFonts w:hint="eastAsia" w:hAnsi="宋体" w:cs="宋体"/>
          <w:b/>
          <w:bCs/>
          <w:color w:val="auto"/>
          <w:szCs w:val="21"/>
          <w:highlight w:val="none"/>
          <w:u w:val="single"/>
          <w:lang w:val="en-US" w:eastAsia="zh-CN"/>
        </w:rPr>
        <w:t>一标段</w:t>
      </w:r>
    </w:p>
    <w:tbl>
      <w:tblPr>
        <w:tblStyle w:val="64"/>
        <w:tblW w:w="48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7"/>
        <w:gridCol w:w="3804"/>
        <w:gridCol w:w="2783"/>
        <w:gridCol w:w="2319"/>
      </w:tblGrid>
      <w:tr w14:paraId="2439D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6" w:hRule="atLeast"/>
        </w:trPr>
        <w:tc>
          <w:tcPr>
            <w:tcW w:w="392" w:type="pct"/>
            <w:vAlign w:val="center"/>
          </w:tcPr>
          <w:p w14:paraId="528E1180">
            <w:pPr>
              <w:wordWrap w:val="0"/>
              <w:jc w:val="center"/>
              <w:rPr>
                <w:rFonts w:ascii="宋体" w:hAnsi="宋体" w:cs="宋体"/>
                <w:b/>
                <w:bCs/>
                <w:color w:val="auto"/>
                <w:szCs w:val="21"/>
                <w:highlight w:val="none"/>
              </w:rPr>
            </w:pPr>
            <w:r>
              <w:rPr>
                <w:rFonts w:hint="eastAsia" w:ascii="宋体" w:hAnsi="宋体" w:cs="宋体"/>
                <w:b/>
                <w:bCs/>
                <w:color w:val="auto"/>
                <w:szCs w:val="21"/>
                <w:highlight w:val="none"/>
              </w:rPr>
              <w:t>序号</w:t>
            </w:r>
          </w:p>
        </w:tc>
        <w:tc>
          <w:tcPr>
            <w:tcW w:w="1967" w:type="pct"/>
            <w:vAlign w:val="center"/>
          </w:tcPr>
          <w:p w14:paraId="5E4D3E3D">
            <w:pPr>
              <w:wordWrap w:val="0"/>
              <w:jc w:val="center"/>
              <w:rPr>
                <w:rFonts w:ascii="宋体" w:hAnsi="宋体" w:cs="宋体"/>
                <w:b/>
                <w:bCs/>
                <w:color w:val="auto"/>
                <w:szCs w:val="21"/>
                <w:highlight w:val="none"/>
              </w:rPr>
            </w:pPr>
            <w:r>
              <w:rPr>
                <w:rFonts w:hint="eastAsia" w:ascii="宋体" w:hAnsi="宋体" w:cs="宋体"/>
                <w:b/>
                <w:bCs/>
                <w:color w:val="auto"/>
                <w:szCs w:val="21"/>
                <w:highlight w:val="none"/>
              </w:rPr>
              <w:t>招标文件实质性</w:t>
            </w:r>
          </w:p>
          <w:p w14:paraId="66A63305">
            <w:pPr>
              <w:wordWrap w:val="0"/>
              <w:jc w:val="center"/>
              <w:rPr>
                <w:rFonts w:ascii="宋体" w:hAnsi="宋体" w:cs="宋体"/>
                <w:b/>
                <w:bCs/>
                <w:color w:val="auto"/>
                <w:szCs w:val="21"/>
                <w:highlight w:val="none"/>
              </w:rPr>
            </w:pPr>
            <w:r>
              <w:rPr>
                <w:rFonts w:hint="eastAsia" w:ascii="宋体" w:hAnsi="宋体" w:cs="宋体"/>
                <w:b/>
                <w:bCs/>
                <w:color w:val="auto"/>
                <w:szCs w:val="21"/>
                <w:highlight w:val="none"/>
              </w:rPr>
              <w:t>条款号及内容</w:t>
            </w:r>
          </w:p>
        </w:tc>
        <w:tc>
          <w:tcPr>
            <w:tcW w:w="1439" w:type="pct"/>
            <w:vAlign w:val="center"/>
          </w:tcPr>
          <w:p w14:paraId="7AE792C1">
            <w:pPr>
              <w:wordWrap w:val="0"/>
              <w:jc w:val="center"/>
              <w:rPr>
                <w:rFonts w:ascii="宋体" w:hAnsi="宋体" w:cs="宋体"/>
                <w:b/>
                <w:bCs/>
                <w:color w:val="auto"/>
                <w:szCs w:val="21"/>
                <w:highlight w:val="none"/>
              </w:rPr>
            </w:pPr>
            <w:r>
              <w:rPr>
                <w:rFonts w:hint="eastAsia" w:ascii="宋体" w:hAnsi="宋体" w:cs="宋体"/>
                <w:b/>
                <w:bCs/>
                <w:color w:val="auto"/>
                <w:szCs w:val="21"/>
                <w:highlight w:val="none"/>
              </w:rPr>
              <w:t>投标文件响应</w:t>
            </w:r>
          </w:p>
          <w:p w14:paraId="0539C10A">
            <w:pPr>
              <w:wordWrap w:val="0"/>
              <w:jc w:val="center"/>
              <w:rPr>
                <w:rFonts w:ascii="宋体" w:hAnsi="宋体" w:cs="宋体"/>
                <w:b/>
                <w:bCs/>
                <w:color w:val="auto"/>
                <w:szCs w:val="21"/>
                <w:highlight w:val="none"/>
              </w:rPr>
            </w:pPr>
            <w:r>
              <w:rPr>
                <w:rFonts w:hint="eastAsia" w:ascii="宋体" w:hAnsi="宋体" w:cs="宋体"/>
                <w:b/>
                <w:bCs/>
                <w:color w:val="auto"/>
                <w:szCs w:val="21"/>
                <w:highlight w:val="none"/>
              </w:rPr>
              <w:t>条款号及内容</w:t>
            </w:r>
          </w:p>
        </w:tc>
        <w:tc>
          <w:tcPr>
            <w:tcW w:w="1199" w:type="pct"/>
            <w:vAlign w:val="center"/>
          </w:tcPr>
          <w:p w14:paraId="1D5C4162">
            <w:pPr>
              <w:wordWrap w:val="0"/>
              <w:jc w:val="center"/>
              <w:rPr>
                <w:rFonts w:hint="eastAsia" w:ascii="宋体" w:hAnsi="宋体" w:cs="宋体"/>
                <w:b/>
                <w:bCs/>
                <w:color w:val="auto"/>
                <w:szCs w:val="21"/>
                <w:highlight w:val="none"/>
              </w:rPr>
            </w:pPr>
            <w:r>
              <w:rPr>
                <w:rFonts w:hint="eastAsia" w:ascii="宋体" w:hAnsi="宋体" w:cs="宋体"/>
                <w:b/>
                <w:bCs/>
                <w:color w:val="auto"/>
                <w:szCs w:val="21"/>
                <w:highlight w:val="none"/>
              </w:rPr>
              <w:t>响应情况</w:t>
            </w:r>
          </w:p>
          <w:p w14:paraId="3C5E3318">
            <w:pPr>
              <w:wordWrap w:val="0"/>
              <w:jc w:val="center"/>
              <w:rPr>
                <w:rFonts w:ascii="宋体" w:hAnsi="宋体" w:cs="宋体"/>
                <w:b/>
                <w:bCs/>
                <w:color w:val="auto"/>
                <w:szCs w:val="21"/>
                <w:highlight w:val="none"/>
              </w:rPr>
            </w:pPr>
            <w:r>
              <w:rPr>
                <w:rFonts w:hint="eastAsia" w:ascii="宋体" w:hAnsi="宋体" w:cs="宋体"/>
                <w:b/>
                <w:bCs/>
                <w:color w:val="auto"/>
                <w:szCs w:val="21"/>
                <w:highlight w:val="none"/>
              </w:rPr>
              <w:t>（响应/不响应）</w:t>
            </w:r>
          </w:p>
        </w:tc>
      </w:tr>
      <w:tr w14:paraId="42BA0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392" w:type="pct"/>
            <w:vAlign w:val="center"/>
          </w:tcPr>
          <w:p w14:paraId="2540CAC2">
            <w:pPr>
              <w:wordWrap w:val="0"/>
              <w:jc w:val="center"/>
              <w:rPr>
                <w:rFonts w:ascii="宋体" w:hAnsi="宋体" w:cs="宋体"/>
                <w:color w:val="auto"/>
                <w:szCs w:val="21"/>
                <w:highlight w:val="none"/>
              </w:rPr>
            </w:pPr>
            <w:r>
              <w:rPr>
                <w:rFonts w:hint="eastAsia" w:ascii="宋体" w:hAnsi="宋体" w:cs="宋体"/>
                <w:color w:val="auto"/>
                <w:szCs w:val="21"/>
                <w:highlight w:val="none"/>
              </w:rPr>
              <w:t>1</w:t>
            </w:r>
          </w:p>
        </w:tc>
        <w:tc>
          <w:tcPr>
            <w:tcW w:w="1967" w:type="pct"/>
            <w:vAlign w:val="center"/>
          </w:tcPr>
          <w:p w14:paraId="1BD08BEE">
            <w:pPr>
              <w:wordWrap w:val="0"/>
              <w:jc w:val="cente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用户需求书</w:t>
            </w:r>
          </w:p>
          <w:p w14:paraId="183638FD">
            <w:pPr>
              <w:wordWrap w:val="0"/>
              <w:jc w:val="center"/>
              <w:rPr>
                <w:rFonts w:hint="default" w:ascii="宋体" w:hAnsi="宋体" w:eastAsia="宋体" w:cs="宋体"/>
                <w:color w:val="auto"/>
                <w:szCs w:val="21"/>
                <w:highlight w:val="none"/>
                <w:lang w:val="en-US" w:eastAsia="zh-CN"/>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二</w:t>
            </w:r>
            <w:r>
              <w:rPr>
                <w:rFonts w:hint="eastAsia" w:ascii="宋体" w:hAnsi="宋体"/>
                <w:color w:val="000000" w:themeColor="text1"/>
                <w:szCs w:val="21"/>
                <w:highlight w:val="none"/>
                <w:lang w:val="en-US" w:eastAsia="zh-CN"/>
                <w14:textFill>
                  <w14:solidFill>
                    <w14:schemeClr w14:val="tx1"/>
                  </w14:solidFill>
                </w14:textFill>
              </w:rPr>
              <w:t>、服务地点</w:t>
            </w:r>
          </w:p>
        </w:tc>
        <w:tc>
          <w:tcPr>
            <w:tcW w:w="1439" w:type="pct"/>
            <w:vAlign w:val="center"/>
          </w:tcPr>
          <w:p w14:paraId="02A6909C">
            <w:pPr>
              <w:wordWrap w:val="0"/>
              <w:jc w:val="center"/>
              <w:rPr>
                <w:rFonts w:ascii="宋体" w:hAnsi="宋体" w:cs="宋体"/>
                <w:color w:val="auto"/>
                <w:szCs w:val="21"/>
                <w:highlight w:val="none"/>
              </w:rPr>
            </w:pPr>
          </w:p>
        </w:tc>
        <w:tc>
          <w:tcPr>
            <w:tcW w:w="1199" w:type="pct"/>
            <w:vAlign w:val="center"/>
          </w:tcPr>
          <w:p w14:paraId="6B9018D6">
            <w:pPr>
              <w:wordWrap w:val="0"/>
              <w:jc w:val="center"/>
              <w:rPr>
                <w:rFonts w:ascii="宋体" w:hAnsi="宋体" w:cs="宋体"/>
                <w:color w:val="auto"/>
                <w:szCs w:val="21"/>
                <w:highlight w:val="none"/>
              </w:rPr>
            </w:pPr>
          </w:p>
        </w:tc>
      </w:tr>
      <w:tr w14:paraId="027F3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392" w:type="pct"/>
            <w:vAlign w:val="center"/>
          </w:tcPr>
          <w:p w14:paraId="78E5F695">
            <w:pPr>
              <w:wordWrap w:val="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w:t>
            </w:r>
          </w:p>
        </w:tc>
        <w:tc>
          <w:tcPr>
            <w:tcW w:w="1967" w:type="pct"/>
            <w:vAlign w:val="center"/>
          </w:tcPr>
          <w:p w14:paraId="2F300AA6">
            <w:pPr>
              <w:wordWrap w:val="0"/>
              <w:jc w:val="cente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用户需求书</w:t>
            </w:r>
          </w:p>
          <w:p w14:paraId="5CE1BF68">
            <w:pPr>
              <w:wordWrap w:val="0"/>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三</w:t>
            </w:r>
            <w:r>
              <w:rPr>
                <w:rFonts w:hint="eastAsia" w:ascii="宋体" w:hAnsi="宋体" w:cs="宋体"/>
                <w:color w:val="000000" w:themeColor="text1"/>
                <w:sz w:val="21"/>
                <w:szCs w:val="21"/>
                <w:lang w:val="en-US" w:eastAsia="zh-CN"/>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服务范围</w:t>
            </w:r>
          </w:p>
        </w:tc>
        <w:tc>
          <w:tcPr>
            <w:tcW w:w="1439" w:type="pct"/>
            <w:vAlign w:val="center"/>
          </w:tcPr>
          <w:p w14:paraId="4C750F05">
            <w:pPr>
              <w:wordWrap w:val="0"/>
              <w:jc w:val="center"/>
              <w:rPr>
                <w:rFonts w:ascii="宋体" w:hAnsi="宋体" w:cs="宋体"/>
                <w:color w:val="auto"/>
                <w:szCs w:val="21"/>
                <w:highlight w:val="none"/>
              </w:rPr>
            </w:pPr>
          </w:p>
        </w:tc>
        <w:tc>
          <w:tcPr>
            <w:tcW w:w="1199" w:type="pct"/>
            <w:vAlign w:val="center"/>
          </w:tcPr>
          <w:p w14:paraId="4761E0DA">
            <w:pPr>
              <w:wordWrap w:val="0"/>
              <w:jc w:val="center"/>
              <w:rPr>
                <w:rFonts w:ascii="宋体" w:hAnsi="宋体" w:cs="宋体"/>
                <w:color w:val="auto"/>
                <w:szCs w:val="21"/>
                <w:highlight w:val="none"/>
              </w:rPr>
            </w:pPr>
          </w:p>
        </w:tc>
      </w:tr>
      <w:tr w14:paraId="1EB5E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392" w:type="pct"/>
            <w:vAlign w:val="center"/>
          </w:tcPr>
          <w:p w14:paraId="792D9E5E">
            <w:pPr>
              <w:wordWrap w:val="0"/>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3</w:t>
            </w:r>
          </w:p>
        </w:tc>
        <w:tc>
          <w:tcPr>
            <w:tcW w:w="1967" w:type="pct"/>
            <w:vAlign w:val="center"/>
          </w:tcPr>
          <w:p w14:paraId="6B4A416C">
            <w:pPr>
              <w:widowControl/>
              <w:wordWrap/>
              <w:spacing w:line="240" w:lineRule="auto"/>
              <w:ind w:firstLine="420" w:firstLineChars="200"/>
              <w:jc w:val="cente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用户需求书</w:t>
            </w:r>
          </w:p>
          <w:p w14:paraId="48565292">
            <w:pPr>
              <w:widowControl/>
              <w:wordWrap/>
              <w:spacing w:line="240" w:lineRule="auto"/>
              <w:ind w:firstLine="0" w:firstLineChars="0"/>
              <w:jc w:val="center"/>
              <w:rPr>
                <w:rFonts w:hint="default" w:ascii="宋体" w:hAnsi="宋体" w:cs="宋体"/>
                <w:color w:val="auto"/>
                <w:szCs w:val="21"/>
                <w:highlight w:val="none"/>
                <w:lang w:val="en-US"/>
              </w:rPr>
            </w:pPr>
            <w:r>
              <w:rPr>
                <w:rFonts w:hint="eastAsia" w:ascii="宋体" w:hAnsi="宋体" w:eastAsia="宋体" w:cs="宋体"/>
                <w:b w:val="0"/>
                <w:bCs w:val="0"/>
                <w:color w:val="000000" w:themeColor="text1"/>
                <w:sz w:val="21"/>
                <w:szCs w:val="21"/>
                <w14:textFill>
                  <w14:solidFill>
                    <w14:schemeClr w14:val="tx1"/>
                  </w14:solidFill>
                </w14:textFill>
              </w:rPr>
              <w:t>★</w:t>
            </w:r>
            <w:r>
              <w:rPr>
                <w:rFonts w:hint="eastAsia" w:ascii="宋体" w:hAnsi="宋体" w:cs="宋体"/>
                <w:b w:val="0"/>
                <w:bCs w:val="0"/>
                <w:color w:val="000000" w:themeColor="text1"/>
                <w:sz w:val="21"/>
                <w:szCs w:val="21"/>
                <w:lang w:val="en-US" w:eastAsia="zh-CN"/>
                <w14:textFill>
                  <w14:solidFill>
                    <w14:schemeClr w14:val="tx1"/>
                  </w14:solidFill>
                </w14:textFill>
              </w:rPr>
              <w:t>四.</w:t>
            </w:r>
            <w:r>
              <w:rPr>
                <w:rFonts w:hint="eastAsia" w:ascii="宋体" w:hAnsi="宋体" w:eastAsia="宋体" w:cs="宋体"/>
                <w:b w:val="0"/>
                <w:bCs w:val="0"/>
                <w:color w:val="auto"/>
                <w:kern w:val="2"/>
                <w:sz w:val="21"/>
                <w:szCs w:val="21"/>
                <w:highlight w:val="none"/>
                <w:lang w:val="en-US" w:eastAsia="zh-CN" w:bidi="ar-SA"/>
              </w:rPr>
              <w:t>服务项目基本情况</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000000" w:themeColor="text1"/>
                <w:szCs w:val="21"/>
                <w14:textFill>
                  <w14:solidFill>
                    <w14:schemeClr w14:val="tx1"/>
                  </w14:solidFill>
                </w14:textFill>
              </w:rPr>
              <w:t>1、工作任务</w:t>
            </w:r>
            <w:r>
              <w:rPr>
                <w:rFonts w:hint="eastAsia" w:ascii="宋体" w:hAnsi="宋体" w:cs="宋体"/>
                <w:b w:val="0"/>
                <w:bCs w:val="0"/>
                <w:color w:val="auto"/>
                <w:kern w:val="2"/>
                <w:sz w:val="21"/>
                <w:szCs w:val="21"/>
                <w:highlight w:val="none"/>
                <w:lang w:val="en-US" w:eastAsia="zh-CN" w:bidi="ar-SA"/>
              </w:rPr>
              <w:t>”</w:t>
            </w:r>
          </w:p>
        </w:tc>
        <w:tc>
          <w:tcPr>
            <w:tcW w:w="1439" w:type="pct"/>
            <w:vAlign w:val="center"/>
          </w:tcPr>
          <w:p w14:paraId="162F0F32">
            <w:pPr>
              <w:wordWrap w:val="0"/>
              <w:jc w:val="center"/>
              <w:rPr>
                <w:rFonts w:ascii="宋体" w:hAnsi="宋体" w:cs="宋体"/>
                <w:color w:val="auto"/>
                <w:szCs w:val="21"/>
                <w:highlight w:val="none"/>
              </w:rPr>
            </w:pPr>
          </w:p>
        </w:tc>
        <w:tc>
          <w:tcPr>
            <w:tcW w:w="1199" w:type="pct"/>
            <w:vAlign w:val="center"/>
          </w:tcPr>
          <w:p w14:paraId="1C5C2EBD">
            <w:pPr>
              <w:wordWrap w:val="0"/>
              <w:jc w:val="center"/>
              <w:rPr>
                <w:rFonts w:ascii="宋体" w:hAnsi="宋体" w:cs="宋体"/>
                <w:color w:val="auto"/>
                <w:szCs w:val="21"/>
                <w:highlight w:val="none"/>
              </w:rPr>
            </w:pPr>
          </w:p>
        </w:tc>
      </w:tr>
      <w:tr w14:paraId="2FCC7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392" w:type="pct"/>
            <w:vAlign w:val="center"/>
          </w:tcPr>
          <w:p w14:paraId="0ACF6ACB">
            <w:pPr>
              <w:wordWrap w:val="0"/>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4</w:t>
            </w:r>
          </w:p>
        </w:tc>
        <w:tc>
          <w:tcPr>
            <w:tcW w:w="1967" w:type="pct"/>
            <w:vAlign w:val="center"/>
          </w:tcPr>
          <w:p w14:paraId="204E4F67">
            <w:pPr>
              <w:wordWrap w:val="0"/>
              <w:adjustRightInd/>
              <w:spacing w:line="240" w:lineRule="auto"/>
              <w:ind w:firstLine="0" w:firstLineChars="0"/>
              <w:jc w:val="center"/>
              <w:rPr>
                <w:rFonts w:hint="eastAsia" w:ascii="宋体" w:hAnsi="宋体" w:eastAsia="宋体" w:cs="Times New Roman"/>
                <w:color w:val="000000" w:themeColor="text1"/>
                <w:szCs w:val="21"/>
                <w:highlight w:val="none"/>
                <w:lang w:val="en-US" w:eastAsia="zh-CN"/>
                <w14:textFill>
                  <w14:solidFill>
                    <w14:schemeClr w14:val="tx1"/>
                  </w14:solidFill>
                </w14:textFill>
              </w:rPr>
            </w:pPr>
            <w:r>
              <w:rPr>
                <w:rFonts w:hint="eastAsia" w:ascii="宋体" w:hAnsi="宋体" w:eastAsia="宋体" w:cs="Times New Roman"/>
                <w:color w:val="000000" w:themeColor="text1"/>
                <w:szCs w:val="21"/>
                <w:highlight w:val="none"/>
                <w:lang w:val="en-US" w:eastAsia="zh-CN"/>
                <w14:textFill>
                  <w14:solidFill>
                    <w14:schemeClr w14:val="tx1"/>
                  </w14:solidFill>
                </w14:textFill>
              </w:rPr>
              <w:t>用户需求书</w:t>
            </w:r>
          </w:p>
          <w:p w14:paraId="77C5EDD6">
            <w:pPr>
              <w:wordWrap w:val="0"/>
              <w:adjustRightInd/>
              <w:spacing w:line="240" w:lineRule="auto"/>
              <w:ind w:firstLine="0" w:firstLineChars="0"/>
              <w:jc w:val="center"/>
              <w:rPr>
                <w:rFonts w:hint="default" w:ascii="宋体" w:hAnsi="宋体" w:cs="宋体"/>
                <w:color w:val="auto"/>
                <w:szCs w:val="21"/>
                <w:highlight w:val="none"/>
                <w:lang w:val="en-US"/>
              </w:rPr>
            </w:pPr>
            <w:r>
              <w:rPr>
                <w:rFonts w:hint="eastAsia" w:ascii="宋体" w:hAnsi="宋体" w:eastAsia="宋体" w:cs="Times New Roman"/>
                <w:color w:val="000000" w:themeColor="text1"/>
                <w:sz w:val="21"/>
                <w:szCs w:val="21"/>
                <w:highlight w:val="none"/>
                <w14:textFill>
                  <w14:solidFill>
                    <w14:schemeClr w14:val="tx1"/>
                  </w14:solidFill>
                </w14:textFill>
              </w:rPr>
              <w:t>★</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五</w:t>
            </w:r>
            <w:r>
              <w:rPr>
                <w:rFonts w:hint="eastAsia" w:ascii="宋体" w:hAnsi="宋体" w:eastAsia="宋体" w:cs="Times New Roman"/>
                <w:b w:val="0"/>
                <w:color w:val="000000" w:themeColor="text1"/>
                <w:szCs w:val="21"/>
                <w:highlight w:val="none"/>
                <w14:textFill>
                  <w14:solidFill>
                    <w14:schemeClr w14:val="tx1"/>
                  </w14:solidFill>
                </w14:textFill>
              </w:rPr>
              <w:t>、相关技术标准及规范</w:t>
            </w:r>
          </w:p>
        </w:tc>
        <w:tc>
          <w:tcPr>
            <w:tcW w:w="1439" w:type="pct"/>
            <w:vAlign w:val="center"/>
          </w:tcPr>
          <w:p w14:paraId="4AD7CC32">
            <w:pPr>
              <w:wordWrap w:val="0"/>
              <w:jc w:val="center"/>
              <w:rPr>
                <w:rFonts w:ascii="宋体" w:hAnsi="宋体" w:cs="宋体"/>
                <w:color w:val="auto"/>
                <w:szCs w:val="21"/>
                <w:highlight w:val="none"/>
              </w:rPr>
            </w:pPr>
          </w:p>
        </w:tc>
        <w:tc>
          <w:tcPr>
            <w:tcW w:w="1199" w:type="pct"/>
            <w:vAlign w:val="center"/>
          </w:tcPr>
          <w:p w14:paraId="4F0CB78C">
            <w:pPr>
              <w:wordWrap w:val="0"/>
              <w:jc w:val="center"/>
              <w:rPr>
                <w:rFonts w:ascii="宋体" w:hAnsi="宋体" w:cs="宋体"/>
                <w:color w:val="auto"/>
                <w:szCs w:val="21"/>
                <w:highlight w:val="none"/>
              </w:rPr>
            </w:pPr>
          </w:p>
        </w:tc>
      </w:tr>
      <w:tr w14:paraId="11D9E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392" w:type="pct"/>
            <w:vAlign w:val="center"/>
          </w:tcPr>
          <w:p w14:paraId="1FAF5FCB">
            <w:pPr>
              <w:wordWrap w:val="0"/>
              <w:jc w:val="center"/>
              <w:rPr>
                <w:rFonts w:ascii="宋体" w:hAnsi="宋体" w:cs="宋体"/>
                <w:color w:val="auto"/>
                <w:szCs w:val="21"/>
                <w:highlight w:val="none"/>
              </w:rPr>
            </w:pPr>
            <w:r>
              <w:rPr>
                <w:rFonts w:hint="eastAsia" w:ascii="宋体" w:hAnsi="宋体" w:cs="宋体"/>
                <w:color w:val="auto"/>
                <w:szCs w:val="21"/>
                <w:highlight w:val="none"/>
              </w:rPr>
              <w:t>5</w:t>
            </w:r>
          </w:p>
        </w:tc>
        <w:tc>
          <w:tcPr>
            <w:tcW w:w="1967" w:type="pct"/>
            <w:vAlign w:val="center"/>
          </w:tcPr>
          <w:p w14:paraId="73A38E8B">
            <w:pPr>
              <w:wordWrap w:val="0"/>
              <w:adjustRightInd/>
              <w:snapToGrid/>
              <w:spacing w:line="240" w:lineRule="auto"/>
              <w:ind w:firstLine="0" w:firstLineChars="0"/>
              <w:jc w:val="center"/>
              <w:rPr>
                <w:rFonts w:hint="eastAsia" w:ascii="宋体" w:hAnsi="宋体" w:eastAsia="宋体" w:cs="Times New Roman"/>
                <w:color w:val="000000" w:themeColor="text1"/>
                <w:szCs w:val="21"/>
                <w:highlight w:val="none"/>
                <w:lang w:val="en-US" w:eastAsia="zh-CN"/>
                <w14:textFill>
                  <w14:solidFill>
                    <w14:schemeClr w14:val="tx1"/>
                  </w14:solidFill>
                </w14:textFill>
              </w:rPr>
            </w:pPr>
            <w:r>
              <w:rPr>
                <w:rFonts w:hint="eastAsia" w:ascii="宋体" w:hAnsi="宋体" w:eastAsia="宋体" w:cs="Times New Roman"/>
                <w:color w:val="000000" w:themeColor="text1"/>
                <w:szCs w:val="21"/>
                <w:highlight w:val="none"/>
                <w:lang w:val="en-US" w:eastAsia="zh-CN"/>
                <w14:textFill>
                  <w14:solidFill>
                    <w14:schemeClr w14:val="tx1"/>
                  </w14:solidFill>
                </w14:textFill>
              </w:rPr>
              <w:t>用户需求书</w:t>
            </w:r>
          </w:p>
          <w:p w14:paraId="1CF5F69A">
            <w:pPr>
              <w:wordWrap w:val="0"/>
              <w:adjustRightInd/>
              <w:snapToGrid/>
              <w:spacing w:line="240" w:lineRule="auto"/>
              <w:ind w:firstLine="0" w:firstLineChars="0"/>
              <w:jc w:val="center"/>
              <w:rPr>
                <w:rFonts w:hint="default" w:ascii="宋体" w:hAnsi="宋体" w:cs="宋体"/>
                <w:color w:val="auto"/>
                <w:szCs w:val="21"/>
                <w:highlight w:val="none"/>
                <w:lang w:val="en-US"/>
              </w:rPr>
            </w:pPr>
            <w:r>
              <w:rPr>
                <w:rFonts w:hint="eastAsia" w:ascii="宋体" w:hAnsi="宋体" w:eastAsia="宋体" w:cs="Times New Roman"/>
                <w:color w:val="000000" w:themeColor="text1"/>
                <w:sz w:val="21"/>
                <w:szCs w:val="21"/>
                <w:highlight w:val="none"/>
                <w14:textFill>
                  <w14:solidFill>
                    <w14:schemeClr w14:val="tx1"/>
                  </w14:solidFill>
                </w14:textFill>
              </w:rPr>
              <w:t>★</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六</w:t>
            </w:r>
            <w:r>
              <w:rPr>
                <w:rFonts w:hint="eastAsia" w:ascii="宋体" w:hAnsi="宋体" w:eastAsia="宋体" w:cs="Times New Roman"/>
                <w:b w:val="0"/>
                <w:color w:val="000000" w:themeColor="text1"/>
                <w:szCs w:val="21"/>
                <w:highlight w:val="none"/>
                <w14:textFill>
                  <w14:solidFill>
                    <w14:schemeClr w14:val="tx1"/>
                  </w14:solidFill>
                </w14:textFill>
              </w:rPr>
              <w:t>、项目服务要求</w:t>
            </w:r>
          </w:p>
        </w:tc>
        <w:tc>
          <w:tcPr>
            <w:tcW w:w="1439" w:type="pct"/>
            <w:vAlign w:val="center"/>
          </w:tcPr>
          <w:p w14:paraId="5AD09F44">
            <w:pPr>
              <w:wordWrap w:val="0"/>
              <w:jc w:val="center"/>
              <w:rPr>
                <w:rFonts w:ascii="宋体" w:hAnsi="宋体" w:cs="宋体"/>
                <w:color w:val="auto"/>
                <w:szCs w:val="21"/>
                <w:highlight w:val="none"/>
              </w:rPr>
            </w:pPr>
          </w:p>
        </w:tc>
        <w:tc>
          <w:tcPr>
            <w:tcW w:w="1199" w:type="pct"/>
            <w:vAlign w:val="center"/>
          </w:tcPr>
          <w:p w14:paraId="29874C01">
            <w:pPr>
              <w:wordWrap w:val="0"/>
              <w:jc w:val="center"/>
              <w:rPr>
                <w:rFonts w:ascii="宋体" w:hAnsi="宋体" w:cs="宋体"/>
                <w:color w:val="auto"/>
                <w:szCs w:val="21"/>
                <w:highlight w:val="none"/>
              </w:rPr>
            </w:pPr>
          </w:p>
        </w:tc>
      </w:tr>
      <w:tr w14:paraId="37118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392" w:type="pct"/>
            <w:vAlign w:val="center"/>
          </w:tcPr>
          <w:p w14:paraId="244E0945">
            <w:pPr>
              <w:wordWrap w:val="0"/>
              <w:jc w:val="center"/>
              <w:rPr>
                <w:rFonts w:ascii="宋体" w:hAnsi="宋体" w:cs="宋体"/>
                <w:color w:val="auto"/>
                <w:szCs w:val="21"/>
                <w:highlight w:val="none"/>
              </w:rPr>
            </w:pPr>
            <w:r>
              <w:rPr>
                <w:rFonts w:hint="eastAsia" w:ascii="宋体" w:hAnsi="宋体" w:cs="宋体"/>
                <w:color w:val="auto"/>
                <w:szCs w:val="21"/>
                <w:highlight w:val="none"/>
              </w:rPr>
              <w:t>6</w:t>
            </w:r>
          </w:p>
        </w:tc>
        <w:tc>
          <w:tcPr>
            <w:tcW w:w="1967" w:type="pct"/>
            <w:vAlign w:val="center"/>
          </w:tcPr>
          <w:p w14:paraId="107CD1EF">
            <w:pPr>
              <w:wordWrap w:val="0"/>
              <w:adjustRightInd/>
              <w:spacing w:line="240" w:lineRule="auto"/>
              <w:ind w:firstLine="0" w:firstLineChars="0"/>
              <w:jc w:val="center"/>
              <w:rPr>
                <w:rFonts w:hint="eastAsia" w:ascii="宋体" w:hAnsi="宋体" w:eastAsia="宋体" w:cs="Times New Roman"/>
                <w:color w:val="000000" w:themeColor="text1"/>
                <w:szCs w:val="21"/>
                <w:highlight w:val="none"/>
                <w:lang w:val="en-US" w:eastAsia="zh-CN"/>
                <w14:textFill>
                  <w14:solidFill>
                    <w14:schemeClr w14:val="tx1"/>
                  </w14:solidFill>
                </w14:textFill>
              </w:rPr>
            </w:pPr>
            <w:r>
              <w:rPr>
                <w:rFonts w:hint="eastAsia" w:ascii="宋体" w:hAnsi="宋体" w:eastAsia="宋体" w:cs="Times New Roman"/>
                <w:color w:val="000000" w:themeColor="text1"/>
                <w:szCs w:val="21"/>
                <w:highlight w:val="none"/>
                <w:lang w:val="en-US" w:eastAsia="zh-CN"/>
                <w14:textFill>
                  <w14:solidFill>
                    <w14:schemeClr w14:val="tx1"/>
                  </w14:solidFill>
                </w14:textFill>
              </w:rPr>
              <w:t>用户需求书</w:t>
            </w:r>
          </w:p>
          <w:p w14:paraId="6F83480D">
            <w:pPr>
              <w:wordWrap w:val="0"/>
              <w:adjustRightInd/>
              <w:spacing w:line="240" w:lineRule="auto"/>
              <w:ind w:firstLine="0" w:firstLineChars="0"/>
              <w:jc w:val="center"/>
              <w:rPr>
                <w:rFonts w:hint="default" w:ascii="宋体" w:hAnsi="宋体" w:cs="宋体"/>
                <w:color w:val="auto"/>
                <w:szCs w:val="21"/>
                <w:highlight w:val="none"/>
                <w:lang w:val="en-US"/>
              </w:rPr>
            </w:pPr>
            <w:r>
              <w:rPr>
                <w:rFonts w:hint="eastAsia" w:ascii="宋体" w:hAnsi="宋体" w:eastAsia="宋体" w:cs="Times New Roman"/>
                <w:color w:val="000000" w:themeColor="text1"/>
                <w:sz w:val="21"/>
                <w:szCs w:val="21"/>
                <w:highlight w:val="none"/>
                <w14:textFill>
                  <w14:solidFill>
                    <w14:schemeClr w14:val="tx1"/>
                  </w14:solidFill>
                </w14:textFill>
              </w:rPr>
              <w:t>★</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八</w:t>
            </w:r>
            <w:r>
              <w:rPr>
                <w:rFonts w:hint="eastAsia" w:ascii="宋体" w:hAnsi="宋体" w:eastAsia="宋体" w:cs="Times New Roman"/>
                <w:b w:val="0"/>
                <w:color w:val="000000" w:themeColor="text1"/>
                <w:szCs w:val="21"/>
                <w:highlight w:val="none"/>
                <w14:textFill>
                  <w14:solidFill>
                    <w14:schemeClr w14:val="tx1"/>
                  </w14:solidFill>
                </w14:textFill>
              </w:rPr>
              <w:t>、安全管理要求</w:t>
            </w:r>
          </w:p>
        </w:tc>
        <w:tc>
          <w:tcPr>
            <w:tcW w:w="1439" w:type="pct"/>
            <w:vAlign w:val="center"/>
          </w:tcPr>
          <w:p w14:paraId="1F4D430F">
            <w:pPr>
              <w:wordWrap w:val="0"/>
              <w:jc w:val="center"/>
              <w:rPr>
                <w:rFonts w:ascii="宋体" w:hAnsi="宋体" w:cs="宋体"/>
                <w:color w:val="auto"/>
                <w:szCs w:val="21"/>
                <w:highlight w:val="none"/>
              </w:rPr>
            </w:pPr>
          </w:p>
          <w:p w14:paraId="206A24AA">
            <w:pPr>
              <w:rPr>
                <w:color w:val="auto"/>
                <w:highlight w:val="none"/>
              </w:rPr>
            </w:pPr>
          </w:p>
        </w:tc>
        <w:tc>
          <w:tcPr>
            <w:tcW w:w="1199" w:type="pct"/>
            <w:vAlign w:val="center"/>
          </w:tcPr>
          <w:p w14:paraId="1E4E75A3">
            <w:pPr>
              <w:wordWrap w:val="0"/>
              <w:jc w:val="center"/>
              <w:rPr>
                <w:rFonts w:ascii="宋体" w:hAnsi="宋体" w:cs="宋体"/>
                <w:color w:val="auto"/>
                <w:szCs w:val="21"/>
                <w:highlight w:val="none"/>
              </w:rPr>
            </w:pPr>
          </w:p>
        </w:tc>
      </w:tr>
    </w:tbl>
    <w:p w14:paraId="14569E9C">
      <w:pPr>
        <w:wordWrap w:val="0"/>
        <w:adjustRightInd w:val="0"/>
        <w:snapToGrid w:val="0"/>
        <w:rPr>
          <w:rFonts w:hint="eastAsia" w:hAnsi="宋体" w:cs="宋体"/>
          <w:color w:val="auto"/>
          <w:szCs w:val="21"/>
          <w:highlight w:val="none"/>
          <w:u w:val="single"/>
        </w:rPr>
      </w:pPr>
    </w:p>
    <w:p w14:paraId="1490252D">
      <w:pPr>
        <w:wordWrap w:val="0"/>
        <w:adjustRightInd w:val="0"/>
        <w:snapToGrid w:val="0"/>
        <w:rPr>
          <w:rFonts w:hint="eastAsia" w:hAnsi="宋体" w:cs="宋体"/>
          <w:color w:val="auto"/>
          <w:szCs w:val="21"/>
          <w:highlight w:val="none"/>
          <w:u w:val="single"/>
        </w:rPr>
      </w:pPr>
    </w:p>
    <w:p w14:paraId="3302B57D">
      <w:pPr>
        <w:wordWrap w:val="0"/>
        <w:spacing w:line="360" w:lineRule="auto"/>
        <w:rPr>
          <w:rFonts w:hAnsi="宋体" w:cs="宋体"/>
          <w:b/>
          <w:color w:val="auto"/>
          <w:szCs w:val="21"/>
          <w:highlight w:val="none"/>
        </w:rPr>
      </w:pPr>
      <w:r>
        <w:rPr>
          <w:rFonts w:hint="eastAsia" w:hAnsi="宋体" w:cs="宋体"/>
          <w:b/>
          <w:color w:val="auto"/>
          <w:szCs w:val="21"/>
          <w:highlight w:val="none"/>
        </w:rPr>
        <w:t>备注：</w:t>
      </w:r>
    </w:p>
    <w:p w14:paraId="55546F9A">
      <w:pPr>
        <w:wordWrap w:val="0"/>
        <w:spacing w:line="360" w:lineRule="auto"/>
        <w:rPr>
          <w:rFonts w:hAnsi="宋体" w:cs="宋体"/>
          <w:b/>
          <w:color w:val="auto"/>
          <w:szCs w:val="21"/>
          <w:highlight w:val="none"/>
        </w:rPr>
      </w:pPr>
      <w:r>
        <w:rPr>
          <w:rFonts w:hint="eastAsia" w:hAnsi="宋体" w:cs="宋体"/>
          <w:b/>
          <w:color w:val="auto"/>
          <w:szCs w:val="21"/>
          <w:highlight w:val="none"/>
        </w:rPr>
        <w:t>1、“招标文件实质性条款号及内容”栏中所列内容均为实质性条款，投标文件对实质性条款的响应存在缺项、漏项或者任意一项不响应招标文件的，投标将被否决。</w:t>
      </w:r>
    </w:p>
    <w:p w14:paraId="60A79DD8">
      <w:pPr>
        <w:wordWrap w:val="0"/>
        <w:spacing w:line="360" w:lineRule="auto"/>
        <w:rPr>
          <w:rFonts w:hAnsi="宋体" w:cs="宋体"/>
          <w:color w:val="auto"/>
          <w:szCs w:val="21"/>
          <w:highlight w:val="none"/>
        </w:rPr>
      </w:pPr>
      <w:r>
        <w:rPr>
          <w:rFonts w:hint="eastAsia" w:hAnsi="宋体" w:cs="宋体"/>
          <w:b/>
          <w:color w:val="auto"/>
          <w:szCs w:val="21"/>
          <w:highlight w:val="none"/>
        </w:rPr>
        <w:t>2、“投标文件响应条款号及内容”格式可以自行扩展，如需附页，附页内容须加盖投标人单位公章。</w:t>
      </w:r>
    </w:p>
    <w:p w14:paraId="7CA29C77">
      <w:pPr>
        <w:wordWrap w:val="0"/>
        <w:spacing w:line="360" w:lineRule="auto"/>
        <w:rPr>
          <w:rFonts w:hAnsi="宋体" w:cs="宋体"/>
          <w:color w:val="auto"/>
          <w:szCs w:val="21"/>
          <w:highlight w:val="none"/>
        </w:rPr>
      </w:pPr>
    </w:p>
    <w:p w14:paraId="00CD5C1E">
      <w:pPr>
        <w:wordWrap w:val="0"/>
        <w:spacing w:line="360" w:lineRule="auto"/>
        <w:rPr>
          <w:rFonts w:hAnsi="宋体" w:cs="宋体"/>
          <w:color w:val="auto"/>
          <w:szCs w:val="21"/>
          <w:highlight w:val="none"/>
        </w:rPr>
      </w:pPr>
    </w:p>
    <w:p w14:paraId="09A7CEE8">
      <w:pPr>
        <w:pStyle w:val="63"/>
        <w:wordWrap w:val="0"/>
        <w:rPr>
          <w:color w:val="auto"/>
          <w:highlight w:val="none"/>
        </w:rPr>
      </w:pPr>
    </w:p>
    <w:p w14:paraId="7E4B223B">
      <w:pPr>
        <w:wordWrap w:val="0"/>
        <w:spacing w:line="360" w:lineRule="auto"/>
        <w:rPr>
          <w:rFonts w:hAnsi="宋体" w:cs="宋体"/>
          <w:color w:val="auto"/>
          <w:szCs w:val="21"/>
          <w:highlight w:val="none"/>
          <w:u w:val="single"/>
        </w:rPr>
      </w:pPr>
      <w:r>
        <w:rPr>
          <w:rFonts w:hint="eastAsia" w:hAnsi="宋体" w:cs="宋体"/>
          <w:color w:val="auto"/>
          <w:szCs w:val="21"/>
          <w:highlight w:val="none"/>
        </w:rPr>
        <w:t>投标人：</w:t>
      </w:r>
      <w:r>
        <w:rPr>
          <w:rFonts w:hint="eastAsia" w:hAnsi="宋体" w:cs="宋体"/>
          <w:color w:val="auto"/>
          <w:szCs w:val="21"/>
          <w:highlight w:val="none"/>
          <w:u w:val="single"/>
        </w:rPr>
        <w:t xml:space="preserve">                  </w:t>
      </w:r>
      <w:r>
        <w:rPr>
          <w:rFonts w:hint="eastAsia" w:hAnsi="宋体" w:cs="宋体"/>
          <w:color w:val="auto"/>
          <w:szCs w:val="21"/>
          <w:highlight w:val="none"/>
        </w:rPr>
        <w:t>（盖单位公章）</w:t>
      </w:r>
    </w:p>
    <w:p w14:paraId="62FA6A05">
      <w:pPr>
        <w:tabs>
          <w:tab w:val="center" w:pos="4365"/>
        </w:tabs>
        <w:wordWrap w:val="0"/>
        <w:spacing w:line="360" w:lineRule="auto"/>
        <w:rPr>
          <w:rFonts w:hAnsi="宋体" w:cs="宋体"/>
          <w:color w:val="auto"/>
          <w:szCs w:val="21"/>
          <w:highlight w:val="none"/>
        </w:rPr>
      </w:pPr>
      <w:r>
        <w:rPr>
          <w:rFonts w:hint="eastAsia" w:hAnsi="宋体" w:cs="宋体"/>
          <w:bCs/>
          <w:color w:val="auto"/>
          <w:szCs w:val="21"/>
          <w:highlight w:val="none"/>
          <w:u w:val="single"/>
        </w:rPr>
        <w:t xml:space="preserve">     </w:t>
      </w:r>
      <w:r>
        <w:rPr>
          <w:rFonts w:hint="eastAsia" w:hAnsi="宋体" w:cs="宋体"/>
          <w:bCs/>
          <w:color w:val="auto"/>
          <w:szCs w:val="21"/>
          <w:highlight w:val="none"/>
        </w:rPr>
        <w:t>年</w:t>
      </w:r>
      <w:r>
        <w:rPr>
          <w:rFonts w:hint="eastAsia" w:hAnsi="宋体" w:cs="宋体"/>
          <w:bCs/>
          <w:color w:val="auto"/>
          <w:szCs w:val="21"/>
          <w:highlight w:val="none"/>
          <w:u w:val="single"/>
        </w:rPr>
        <w:t xml:space="preserve">    </w:t>
      </w:r>
      <w:r>
        <w:rPr>
          <w:rFonts w:hint="eastAsia" w:hAnsi="宋体" w:cs="宋体"/>
          <w:bCs/>
          <w:color w:val="auto"/>
          <w:szCs w:val="21"/>
          <w:highlight w:val="none"/>
        </w:rPr>
        <w:t>月</w:t>
      </w:r>
      <w:r>
        <w:rPr>
          <w:rFonts w:hint="eastAsia" w:hAnsi="宋体" w:cs="宋体"/>
          <w:bCs/>
          <w:color w:val="auto"/>
          <w:szCs w:val="21"/>
          <w:highlight w:val="none"/>
          <w:u w:val="single"/>
        </w:rPr>
        <w:t xml:space="preserve">     </w:t>
      </w:r>
      <w:r>
        <w:rPr>
          <w:rFonts w:hint="eastAsia" w:hAnsi="宋体" w:cs="宋体"/>
          <w:bCs/>
          <w:color w:val="auto"/>
          <w:szCs w:val="21"/>
          <w:highlight w:val="none"/>
        </w:rPr>
        <w:t>日</w:t>
      </w:r>
    </w:p>
    <w:p w14:paraId="59C75A63">
      <w:pPr>
        <w:wordWrap/>
        <w:spacing w:before="0" w:line="240" w:lineRule="auto"/>
        <w:jc w:val="left"/>
        <w:outlineLvl w:val="9"/>
        <w:rPr>
          <w:rFonts w:hint="eastAsia" w:hAnsi="宋体" w:cs="宋体"/>
          <w:b/>
          <w:color w:val="auto"/>
          <w:sz w:val="28"/>
          <w:szCs w:val="28"/>
          <w:highlight w:val="none"/>
          <w:lang w:eastAsia="zh-CN"/>
        </w:rPr>
      </w:pPr>
      <w:r>
        <w:rPr>
          <w:rFonts w:hint="eastAsia" w:hAnsi="宋体" w:cs="宋体"/>
          <w:b/>
          <w:color w:val="auto"/>
          <w:sz w:val="28"/>
          <w:szCs w:val="28"/>
          <w:highlight w:val="none"/>
          <w:lang w:eastAsia="zh-CN"/>
        </w:rPr>
        <w:br w:type="page"/>
      </w:r>
    </w:p>
    <w:p w14:paraId="2FBED2F6">
      <w:pPr>
        <w:wordWrap w:val="0"/>
        <w:spacing w:line="360" w:lineRule="auto"/>
        <w:jc w:val="center"/>
        <w:outlineLvl w:val="1"/>
        <w:rPr>
          <w:rFonts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rPr>
        <w:t>十、商务和技术偏差表</w:t>
      </w:r>
    </w:p>
    <w:p w14:paraId="2FBB9251">
      <w:pPr>
        <w:wordWrap w:val="0"/>
        <w:adjustRightInd w:val="0"/>
        <w:snapToGrid w:val="0"/>
        <w:rPr>
          <w:rFonts w:hint="eastAsia" w:ascii="Times New Roman" w:hAnsi="宋体" w:eastAsia="宋体" w:cs="宋体"/>
          <w:b/>
          <w:bCs/>
          <w:color w:val="auto"/>
          <w:szCs w:val="21"/>
          <w:highlight w:val="none"/>
          <w:lang w:eastAsia="zh-CN"/>
        </w:rPr>
      </w:pPr>
      <w:r>
        <w:rPr>
          <w:rFonts w:hint="eastAsia" w:hAnsi="宋体" w:cs="宋体"/>
          <w:b/>
          <w:bCs/>
          <w:color w:val="auto"/>
          <w:szCs w:val="21"/>
          <w:highlight w:val="none"/>
        </w:rPr>
        <w:t>项目名称</w:t>
      </w:r>
      <w:r>
        <w:rPr>
          <w:rFonts w:hint="eastAsia" w:ascii="Times New Roman" w:hAnsi="宋体" w:eastAsia="宋体" w:cs="宋体"/>
          <w:b/>
          <w:bCs/>
          <w:color w:val="auto"/>
          <w:szCs w:val="21"/>
          <w:highlight w:val="none"/>
        </w:rPr>
        <w:t>：</w:t>
      </w:r>
      <w:r>
        <w:rPr>
          <w:rFonts w:hint="eastAsia" w:ascii="Times New Roman" w:hAnsi="宋体" w:eastAsia="宋体" w:cs="宋体"/>
          <w:b/>
          <w:bCs/>
          <w:color w:val="auto"/>
          <w:szCs w:val="21"/>
          <w:highlight w:val="none"/>
          <w:lang w:val="en-US" w:eastAsia="zh-CN"/>
        </w:rPr>
        <w:t>2026-2028年员工食堂劳务外包、物资供应项目</w:t>
      </w:r>
      <w:r>
        <w:rPr>
          <w:rFonts w:hint="eastAsia" w:hAnsi="宋体" w:cs="宋体"/>
          <w:b/>
          <w:bCs/>
          <w:color w:val="auto"/>
          <w:szCs w:val="21"/>
          <w:highlight w:val="none"/>
          <w:u w:val="single"/>
          <w:lang w:val="en-US" w:eastAsia="zh-CN"/>
        </w:rPr>
        <w:t>一标段</w:t>
      </w:r>
    </w:p>
    <w:tbl>
      <w:tblPr>
        <w:tblStyle w:val="6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31"/>
        <w:gridCol w:w="3251"/>
        <w:gridCol w:w="3407"/>
        <w:gridCol w:w="1134"/>
        <w:gridCol w:w="1029"/>
      </w:tblGrid>
      <w:tr w14:paraId="1191D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7" w:hRule="exact"/>
        </w:trPr>
        <w:tc>
          <w:tcPr>
            <w:tcW w:w="477" w:type="pct"/>
            <w:vAlign w:val="center"/>
          </w:tcPr>
          <w:p w14:paraId="49DBCC60">
            <w:pPr>
              <w:wordWrap w:val="0"/>
              <w:jc w:val="center"/>
              <w:rPr>
                <w:rFonts w:ascii="Calibri" w:hAnsi="Calibri"/>
                <w:b/>
                <w:color w:val="auto"/>
                <w:sz w:val="22"/>
                <w:szCs w:val="22"/>
                <w:highlight w:val="none"/>
              </w:rPr>
            </w:pPr>
            <w:r>
              <w:rPr>
                <w:rFonts w:hint="eastAsia" w:ascii="Calibri" w:hAnsi="Calibri"/>
                <w:b/>
                <w:color w:val="auto"/>
                <w:sz w:val="22"/>
                <w:szCs w:val="22"/>
                <w:highlight w:val="none"/>
              </w:rPr>
              <w:t>序号</w:t>
            </w:r>
          </w:p>
        </w:tc>
        <w:tc>
          <w:tcPr>
            <w:tcW w:w="1666" w:type="pct"/>
            <w:vAlign w:val="center"/>
          </w:tcPr>
          <w:p w14:paraId="3153532D">
            <w:pPr>
              <w:wordWrap w:val="0"/>
              <w:jc w:val="center"/>
              <w:rPr>
                <w:rFonts w:ascii="Calibri" w:hAnsi="Calibri"/>
                <w:b/>
                <w:color w:val="auto"/>
                <w:sz w:val="22"/>
                <w:szCs w:val="22"/>
                <w:highlight w:val="none"/>
              </w:rPr>
            </w:pPr>
            <w:r>
              <w:rPr>
                <w:rFonts w:hint="eastAsia" w:ascii="Calibri" w:hAnsi="Calibri"/>
                <w:b/>
                <w:color w:val="auto"/>
                <w:sz w:val="22"/>
                <w:szCs w:val="22"/>
                <w:highlight w:val="none"/>
              </w:rPr>
              <w:t>招标文件章节及条款号</w:t>
            </w:r>
          </w:p>
        </w:tc>
        <w:tc>
          <w:tcPr>
            <w:tcW w:w="1746" w:type="pct"/>
            <w:vAlign w:val="center"/>
          </w:tcPr>
          <w:p w14:paraId="1C7B32CC">
            <w:pPr>
              <w:wordWrap w:val="0"/>
              <w:jc w:val="center"/>
              <w:rPr>
                <w:rFonts w:ascii="Calibri" w:hAnsi="Calibri"/>
                <w:b/>
                <w:color w:val="auto"/>
                <w:sz w:val="22"/>
                <w:szCs w:val="22"/>
                <w:highlight w:val="none"/>
              </w:rPr>
            </w:pPr>
            <w:r>
              <w:rPr>
                <w:rFonts w:hint="eastAsia" w:ascii="Calibri" w:hAnsi="Calibri"/>
                <w:b/>
                <w:color w:val="auto"/>
                <w:sz w:val="22"/>
                <w:szCs w:val="22"/>
                <w:highlight w:val="none"/>
              </w:rPr>
              <w:t>投标文件章节及条款号</w:t>
            </w:r>
          </w:p>
        </w:tc>
        <w:tc>
          <w:tcPr>
            <w:tcW w:w="581" w:type="pct"/>
            <w:tcBorders>
              <w:right w:val="single" w:color="auto" w:sz="4" w:space="0"/>
            </w:tcBorders>
            <w:vAlign w:val="center"/>
          </w:tcPr>
          <w:p w14:paraId="566C597E">
            <w:pPr>
              <w:wordWrap w:val="0"/>
              <w:jc w:val="center"/>
              <w:rPr>
                <w:rFonts w:ascii="Calibri" w:hAnsi="Calibri"/>
                <w:b/>
                <w:color w:val="auto"/>
                <w:sz w:val="22"/>
                <w:szCs w:val="22"/>
                <w:highlight w:val="none"/>
              </w:rPr>
            </w:pPr>
            <w:r>
              <w:rPr>
                <w:rFonts w:hint="eastAsia" w:ascii="Calibri" w:hAnsi="Calibri"/>
                <w:b/>
                <w:color w:val="auto"/>
                <w:sz w:val="22"/>
                <w:szCs w:val="22"/>
                <w:highlight w:val="none"/>
              </w:rPr>
              <w:t>响应/偏差</w:t>
            </w:r>
          </w:p>
        </w:tc>
        <w:tc>
          <w:tcPr>
            <w:tcW w:w="527" w:type="pct"/>
            <w:tcBorders>
              <w:left w:val="single" w:color="auto" w:sz="4" w:space="0"/>
            </w:tcBorders>
            <w:vAlign w:val="center"/>
          </w:tcPr>
          <w:p w14:paraId="112A0185">
            <w:pPr>
              <w:wordWrap w:val="0"/>
              <w:jc w:val="center"/>
              <w:rPr>
                <w:rFonts w:ascii="Calibri" w:hAnsi="Calibri"/>
                <w:b/>
                <w:color w:val="auto"/>
                <w:sz w:val="22"/>
                <w:szCs w:val="22"/>
                <w:highlight w:val="none"/>
              </w:rPr>
            </w:pPr>
            <w:r>
              <w:rPr>
                <w:rFonts w:hint="eastAsia" w:ascii="Calibri" w:hAnsi="Calibri"/>
                <w:b/>
                <w:color w:val="auto"/>
                <w:sz w:val="22"/>
                <w:szCs w:val="22"/>
                <w:highlight w:val="none"/>
              </w:rPr>
              <w:t>说明</w:t>
            </w:r>
          </w:p>
        </w:tc>
      </w:tr>
      <w:tr w14:paraId="28D32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exact"/>
        </w:trPr>
        <w:tc>
          <w:tcPr>
            <w:tcW w:w="477" w:type="pct"/>
            <w:vAlign w:val="center"/>
          </w:tcPr>
          <w:p w14:paraId="3B77785D">
            <w:pPr>
              <w:wordWrap w:val="0"/>
              <w:jc w:val="center"/>
              <w:rPr>
                <w:rFonts w:hint="eastAsia" w:ascii="Calibri" w:hAnsi="Calibri" w:eastAsia="宋体" w:cs="Times New Roman"/>
                <w:b/>
                <w:color w:val="auto"/>
                <w:sz w:val="22"/>
                <w:szCs w:val="22"/>
                <w:highlight w:val="none"/>
                <w:lang w:val="en-US" w:eastAsia="zh-CN"/>
              </w:rPr>
            </w:pPr>
            <w:r>
              <w:rPr>
                <w:rFonts w:hint="eastAsia" w:ascii="Calibri" w:hAnsi="Calibri" w:eastAsia="宋体" w:cs="Times New Roman"/>
                <w:b/>
                <w:color w:val="auto"/>
                <w:sz w:val="22"/>
                <w:szCs w:val="22"/>
                <w:highlight w:val="none"/>
                <w:lang w:val="en-US" w:eastAsia="zh-CN"/>
              </w:rPr>
              <w:t>1</w:t>
            </w:r>
          </w:p>
          <w:p w14:paraId="7E9819F3">
            <w:pPr>
              <w:wordWrap w:val="0"/>
              <w:jc w:val="center"/>
              <w:rPr>
                <w:rFonts w:hint="eastAsia" w:ascii="Calibri" w:hAnsi="Calibri" w:eastAsia="宋体" w:cs="Times New Roman"/>
                <w:b/>
                <w:color w:val="auto"/>
                <w:sz w:val="22"/>
                <w:szCs w:val="22"/>
                <w:highlight w:val="none"/>
                <w:lang w:val="en-US" w:eastAsia="zh-CN"/>
              </w:rPr>
            </w:pPr>
          </w:p>
          <w:p w14:paraId="1D49B47B">
            <w:pPr>
              <w:wordWrap w:val="0"/>
              <w:jc w:val="center"/>
              <w:rPr>
                <w:rFonts w:hint="eastAsia" w:ascii="Calibri" w:hAnsi="Calibri" w:eastAsia="宋体" w:cs="Times New Roman"/>
                <w:b/>
                <w:color w:val="auto"/>
                <w:sz w:val="22"/>
                <w:szCs w:val="22"/>
                <w:highlight w:val="none"/>
                <w:lang w:val="en-US" w:eastAsia="zh-CN"/>
              </w:rPr>
            </w:pPr>
          </w:p>
        </w:tc>
        <w:tc>
          <w:tcPr>
            <w:tcW w:w="1666" w:type="pct"/>
            <w:vAlign w:val="center"/>
          </w:tcPr>
          <w:p w14:paraId="7F8E9BFC">
            <w:pPr>
              <w:wordWrap w:val="0"/>
              <w:rPr>
                <w:rFonts w:ascii="Calibri" w:hAnsi="Calibri"/>
                <w:color w:val="auto"/>
                <w:sz w:val="22"/>
                <w:szCs w:val="22"/>
                <w:highlight w:val="none"/>
              </w:rPr>
            </w:pPr>
          </w:p>
        </w:tc>
        <w:tc>
          <w:tcPr>
            <w:tcW w:w="1746" w:type="pct"/>
            <w:vAlign w:val="center"/>
          </w:tcPr>
          <w:p w14:paraId="630AADB4">
            <w:pPr>
              <w:wordWrap w:val="0"/>
              <w:rPr>
                <w:rFonts w:ascii="Calibri" w:hAnsi="Calibri"/>
                <w:color w:val="auto"/>
                <w:sz w:val="22"/>
                <w:szCs w:val="22"/>
                <w:highlight w:val="none"/>
              </w:rPr>
            </w:pPr>
          </w:p>
        </w:tc>
        <w:tc>
          <w:tcPr>
            <w:tcW w:w="581" w:type="pct"/>
            <w:tcBorders>
              <w:right w:val="single" w:color="auto" w:sz="4" w:space="0"/>
            </w:tcBorders>
            <w:vAlign w:val="center"/>
          </w:tcPr>
          <w:p w14:paraId="412C8F99">
            <w:pPr>
              <w:wordWrap w:val="0"/>
              <w:rPr>
                <w:rFonts w:ascii="Calibri" w:hAnsi="Calibri"/>
                <w:color w:val="auto"/>
                <w:sz w:val="22"/>
                <w:szCs w:val="22"/>
                <w:highlight w:val="none"/>
              </w:rPr>
            </w:pPr>
          </w:p>
        </w:tc>
        <w:tc>
          <w:tcPr>
            <w:tcW w:w="527" w:type="pct"/>
            <w:tcBorders>
              <w:left w:val="single" w:color="auto" w:sz="4" w:space="0"/>
            </w:tcBorders>
            <w:vAlign w:val="center"/>
          </w:tcPr>
          <w:p w14:paraId="4FF7A4ED">
            <w:pPr>
              <w:wordWrap w:val="0"/>
              <w:rPr>
                <w:rFonts w:ascii="Calibri" w:hAnsi="Calibri"/>
                <w:color w:val="auto"/>
                <w:sz w:val="22"/>
                <w:szCs w:val="22"/>
                <w:highlight w:val="none"/>
              </w:rPr>
            </w:pPr>
          </w:p>
        </w:tc>
      </w:tr>
      <w:tr w14:paraId="074D4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477" w:type="pct"/>
            <w:vAlign w:val="center"/>
          </w:tcPr>
          <w:p w14:paraId="3539DFEA">
            <w:pPr>
              <w:wordWrap w:val="0"/>
              <w:jc w:val="center"/>
              <w:rPr>
                <w:rFonts w:hint="eastAsia" w:ascii="Calibri" w:hAnsi="Calibri" w:eastAsia="宋体" w:cs="Times New Roman"/>
                <w:b/>
                <w:color w:val="auto"/>
                <w:sz w:val="22"/>
                <w:szCs w:val="22"/>
                <w:highlight w:val="none"/>
                <w:lang w:val="en-US" w:eastAsia="zh-CN"/>
              </w:rPr>
            </w:pPr>
            <w:r>
              <w:rPr>
                <w:rFonts w:hint="eastAsia" w:ascii="Calibri" w:hAnsi="Calibri" w:eastAsia="宋体" w:cs="Times New Roman"/>
                <w:b/>
                <w:color w:val="auto"/>
                <w:sz w:val="22"/>
                <w:szCs w:val="22"/>
                <w:highlight w:val="none"/>
                <w:lang w:val="en-US" w:eastAsia="zh-CN"/>
              </w:rPr>
              <w:t>2</w:t>
            </w:r>
          </w:p>
          <w:p w14:paraId="554CDC07">
            <w:pPr>
              <w:wordWrap w:val="0"/>
              <w:jc w:val="center"/>
              <w:rPr>
                <w:rFonts w:hint="eastAsia" w:ascii="Calibri" w:hAnsi="Calibri" w:eastAsia="宋体" w:cs="Times New Roman"/>
                <w:b/>
                <w:color w:val="auto"/>
                <w:sz w:val="22"/>
                <w:szCs w:val="22"/>
                <w:highlight w:val="none"/>
              </w:rPr>
            </w:pPr>
          </w:p>
        </w:tc>
        <w:tc>
          <w:tcPr>
            <w:tcW w:w="1666" w:type="pct"/>
            <w:vAlign w:val="center"/>
          </w:tcPr>
          <w:p w14:paraId="1BE4C915">
            <w:pPr>
              <w:wordWrap w:val="0"/>
              <w:rPr>
                <w:rFonts w:ascii="Calibri" w:hAnsi="Calibri"/>
                <w:color w:val="auto"/>
                <w:sz w:val="22"/>
                <w:szCs w:val="22"/>
                <w:highlight w:val="none"/>
              </w:rPr>
            </w:pPr>
          </w:p>
        </w:tc>
        <w:tc>
          <w:tcPr>
            <w:tcW w:w="1746" w:type="pct"/>
            <w:vAlign w:val="center"/>
          </w:tcPr>
          <w:p w14:paraId="57D4A24C">
            <w:pPr>
              <w:wordWrap w:val="0"/>
              <w:rPr>
                <w:rFonts w:ascii="Calibri" w:hAnsi="Calibri"/>
                <w:color w:val="auto"/>
                <w:sz w:val="22"/>
                <w:szCs w:val="22"/>
                <w:highlight w:val="none"/>
              </w:rPr>
            </w:pPr>
          </w:p>
        </w:tc>
        <w:tc>
          <w:tcPr>
            <w:tcW w:w="581" w:type="pct"/>
            <w:tcBorders>
              <w:right w:val="single" w:color="auto" w:sz="4" w:space="0"/>
            </w:tcBorders>
            <w:vAlign w:val="center"/>
          </w:tcPr>
          <w:p w14:paraId="75738E45">
            <w:pPr>
              <w:wordWrap w:val="0"/>
              <w:rPr>
                <w:rFonts w:ascii="Calibri" w:hAnsi="Calibri"/>
                <w:color w:val="auto"/>
                <w:sz w:val="22"/>
                <w:szCs w:val="22"/>
                <w:highlight w:val="none"/>
              </w:rPr>
            </w:pPr>
          </w:p>
        </w:tc>
        <w:tc>
          <w:tcPr>
            <w:tcW w:w="527" w:type="pct"/>
            <w:tcBorders>
              <w:left w:val="single" w:color="auto" w:sz="4" w:space="0"/>
            </w:tcBorders>
            <w:vAlign w:val="center"/>
          </w:tcPr>
          <w:p w14:paraId="42187B89">
            <w:pPr>
              <w:wordWrap w:val="0"/>
              <w:rPr>
                <w:rFonts w:ascii="Calibri" w:hAnsi="Calibri"/>
                <w:color w:val="auto"/>
                <w:sz w:val="22"/>
                <w:szCs w:val="22"/>
                <w:highlight w:val="none"/>
              </w:rPr>
            </w:pPr>
          </w:p>
        </w:tc>
      </w:tr>
      <w:tr w14:paraId="7965B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477" w:type="pct"/>
            <w:vAlign w:val="center"/>
          </w:tcPr>
          <w:p w14:paraId="5C026719">
            <w:pPr>
              <w:wordWrap w:val="0"/>
              <w:jc w:val="center"/>
              <w:rPr>
                <w:rFonts w:hint="default" w:ascii="Calibri" w:hAnsi="Calibri" w:eastAsia="宋体" w:cs="Times New Roman"/>
                <w:b/>
                <w:color w:val="auto"/>
                <w:sz w:val="22"/>
                <w:szCs w:val="22"/>
                <w:highlight w:val="none"/>
                <w:lang w:val="en-US" w:eastAsia="zh-CN"/>
              </w:rPr>
            </w:pPr>
            <w:r>
              <w:rPr>
                <w:rFonts w:hint="eastAsia" w:ascii="Calibri" w:hAnsi="Calibri" w:eastAsia="宋体" w:cs="Times New Roman"/>
                <w:b/>
                <w:color w:val="auto"/>
                <w:sz w:val="22"/>
                <w:szCs w:val="22"/>
                <w:highlight w:val="none"/>
                <w:lang w:val="en-US" w:eastAsia="zh-CN"/>
              </w:rPr>
              <w:t>3</w:t>
            </w:r>
          </w:p>
          <w:p w14:paraId="01055736">
            <w:pPr>
              <w:wordWrap w:val="0"/>
              <w:jc w:val="center"/>
              <w:rPr>
                <w:rFonts w:hint="eastAsia" w:ascii="Calibri" w:hAnsi="Calibri" w:eastAsia="宋体" w:cs="Times New Roman"/>
                <w:b/>
                <w:color w:val="auto"/>
                <w:sz w:val="22"/>
                <w:szCs w:val="22"/>
                <w:highlight w:val="none"/>
              </w:rPr>
            </w:pPr>
          </w:p>
        </w:tc>
        <w:tc>
          <w:tcPr>
            <w:tcW w:w="1666" w:type="pct"/>
            <w:vAlign w:val="center"/>
          </w:tcPr>
          <w:p w14:paraId="387B4447">
            <w:pPr>
              <w:wordWrap w:val="0"/>
              <w:rPr>
                <w:rFonts w:ascii="Calibri" w:hAnsi="Calibri"/>
                <w:color w:val="auto"/>
                <w:sz w:val="22"/>
                <w:szCs w:val="22"/>
                <w:highlight w:val="none"/>
              </w:rPr>
            </w:pPr>
          </w:p>
        </w:tc>
        <w:tc>
          <w:tcPr>
            <w:tcW w:w="1746" w:type="pct"/>
            <w:vAlign w:val="center"/>
          </w:tcPr>
          <w:p w14:paraId="07A23B0A">
            <w:pPr>
              <w:wordWrap w:val="0"/>
              <w:rPr>
                <w:rFonts w:ascii="Calibri" w:hAnsi="Calibri"/>
                <w:color w:val="auto"/>
                <w:sz w:val="22"/>
                <w:szCs w:val="22"/>
                <w:highlight w:val="none"/>
              </w:rPr>
            </w:pPr>
          </w:p>
        </w:tc>
        <w:tc>
          <w:tcPr>
            <w:tcW w:w="581" w:type="pct"/>
            <w:tcBorders>
              <w:right w:val="single" w:color="auto" w:sz="4" w:space="0"/>
            </w:tcBorders>
            <w:vAlign w:val="center"/>
          </w:tcPr>
          <w:p w14:paraId="06903F52">
            <w:pPr>
              <w:wordWrap w:val="0"/>
              <w:rPr>
                <w:rFonts w:ascii="Calibri" w:hAnsi="Calibri"/>
                <w:color w:val="auto"/>
                <w:sz w:val="22"/>
                <w:szCs w:val="22"/>
                <w:highlight w:val="none"/>
              </w:rPr>
            </w:pPr>
          </w:p>
        </w:tc>
        <w:tc>
          <w:tcPr>
            <w:tcW w:w="527" w:type="pct"/>
            <w:tcBorders>
              <w:left w:val="single" w:color="auto" w:sz="4" w:space="0"/>
            </w:tcBorders>
            <w:vAlign w:val="center"/>
          </w:tcPr>
          <w:p w14:paraId="2651A429">
            <w:pPr>
              <w:wordWrap w:val="0"/>
              <w:rPr>
                <w:rFonts w:ascii="Calibri" w:hAnsi="Calibri"/>
                <w:color w:val="auto"/>
                <w:sz w:val="22"/>
                <w:szCs w:val="22"/>
                <w:highlight w:val="none"/>
              </w:rPr>
            </w:pPr>
          </w:p>
        </w:tc>
      </w:tr>
      <w:tr w14:paraId="237694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477" w:type="pct"/>
            <w:vAlign w:val="center"/>
          </w:tcPr>
          <w:p w14:paraId="6760ABF4">
            <w:pPr>
              <w:wordWrap w:val="0"/>
              <w:jc w:val="center"/>
              <w:rPr>
                <w:rFonts w:hint="default" w:ascii="Calibri" w:hAnsi="Calibri" w:eastAsia="宋体" w:cs="Times New Roman"/>
                <w:b/>
                <w:color w:val="auto"/>
                <w:sz w:val="22"/>
                <w:szCs w:val="22"/>
                <w:highlight w:val="none"/>
                <w:lang w:val="en-US" w:eastAsia="zh-CN"/>
              </w:rPr>
            </w:pPr>
            <w:r>
              <w:rPr>
                <w:rFonts w:hint="eastAsia" w:ascii="Calibri" w:hAnsi="Calibri" w:eastAsia="宋体" w:cs="Times New Roman"/>
                <w:b/>
                <w:color w:val="auto"/>
                <w:sz w:val="22"/>
                <w:szCs w:val="22"/>
                <w:highlight w:val="none"/>
                <w:lang w:val="en-US" w:eastAsia="zh-CN"/>
              </w:rPr>
              <w:t>4</w:t>
            </w:r>
          </w:p>
          <w:p w14:paraId="7C400668">
            <w:pPr>
              <w:wordWrap w:val="0"/>
              <w:jc w:val="center"/>
              <w:rPr>
                <w:rFonts w:hint="eastAsia" w:ascii="Calibri" w:hAnsi="Calibri" w:eastAsia="宋体" w:cs="Times New Roman"/>
                <w:b/>
                <w:color w:val="auto"/>
                <w:sz w:val="22"/>
                <w:szCs w:val="22"/>
                <w:highlight w:val="none"/>
                <w:lang w:val="en-US" w:eastAsia="zh-CN"/>
              </w:rPr>
            </w:pPr>
          </w:p>
        </w:tc>
        <w:tc>
          <w:tcPr>
            <w:tcW w:w="1666" w:type="pct"/>
            <w:vAlign w:val="center"/>
          </w:tcPr>
          <w:p w14:paraId="6BD48DC9">
            <w:pPr>
              <w:wordWrap w:val="0"/>
              <w:rPr>
                <w:rFonts w:ascii="Calibri" w:hAnsi="Calibri"/>
                <w:color w:val="auto"/>
                <w:sz w:val="22"/>
                <w:szCs w:val="22"/>
                <w:highlight w:val="none"/>
              </w:rPr>
            </w:pPr>
          </w:p>
        </w:tc>
        <w:tc>
          <w:tcPr>
            <w:tcW w:w="1746" w:type="pct"/>
            <w:vAlign w:val="center"/>
          </w:tcPr>
          <w:p w14:paraId="469136FA">
            <w:pPr>
              <w:wordWrap w:val="0"/>
              <w:rPr>
                <w:rFonts w:ascii="Calibri" w:hAnsi="Calibri"/>
                <w:color w:val="auto"/>
                <w:sz w:val="22"/>
                <w:szCs w:val="22"/>
                <w:highlight w:val="none"/>
              </w:rPr>
            </w:pPr>
          </w:p>
        </w:tc>
        <w:tc>
          <w:tcPr>
            <w:tcW w:w="581" w:type="pct"/>
            <w:tcBorders>
              <w:right w:val="single" w:color="auto" w:sz="4" w:space="0"/>
            </w:tcBorders>
            <w:vAlign w:val="center"/>
          </w:tcPr>
          <w:p w14:paraId="1DBFF599">
            <w:pPr>
              <w:wordWrap w:val="0"/>
              <w:rPr>
                <w:rFonts w:ascii="Calibri" w:hAnsi="Calibri"/>
                <w:color w:val="auto"/>
                <w:sz w:val="22"/>
                <w:szCs w:val="22"/>
                <w:highlight w:val="none"/>
              </w:rPr>
            </w:pPr>
          </w:p>
        </w:tc>
        <w:tc>
          <w:tcPr>
            <w:tcW w:w="527" w:type="pct"/>
            <w:tcBorders>
              <w:left w:val="single" w:color="auto" w:sz="4" w:space="0"/>
            </w:tcBorders>
            <w:vAlign w:val="center"/>
          </w:tcPr>
          <w:p w14:paraId="7DEA1910">
            <w:pPr>
              <w:wordWrap w:val="0"/>
              <w:rPr>
                <w:rFonts w:ascii="Calibri" w:hAnsi="Calibri"/>
                <w:color w:val="auto"/>
                <w:sz w:val="22"/>
                <w:szCs w:val="22"/>
                <w:highlight w:val="none"/>
              </w:rPr>
            </w:pPr>
          </w:p>
        </w:tc>
      </w:tr>
      <w:tr w14:paraId="0C7B7E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477" w:type="pct"/>
            <w:vAlign w:val="center"/>
          </w:tcPr>
          <w:p w14:paraId="1C81F520">
            <w:pPr>
              <w:wordWrap w:val="0"/>
              <w:jc w:val="center"/>
              <w:rPr>
                <w:rFonts w:hint="eastAsia" w:ascii="Calibri" w:hAnsi="Calibri" w:eastAsia="宋体" w:cs="Times New Roman"/>
                <w:b/>
                <w:color w:val="auto"/>
                <w:sz w:val="22"/>
                <w:szCs w:val="22"/>
                <w:highlight w:val="none"/>
                <w:lang w:val="en-US" w:eastAsia="zh-CN"/>
              </w:rPr>
            </w:pPr>
            <w:r>
              <w:rPr>
                <w:rFonts w:hint="eastAsia" w:ascii="Calibri" w:hAnsi="Calibri" w:eastAsia="宋体" w:cs="Times New Roman"/>
                <w:b/>
                <w:color w:val="auto"/>
                <w:sz w:val="22"/>
                <w:szCs w:val="22"/>
                <w:highlight w:val="none"/>
                <w:lang w:val="en-US" w:eastAsia="zh-CN"/>
              </w:rPr>
              <w:t>5</w:t>
            </w:r>
          </w:p>
          <w:p w14:paraId="176164F3">
            <w:pPr>
              <w:wordWrap w:val="0"/>
              <w:jc w:val="center"/>
              <w:rPr>
                <w:rFonts w:hint="eastAsia" w:ascii="Calibri" w:hAnsi="Calibri" w:eastAsia="宋体" w:cs="Times New Roman"/>
                <w:b/>
                <w:color w:val="auto"/>
                <w:sz w:val="22"/>
                <w:szCs w:val="22"/>
                <w:highlight w:val="none"/>
              </w:rPr>
            </w:pPr>
          </w:p>
        </w:tc>
        <w:tc>
          <w:tcPr>
            <w:tcW w:w="1666" w:type="pct"/>
            <w:vAlign w:val="center"/>
          </w:tcPr>
          <w:p w14:paraId="017C097D">
            <w:pPr>
              <w:wordWrap w:val="0"/>
              <w:rPr>
                <w:rFonts w:ascii="Calibri" w:hAnsi="Calibri"/>
                <w:color w:val="auto"/>
                <w:sz w:val="22"/>
                <w:szCs w:val="22"/>
                <w:highlight w:val="none"/>
              </w:rPr>
            </w:pPr>
          </w:p>
        </w:tc>
        <w:tc>
          <w:tcPr>
            <w:tcW w:w="1746" w:type="pct"/>
            <w:vAlign w:val="center"/>
          </w:tcPr>
          <w:p w14:paraId="2CDF8376">
            <w:pPr>
              <w:wordWrap w:val="0"/>
              <w:rPr>
                <w:rFonts w:ascii="Calibri" w:hAnsi="Calibri"/>
                <w:color w:val="auto"/>
                <w:sz w:val="22"/>
                <w:szCs w:val="22"/>
                <w:highlight w:val="none"/>
              </w:rPr>
            </w:pPr>
          </w:p>
        </w:tc>
        <w:tc>
          <w:tcPr>
            <w:tcW w:w="581" w:type="pct"/>
            <w:tcBorders>
              <w:right w:val="single" w:color="auto" w:sz="4" w:space="0"/>
            </w:tcBorders>
            <w:vAlign w:val="center"/>
          </w:tcPr>
          <w:p w14:paraId="7FDC809F">
            <w:pPr>
              <w:wordWrap w:val="0"/>
              <w:rPr>
                <w:rFonts w:ascii="Calibri" w:hAnsi="Calibri"/>
                <w:color w:val="auto"/>
                <w:sz w:val="22"/>
                <w:szCs w:val="22"/>
                <w:highlight w:val="none"/>
              </w:rPr>
            </w:pPr>
          </w:p>
        </w:tc>
        <w:tc>
          <w:tcPr>
            <w:tcW w:w="527" w:type="pct"/>
            <w:tcBorders>
              <w:left w:val="single" w:color="auto" w:sz="4" w:space="0"/>
            </w:tcBorders>
            <w:vAlign w:val="center"/>
          </w:tcPr>
          <w:p w14:paraId="000BD864">
            <w:pPr>
              <w:wordWrap w:val="0"/>
              <w:rPr>
                <w:rFonts w:ascii="Calibri" w:hAnsi="Calibri"/>
                <w:color w:val="auto"/>
                <w:sz w:val="22"/>
                <w:szCs w:val="22"/>
                <w:highlight w:val="none"/>
              </w:rPr>
            </w:pPr>
          </w:p>
        </w:tc>
      </w:tr>
      <w:tr w14:paraId="5BD9C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exact"/>
        </w:trPr>
        <w:tc>
          <w:tcPr>
            <w:tcW w:w="477" w:type="pct"/>
            <w:vAlign w:val="center"/>
          </w:tcPr>
          <w:p w14:paraId="36246876">
            <w:pPr>
              <w:wordWrap w:val="0"/>
              <w:jc w:val="center"/>
              <w:rPr>
                <w:rFonts w:hint="eastAsia" w:ascii="Calibri" w:hAnsi="Calibri" w:eastAsia="宋体" w:cs="Times New Roman"/>
                <w:b/>
                <w:color w:val="auto"/>
                <w:sz w:val="22"/>
                <w:szCs w:val="22"/>
                <w:highlight w:val="none"/>
                <w:lang w:val="en-US" w:eastAsia="zh-CN"/>
              </w:rPr>
            </w:pPr>
            <w:r>
              <w:rPr>
                <w:rFonts w:hint="eastAsia" w:ascii="Calibri" w:hAnsi="Calibri" w:eastAsia="宋体" w:cs="Times New Roman"/>
                <w:b/>
                <w:color w:val="auto"/>
                <w:sz w:val="22"/>
                <w:szCs w:val="22"/>
                <w:highlight w:val="none"/>
                <w:lang w:val="en-US" w:eastAsia="zh-CN"/>
              </w:rPr>
              <w:t>6</w:t>
            </w:r>
          </w:p>
        </w:tc>
        <w:tc>
          <w:tcPr>
            <w:tcW w:w="1666" w:type="pct"/>
            <w:vAlign w:val="center"/>
          </w:tcPr>
          <w:p w14:paraId="23288FC1">
            <w:pPr>
              <w:wordWrap w:val="0"/>
              <w:rPr>
                <w:rFonts w:ascii="Calibri" w:hAnsi="Calibri"/>
                <w:color w:val="auto"/>
                <w:sz w:val="22"/>
                <w:szCs w:val="22"/>
                <w:highlight w:val="none"/>
              </w:rPr>
            </w:pPr>
          </w:p>
        </w:tc>
        <w:tc>
          <w:tcPr>
            <w:tcW w:w="1746" w:type="pct"/>
            <w:vAlign w:val="center"/>
          </w:tcPr>
          <w:p w14:paraId="49E9CCD9">
            <w:pPr>
              <w:wordWrap w:val="0"/>
              <w:rPr>
                <w:rFonts w:ascii="Calibri" w:hAnsi="Calibri"/>
                <w:color w:val="auto"/>
                <w:sz w:val="22"/>
                <w:szCs w:val="22"/>
                <w:highlight w:val="none"/>
              </w:rPr>
            </w:pPr>
          </w:p>
        </w:tc>
        <w:tc>
          <w:tcPr>
            <w:tcW w:w="581" w:type="pct"/>
            <w:tcBorders>
              <w:right w:val="single" w:color="auto" w:sz="4" w:space="0"/>
            </w:tcBorders>
            <w:vAlign w:val="center"/>
          </w:tcPr>
          <w:p w14:paraId="16F06A2A">
            <w:pPr>
              <w:wordWrap w:val="0"/>
              <w:rPr>
                <w:rFonts w:ascii="Calibri" w:hAnsi="Calibri"/>
                <w:color w:val="auto"/>
                <w:sz w:val="22"/>
                <w:szCs w:val="22"/>
                <w:highlight w:val="none"/>
              </w:rPr>
            </w:pPr>
          </w:p>
        </w:tc>
        <w:tc>
          <w:tcPr>
            <w:tcW w:w="527" w:type="pct"/>
            <w:tcBorders>
              <w:left w:val="single" w:color="auto" w:sz="4" w:space="0"/>
            </w:tcBorders>
            <w:vAlign w:val="center"/>
          </w:tcPr>
          <w:p w14:paraId="26C0B530">
            <w:pPr>
              <w:wordWrap w:val="0"/>
              <w:rPr>
                <w:rFonts w:ascii="Calibri" w:hAnsi="Calibri"/>
                <w:color w:val="auto"/>
                <w:sz w:val="22"/>
                <w:szCs w:val="22"/>
                <w:highlight w:val="none"/>
              </w:rPr>
            </w:pPr>
          </w:p>
        </w:tc>
      </w:tr>
    </w:tbl>
    <w:p w14:paraId="67B97EDE">
      <w:pPr>
        <w:wordWrap w:val="0"/>
        <w:spacing w:line="360" w:lineRule="auto"/>
        <w:rPr>
          <w:rFonts w:hAnsi="宋体" w:cs="宋体"/>
          <w:color w:val="auto"/>
          <w:szCs w:val="21"/>
          <w:highlight w:val="none"/>
        </w:rPr>
      </w:pPr>
      <w:r>
        <w:rPr>
          <w:rFonts w:hint="eastAsia" w:hAnsi="宋体" w:cs="宋体"/>
          <w:b/>
          <w:color w:val="auto"/>
          <w:szCs w:val="21"/>
          <w:highlight w:val="none"/>
        </w:rPr>
        <w:t>备注：</w:t>
      </w:r>
      <w:r>
        <w:rPr>
          <w:rFonts w:hint="eastAsia" w:hAnsi="宋体" w:cs="宋体"/>
          <w:color w:val="auto"/>
          <w:szCs w:val="21"/>
          <w:highlight w:val="none"/>
        </w:rPr>
        <w:t>1、按招标文件规定，投标人在本表中仅列明对非实质性要求和条件的有偏差的内容。</w:t>
      </w:r>
    </w:p>
    <w:p w14:paraId="39572935">
      <w:pPr>
        <w:wordWrap w:val="0"/>
        <w:spacing w:line="360" w:lineRule="auto"/>
        <w:ind w:firstLine="630" w:firstLineChars="300"/>
        <w:rPr>
          <w:rFonts w:hAnsi="宋体" w:cs="宋体"/>
          <w:color w:val="auto"/>
          <w:szCs w:val="21"/>
          <w:highlight w:val="none"/>
        </w:rPr>
      </w:pPr>
      <w:r>
        <w:rPr>
          <w:rFonts w:hint="eastAsia" w:hAnsi="宋体" w:cs="宋体"/>
          <w:color w:val="auto"/>
          <w:szCs w:val="21"/>
          <w:highlight w:val="none"/>
        </w:rPr>
        <w:t>2、除本表列明的偏差内容外，视为投标人响应招标文件的全部要求和条件。若投标文件中有偏差内容未在本表中列明的，评标委员会有权</w:t>
      </w:r>
      <w:r>
        <w:rPr>
          <w:rFonts w:hint="eastAsia" w:hAnsi="宋体" w:cs="宋体"/>
          <w:b/>
          <w:bCs/>
          <w:color w:val="auto"/>
          <w:szCs w:val="21"/>
          <w:highlight w:val="none"/>
        </w:rPr>
        <w:t>否决</w:t>
      </w:r>
      <w:r>
        <w:rPr>
          <w:rFonts w:hint="eastAsia" w:hAnsi="宋体" w:cs="宋体"/>
          <w:color w:val="auto"/>
          <w:szCs w:val="21"/>
          <w:highlight w:val="none"/>
        </w:rPr>
        <w:t>其投标或招标人有权取消其中标资格。</w:t>
      </w:r>
    </w:p>
    <w:p w14:paraId="6EB480F3">
      <w:pPr>
        <w:wordWrap w:val="0"/>
        <w:spacing w:line="360" w:lineRule="auto"/>
        <w:ind w:firstLine="630" w:firstLineChars="300"/>
        <w:rPr>
          <w:rFonts w:hAnsi="宋体" w:cs="宋体"/>
          <w:color w:val="auto"/>
          <w:szCs w:val="21"/>
          <w:highlight w:val="none"/>
        </w:rPr>
      </w:pPr>
      <w:r>
        <w:rPr>
          <w:rFonts w:hint="eastAsia" w:hAnsi="宋体" w:cs="宋体"/>
          <w:color w:val="auto"/>
          <w:szCs w:val="21"/>
          <w:highlight w:val="none"/>
        </w:rPr>
        <w:t>3、若投标人完全响应招标文件商务、技术要求，无任何偏差内容，应在本表“偏差说明”中注明“完全响应，无偏差”，其他内容无须填写。</w:t>
      </w:r>
    </w:p>
    <w:p w14:paraId="15F8AA57">
      <w:pPr>
        <w:wordWrap w:val="0"/>
        <w:spacing w:line="360" w:lineRule="auto"/>
        <w:rPr>
          <w:rFonts w:hAnsi="宋体" w:cs="宋体"/>
          <w:color w:val="auto"/>
          <w:szCs w:val="21"/>
          <w:highlight w:val="none"/>
        </w:rPr>
      </w:pPr>
    </w:p>
    <w:p w14:paraId="665271DE">
      <w:pPr>
        <w:wordWrap w:val="0"/>
        <w:spacing w:line="360" w:lineRule="auto"/>
        <w:rPr>
          <w:rFonts w:hAnsi="宋体" w:cs="宋体"/>
          <w:color w:val="auto"/>
          <w:szCs w:val="21"/>
          <w:highlight w:val="none"/>
        </w:rPr>
      </w:pPr>
    </w:p>
    <w:p w14:paraId="38AD1F1F">
      <w:pPr>
        <w:wordWrap w:val="0"/>
        <w:spacing w:line="360" w:lineRule="auto"/>
        <w:rPr>
          <w:rFonts w:hAnsi="宋体" w:cs="宋体"/>
          <w:color w:val="auto"/>
          <w:szCs w:val="21"/>
          <w:highlight w:val="none"/>
        </w:rPr>
      </w:pPr>
    </w:p>
    <w:p w14:paraId="6A6C6D74">
      <w:pPr>
        <w:wordWrap w:val="0"/>
        <w:spacing w:line="360" w:lineRule="auto"/>
        <w:outlineLvl w:val="9"/>
        <w:rPr>
          <w:rFonts w:hAnsi="宋体" w:cs="宋体"/>
          <w:color w:val="auto"/>
          <w:szCs w:val="21"/>
          <w:highlight w:val="none"/>
          <w:u w:val="single"/>
        </w:rPr>
      </w:pPr>
      <w:r>
        <w:rPr>
          <w:rFonts w:hint="eastAsia" w:hAnsi="宋体" w:cs="宋体"/>
          <w:color w:val="auto"/>
          <w:szCs w:val="21"/>
          <w:highlight w:val="none"/>
        </w:rPr>
        <w:t>投标人：</w:t>
      </w:r>
      <w:r>
        <w:rPr>
          <w:rFonts w:hint="eastAsia" w:hAnsi="宋体" w:cs="宋体"/>
          <w:color w:val="auto"/>
          <w:szCs w:val="21"/>
          <w:highlight w:val="none"/>
          <w:u w:val="single"/>
        </w:rPr>
        <w:t xml:space="preserve">                  </w:t>
      </w:r>
      <w:r>
        <w:rPr>
          <w:rFonts w:hint="eastAsia" w:hAnsi="宋体" w:cs="宋体"/>
          <w:color w:val="auto"/>
          <w:szCs w:val="21"/>
          <w:highlight w:val="none"/>
        </w:rPr>
        <w:t>（盖单位公章）</w:t>
      </w:r>
    </w:p>
    <w:p w14:paraId="59251263">
      <w:pPr>
        <w:wordWrap w:val="0"/>
        <w:spacing w:line="360" w:lineRule="auto"/>
        <w:jc w:val="both"/>
        <w:outlineLvl w:val="9"/>
        <w:rPr>
          <w:rFonts w:hint="eastAsia" w:hAnsi="宋体" w:cs="宋体"/>
          <w:bCs/>
          <w:color w:val="auto"/>
          <w:szCs w:val="21"/>
          <w:highlight w:val="none"/>
        </w:rPr>
      </w:pPr>
      <w:r>
        <w:rPr>
          <w:rFonts w:hint="eastAsia" w:hAnsi="宋体" w:cs="宋体"/>
          <w:bCs/>
          <w:color w:val="auto"/>
          <w:szCs w:val="21"/>
          <w:highlight w:val="none"/>
          <w:u w:val="single"/>
        </w:rPr>
        <w:t xml:space="preserve">     </w:t>
      </w:r>
      <w:r>
        <w:rPr>
          <w:rFonts w:hint="eastAsia" w:hAnsi="宋体" w:cs="宋体"/>
          <w:bCs/>
          <w:color w:val="auto"/>
          <w:szCs w:val="21"/>
          <w:highlight w:val="none"/>
        </w:rPr>
        <w:t>年</w:t>
      </w:r>
      <w:r>
        <w:rPr>
          <w:rFonts w:hint="eastAsia" w:hAnsi="宋体" w:cs="宋体"/>
          <w:bCs/>
          <w:color w:val="auto"/>
          <w:szCs w:val="21"/>
          <w:highlight w:val="none"/>
          <w:u w:val="single"/>
        </w:rPr>
        <w:t xml:space="preserve">    </w:t>
      </w:r>
      <w:r>
        <w:rPr>
          <w:rFonts w:hint="eastAsia" w:hAnsi="宋体" w:cs="宋体"/>
          <w:bCs/>
          <w:color w:val="auto"/>
          <w:szCs w:val="21"/>
          <w:highlight w:val="none"/>
        </w:rPr>
        <w:t>月</w:t>
      </w:r>
      <w:r>
        <w:rPr>
          <w:rFonts w:hint="eastAsia" w:hAnsi="宋体" w:cs="宋体"/>
          <w:bCs/>
          <w:color w:val="auto"/>
          <w:szCs w:val="21"/>
          <w:highlight w:val="none"/>
          <w:u w:val="single"/>
        </w:rPr>
        <w:t xml:space="preserve">     </w:t>
      </w:r>
      <w:r>
        <w:rPr>
          <w:rFonts w:hint="eastAsia" w:hAnsi="宋体" w:cs="宋体"/>
          <w:bCs/>
          <w:color w:val="auto"/>
          <w:szCs w:val="21"/>
          <w:highlight w:val="none"/>
        </w:rPr>
        <w:t>日</w:t>
      </w:r>
    </w:p>
    <w:p w14:paraId="319C0419">
      <w:pPr>
        <w:rPr>
          <w:rFonts w:hint="eastAsia"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rPr>
        <w:br w:type="page"/>
      </w:r>
    </w:p>
    <w:p w14:paraId="0445E69F">
      <w:pPr>
        <w:wordWrap w:val="0"/>
        <w:spacing w:line="360" w:lineRule="auto"/>
        <w:jc w:val="center"/>
        <w:outlineLvl w:val="1"/>
        <w:rPr>
          <w:rFonts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rPr>
        <w:t>十</w:t>
      </w:r>
      <w:r>
        <w:rPr>
          <w:rFonts w:hint="eastAsia" w:ascii="Calibri" w:hAnsi="宋体" w:cs="宋体"/>
          <w:b/>
          <w:snapToGrid w:val="0"/>
          <w:color w:val="auto"/>
          <w:kern w:val="0"/>
          <w:sz w:val="28"/>
          <w:szCs w:val="28"/>
          <w:highlight w:val="none"/>
          <w:lang w:val="en-US" w:eastAsia="zh-CN"/>
        </w:rPr>
        <w:t>一</w:t>
      </w:r>
      <w:r>
        <w:rPr>
          <w:rFonts w:hint="eastAsia" w:ascii="Calibri" w:hAnsi="宋体" w:cs="宋体"/>
          <w:b/>
          <w:snapToGrid w:val="0"/>
          <w:color w:val="auto"/>
          <w:kern w:val="0"/>
          <w:sz w:val="28"/>
          <w:szCs w:val="28"/>
          <w:highlight w:val="none"/>
        </w:rPr>
        <w:t>、</w:t>
      </w:r>
      <w:r>
        <w:rPr>
          <w:rFonts w:hint="eastAsia" w:ascii="Calibri" w:hAnsi="宋体" w:cs="宋体"/>
          <w:b/>
          <w:snapToGrid w:val="0"/>
          <w:color w:val="auto"/>
          <w:kern w:val="0"/>
          <w:sz w:val="28"/>
          <w:szCs w:val="28"/>
          <w:highlight w:val="none"/>
          <w:lang w:val="en-US" w:eastAsia="zh-CN"/>
        </w:rPr>
        <w:t>投标人类似业绩</w:t>
      </w:r>
    </w:p>
    <w:p w14:paraId="43D1723C">
      <w:pPr>
        <w:wordWrap w:val="0"/>
        <w:adjustRightInd w:val="0"/>
        <w:snapToGrid w:val="0"/>
        <w:spacing w:line="360" w:lineRule="auto"/>
        <w:rPr>
          <w:rFonts w:hint="default" w:ascii="宋体" w:hAnsi="宋体" w:eastAsia="宋体" w:cs="宋体"/>
          <w:b/>
          <w:bCs/>
          <w:color w:val="auto"/>
          <w:szCs w:val="21"/>
          <w:highlight w:val="none"/>
          <w:lang w:val="en-US" w:eastAsia="zh-CN"/>
        </w:rPr>
      </w:pPr>
      <w:r>
        <w:rPr>
          <w:rFonts w:hint="eastAsia" w:hAnsi="宋体" w:cs="宋体"/>
          <w:b/>
          <w:bCs/>
          <w:color w:val="auto"/>
          <w:szCs w:val="21"/>
          <w:highlight w:val="none"/>
        </w:rPr>
        <w:t>项目名称：</w:t>
      </w:r>
      <w:r>
        <w:rPr>
          <w:rFonts w:hint="eastAsia" w:ascii="Times New Roman" w:hAnsi="宋体" w:eastAsia="宋体" w:cs="宋体"/>
          <w:b/>
          <w:bCs/>
          <w:color w:val="auto"/>
          <w:szCs w:val="21"/>
          <w:highlight w:val="none"/>
          <w:lang w:val="en-US" w:eastAsia="zh-CN"/>
        </w:rPr>
        <w:t>2026-2028年员工食堂劳务外包、物资供应项目</w:t>
      </w:r>
      <w:r>
        <w:rPr>
          <w:rFonts w:hint="eastAsia" w:hAnsi="宋体" w:cs="宋体"/>
          <w:b/>
          <w:bCs/>
          <w:color w:val="auto"/>
          <w:szCs w:val="21"/>
          <w:highlight w:val="none"/>
          <w:u w:val="single"/>
          <w:lang w:val="en-US" w:eastAsia="zh-CN"/>
        </w:rPr>
        <w:t>一标段</w:t>
      </w:r>
    </w:p>
    <w:tbl>
      <w:tblPr>
        <w:tblStyle w:val="64"/>
        <w:tblW w:w="1014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97"/>
        <w:gridCol w:w="2210"/>
        <w:gridCol w:w="1887"/>
        <w:gridCol w:w="1791"/>
        <w:gridCol w:w="1657"/>
        <w:gridCol w:w="1006"/>
      </w:tblGrid>
      <w:tr w14:paraId="4460CB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6" w:hRule="atLeast"/>
          <w:jc w:val="center"/>
        </w:trPr>
        <w:tc>
          <w:tcPr>
            <w:tcW w:w="1597" w:type="dxa"/>
            <w:tcBorders>
              <w:tl2br w:val="nil"/>
              <w:tr2bl w:val="nil"/>
            </w:tcBorders>
            <w:vAlign w:val="center"/>
          </w:tcPr>
          <w:p w14:paraId="4A4ED173">
            <w:pPr>
              <w:ind w:left="315" w:leftChars="0" w:right="-10" w:rightChars="-5" w:hanging="315" w:hangingChars="150"/>
              <w:jc w:val="center"/>
              <w:rPr>
                <w:rFonts w:ascii="Times New Roman" w:hAnsi="宋体" w:eastAsia="宋体" w:cs="宋体"/>
                <w:color w:val="auto"/>
                <w:szCs w:val="21"/>
                <w:highlight w:val="none"/>
              </w:rPr>
            </w:pPr>
            <w:r>
              <w:rPr>
                <w:rFonts w:hint="eastAsia" w:ascii="宋体" w:hAnsi="宋体" w:cs="宋体"/>
                <w:color w:val="auto"/>
                <w:szCs w:val="21"/>
                <w:highlight w:val="none"/>
              </w:rPr>
              <w:t>项目名称</w:t>
            </w:r>
          </w:p>
        </w:tc>
        <w:tc>
          <w:tcPr>
            <w:tcW w:w="2210" w:type="dxa"/>
            <w:tcBorders>
              <w:tl2br w:val="nil"/>
              <w:tr2bl w:val="nil"/>
            </w:tcBorders>
            <w:vAlign w:val="center"/>
          </w:tcPr>
          <w:p w14:paraId="7587E444">
            <w:pPr>
              <w:ind w:left="315" w:leftChars="0" w:right="-10" w:rightChars="-5" w:hanging="315" w:hangingChars="150"/>
              <w:jc w:val="center"/>
              <w:rPr>
                <w:rFonts w:ascii="Times New Roman" w:hAnsi="宋体" w:eastAsia="宋体" w:cs="宋体"/>
                <w:color w:val="auto"/>
                <w:szCs w:val="21"/>
                <w:highlight w:val="none"/>
              </w:rPr>
            </w:pPr>
            <w:r>
              <w:rPr>
                <w:rFonts w:hint="eastAsia" w:hAnsi="宋体" w:cs="宋体"/>
                <w:color w:val="auto"/>
                <w:szCs w:val="21"/>
                <w:highlight w:val="none"/>
              </w:rPr>
              <w:t>招标人名称</w:t>
            </w:r>
          </w:p>
        </w:tc>
        <w:tc>
          <w:tcPr>
            <w:tcW w:w="1887" w:type="dxa"/>
            <w:tcBorders>
              <w:tl2br w:val="nil"/>
              <w:tr2bl w:val="nil"/>
            </w:tcBorders>
            <w:vAlign w:val="center"/>
          </w:tcPr>
          <w:p w14:paraId="4D313E70">
            <w:pPr>
              <w:ind w:left="315" w:leftChars="0" w:right="-10" w:rightChars="-5" w:hanging="315" w:hangingChars="150"/>
              <w:jc w:val="center"/>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业绩规模</w:t>
            </w:r>
          </w:p>
        </w:tc>
        <w:tc>
          <w:tcPr>
            <w:tcW w:w="1791" w:type="dxa"/>
            <w:tcBorders>
              <w:tl2br w:val="nil"/>
              <w:tr2bl w:val="nil"/>
            </w:tcBorders>
            <w:vAlign w:val="center"/>
          </w:tcPr>
          <w:p w14:paraId="5AB48698">
            <w:pPr>
              <w:ind w:left="315" w:leftChars="0" w:right="-10" w:rightChars="-5" w:hanging="315" w:hangingChars="150"/>
              <w:jc w:val="center"/>
              <w:rPr>
                <w:rFonts w:hint="default" w:ascii="Times New Roman"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合同金额（元）</w:t>
            </w:r>
          </w:p>
        </w:tc>
        <w:tc>
          <w:tcPr>
            <w:tcW w:w="1657" w:type="dxa"/>
            <w:tcBorders>
              <w:tl2br w:val="nil"/>
              <w:tr2bl w:val="nil"/>
            </w:tcBorders>
            <w:vAlign w:val="center"/>
          </w:tcPr>
          <w:p w14:paraId="479E50DD">
            <w:pPr>
              <w:ind w:left="315" w:leftChars="0" w:right="-10" w:rightChars="-5" w:hanging="315" w:hangingChars="150"/>
              <w:jc w:val="center"/>
              <w:rPr>
                <w:rFonts w:ascii="Times New Roman" w:hAnsi="宋体" w:eastAsia="宋体" w:cs="宋体"/>
                <w:color w:val="auto"/>
                <w:szCs w:val="21"/>
                <w:highlight w:val="none"/>
              </w:rPr>
            </w:pPr>
            <w:r>
              <w:rPr>
                <w:rFonts w:hint="eastAsia" w:hAnsi="宋体" w:cs="宋体"/>
                <w:color w:val="auto"/>
                <w:szCs w:val="21"/>
                <w:highlight w:val="none"/>
              </w:rPr>
              <w:t>合同签订时间</w:t>
            </w:r>
          </w:p>
        </w:tc>
        <w:tc>
          <w:tcPr>
            <w:tcW w:w="1006" w:type="dxa"/>
            <w:tcBorders>
              <w:tl2br w:val="nil"/>
              <w:tr2bl w:val="nil"/>
            </w:tcBorders>
            <w:vAlign w:val="center"/>
          </w:tcPr>
          <w:p w14:paraId="167109D0">
            <w:pPr>
              <w:ind w:left="315" w:leftChars="0" w:right="-10" w:rightChars="-5" w:hanging="315" w:hangingChars="150"/>
              <w:rPr>
                <w:rFonts w:hint="eastAsia" w:ascii="Times New Roman" w:hAnsi="宋体" w:eastAsia="宋体" w:cs="宋体"/>
                <w:color w:val="auto"/>
                <w:szCs w:val="21"/>
                <w:highlight w:val="none"/>
                <w:lang w:val="en-US" w:eastAsia="zh-CN"/>
              </w:rPr>
            </w:pPr>
            <w:r>
              <w:rPr>
                <w:rFonts w:hint="eastAsia" w:ascii="Times New Roman" w:hAnsi="宋体" w:eastAsia="宋体" w:cs="宋体"/>
                <w:color w:val="auto"/>
                <w:szCs w:val="21"/>
                <w:highlight w:val="none"/>
                <w:lang w:val="en-US" w:eastAsia="zh-CN"/>
              </w:rPr>
              <w:t>备注</w:t>
            </w:r>
          </w:p>
        </w:tc>
      </w:tr>
      <w:tr w14:paraId="09FB31D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0148" w:type="dxa"/>
            <w:gridSpan w:val="6"/>
            <w:tcBorders>
              <w:tl2br w:val="nil"/>
              <w:tr2bl w:val="nil"/>
            </w:tcBorders>
            <w:vAlign w:val="center"/>
          </w:tcPr>
          <w:p w14:paraId="27974D5D">
            <w:pPr>
              <w:wordWrap w:val="0"/>
              <w:jc w:val="both"/>
              <w:rPr>
                <w:rFonts w:hint="default" w:ascii="Times New Roman" w:hAnsi="宋体" w:eastAsia="宋体" w:cs="宋体"/>
                <w:color w:val="auto"/>
                <w:szCs w:val="21"/>
                <w:highlight w:val="none"/>
                <w:lang w:val="en-US" w:eastAsia="zh-CN"/>
              </w:rPr>
            </w:pPr>
            <w:r>
              <w:rPr>
                <w:rFonts w:hint="eastAsia" w:hAnsi="宋体" w:cs="宋体"/>
                <w:color w:val="auto"/>
                <w:szCs w:val="21"/>
                <w:highlight w:val="none"/>
                <w:lang w:val="en-US" w:eastAsia="zh-CN"/>
              </w:rPr>
              <w:t>一、投标人入围业绩</w:t>
            </w:r>
          </w:p>
        </w:tc>
      </w:tr>
      <w:tr w14:paraId="72E035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97" w:type="dxa"/>
            <w:tcBorders>
              <w:tl2br w:val="nil"/>
              <w:tr2bl w:val="nil"/>
            </w:tcBorders>
            <w:vAlign w:val="center"/>
          </w:tcPr>
          <w:p w14:paraId="58A61F84">
            <w:pPr>
              <w:wordWrap w:val="0"/>
              <w:jc w:val="center"/>
              <w:rPr>
                <w:rFonts w:ascii="Times New Roman" w:hAnsi="宋体" w:eastAsia="宋体" w:cs="宋体"/>
                <w:color w:val="auto"/>
                <w:szCs w:val="21"/>
                <w:highlight w:val="none"/>
              </w:rPr>
            </w:pPr>
          </w:p>
        </w:tc>
        <w:tc>
          <w:tcPr>
            <w:tcW w:w="2210" w:type="dxa"/>
            <w:tcBorders>
              <w:tl2br w:val="nil"/>
              <w:tr2bl w:val="nil"/>
            </w:tcBorders>
          </w:tcPr>
          <w:p w14:paraId="596E3FEA">
            <w:pPr>
              <w:wordWrap w:val="0"/>
              <w:jc w:val="center"/>
              <w:rPr>
                <w:rFonts w:ascii="Times New Roman" w:hAnsi="宋体" w:eastAsia="宋体" w:cs="宋体"/>
                <w:color w:val="auto"/>
                <w:szCs w:val="21"/>
                <w:highlight w:val="none"/>
              </w:rPr>
            </w:pPr>
          </w:p>
        </w:tc>
        <w:tc>
          <w:tcPr>
            <w:tcW w:w="1887" w:type="dxa"/>
            <w:tcBorders>
              <w:tl2br w:val="nil"/>
              <w:tr2bl w:val="nil"/>
            </w:tcBorders>
            <w:vAlign w:val="center"/>
          </w:tcPr>
          <w:p w14:paraId="21EE5252">
            <w:pPr>
              <w:wordWrap w:val="0"/>
              <w:jc w:val="center"/>
              <w:rPr>
                <w:rFonts w:ascii="Times New Roman" w:hAnsi="宋体" w:eastAsia="宋体" w:cs="宋体"/>
                <w:color w:val="auto"/>
                <w:szCs w:val="21"/>
                <w:highlight w:val="none"/>
              </w:rPr>
            </w:pPr>
          </w:p>
        </w:tc>
        <w:tc>
          <w:tcPr>
            <w:tcW w:w="1791" w:type="dxa"/>
            <w:tcBorders>
              <w:tl2br w:val="nil"/>
              <w:tr2bl w:val="nil"/>
            </w:tcBorders>
            <w:vAlign w:val="center"/>
          </w:tcPr>
          <w:p w14:paraId="7651A607">
            <w:pPr>
              <w:wordWrap w:val="0"/>
              <w:jc w:val="center"/>
              <w:rPr>
                <w:rFonts w:ascii="Times New Roman" w:hAnsi="宋体" w:eastAsia="宋体" w:cs="宋体"/>
                <w:color w:val="auto"/>
                <w:szCs w:val="21"/>
                <w:highlight w:val="none"/>
              </w:rPr>
            </w:pPr>
          </w:p>
        </w:tc>
        <w:tc>
          <w:tcPr>
            <w:tcW w:w="1657" w:type="dxa"/>
            <w:tcBorders>
              <w:tl2br w:val="nil"/>
              <w:tr2bl w:val="nil"/>
            </w:tcBorders>
            <w:vAlign w:val="center"/>
          </w:tcPr>
          <w:p w14:paraId="5E2E4769">
            <w:pPr>
              <w:wordWrap w:val="0"/>
              <w:jc w:val="center"/>
              <w:rPr>
                <w:rFonts w:ascii="Times New Roman" w:hAnsi="宋体" w:eastAsia="宋体" w:cs="宋体"/>
                <w:color w:val="auto"/>
                <w:szCs w:val="21"/>
                <w:highlight w:val="none"/>
              </w:rPr>
            </w:pPr>
          </w:p>
        </w:tc>
        <w:tc>
          <w:tcPr>
            <w:tcW w:w="1006" w:type="dxa"/>
            <w:tcBorders>
              <w:tl2br w:val="nil"/>
              <w:tr2bl w:val="nil"/>
            </w:tcBorders>
          </w:tcPr>
          <w:p w14:paraId="2B55ED87">
            <w:pPr>
              <w:wordWrap w:val="0"/>
              <w:jc w:val="center"/>
              <w:rPr>
                <w:rFonts w:ascii="Times New Roman" w:hAnsi="宋体" w:eastAsia="宋体" w:cs="宋体"/>
                <w:color w:val="auto"/>
                <w:szCs w:val="21"/>
                <w:highlight w:val="none"/>
              </w:rPr>
            </w:pPr>
          </w:p>
        </w:tc>
      </w:tr>
      <w:tr w14:paraId="5F4CF07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97" w:type="dxa"/>
            <w:tcBorders>
              <w:tl2br w:val="nil"/>
              <w:tr2bl w:val="nil"/>
            </w:tcBorders>
            <w:vAlign w:val="center"/>
          </w:tcPr>
          <w:p w14:paraId="25BE20D1">
            <w:pPr>
              <w:wordWrap w:val="0"/>
              <w:jc w:val="center"/>
              <w:rPr>
                <w:rFonts w:ascii="Times New Roman" w:hAnsi="宋体" w:eastAsia="宋体" w:cs="宋体"/>
                <w:color w:val="auto"/>
                <w:szCs w:val="21"/>
                <w:highlight w:val="none"/>
              </w:rPr>
            </w:pPr>
          </w:p>
        </w:tc>
        <w:tc>
          <w:tcPr>
            <w:tcW w:w="2210" w:type="dxa"/>
            <w:tcBorders>
              <w:tl2br w:val="nil"/>
              <w:tr2bl w:val="nil"/>
            </w:tcBorders>
          </w:tcPr>
          <w:p w14:paraId="665EE6E7">
            <w:pPr>
              <w:wordWrap w:val="0"/>
              <w:jc w:val="center"/>
              <w:rPr>
                <w:rFonts w:ascii="Times New Roman" w:hAnsi="宋体" w:eastAsia="宋体" w:cs="宋体"/>
                <w:color w:val="auto"/>
                <w:szCs w:val="21"/>
                <w:highlight w:val="none"/>
              </w:rPr>
            </w:pPr>
          </w:p>
        </w:tc>
        <w:tc>
          <w:tcPr>
            <w:tcW w:w="1887" w:type="dxa"/>
            <w:tcBorders>
              <w:tl2br w:val="nil"/>
              <w:tr2bl w:val="nil"/>
            </w:tcBorders>
            <w:vAlign w:val="center"/>
          </w:tcPr>
          <w:p w14:paraId="72076BF7">
            <w:pPr>
              <w:wordWrap w:val="0"/>
              <w:jc w:val="center"/>
              <w:rPr>
                <w:rFonts w:ascii="Times New Roman" w:hAnsi="宋体" w:eastAsia="宋体" w:cs="宋体"/>
                <w:color w:val="auto"/>
                <w:szCs w:val="21"/>
                <w:highlight w:val="none"/>
              </w:rPr>
            </w:pPr>
          </w:p>
        </w:tc>
        <w:tc>
          <w:tcPr>
            <w:tcW w:w="1791" w:type="dxa"/>
            <w:tcBorders>
              <w:tl2br w:val="nil"/>
              <w:tr2bl w:val="nil"/>
            </w:tcBorders>
            <w:vAlign w:val="center"/>
          </w:tcPr>
          <w:p w14:paraId="06A4DED3">
            <w:pPr>
              <w:wordWrap w:val="0"/>
              <w:jc w:val="center"/>
              <w:rPr>
                <w:rFonts w:ascii="Times New Roman" w:hAnsi="宋体" w:eastAsia="宋体" w:cs="宋体"/>
                <w:color w:val="auto"/>
                <w:szCs w:val="21"/>
                <w:highlight w:val="none"/>
              </w:rPr>
            </w:pPr>
          </w:p>
        </w:tc>
        <w:tc>
          <w:tcPr>
            <w:tcW w:w="1657" w:type="dxa"/>
            <w:tcBorders>
              <w:tl2br w:val="nil"/>
              <w:tr2bl w:val="nil"/>
            </w:tcBorders>
            <w:vAlign w:val="center"/>
          </w:tcPr>
          <w:p w14:paraId="43926B0B">
            <w:pPr>
              <w:wordWrap w:val="0"/>
              <w:jc w:val="center"/>
              <w:rPr>
                <w:rFonts w:ascii="Times New Roman" w:hAnsi="宋体" w:eastAsia="宋体" w:cs="宋体"/>
                <w:color w:val="auto"/>
                <w:szCs w:val="21"/>
                <w:highlight w:val="none"/>
              </w:rPr>
            </w:pPr>
          </w:p>
        </w:tc>
        <w:tc>
          <w:tcPr>
            <w:tcW w:w="1006" w:type="dxa"/>
            <w:tcBorders>
              <w:tl2br w:val="nil"/>
              <w:tr2bl w:val="nil"/>
            </w:tcBorders>
          </w:tcPr>
          <w:p w14:paraId="67FEC3B5">
            <w:pPr>
              <w:wordWrap w:val="0"/>
              <w:jc w:val="center"/>
              <w:rPr>
                <w:rFonts w:ascii="Times New Roman" w:hAnsi="宋体" w:eastAsia="宋体" w:cs="宋体"/>
                <w:color w:val="auto"/>
                <w:szCs w:val="21"/>
                <w:highlight w:val="none"/>
              </w:rPr>
            </w:pPr>
          </w:p>
        </w:tc>
      </w:tr>
      <w:tr w14:paraId="17B9D5E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10148" w:type="dxa"/>
            <w:gridSpan w:val="6"/>
            <w:tcBorders>
              <w:tl2br w:val="nil"/>
              <w:tr2bl w:val="nil"/>
            </w:tcBorders>
            <w:vAlign w:val="center"/>
          </w:tcPr>
          <w:p w14:paraId="363C39F8">
            <w:pPr>
              <w:wordWrap w:val="0"/>
              <w:jc w:val="both"/>
              <w:rPr>
                <w:rFonts w:hint="default" w:ascii="Times New Roman" w:hAnsi="宋体" w:eastAsia="宋体" w:cs="宋体"/>
                <w:color w:val="auto"/>
                <w:szCs w:val="21"/>
                <w:highlight w:val="none"/>
                <w:lang w:val="en-US" w:eastAsia="zh-CN"/>
              </w:rPr>
            </w:pPr>
            <w:r>
              <w:rPr>
                <w:rFonts w:hint="eastAsia" w:hAnsi="宋体" w:cs="宋体"/>
                <w:color w:val="auto"/>
                <w:szCs w:val="21"/>
                <w:highlight w:val="none"/>
                <w:lang w:val="en-US" w:eastAsia="zh-CN"/>
              </w:rPr>
              <w:t>二、投标人计分业绩</w:t>
            </w:r>
          </w:p>
        </w:tc>
      </w:tr>
      <w:tr w14:paraId="67F0A5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1597" w:type="dxa"/>
            <w:tcBorders>
              <w:tl2br w:val="nil"/>
              <w:tr2bl w:val="nil"/>
            </w:tcBorders>
            <w:vAlign w:val="center"/>
          </w:tcPr>
          <w:p w14:paraId="275B7A77">
            <w:pPr>
              <w:wordWrap w:val="0"/>
              <w:jc w:val="center"/>
              <w:rPr>
                <w:rFonts w:ascii="Times New Roman" w:hAnsi="宋体" w:eastAsia="宋体" w:cs="宋体"/>
                <w:color w:val="auto"/>
                <w:szCs w:val="21"/>
                <w:highlight w:val="none"/>
              </w:rPr>
            </w:pPr>
          </w:p>
        </w:tc>
        <w:tc>
          <w:tcPr>
            <w:tcW w:w="2210" w:type="dxa"/>
            <w:tcBorders>
              <w:tl2br w:val="nil"/>
              <w:tr2bl w:val="nil"/>
            </w:tcBorders>
          </w:tcPr>
          <w:p w14:paraId="4B4D2FEA">
            <w:pPr>
              <w:wordWrap w:val="0"/>
              <w:jc w:val="center"/>
              <w:rPr>
                <w:rFonts w:ascii="Times New Roman" w:hAnsi="宋体" w:eastAsia="宋体" w:cs="宋体"/>
                <w:color w:val="auto"/>
                <w:szCs w:val="21"/>
                <w:highlight w:val="none"/>
              </w:rPr>
            </w:pPr>
          </w:p>
        </w:tc>
        <w:tc>
          <w:tcPr>
            <w:tcW w:w="1887" w:type="dxa"/>
            <w:tcBorders>
              <w:tl2br w:val="nil"/>
              <w:tr2bl w:val="nil"/>
            </w:tcBorders>
            <w:vAlign w:val="center"/>
          </w:tcPr>
          <w:p w14:paraId="7F574568">
            <w:pPr>
              <w:wordWrap w:val="0"/>
              <w:jc w:val="center"/>
              <w:rPr>
                <w:rFonts w:ascii="Times New Roman" w:hAnsi="宋体" w:eastAsia="宋体" w:cs="宋体"/>
                <w:color w:val="auto"/>
                <w:szCs w:val="21"/>
                <w:highlight w:val="none"/>
              </w:rPr>
            </w:pPr>
          </w:p>
        </w:tc>
        <w:tc>
          <w:tcPr>
            <w:tcW w:w="1791" w:type="dxa"/>
            <w:tcBorders>
              <w:tl2br w:val="nil"/>
              <w:tr2bl w:val="nil"/>
            </w:tcBorders>
            <w:vAlign w:val="center"/>
          </w:tcPr>
          <w:p w14:paraId="5F6D55A0">
            <w:pPr>
              <w:wordWrap w:val="0"/>
              <w:jc w:val="center"/>
              <w:rPr>
                <w:rFonts w:ascii="Times New Roman" w:hAnsi="宋体" w:eastAsia="宋体" w:cs="宋体"/>
                <w:color w:val="auto"/>
                <w:szCs w:val="21"/>
                <w:highlight w:val="none"/>
              </w:rPr>
            </w:pPr>
          </w:p>
        </w:tc>
        <w:tc>
          <w:tcPr>
            <w:tcW w:w="1657" w:type="dxa"/>
            <w:tcBorders>
              <w:tl2br w:val="nil"/>
              <w:tr2bl w:val="nil"/>
            </w:tcBorders>
            <w:vAlign w:val="center"/>
          </w:tcPr>
          <w:p w14:paraId="73E463E4">
            <w:pPr>
              <w:wordWrap w:val="0"/>
              <w:jc w:val="center"/>
              <w:rPr>
                <w:rFonts w:ascii="Times New Roman" w:hAnsi="宋体" w:eastAsia="宋体" w:cs="宋体"/>
                <w:color w:val="auto"/>
                <w:szCs w:val="21"/>
                <w:highlight w:val="none"/>
              </w:rPr>
            </w:pPr>
          </w:p>
        </w:tc>
        <w:tc>
          <w:tcPr>
            <w:tcW w:w="1006" w:type="dxa"/>
            <w:tcBorders>
              <w:tl2br w:val="nil"/>
              <w:tr2bl w:val="nil"/>
            </w:tcBorders>
          </w:tcPr>
          <w:p w14:paraId="68F866EE">
            <w:pPr>
              <w:wordWrap w:val="0"/>
              <w:jc w:val="center"/>
              <w:rPr>
                <w:rFonts w:ascii="Times New Roman" w:hAnsi="宋体" w:eastAsia="宋体" w:cs="宋体"/>
                <w:color w:val="auto"/>
                <w:szCs w:val="21"/>
                <w:highlight w:val="none"/>
              </w:rPr>
            </w:pPr>
          </w:p>
        </w:tc>
      </w:tr>
      <w:tr w14:paraId="215D5C6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1597" w:type="dxa"/>
            <w:tcBorders>
              <w:tl2br w:val="nil"/>
              <w:tr2bl w:val="nil"/>
            </w:tcBorders>
            <w:vAlign w:val="center"/>
          </w:tcPr>
          <w:p w14:paraId="3E781CCE">
            <w:pPr>
              <w:wordWrap w:val="0"/>
              <w:jc w:val="center"/>
              <w:rPr>
                <w:rFonts w:ascii="Times New Roman" w:hAnsi="宋体" w:eastAsia="宋体" w:cs="宋体"/>
                <w:color w:val="auto"/>
                <w:szCs w:val="21"/>
                <w:highlight w:val="none"/>
              </w:rPr>
            </w:pPr>
          </w:p>
        </w:tc>
        <w:tc>
          <w:tcPr>
            <w:tcW w:w="2210" w:type="dxa"/>
            <w:tcBorders>
              <w:tl2br w:val="nil"/>
              <w:tr2bl w:val="nil"/>
            </w:tcBorders>
          </w:tcPr>
          <w:p w14:paraId="7B990DB5">
            <w:pPr>
              <w:wordWrap w:val="0"/>
              <w:jc w:val="center"/>
              <w:rPr>
                <w:rFonts w:ascii="Times New Roman" w:hAnsi="宋体" w:eastAsia="宋体" w:cs="宋体"/>
                <w:color w:val="auto"/>
                <w:szCs w:val="21"/>
                <w:highlight w:val="none"/>
              </w:rPr>
            </w:pPr>
          </w:p>
        </w:tc>
        <w:tc>
          <w:tcPr>
            <w:tcW w:w="1887" w:type="dxa"/>
            <w:tcBorders>
              <w:tl2br w:val="nil"/>
              <w:tr2bl w:val="nil"/>
            </w:tcBorders>
            <w:vAlign w:val="center"/>
          </w:tcPr>
          <w:p w14:paraId="2A85DBC9">
            <w:pPr>
              <w:wordWrap w:val="0"/>
              <w:jc w:val="center"/>
              <w:rPr>
                <w:rFonts w:ascii="Times New Roman" w:hAnsi="宋体" w:eastAsia="宋体" w:cs="宋体"/>
                <w:color w:val="auto"/>
                <w:szCs w:val="21"/>
                <w:highlight w:val="none"/>
              </w:rPr>
            </w:pPr>
          </w:p>
        </w:tc>
        <w:tc>
          <w:tcPr>
            <w:tcW w:w="1791" w:type="dxa"/>
            <w:tcBorders>
              <w:tl2br w:val="nil"/>
              <w:tr2bl w:val="nil"/>
            </w:tcBorders>
            <w:vAlign w:val="center"/>
          </w:tcPr>
          <w:p w14:paraId="0A019EEE">
            <w:pPr>
              <w:wordWrap w:val="0"/>
              <w:jc w:val="center"/>
              <w:rPr>
                <w:rFonts w:ascii="Times New Roman" w:hAnsi="宋体" w:eastAsia="宋体" w:cs="宋体"/>
                <w:color w:val="auto"/>
                <w:szCs w:val="21"/>
                <w:highlight w:val="none"/>
              </w:rPr>
            </w:pPr>
          </w:p>
        </w:tc>
        <w:tc>
          <w:tcPr>
            <w:tcW w:w="1657" w:type="dxa"/>
            <w:tcBorders>
              <w:tl2br w:val="nil"/>
              <w:tr2bl w:val="nil"/>
            </w:tcBorders>
            <w:vAlign w:val="center"/>
          </w:tcPr>
          <w:p w14:paraId="5D98ECAA">
            <w:pPr>
              <w:wordWrap w:val="0"/>
              <w:jc w:val="center"/>
              <w:rPr>
                <w:rFonts w:ascii="Times New Roman" w:hAnsi="宋体" w:eastAsia="宋体" w:cs="宋体"/>
                <w:color w:val="auto"/>
                <w:szCs w:val="21"/>
                <w:highlight w:val="none"/>
              </w:rPr>
            </w:pPr>
          </w:p>
        </w:tc>
        <w:tc>
          <w:tcPr>
            <w:tcW w:w="1006" w:type="dxa"/>
            <w:tcBorders>
              <w:tl2br w:val="nil"/>
              <w:tr2bl w:val="nil"/>
            </w:tcBorders>
          </w:tcPr>
          <w:p w14:paraId="05F8549E">
            <w:pPr>
              <w:wordWrap w:val="0"/>
              <w:jc w:val="center"/>
              <w:rPr>
                <w:rFonts w:ascii="Times New Roman" w:hAnsi="宋体" w:eastAsia="宋体" w:cs="宋体"/>
                <w:color w:val="auto"/>
                <w:szCs w:val="21"/>
                <w:highlight w:val="none"/>
              </w:rPr>
            </w:pPr>
          </w:p>
        </w:tc>
      </w:tr>
    </w:tbl>
    <w:p w14:paraId="09FA5AA7">
      <w:pPr>
        <w:wordWrap w:val="0"/>
        <w:adjustRightInd w:val="0"/>
        <w:snapToGrid w:val="0"/>
        <w:spacing w:line="360" w:lineRule="auto"/>
        <w:rPr>
          <w:rFonts w:hint="eastAsia" w:ascii="宋体" w:hAnsi="宋体" w:cs="宋体"/>
          <w:bCs/>
          <w:color w:val="auto"/>
          <w:szCs w:val="21"/>
          <w:highlight w:val="none"/>
        </w:rPr>
      </w:pPr>
    </w:p>
    <w:p w14:paraId="665CEEC7">
      <w:pPr>
        <w:wordWrap w:val="0"/>
        <w:spacing w:line="360" w:lineRule="auto"/>
        <w:rPr>
          <w:rFonts w:ascii="宋体" w:hAnsi="宋体" w:cs="宋体"/>
          <w:bCs/>
          <w:color w:val="auto"/>
          <w:szCs w:val="21"/>
          <w:highlight w:val="none"/>
        </w:rPr>
      </w:pPr>
      <w:r>
        <w:rPr>
          <w:rFonts w:hint="eastAsia" w:hAnsi="宋体" w:cs="宋体"/>
          <w:b/>
          <w:color w:val="auto"/>
          <w:szCs w:val="21"/>
          <w:highlight w:val="none"/>
        </w:rPr>
        <w:t>注：</w:t>
      </w:r>
      <w:r>
        <w:rPr>
          <w:rFonts w:hint="eastAsia" w:ascii="宋体" w:hAnsi="宋体" w:cs="宋体"/>
          <w:bCs/>
          <w:color w:val="auto"/>
          <w:szCs w:val="21"/>
          <w:highlight w:val="none"/>
        </w:rPr>
        <w:t>1、投标人应将提交的业绩情况按上表格式进行汇总填写，本表情况应与投标文件中所述情况一致，如投标人未如实、详细、正确填写本表，所造成一切后果由投标人自行承担。</w:t>
      </w:r>
    </w:p>
    <w:p w14:paraId="7C02027D">
      <w:pPr>
        <w:wordWrap w:val="0"/>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2、投标人业绩须按招标文件要求提供相关业绩证明材料，本表后须附业绩证明材料，具体要求按招标文件执行。</w:t>
      </w:r>
    </w:p>
    <w:p w14:paraId="13EBD715">
      <w:pPr>
        <w:wordWrap w:val="0"/>
        <w:spacing w:line="360" w:lineRule="auto"/>
        <w:ind w:firstLine="420" w:firstLineChars="200"/>
        <w:rPr>
          <w:rFonts w:ascii="宋体" w:hAnsi="宋体" w:cs="宋体"/>
          <w:bCs/>
          <w:color w:val="auto"/>
          <w:szCs w:val="21"/>
          <w:highlight w:val="none"/>
        </w:rPr>
      </w:pPr>
      <w:r>
        <w:rPr>
          <w:rFonts w:ascii="宋体" w:hAnsi="宋体" w:cs="宋体"/>
          <w:bCs/>
          <w:color w:val="auto"/>
          <w:szCs w:val="21"/>
          <w:highlight w:val="none"/>
        </w:rPr>
        <w:t>3</w:t>
      </w:r>
      <w:r>
        <w:rPr>
          <w:rFonts w:hint="eastAsia" w:ascii="宋体" w:hAnsi="宋体" w:cs="宋体"/>
          <w:bCs/>
          <w:color w:val="auto"/>
          <w:szCs w:val="21"/>
          <w:highlight w:val="none"/>
        </w:rPr>
        <w:t>、投标人必须将各项内容填写在投标文件各自相对应的目录中，未按要求填写的，相应责任由投标人自行承担。</w:t>
      </w:r>
    </w:p>
    <w:p w14:paraId="6439C65B">
      <w:pPr>
        <w:wordWrap w:val="0"/>
        <w:spacing w:after="120" w:line="360" w:lineRule="auto"/>
        <w:rPr>
          <w:color w:val="auto"/>
          <w:highlight w:val="none"/>
        </w:rPr>
      </w:pPr>
    </w:p>
    <w:p w14:paraId="2B50EB8E">
      <w:pPr>
        <w:wordWrap w:val="0"/>
        <w:spacing w:line="360" w:lineRule="auto"/>
        <w:rPr>
          <w:rFonts w:hAnsi="宋体" w:cs="宋体"/>
          <w:color w:val="auto"/>
          <w:szCs w:val="21"/>
          <w:highlight w:val="none"/>
          <w:u w:val="single"/>
        </w:rPr>
      </w:pPr>
      <w:r>
        <w:rPr>
          <w:rFonts w:hint="eastAsia" w:hAnsi="宋体" w:cs="宋体"/>
          <w:color w:val="auto"/>
          <w:szCs w:val="21"/>
          <w:highlight w:val="none"/>
        </w:rPr>
        <w:t>投标人：</w:t>
      </w:r>
      <w:r>
        <w:rPr>
          <w:rFonts w:hint="eastAsia" w:hAnsi="宋体" w:cs="宋体"/>
          <w:color w:val="auto"/>
          <w:szCs w:val="21"/>
          <w:highlight w:val="none"/>
          <w:u w:val="single"/>
        </w:rPr>
        <w:t xml:space="preserve">                  </w:t>
      </w:r>
      <w:r>
        <w:rPr>
          <w:rFonts w:hint="eastAsia" w:hAnsi="宋体" w:cs="宋体"/>
          <w:color w:val="auto"/>
          <w:szCs w:val="21"/>
          <w:highlight w:val="none"/>
        </w:rPr>
        <w:t>（盖单位公章）</w:t>
      </w:r>
    </w:p>
    <w:p w14:paraId="2349A271">
      <w:pPr>
        <w:tabs>
          <w:tab w:val="center" w:pos="4365"/>
        </w:tabs>
        <w:wordWrap w:val="0"/>
        <w:spacing w:line="360" w:lineRule="auto"/>
        <w:rPr>
          <w:rFonts w:ascii="宋体" w:hAnsi="宋体"/>
          <w:bCs/>
          <w:color w:val="auto"/>
          <w:szCs w:val="21"/>
          <w:highlight w:val="none"/>
        </w:rPr>
      </w:pPr>
      <w:r>
        <w:rPr>
          <w:rFonts w:hint="eastAsia" w:hAnsi="宋体" w:cs="宋体"/>
          <w:bCs/>
          <w:color w:val="auto"/>
          <w:szCs w:val="21"/>
          <w:highlight w:val="none"/>
          <w:u w:val="single"/>
        </w:rPr>
        <w:t xml:space="preserve">     </w:t>
      </w:r>
      <w:r>
        <w:rPr>
          <w:rFonts w:hint="eastAsia" w:hAnsi="宋体" w:cs="宋体"/>
          <w:bCs/>
          <w:color w:val="auto"/>
          <w:szCs w:val="21"/>
          <w:highlight w:val="none"/>
        </w:rPr>
        <w:t>年</w:t>
      </w:r>
      <w:r>
        <w:rPr>
          <w:rFonts w:hint="eastAsia" w:hAnsi="宋体" w:cs="宋体"/>
          <w:bCs/>
          <w:color w:val="auto"/>
          <w:szCs w:val="21"/>
          <w:highlight w:val="none"/>
          <w:u w:val="single"/>
        </w:rPr>
        <w:t xml:space="preserve">    </w:t>
      </w:r>
      <w:r>
        <w:rPr>
          <w:rFonts w:hint="eastAsia" w:hAnsi="宋体" w:cs="宋体"/>
          <w:bCs/>
          <w:color w:val="auto"/>
          <w:szCs w:val="21"/>
          <w:highlight w:val="none"/>
        </w:rPr>
        <w:t>月</w:t>
      </w:r>
      <w:r>
        <w:rPr>
          <w:rFonts w:hint="eastAsia" w:hAnsi="宋体" w:cs="宋体"/>
          <w:bCs/>
          <w:color w:val="auto"/>
          <w:szCs w:val="21"/>
          <w:highlight w:val="none"/>
          <w:u w:val="single"/>
        </w:rPr>
        <w:t xml:space="preserve">     </w:t>
      </w:r>
      <w:r>
        <w:rPr>
          <w:rFonts w:hint="eastAsia" w:hAnsi="宋体" w:cs="宋体"/>
          <w:bCs/>
          <w:color w:val="auto"/>
          <w:szCs w:val="21"/>
          <w:highlight w:val="none"/>
        </w:rPr>
        <w:t>日</w:t>
      </w:r>
    </w:p>
    <w:p w14:paraId="0BDA239F">
      <w:pPr>
        <w:wordWrap/>
        <w:spacing w:before="0" w:line="240" w:lineRule="auto"/>
        <w:jc w:val="left"/>
        <w:outlineLvl w:val="9"/>
        <w:rPr>
          <w:rFonts w:hint="eastAsia" w:hAnsi="宋体" w:cs="宋体"/>
          <w:b/>
          <w:color w:val="auto"/>
          <w:sz w:val="28"/>
          <w:szCs w:val="28"/>
          <w:highlight w:val="none"/>
          <w:lang w:eastAsia="zh-CN"/>
        </w:rPr>
      </w:pPr>
      <w:r>
        <w:rPr>
          <w:rFonts w:hint="eastAsia" w:hAnsi="宋体" w:cs="宋体"/>
          <w:b/>
          <w:color w:val="auto"/>
          <w:sz w:val="28"/>
          <w:szCs w:val="28"/>
          <w:highlight w:val="none"/>
          <w:lang w:eastAsia="zh-CN"/>
        </w:rPr>
        <w:br w:type="page"/>
      </w:r>
    </w:p>
    <w:p w14:paraId="08B01ED1">
      <w:pPr>
        <w:spacing w:before="37"/>
        <w:jc w:val="center"/>
        <w:outlineLvl w:val="1"/>
        <w:rPr>
          <w:rFonts w:hint="eastAsia" w:ascii="Times New Roman" w:hAnsi="宋体" w:eastAsia="宋体" w:cs="宋体"/>
          <w:b/>
          <w:color w:val="auto"/>
          <w:sz w:val="28"/>
          <w:szCs w:val="28"/>
          <w:highlight w:val="none"/>
          <w:lang w:val="en-US" w:eastAsia="zh-CN"/>
        </w:rPr>
      </w:pPr>
      <w:r>
        <w:rPr>
          <w:rFonts w:hint="eastAsia" w:ascii="Times New Roman" w:hAnsi="宋体" w:eastAsia="宋体" w:cs="宋体"/>
          <w:b/>
          <w:color w:val="auto"/>
          <w:sz w:val="28"/>
          <w:szCs w:val="28"/>
          <w:highlight w:val="none"/>
          <w:lang w:val="en-US" w:eastAsia="zh-CN"/>
        </w:rPr>
        <w:t>十二、综合实力</w:t>
      </w:r>
    </w:p>
    <w:p w14:paraId="56C74615">
      <w:pPr>
        <w:wordWrap w:val="0"/>
        <w:adjustRightInd w:val="0"/>
        <w:snapToGrid w:val="0"/>
        <w:spacing w:line="360" w:lineRule="auto"/>
        <w:rPr>
          <w:rFonts w:hint="eastAsia" w:ascii="宋体" w:hAnsi="宋体" w:eastAsia="宋体" w:cs="宋体"/>
          <w:b/>
          <w:bCs/>
          <w:color w:val="auto"/>
          <w:szCs w:val="21"/>
          <w:highlight w:val="none"/>
          <w:lang w:eastAsia="zh-CN"/>
        </w:rPr>
      </w:pPr>
      <w:r>
        <w:rPr>
          <w:rFonts w:hint="eastAsia" w:hAnsi="宋体" w:cs="宋体"/>
          <w:b/>
          <w:bCs/>
          <w:color w:val="auto"/>
          <w:szCs w:val="21"/>
          <w:highlight w:val="none"/>
        </w:rPr>
        <w:t>项目名称：</w:t>
      </w:r>
      <w:r>
        <w:rPr>
          <w:rFonts w:hint="eastAsia" w:ascii="Times New Roman" w:hAnsi="宋体" w:eastAsia="宋体" w:cs="宋体"/>
          <w:b/>
          <w:bCs/>
          <w:color w:val="auto"/>
          <w:szCs w:val="21"/>
          <w:highlight w:val="none"/>
          <w:lang w:val="en-US" w:eastAsia="zh-CN"/>
        </w:rPr>
        <w:t>2026-2028年员工食堂劳务外包、物资供应项目</w:t>
      </w:r>
      <w:r>
        <w:rPr>
          <w:rFonts w:hint="eastAsia" w:hAnsi="宋体" w:cs="宋体"/>
          <w:b/>
          <w:bCs/>
          <w:color w:val="auto"/>
          <w:szCs w:val="21"/>
          <w:highlight w:val="none"/>
          <w:u w:val="single"/>
          <w:lang w:val="en-US" w:eastAsia="zh-CN"/>
        </w:rPr>
        <w:t>一标段</w:t>
      </w:r>
    </w:p>
    <w:p w14:paraId="6364760A">
      <w:pPr>
        <w:pStyle w:val="2"/>
        <w:wordWrap w:val="0"/>
        <w:spacing w:after="0" w:line="360" w:lineRule="auto"/>
        <w:ind w:right="105" w:firstLine="420" w:firstLineChars="200"/>
        <w:jc w:val="left"/>
        <w:rPr>
          <w:rFonts w:hint="eastAsia"/>
          <w:color w:val="auto"/>
          <w:highlight w:val="none"/>
        </w:rPr>
      </w:pPr>
    </w:p>
    <w:p w14:paraId="51000A95">
      <w:pPr>
        <w:pStyle w:val="2"/>
        <w:wordWrap w:val="0"/>
        <w:spacing w:after="0" w:line="360" w:lineRule="auto"/>
        <w:ind w:right="105" w:firstLine="420" w:firstLineChars="200"/>
        <w:jc w:val="left"/>
        <w:rPr>
          <w:rFonts w:hint="eastAsia" w:ascii="宋体" w:hAnsi="宋体"/>
          <w:b/>
          <w:color w:val="auto"/>
          <w:szCs w:val="21"/>
          <w:highlight w:val="none"/>
        </w:rPr>
      </w:pPr>
      <w:r>
        <w:rPr>
          <w:rFonts w:hint="eastAsia"/>
          <w:color w:val="auto"/>
          <w:highlight w:val="none"/>
        </w:rPr>
        <w:t>投标人应根据评标办法中“商务详细评分标准”中的“</w:t>
      </w:r>
      <w:r>
        <w:rPr>
          <w:rFonts w:hint="eastAsia" w:ascii="宋体" w:hAnsi="宋体" w:eastAsia="宋体" w:cs="宋体"/>
          <w:color w:val="auto"/>
          <w:sz w:val="21"/>
          <w:szCs w:val="21"/>
          <w:highlight w:val="none"/>
        </w:rPr>
        <w:t>综合实力</w:t>
      </w:r>
      <w:r>
        <w:rPr>
          <w:rFonts w:hint="eastAsia"/>
          <w:color w:val="auto"/>
          <w:highlight w:val="none"/>
        </w:rPr>
        <w:t>”的</w:t>
      </w:r>
      <w:r>
        <w:rPr>
          <w:color w:val="auto"/>
          <w:highlight w:val="none"/>
        </w:rPr>
        <w:t>评分标准提供证明文件</w:t>
      </w:r>
      <w:r>
        <w:rPr>
          <w:rFonts w:hint="eastAsia"/>
          <w:color w:val="auto"/>
          <w:highlight w:val="none"/>
        </w:rPr>
        <w:t>。</w:t>
      </w:r>
    </w:p>
    <w:p w14:paraId="122BABD5">
      <w:pPr>
        <w:pStyle w:val="2"/>
        <w:wordWrap w:val="0"/>
        <w:spacing w:after="0" w:line="360" w:lineRule="auto"/>
        <w:ind w:right="105" w:firstLine="422" w:firstLineChars="200"/>
        <w:jc w:val="left"/>
        <w:rPr>
          <w:rFonts w:hint="eastAsia" w:ascii="宋体" w:hAnsi="宋体"/>
          <w:b/>
          <w:color w:val="auto"/>
          <w:szCs w:val="21"/>
          <w:highlight w:val="none"/>
        </w:rPr>
      </w:pPr>
    </w:p>
    <w:p w14:paraId="2E21EAA1">
      <w:pPr>
        <w:pStyle w:val="2"/>
        <w:wordWrap w:val="0"/>
        <w:spacing w:after="0" w:line="360" w:lineRule="auto"/>
        <w:ind w:right="105" w:firstLine="422" w:firstLineChars="200"/>
        <w:jc w:val="left"/>
        <w:rPr>
          <w:rFonts w:hint="eastAsia" w:ascii="宋体" w:hAnsi="宋体"/>
          <w:b/>
          <w:color w:val="auto"/>
          <w:szCs w:val="21"/>
          <w:highlight w:val="none"/>
        </w:rPr>
      </w:pPr>
      <w:r>
        <w:rPr>
          <w:rFonts w:hint="eastAsia" w:ascii="宋体" w:hAnsi="宋体"/>
          <w:b/>
          <w:color w:val="auto"/>
          <w:szCs w:val="21"/>
          <w:highlight w:val="none"/>
        </w:rPr>
        <w:t>注：</w:t>
      </w:r>
      <w:r>
        <w:rPr>
          <w:rFonts w:hint="eastAsia" w:ascii="宋体" w:hAnsi="宋体"/>
          <w:bCs/>
          <w:color w:val="auto"/>
          <w:szCs w:val="21"/>
          <w:highlight w:val="none"/>
        </w:rPr>
        <w:t>投标人必须将各项内容填写在投标文件各自相对应的目录中，未按要求填写的，相应责任由投标人自行承担。</w:t>
      </w:r>
    </w:p>
    <w:p w14:paraId="53EDAD6D">
      <w:pPr>
        <w:pStyle w:val="63"/>
        <w:rPr>
          <w:color w:val="auto"/>
          <w:highlight w:val="none"/>
        </w:rPr>
      </w:pPr>
      <w:r>
        <w:rPr>
          <w:color w:val="auto"/>
          <w:highlight w:val="none"/>
        </w:rPr>
        <w:br w:type="page"/>
      </w:r>
    </w:p>
    <w:p w14:paraId="178D0E3E">
      <w:pPr>
        <w:spacing w:before="37"/>
        <w:jc w:val="center"/>
        <w:outlineLvl w:val="1"/>
        <w:rPr>
          <w:rFonts w:hint="default" w:ascii="Times New Roman" w:hAnsi="宋体" w:eastAsia="宋体" w:cs="宋体"/>
          <w:b/>
          <w:color w:val="auto"/>
          <w:sz w:val="28"/>
          <w:szCs w:val="28"/>
          <w:highlight w:val="none"/>
          <w:lang w:val="en-US"/>
        </w:rPr>
      </w:pPr>
      <w:r>
        <w:rPr>
          <w:rFonts w:hint="eastAsia" w:ascii="Times New Roman" w:hAnsi="宋体" w:eastAsia="宋体" w:cs="宋体"/>
          <w:b/>
          <w:color w:val="auto"/>
          <w:sz w:val="28"/>
          <w:szCs w:val="28"/>
          <w:highlight w:val="none"/>
          <w:lang w:val="en-US" w:eastAsia="zh-CN"/>
        </w:rPr>
        <w:t>十三、</w:t>
      </w:r>
      <w:r>
        <w:rPr>
          <w:rFonts w:hint="eastAsia" w:hAnsi="宋体" w:cs="宋体"/>
          <w:b/>
          <w:color w:val="auto"/>
          <w:sz w:val="28"/>
          <w:szCs w:val="28"/>
          <w:highlight w:val="none"/>
          <w:lang w:val="en-US" w:eastAsia="zh-CN"/>
        </w:rPr>
        <w:t>人员配置</w:t>
      </w:r>
    </w:p>
    <w:p w14:paraId="6F3AF676">
      <w:pPr>
        <w:wordWrap w:val="0"/>
        <w:adjustRightInd w:val="0"/>
        <w:snapToGrid w:val="0"/>
        <w:spacing w:line="360" w:lineRule="auto"/>
        <w:rPr>
          <w:rFonts w:hint="eastAsia" w:ascii="宋体" w:hAnsi="宋体" w:eastAsia="宋体" w:cs="宋体"/>
          <w:b/>
          <w:bCs/>
          <w:color w:val="auto"/>
          <w:szCs w:val="21"/>
          <w:highlight w:val="none"/>
          <w:lang w:eastAsia="zh-CN"/>
        </w:rPr>
      </w:pPr>
      <w:r>
        <w:rPr>
          <w:rFonts w:hint="eastAsia" w:hAnsi="宋体" w:cs="宋体"/>
          <w:b/>
          <w:bCs/>
          <w:color w:val="auto"/>
          <w:szCs w:val="21"/>
          <w:highlight w:val="none"/>
        </w:rPr>
        <w:t>项目名称：</w:t>
      </w:r>
      <w:r>
        <w:rPr>
          <w:rFonts w:hint="eastAsia" w:ascii="Times New Roman" w:hAnsi="宋体" w:eastAsia="宋体" w:cs="宋体"/>
          <w:b/>
          <w:bCs/>
          <w:color w:val="auto"/>
          <w:szCs w:val="21"/>
          <w:highlight w:val="none"/>
          <w:lang w:val="en-US" w:eastAsia="zh-CN"/>
        </w:rPr>
        <w:t>2026-2028年员工食堂劳务外包、物资供应项目</w:t>
      </w:r>
      <w:r>
        <w:rPr>
          <w:rFonts w:hint="eastAsia" w:hAnsi="宋体" w:cs="宋体"/>
          <w:b/>
          <w:bCs/>
          <w:color w:val="auto"/>
          <w:szCs w:val="21"/>
          <w:highlight w:val="none"/>
          <w:u w:val="single"/>
          <w:lang w:val="en-US" w:eastAsia="zh-CN"/>
        </w:rPr>
        <w:t>一标段</w:t>
      </w:r>
    </w:p>
    <w:p w14:paraId="3CA21DEE">
      <w:pPr>
        <w:pStyle w:val="2"/>
        <w:wordWrap w:val="0"/>
        <w:spacing w:after="0" w:line="360" w:lineRule="auto"/>
        <w:ind w:right="105" w:firstLine="420" w:firstLineChars="200"/>
        <w:jc w:val="left"/>
        <w:rPr>
          <w:rFonts w:hint="eastAsia"/>
          <w:color w:val="auto"/>
          <w:highlight w:val="none"/>
        </w:rPr>
      </w:pPr>
    </w:p>
    <w:p w14:paraId="116AA105">
      <w:pPr>
        <w:pStyle w:val="2"/>
        <w:wordWrap w:val="0"/>
        <w:spacing w:after="0" w:line="360" w:lineRule="auto"/>
        <w:ind w:right="105" w:firstLine="420" w:firstLineChars="200"/>
        <w:jc w:val="left"/>
        <w:rPr>
          <w:color w:val="auto"/>
          <w:highlight w:val="none"/>
        </w:rPr>
      </w:pPr>
      <w:r>
        <w:rPr>
          <w:rFonts w:hint="eastAsia"/>
          <w:color w:val="auto"/>
          <w:highlight w:val="none"/>
        </w:rPr>
        <w:t>投标人应根据评标办法中“商务详细评分标准”中的“</w:t>
      </w:r>
      <w:r>
        <w:rPr>
          <w:rFonts w:hint="eastAsia"/>
          <w:color w:val="auto"/>
          <w:highlight w:val="none"/>
          <w:lang w:val="en-US" w:eastAsia="zh-CN"/>
        </w:rPr>
        <w:t>人员配置</w:t>
      </w:r>
      <w:r>
        <w:rPr>
          <w:rFonts w:hint="eastAsia"/>
          <w:color w:val="auto"/>
          <w:highlight w:val="none"/>
        </w:rPr>
        <w:t>”的</w:t>
      </w:r>
      <w:r>
        <w:rPr>
          <w:color w:val="auto"/>
          <w:highlight w:val="none"/>
        </w:rPr>
        <w:t>评分标准提供证明文件</w:t>
      </w:r>
      <w:r>
        <w:rPr>
          <w:rFonts w:hint="eastAsia"/>
          <w:color w:val="auto"/>
          <w:highlight w:val="none"/>
        </w:rPr>
        <w:t>。</w:t>
      </w:r>
    </w:p>
    <w:p w14:paraId="1BAA3D1B">
      <w:pPr>
        <w:pStyle w:val="2"/>
        <w:wordWrap w:val="0"/>
        <w:spacing w:after="0" w:line="360" w:lineRule="auto"/>
        <w:ind w:right="105" w:firstLine="422" w:firstLineChars="200"/>
        <w:jc w:val="left"/>
        <w:rPr>
          <w:rFonts w:hint="eastAsia" w:ascii="宋体" w:hAnsi="宋体"/>
          <w:b/>
          <w:color w:val="auto"/>
          <w:szCs w:val="21"/>
          <w:highlight w:val="none"/>
        </w:rPr>
      </w:pPr>
    </w:p>
    <w:p w14:paraId="42C22571">
      <w:pPr>
        <w:rPr>
          <w:color w:val="auto"/>
          <w:highlight w:val="none"/>
        </w:rPr>
      </w:pPr>
      <w:r>
        <w:rPr>
          <w:rFonts w:hint="eastAsia" w:ascii="宋体" w:hAnsi="宋体"/>
          <w:b/>
          <w:color w:val="auto"/>
          <w:szCs w:val="21"/>
          <w:highlight w:val="none"/>
        </w:rPr>
        <w:t>注：</w:t>
      </w:r>
      <w:r>
        <w:rPr>
          <w:rFonts w:hint="eastAsia" w:ascii="宋体" w:hAnsi="宋体"/>
          <w:bCs/>
          <w:color w:val="auto"/>
          <w:szCs w:val="21"/>
          <w:highlight w:val="none"/>
        </w:rPr>
        <w:t>投标人必须将各项内容填写在投标文件各自相对应的目录中，未按要求填写的，相应责任由投标人自行承担。</w:t>
      </w:r>
      <w:r>
        <w:rPr>
          <w:color w:val="auto"/>
          <w:highlight w:val="none"/>
        </w:rPr>
        <w:br w:type="page"/>
      </w:r>
    </w:p>
    <w:p w14:paraId="4AE5BB43">
      <w:pPr>
        <w:spacing w:before="37"/>
        <w:jc w:val="center"/>
        <w:outlineLvl w:val="1"/>
        <w:rPr>
          <w:rFonts w:hint="default" w:ascii="Times New Roman" w:hAnsi="宋体" w:eastAsia="宋体" w:cs="宋体"/>
          <w:b/>
          <w:color w:val="auto"/>
          <w:sz w:val="28"/>
          <w:szCs w:val="28"/>
          <w:highlight w:val="none"/>
          <w:lang w:val="en-US" w:eastAsia="zh-CN"/>
        </w:rPr>
      </w:pPr>
      <w:r>
        <w:rPr>
          <w:rFonts w:hint="eastAsia" w:ascii="Times New Roman" w:hAnsi="宋体" w:eastAsia="宋体" w:cs="宋体"/>
          <w:b/>
          <w:color w:val="auto"/>
          <w:sz w:val="28"/>
          <w:szCs w:val="28"/>
          <w:highlight w:val="none"/>
          <w:lang w:val="en-US" w:eastAsia="zh-CN"/>
        </w:rPr>
        <w:t>十</w:t>
      </w:r>
      <w:r>
        <w:rPr>
          <w:rFonts w:hint="eastAsia" w:hAnsi="宋体" w:cs="宋体"/>
          <w:b/>
          <w:color w:val="auto"/>
          <w:sz w:val="28"/>
          <w:szCs w:val="28"/>
          <w:highlight w:val="none"/>
          <w:lang w:val="en-US" w:eastAsia="zh-CN"/>
        </w:rPr>
        <w:t>四</w:t>
      </w:r>
      <w:r>
        <w:rPr>
          <w:rFonts w:hint="eastAsia" w:ascii="Times New Roman" w:hAnsi="宋体" w:eastAsia="宋体" w:cs="宋体"/>
          <w:b/>
          <w:color w:val="auto"/>
          <w:sz w:val="28"/>
          <w:szCs w:val="28"/>
          <w:highlight w:val="none"/>
          <w:lang w:val="en-US" w:eastAsia="zh-CN"/>
        </w:rPr>
        <w:t>、投标人认为需提供的其它商务评审资料</w:t>
      </w:r>
    </w:p>
    <w:p w14:paraId="4DD64072">
      <w:pPr>
        <w:wordWrap w:val="0"/>
        <w:adjustRightInd w:val="0"/>
        <w:snapToGrid w:val="0"/>
        <w:spacing w:line="360" w:lineRule="auto"/>
        <w:rPr>
          <w:rFonts w:hint="eastAsia"/>
          <w:color w:val="auto"/>
          <w:highlight w:val="none"/>
        </w:rPr>
      </w:pPr>
      <w:r>
        <w:rPr>
          <w:rFonts w:hint="eastAsia" w:hAnsi="宋体" w:cs="宋体"/>
          <w:b/>
          <w:bCs/>
          <w:color w:val="auto"/>
          <w:szCs w:val="21"/>
          <w:highlight w:val="none"/>
        </w:rPr>
        <w:t>项目名称：</w:t>
      </w:r>
      <w:r>
        <w:rPr>
          <w:rFonts w:hint="eastAsia" w:ascii="Times New Roman" w:hAnsi="宋体" w:eastAsia="宋体" w:cs="宋体"/>
          <w:b/>
          <w:bCs/>
          <w:color w:val="auto"/>
          <w:szCs w:val="21"/>
          <w:highlight w:val="none"/>
          <w:lang w:val="en-US" w:eastAsia="zh-CN"/>
        </w:rPr>
        <w:t>2026-2028年员工食堂劳务外包、物资供应项目</w:t>
      </w:r>
      <w:r>
        <w:rPr>
          <w:rFonts w:hint="eastAsia" w:hAnsi="宋体" w:cs="宋体"/>
          <w:b/>
          <w:bCs/>
          <w:color w:val="auto"/>
          <w:szCs w:val="21"/>
          <w:highlight w:val="none"/>
          <w:u w:val="single"/>
          <w:lang w:val="en-US" w:eastAsia="zh-CN"/>
        </w:rPr>
        <w:t>一标段</w:t>
      </w:r>
    </w:p>
    <w:p w14:paraId="3429AE79">
      <w:pPr>
        <w:pStyle w:val="2"/>
        <w:wordWrap w:val="0"/>
        <w:spacing w:after="0" w:line="360" w:lineRule="auto"/>
        <w:ind w:right="105" w:firstLine="422" w:firstLineChars="200"/>
        <w:jc w:val="left"/>
        <w:rPr>
          <w:rFonts w:hint="eastAsia" w:ascii="宋体" w:hAnsi="宋体"/>
          <w:b/>
          <w:color w:val="auto"/>
          <w:szCs w:val="21"/>
          <w:highlight w:val="none"/>
        </w:rPr>
      </w:pPr>
    </w:p>
    <w:p w14:paraId="6B3CE891">
      <w:pPr>
        <w:pStyle w:val="2"/>
        <w:wordWrap w:val="0"/>
        <w:spacing w:after="0" w:line="360" w:lineRule="auto"/>
        <w:ind w:right="105" w:firstLine="422" w:firstLineChars="200"/>
        <w:jc w:val="left"/>
        <w:rPr>
          <w:b/>
          <w:bCs/>
          <w:color w:val="auto"/>
          <w:highlight w:val="none"/>
        </w:rPr>
      </w:pPr>
      <w:r>
        <w:rPr>
          <w:rFonts w:hint="eastAsia" w:ascii="宋体" w:hAnsi="宋体"/>
          <w:b/>
          <w:color w:val="auto"/>
          <w:szCs w:val="21"/>
          <w:highlight w:val="none"/>
        </w:rPr>
        <w:t>注：</w:t>
      </w:r>
      <w:r>
        <w:rPr>
          <w:rFonts w:hint="eastAsia" w:ascii="宋体" w:hAnsi="宋体"/>
          <w:bCs/>
          <w:color w:val="auto"/>
          <w:szCs w:val="21"/>
          <w:highlight w:val="none"/>
        </w:rPr>
        <w:t>投标人必须将各项内容填写在投标文件各自相对应的目录中，未按要求填写的，相应责任由投标人自行承担。</w:t>
      </w:r>
    </w:p>
    <w:p w14:paraId="184CA61A">
      <w:pPr>
        <w:rPr>
          <w:rFonts w:hint="eastAsia" w:ascii="Times New Roman" w:hAnsi="宋体" w:eastAsia="宋体" w:cs="宋体"/>
          <w:b/>
          <w:color w:val="auto"/>
          <w:sz w:val="28"/>
          <w:szCs w:val="28"/>
          <w:highlight w:val="none"/>
          <w:lang w:val="en-US" w:eastAsia="zh-CN"/>
        </w:rPr>
      </w:pPr>
      <w:r>
        <w:rPr>
          <w:rFonts w:hint="eastAsia" w:ascii="Times New Roman" w:hAnsi="宋体" w:eastAsia="宋体" w:cs="宋体"/>
          <w:b/>
          <w:color w:val="auto"/>
          <w:sz w:val="28"/>
          <w:szCs w:val="28"/>
          <w:highlight w:val="none"/>
          <w:lang w:val="en-US" w:eastAsia="zh-CN"/>
        </w:rPr>
        <w:br w:type="page"/>
      </w:r>
    </w:p>
    <w:p w14:paraId="2859EAAA">
      <w:pPr>
        <w:spacing w:before="37"/>
        <w:jc w:val="center"/>
        <w:outlineLvl w:val="1"/>
        <w:rPr>
          <w:rFonts w:hint="eastAsia" w:ascii="Times New Roman" w:hAnsi="宋体" w:eastAsia="宋体" w:cs="宋体"/>
          <w:b/>
          <w:color w:val="auto"/>
          <w:sz w:val="28"/>
          <w:szCs w:val="28"/>
          <w:highlight w:val="none"/>
          <w:lang w:val="en-US" w:eastAsia="zh-CN"/>
        </w:rPr>
      </w:pPr>
      <w:r>
        <w:rPr>
          <w:rFonts w:hint="eastAsia" w:ascii="Times New Roman" w:hAnsi="宋体" w:eastAsia="宋体" w:cs="宋体"/>
          <w:b/>
          <w:color w:val="auto"/>
          <w:sz w:val="28"/>
          <w:szCs w:val="28"/>
          <w:highlight w:val="none"/>
          <w:lang w:val="en-US" w:eastAsia="zh-CN"/>
        </w:rPr>
        <w:t>十</w:t>
      </w:r>
      <w:r>
        <w:rPr>
          <w:rFonts w:hint="eastAsia" w:hAnsi="宋体" w:cs="宋体"/>
          <w:b/>
          <w:color w:val="auto"/>
          <w:sz w:val="28"/>
          <w:szCs w:val="28"/>
          <w:highlight w:val="none"/>
          <w:lang w:val="en-US" w:eastAsia="zh-CN"/>
        </w:rPr>
        <w:t>五</w:t>
      </w:r>
      <w:r>
        <w:rPr>
          <w:rFonts w:hint="eastAsia" w:ascii="Times New Roman" w:hAnsi="宋体" w:eastAsia="宋体" w:cs="宋体"/>
          <w:b/>
          <w:color w:val="auto"/>
          <w:sz w:val="28"/>
          <w:szCs w:val="28"/>
          <w:highlight w:val="none"/>
          <w:lang w:val="en-US" w:eastAsia="zh-CN"/>
        </w:rPr>
        <w:t>、项目实施方案</w:t>
      </w:r>
    </w:p>
    <w:p w14:paraId="1610739D">
      <w:pPr>
        <w:wordWrap w:val="0"/>
        <w:adjustRightInd w:val="0"/>
        <w:snapToGrid w:val="0"/>
        <w:spacing w:line="360" w:lineRule="auto"/>
        <w:rPr>
          <w:rFonts w:hint="eastAsia" w:ascii="宋体" w:hAnsi="宋体" w:eastAsia="宋体" w:cs="宋体"/>
          <w:b/>
          <w:bCs/>
          <w:color w:val="auto"/>
          <w:szCs w:val="21"/>
          <w:highlight w:val="none"/>
          <w:lang w:eastAsia="zh-CN"/>
        </w:rPr>
      </w:pPr>
      <w:r>
        <w:rPr>
          <w:rFonts w:hint="eastAsia" w:hAnsi="宋体" w:cs="宋体"/>
          <w:b/>
          <w:bCs/>
          <w:color w:val="auto"/>
          <w:szCs w:val="21"/>
          <w:highlight w:val="none"/>
        </w:rPr>
        <w:t>项目名称：</w:t>
      </w:r>
      <w:r>
        <w:rPr>
          <w:rFonts w:hint="eastAsia" w:ascii="Times New Roman" w:hAnsi="宋体" w:eastAsia="宋体" w:cs="宋体"/>
          <w:b/>
          <w:bCs/>
          <w:color w:val="auto"/>
          <w:szCs w:val="21"/>
          <w:highlight w:val="none"/>
          <w:lang w:val="en-US" w:eastAsia="zh-CN"/>
        </w:rPr>
        <w:t>2026-2028年员工食堂劳务外包、物资供应项目</w:t>
      </w:r>
      <w:r>
        <w:rPr>
          <w:rFonts w:hint="eastAsia" w:hAnsi="宋体" w:cs="宋体"/>
          <w:b/>
          <w:bCs/>
          <w:color w:val="auto"/>
          <w:szCs w:val="21"/>
          <w:highlight w:val="none"/>
          <w:u w:val="single"/>
          <w:lang w:val="en-US" w:eastAsia="zh-CN"/>
        </w:rPr>
        <w:t>一标段</w:t>
      </w:r>
    </w:p>
    <w:p w14:paraId="6277A915">
      <w:pPr>
        <w:bidi w:val="0"/>
        <w:spacing w:line="360" w:lineRule="auto"/>
        <w:ind w:firstLine="420" w:firstLineChars="200"/>
        <w:rPr>
          <w:rFonts w:hint="eastAsia" w:ascii="宋体" w:hAnsi="宋体" w:eastAsia="宋体" w:cs="Times New Roman"/>
          <w:b w:val="0"/>
          <w:bCs/>
          <w:color w:val="auto"/>
          <w:kern w:val="2"/>
          <w:sz w:val="21"/>
          <w:szCs w:val="21"/>
          <w:highlight w:val="none"/>
          <w:lang w:val="en-US" w:eastAsia="zh-CN" w:bidi="ar-SA"/>
        </w:rPr>
      </w:pPr>
      <w:r>
        <w:rPr>
          <w:rFonts w:hint="eastAsia" w:ascii="宋体" w:hAnsi="宋体" w:eastAsia="宋体" w:cs="Times New Roman"/>
          <w:b w:val="0"/>
          <w:bCs/>
          <w:color w:val="auto"/>
          <w:kern w:val="2"/>
          <w:sz w:val="21"/>
          <w:szCs w:val="21"/>
          <w:highlight w:val="none"/>
          <w:lang w:val="en-US" w:eastAsia="zh-CN" w:bidi="ar-SA"/>
        </w:rPr>
        <w:t>投标人应根据本项目用户需求书要求及技术部分详细评分标准中相关内容编写。格式由投标人自行确 定。</w:t>
      </w:r>
    </w:p>
    <w:p w14:paraId="2CA80D52">
      <w:pPr>
        <w:bidi w:val="0"/>
        <w:spacing w:line="360" w:lineRule="auto"/>
        <w:ind w:firstLine="422" w:firstLineChars="200"/>
        <w:rPr>
          <w:color w:val="auto"/>
          <w:highlight w:val="none"/>
        </w:rPr>
      </w:pPr>
      <w:r>
        <w:rPr>
          <w:rFonts w:hint="eastAsia" w:ascii="宋体" w:hAnsi="宋体" w:eastAsia="宋体" w:cs="Times New Roman"/>
          <w:b/>
          <w:color w:val="auto"/>
          <w:kern w:val="2"/>
          <w:sz w:val="21"/>
          <w:szCs w:val="21"/>
          <w:highlight w:val="none"/>
          <w:lang w:val="en-US" w:eastAsia="zh-CN" w:bidi="ar-SA"/>
        </w:rPr>
        <w:t>注：</w:t>
      </w:r>
      <w:r>
        <w:rPr>
          <w:rFonts w:hint="eastAsia" w:ascii="宋体" w:hAnsi="宋体" w:eastAsia="宋体" w:cs="Times New Roman"/>
          <w:bCs/>
          <w:color w:val="auto"/>
          <w:kern w:val="2"/>
          <w:sz w:val="21"/>
          <w:szCs w:val="21"/>
          <w:highlight w:val="none"/>
          <w:lang w:val="en-US" w:eastAsia="zh-CN" w:bidi="ar-SA"/>
        </w:rPr>
        <w:t>投标人必须将各项内容填写在投标文件各自相对应的目录中，未按要求填写的，相应责任由投标人自行承担。</w:t>
      </w:r>
      <w:r>
        <w:rPr>
          <w:color w:val="auto"/>
          <w:highlight w:val="none"/>
        </w:rPr>
        <w:br w:type="page"/>
      </w:r>
    </w:p>
    <w:p w14:paraId="6198A490">
      <w:pPr>
        <w:spacing w:before="37"/>
        <w:jc w:val="center"/>
        <w:outlineLvl w:val="1"/>
        <w:rPr>
          <w:rFonts w:hint="eastAsia" w:ascii="Times New Roman" w:hAnsi="宋体" w:eastAsia="宋体" w:cs="宋体"/>
          <w:b/>
          <w:color w:val="auto"/>
          <w:sz w:val="28"/>
          <w:szCs w:val="28"/>
          <w:highlight w:val="none"/>
          <w:lang w:val="en-US" w:eastAsia="zh-CN"/>
        </w:rPr>
      </w:pPr>
      <w:r>
        <w:rPr>
          <w:rFonts w:hint="eastAsia" w:ascii="Times New Roman" w:hAnsi="宋体" w:eastAsia="宋体" w:cs="宋体"/>
          <w:b/>
          <w:color w:val="auto"/>
          <w:sz w:val="28"/>
          <w:szCs w:val="28"/>
          <w:highlight w:val="none"/>
          <w:lang w:val="en-US" w:eastAsia="zh-CN"/>
        </w:rPr>
        <w:t>十六、投标人认为需提供的其它技术评审资料</w:t>
      </w:r>
    </w:p>
    <w:p w14:paraId="61A3A415">
      <w:pPr>
        <w:wordWrap w:val="0"/>
        <w:adjustRightInd w:val="0"/>
        <w:snapToGrid w:val="0"/>
        <w:spacing w:line="360" w:lineRule="auto"/>
        <w:rPr>
          <w:rFonts w:hint="eastAsia" w:hAnsi="宋体" w:cs="宋体"/>
          <w:b/>
          <w:bCs/>
          <w:color w:val="auto"/>
          <w:szCs w:val="21"/>
          <w:highlight w:val="none"/>
        </w:rPr>
      </w:pPr>
    </w:p>
    <w:p w14:paraId="3191B3B0">
      <w:pPr>
        <w:rPr>
          <w:rFonts w:hint="eastAsia" w:ascii="Times New Roman" w:hAnsi="宋体" w:eastAsia="宋体" w:cs="宋体"/>
          <w:b/>
          <w:color w:val="auto"/>
          <w:sz w:val="28"/>
          <w:szCs w:val="28"/>
          <w:highlight w:val="none"/>
        </w:rPr>
      </w:pPr>
      <w:r>
        <w:rPr>
          <w:rFonts w:hint="eastAsia" w:ascii="Times New Roman" w:hAnsi="宋体" w:eastAsia="宋体" w:cs="宋体"/>
          <w:b/>
          <w:color w:val="auto"/>
          <w:sz w:val="28"/>
          <w:szCs w:val="28"/>
          <w:highlight w:val="none"/>
        </w:rPr>
        <w:br w:type="page"/>
      </w:r>
    </w:p>
    <w:bookmarkEnd w:id="0"/>
    <w:p w14:paraId="79E82453">
      <w:pPr>
        <w:jc w:val="center"/>
        <w:outlineLvl w:val="0"/>
        <w:rPr>
          <w:rFonts w:hint="default" w:ascii="宋体" w:hAnsi="宋体" w:eastAsia="宋体" w:cs="宋体"/>
          <w:b/>
          <w:bCs/>
          <w:color w:val="auto"/>
          <w:sz w:val="72"/>
          <w:szCs w:val="72"/>
          <w:highlight w:val="none"/>
          <w:lang w:val="en-US" w:eastAsia="zh-CN"/>
        </w:rPr>
      </w:pPr>
      <w:bookmarkStart w:id="57" w:name="_Toc29701"/>
      <w:r>
        <w:rPr>
          <w:rFonts w:hint="eastAsia" w:ascii="宋体" w:hAnsi="宋体" w:cs="宋体"/>
          <w:b/>
          <w:bCs/>
          <w:color w:val="auto"/>
          <w:sz w:val="72"/>
          <w:szCs w:val="72"/>
          <w:highlight w:val="none"/>
          <w:lang w:val="en-US" w:eastAsia="zh-CN"/>
        </w:rPr>
        <w:t>二、三标段</w:t>
      </w:r>
      <w:bookmarkEnd w:id="57"/>
    </w:p>
    <w:p w14:paraId="162E017C">
      <w:pPr>
        <w:jc w:val="center"/>
        <w:rPr>
          <w:rFonts w:ascii="宋体" w:hAnsi="宋体" w:cs="宋体"/>
          <w:b/>
          <w:bCs/>
          <w:color w:val="auto"/>
          <w:sz w:val="84"/>
          <w:szCs w:val="84"/>
          <w:highlight w:val="none"/>
        </w:rPr>
      </w:pPr>
    </w:p>
    <w:p w14:paraId="561112B2">
      <w:pPr>
        <w:jc w:val="center"/>
        <w:rPr>
          <w:rFonts w:ascii="宋体" w:hAnsi="宋体" w:cs="宋体"/>
          <w:b/>
          <w:bCs/>
          <w:color w:val="auto"/>
          <w:sz w:val="84"/>
          <w:szCs w:val="84"/>
          <w:highlight w:val="none"/>
        </w:rPr>
      </w:pPr>
    </w:p>
    <w:p w14:paraId="7FF7AAC1">
      <w:pPr>
        <w:jc w:val="center"/>
        <w:rPr>
          <w:rFonts w:hAnsi="宋体"/>
          <w:color w:val="auto"/>
          <w:szCs w:val="24"/>
          <w:highlight w:val="none"/>
        </w:rPr>
      </w:pPr>
      <w:r>
        <w:rPr>
          <w:rFonts w:ascii="宋体" w:hAnsi="宋体" w:cs="宋体"/>
          <w:b/>
          <w:bCs/>
          <w:color w:val="auto"/>
          <w:sz w:val="84"/>
          <w:szCs w:val="84"/>
          <w:highlight w:val="none"/>
        </w:rPr>
        <w:t>公开招标投标文件</w:t>
      </w:r>
    </w:p>
    <w:p w14:paraId="23DD9957">
      <w:pPr>
        <w:wordWrap w:val="0"/>
        <w:spacing w:line="360" w:lineRule="auto"/>
        <w:rPr>
          <w:color w:val="auto"/>
          <w:highlight w:val="none"/>
        </w:rPr>
      </w:pPr>
    </w:p>
    <w:p w14:paraId="558D748C">
      <w:pPr>
        <w:wordWrap w:val="0"/>
        <w:spacing w:line="360" w:lineRule="auto"/>
        <w:rPr>
          <w:color w:val="auto"/>
          <w:highlight w:val="none"/>
        </w:rPr>
      </w:pPr>
    </w:p>
    <w:p w14:paraId="3164D169">
      <w:pPr>
        <w:wordWrap w:val="0"/>
        <w:spacing w:line="360" w:lineRule="auto"/>
        <w:rPr>
          <w:color w:val="auto"/>
          <w:highlight w:val="none"/>
        </w:rPr>
      </w:pPr>
    </w:p>
    <w:p w14:paraId="20837B83">
      <w:pPr>
        <w:wordWrap w:val="0"/>
        <w:spacing w:line="360" w:lineRule="auto"/>
        <w:rPr>
          <w:color w:val="auto"/>
          <w:highlight w:val="none"/>
        </w:rPr>
      </w:pPr>
    </w:p>
    <w:p w14:paraId="6197870F">
      <w:pPr>
        <w:wordWrap w:val="0"/>
        <w:spacing w:line="360" w:lineRule="auto"/>
        <w:rPr>
          <w:color w:val="auto"/>
          <w:highlight w:val="none"/>
        </w:rPr>
      </w:pPr>
    </w:p>
    <w:p w14:paraId="7812041D">
      <w:pPr>
        <w:wordWrap w:val="0"/>
        <w:spacing w:line="360" w:lineRule="auto"/>
        <w:rPr>
          <w:color w:val="auto"/>
          <w:highlight w:val="none"/>
        </w:rPr>
      </w:pPr>
    </w:p>
    <w:p w14:paraId="450805A5">
      <w:pPr>
        <w:wordWrap w:val="0"/>
        <w:adjustRightInd w:val="0"/>
        <w:snapToGrid w:val="0"/>
        <w:spacing w:line="360" w:lineRule="auto"/>
        <w:ind w:firstLine="321" w:firstLineChars="100"/>
        <w:rPr>
          <w:rFonts w:hint="default" w:hAnsi="宋体" w:eastAsia="宋体" w:cs="宋体"/>
          <w:b/>
          <w:color w:val="auto"/>
          <w:sz w:val="32"/>
          <w:szCs w:val="32"/>
          <w:highlight w:val="none"/>
          <w:lang w:val="en-US" w:eastAsia="zh-CN"/>
        </w:rPr>
      </w:pPr>
      <w:r>
        <w:rPr>
          <w:rFonts w:hint="eastAsia" w:hAnsi="宋体" w:cs="宋体"/>
          <w:b/>
          <w:color w:val="auto"/>
          <w:sz w:val="32"/>
          <w:szCs w:val="32"/>
          <w:highlight w:val="none"/>
        </w:rPr>
        <w:t>项目名称：</w:t>
      </w:r>
      <w:r>
        <w:rPr>
          <w:rFonts w:hint="eastAsia" w:hAnsi="宋体" w:cs="宋体"/>
          <w:b w:val="0"/>
          <w:bCs/>
          <w:color w:val="auto"/>
          <w:sz w:val="32"/>
          <w:szCs w:val="32"/>
          <w:highlight w:val="none"/>
          <w:u w:val="single"/>
          <w:lang w:val="en-US" w:eastAsia="zh-CN"/>
        </w:rPr>
        <w:t xml:space="preserve">                                       </w:t>
      </w:r>
    </w:p>
    <w:p w14:paraId="098A75B1">
      <w:pPr>
        <w:wordWrap w:val="0"/>
        <w:adjustRightInd w:val="0"/>
        <w:snapToGrid w:val="0"/>
        <w:spacing w:line="360" w:lineRule="auto"/>
        <w:ind w:firstLine="321" w:firstLineChars="100"/>
        <w:rPr>
          <w:rFonts w:hAnsi="宋体" w:cs="宋体"/>
          <w:color w:val="auto"/>
          <w:sz w:val="32"/>
          <w:szCs w:val="32"/>
          <w:highlight w:val="none"/>
        </w:rPr>
      </w:pPr>
      <w:r>
        <w:rPr>
          <w:rFonts w:hint="eastAsia" w:hAnsi="宋体" w:cs="宋体"/>
          <w:b/>
          <w:color w:val="auto"/>
          <w:sz w:val="32"/>
          <w:szCs w:val="32"/>
          <w:highlight w:val="none"/>
        </w:rPr>
        <w:t>招标编号：</w:t>
      </w:r>
      <w:r>
        <w:rPr>
          <w:rFonts w:hint="eastAsia" w:hAnsi="宋体" w:cs="宋体"/>
          <w:bCs/>
          <w:color w:val="auto"/>
          <w:sz w:val="32"/>
          <w:szCs w:val="32"/>
          <w:highlight w:val="none"/>
          <w:u w:val="single"/>
        </w:rPr>
        <w:t xml:space="preserve">                                       </w:t>
      </w:r>
      <w:r>
        <w:rPr>
          <w:rFonts w:hint="eastAsia" w:hAnsi="宋体" w:cs="宋体"/>
          <w:bCs/>
          <w:color w:val="auto"/>
          <w:sz w:val="32"/>
          <w:szCs w:val="32"/>
          <w:highlight w:val="none"/>
        </w:rPr>
        <w:t xml:space="preserve"> </w:t>
      </w:r>
    </w:p>
    <w:p w14:paraId="00E5F91F">
      <w:pPr>
        <w:wordWrap w:val="0"/>
        <w:adjustRightInd w:val="0"/>
        <w:snapToGrid w:val="0"/>
        <w:spacing w:line="360" w:lineRule="auto"/>
        <w:ind w:firstLine="321" w:firstLineChars="100"/>
        <w:rPr>
          <w:rFonts w:hAnsi="宋体" w:cs="宋体"/>
          <w:color w:val="auto"/>
          <w:sz w:val="32"/>
          <w:szCs w:val="32"/>
          <w:highlight w:val="none"/>
        </w:rPr>
      </w:pPr>
      <w:r>
        <w:rPr>
          <w:rFonts w:hint="eastAsia" w:hAnsi="宋体" w:cs="宋体"/>
          <w:b/>
          <w:color w:val="auto"/>
          <w:sz w:val="32"/>
          <w:szCs w:val="32"/>
          <w:highlight w:val="none"/>
        </w:rPr>
        <w:t>投 标 人（盖单位公章）：</w:t>
      </w:r>
      <w:r>
        <w:rPr>
          <w:rFonts w:hint="eastAsia" w:hAnsi="宋体" w:cs="宋体"/>
          <w:color w:val="auto"/>
          <w:sz w:val="32"/>
          <w:szCs w:val="32"/>
          <w:highlight w:val="none"/>
          <w:u w:val="single"/>
        </w:rPr>
        <w:t xml:space="preserve">          </w:t>
      </w:r>
      <w:r>
        <w:rPr>
          <w:rFonts w:hAnsi="宋体" w:cs="宋体"/>
          <w:color w:val="auto"/>
          <w:sz w:val="32"/>
          <w:szCs w:val="32"/>
          <w:highlight w:val="none"/>
          <w:u w:val="single"/>
        </w:rPr>
        <w:t xml:space="preserve">               </w:t>
      </w:r>
    </w:p>
    <w:p w14:paraId="00A067F5">
      <w:pPr>
        <w:wordWrap w:val="0"/>
        <w:spacing w:line="360" w:lineRule="auto"/>
        <w:ind w:firstLine="321" w:firstLineChars="100"/>
        <w:rPr>
          <w:rFonts w:hint="eastAsia"/>
          <w:b/>
          <w:color w:val="auto"/>
          <w:sz w:val="32"/>
          <w:szCs w:val="32"/>
          <w:highlight w:val="none"/>
        </w:rPr>
      </w:pPr>
      <w:r>
        <w:rPr>
          <w:rFonts w:hint="eastAsia"/>
          <w:b/>
          <w:color w:val="auto"/>
          <w:sz w:val="32"/>
          <w:szCs w:val="32"/>
          <w:highlight w:val="none"/>
        </w:rPr>
        <w:t xml:space="preserve">日    期： </w:t>
      </w:r>
      <w:r>
        <w:rPr>
          <w:rFonts w:hint="eastAsia"/>
          <w:color w:val="auto"/>
          <w:sz w:val="32"/>
          <w:szCs w:val="32"/>
          <w:highlight w:val="none"/>
          <w:u w:val="single"/>
        </w:rPr>
        <w:t xml:space="preserve">    </w:t>
      </w:r>
      <w:r>
        <w:rPr>
          <w:rFonts w:hint="eastAsia"/>
          <w:b/>
          <w:color w:val="auto"/>
          <w:sz w:val="32"/>
          <w:szCs w:val="32"/>
          <w:highlight w:val="none"/>
        </w:rPr>
        <w:t>年</w:t>
      </w:r>
      <w:r>
        <w:rPr>
          <w:rFonts w:hint="eastAsia"/>
          <w:color w:val="auto"/>
          <w:sz w:val="32"/>
          <w:szCs w:val="32"/>
          <w:highlight w:val="none"/>
          <w:u w:val="single"/>
        </w:rPr>
        <w:t xml:space="preserve">    </w:t>
      </w:r>
      <w:r>
        <w:rPr>
          <w:rFonts w:hint="eastAsia"/>
          <w:b/>
          <w:color w:val="auto"/>
          <w:sz w:val="32"/>
          <w:szCs w:val="32"/>
          <w:highlight w:val="none"/>
        </w:rPr>
        <w:t>月</w:t>
      </w:r>
      <w:r>
        <w:rPr>
          <w:rFonts w:hint="eastAsia"/>
          <w:color w:val="auto"/>
          <w:sz w:val="32"/>
          <w:szCs w:val="32"/>
          <w:highlight w:val="none"/>
          <w:u w:val="single"/>
        </w:rPr>
        <w:t xml:space="preserve">    </w:t>
      </w:r>
      <w:r>
        <w:rPr>
          <w:rFonts w:hint="eastAsia"/>
          <w:b/>
          <w:color w:val="auto"/>
          <w:sz w:val="32"/>
          <w:szCs w:val="32"/>
          <w:highlight w:val="none"/>
        </w:rPr>
        <w:t>日</w:t>
      </w:r>
    </w:p>
    <w:p w14:paraId="5C3D481C">
      <w:pPr>
        <w:wordWrap w:val="0"/>
        <w:spacing w:line="360" w:lineRule="auto"/>
        <w:ind w:firstLine="321" w:firstLineChars="100"/>
        <w:rPr>
          <w:rFonts w:hint="eastAsia"/>
          <w:b/>
          <w:color w:val="auto"/>
          <w:sz w:val="32"/>
          <w:szCs w:val="32"/>
          <w:highlight w:val="none"/>
        </w:rPr>
      </w:pPr>
    </w:p>
    <w:p w14:paraId="730A5866">
      <w:pPr>
        <w:wordWrap w:val="0"/>
        <w:spacing w:line="360" w:lineRule="auto"/>
        <w:ind w:firstLine="321" w:firstLineChars="100"/>
        <w:rPr>
          <w:rFonts w:hint="eastAsia"/>
          <w:b/>
          <w:color w:val="auto"/>
          <w:sz w:val="32"/>
          <w:szCs w:val="32"/>
          <w:highlight w:val="none"/>
        </w:rPr>
      </w:pPr>
    </w:p>
    <w:p w14:paraId="29CEDF4F">
      <w:pPr>
        <w:wordWrap w:val="0"/>
        <w:spacing w:line="360" w:lineRule="auto"/>
        <w:ind w:firstLine="562" w:firstLineChars="100"/>
        <w:rPr>
          <w:rFonts w:hint="eastAsia"/>
          <w:b/>
          <w:bCs/>
          <w:color w:val="auto"/>
          <w:sz w:val="56"/>
          <w:szCs w:val="56"/>
          <w:highlight w:val="none"/>
        </w:rPr>
      </w:pPr>
    </w:p>
    <w:p w14:paraId="4C7A5082">
      <w:pPr>
        <w:widowControl/>
        <w:jc w:val="center"/>
        <w:rPr>
          <w:rFonts w:ascii="宋体" w:hAnsi="宋体"/>
          <w:b/>
          <w:color w:val="auto"/>
          <w:sz w:val="56"/>
          <w:szCs w:val="56"/>
          <w:highlight w:val="none"/>
          <w:u w:val="single"/>
        </w:rPr>
      </w:pPr>
      <w:r>
        <w:rPr>
          <w:rFonts w:ascii="宋体" w:hAnsi="宋体" w:eastAsia="宋体" w:cs="宋体"/>
          <w:b/>
          <w:bCs/>
          <w:sz w:val="44"/>
          <w:szCs w:val="44"/>
          <w:highlight w:val="none"/>
          <w:u w:val="single"/>
        </w:rPr>
        <w:t>注：请投标人按标段分别制作投标文件。</w:t>
      </w:r>
    </w:p>
    <w:p w14:paraId="753BF40E">
      <w:pPr>
        <w:rPr>
          <w:rFonts w:hint="eastAsia" w:ascii="宋体" w:hAnsi="宋体"/>
          <w:b/>
          <w:color w:val="auto"/>
          <w:sz w:val="44"/>
          <w:szCs w:val="44"/>
          <w:highlight w:val="none"/>
        </w:rPr>
      </w:pPr>
      <w:r>
        <w:rPr>
          <w:rFonts w:hint="eastAsia" w:ascii="宋体" w:hAnsi="宋体"/>
          <w:b/>
          <w:color w:val="auto"/>
          <w:sz w:val="44"/>
          <w:szCs w:val="44"/>
          <w:highlight w:val="none"/>
        </w:rPr>
        <w:br w:type="page"/>
      </w:r>
    </w:p>
    <w:p w14:paraId="320E0855">
      <w:pPr>
        <w:widowControl/>
        <w:wordWrap w:val="0"/>
        <w:spacing w:line="360" w:lineRule="auto"/>
        <w:jc w:val="center"/>
        <w:rPr>
          <w:rFonts w:hAnsi="宋体" w:cs="宋体"/>
          <w:b/>
          <w:bCs/>
          <w:color w:val="auto"/>
          <w:sz w:val="32"/>
          <w:szCs w:val="32"/>
          <w:highlight w:val="none"/>
        </w:rPr>
      </w:pPr>
      <w:r>
        <w:rPr>
          <w:rFonts w:hint="eastAsia" w:ascii="宋体" w:hAnsi="宋体"/>
          <w:b/>
          <w:color w:val="auto"/>
          <w:sz w:val="44"/>
          <w:szCs w:val="44"/>
          <w:highlight w:val="none"/>
        </w:rPr>
        <w:t>目 录</w:t>
      </w:r>
    </w:p>
    <w:p w14:paraId="17BB1A19">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一、投标函</w:t>
      </w:r>
    </w:p>
    <w:p w14:paraId="4F221DC2">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二、开标一览表</w:t>
      </w:r>
    </w:p>
    <w:p w14:paraId="657E73BA">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三、法定代表人身份证明</w:t>
      </w:r>
    </w:p>
    <w:p w14:paraId="5080000C">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四、授权委托书(如有）</w:t>
      </w:r>
    </w:p>
    <w:p w14:paraId="55034BED">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五、投标人具备投标资格的证明文件</w:t>
      </w:r>
    </w:p>
    <w:p w14:paraId="2668742D">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六、投标保证金</w:t>
      </w:r>
    </w:p>
    <w:p w14:paraId="71CD96B8">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七、投标人承诺函</w:t>
      </w:r>
    </w:p>
    <w:p w14:paraId="4D695EA2">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八、实质性条款（标注“★”符号）响应表</w:t>
      </w:r>
    </w:p>
    <w:p w14:paraId="742A0526">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九、商务和技术偏差表</w:t>
      </w:r>
    </w:p>
    <w:p w14:paraId="3EC7B80A">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ascii="Times New Roman" w:hAnsi="Times New Roman" w:eastAsia="宋体"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十</w:t>
      </w:r>
      <w:r>
        <w:rPr>
          <w:rFonts w:hint="eastAsia" w:ascii="Times New Roman" w:hAnsi="Times New Roman" w:eastAsia="宋体" w:cs="Times New Roman"/>
          <w:color w:val="auto"/>
          <w:kern w:val="2"/>
          <w:sz w:val="24"/>
          <w:szCs w:val="22"/>
          <w:highlight w:val="none"/>
          <w:lang w:val="en-US" w:eastAsia="zh-CN" w:bidi="ar-SA"/>
        </w:rPr>
        <w:t>、投标人类似业绩</w:t>
      </w:r>
    </w:p>
    <w:p w14:paraId="2E067CF0">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default" w:ascii="Times New Roman" w:hAnsi="Times New Roman" w:eastAsia="宋体" w:cs="Times New Roman"/>
          <w:color w:val="auto"/>
          <w:kern w:val="2"/>
          <w:sz w:val="24"/>
          <w:szCs w:val="22"/>
          <w:highlight w:val="none"/>
          <w:lang w:val="en-US" w:eastAsia="zh-CN" w:bidi="ar-SA"/>
        </w:rPr>
      </w:pPr>
      <w:r>
        <w:rPr>
          <w:rFonts w:hint="eastAsia" w:ascii="Times New Roman" w:hAnsi="Times New Roman" w:eastAsia="宋体" w:cs="Times New Roman"/>
          <w:color w:val="auto"/>
          <w:kern w:val="2"/>
          <w:sz w:val="24"/>
          <w:szCs w:val="22"/>
          <w:highlight w:val="none"/>
          <w:lang w:val="en-US" w:eastAsia="zh-CN" w:bidi="ar-SA"/>
        </w:rPr>
        <w:t>十一、综合实力</w:t>
      </w:r>
    </w:p>
    <w:p w14:paraId="2DBC5762">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default" w:ascii="Times New Roman" w:hAnsi="Times New Roman" w:eastAsia="宋体" w:cs="Times New Roman"/>
          <w:color w:val="auto"/>
          <w:kern w:val="2"/>
          <w:sz w:val="24"/>
          <w:szCs w:val="22"/>
          <w:highlight w:val="none"/>
          <w:lang w:val="en-US" w:eastAsia="zh-CN" w:bidi="ar-SA"/>
        </w:rPr>
      </w:pPr>
      <w:r>
        <w:rPr>
          <w:rFonts w:hint="eastAsia" w:ascii="Times New Roman" w:hAnsi="Times New Roman" w:eastAsia="宋体" w:cs="Times New Roman"/>
          <w:color w:val="auto"/>
          <w:kern w:val="2"/>
          <w:sz w:val="24"/>
          <w:szCs w:val="22"/>
          <w:highlight w:val="none"/>
          <w:lang w:val="en-US" w:eastAsia="zh-CN" w:bidi="ar-SA"/>
        </w:rPr>
        <w:t>十二、售后服务保障</w:t>
      </w:r>
    </w:p>
    <w:p w14:paraId="3625D40F">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default" w:ascii="Times New Roman" w:hAnsi="Times New Roman" w:eastAsia="宋体" w:cs="Times New Roman"/>
          <w:color w:val="auto"/>
          <w:kern w:val="2"/>
          <w:sz w:val="24"/>
          <w:szCs w:val="22"/>
          <w:highlight w:val="none"/>
          <w:lang w:val="en-US" w:eastAsia="zh-CN" w:bidi="ar-SA"/>
        </w:rPr>
      </w:pPr>
      <w:r>
        <w:rPr>
          <w:rFonts w:hint="eastAsia" w:ascii="Times New Roman" w:hAnsi="Times New Roman" w:eastAsia="宋体" w:cs="Times New Roman"/>
          <w:color w:val="auto"/>
          <w:kern w:val="2"/>
          <w:sz w:val="24"/>
          <w:szCs w:val="22"/>
          <w:highlight w:val="none"/>
          <w:lang w:val="en-US" w:eastAsia="zh-CN" w:bidi="ar-SA"/>
        </w:rPr>
        <w:t>十三、配送能力</w:t>
      </w:r>
    </w:p>
    <w:p w14:paraId="7DF9D3F0">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ascii="Times New Roman" w:hAnsi="Times New Roman" w:eastAsia="宋体" w:cs="Times New Roman"/>
          <w:color w:val="auto"/>
          <w:kern w:val="2"/>
          <w:sz w:val="24"/>
          <w:szCs w:val="22"/>
          <w:highlight w:val="none"/>
          <w:lang w:val="en-US" w:eastAsia="zh-CN" w:bidi="ar-SA"/>
        </w:rPr>
      </w:pPr>
      <w:r>
        <w:rPr>
          <w:rFonts w:hint="eastAsia" w:ascii="Times New Roman" w:hAnsi="Times New Roman" w:eastAsia="宋体" w:cs="Times New Roman"/>
          <w:color w:val="auto"/>
          <w:kern w:val="2"/>
          <w:sz w:val="24"/>
          <w:szCs w:val="22"/>
          <w:highlight w:val="none"/>
          <w:lang w:val="en-US" w:eastAsia="zh-CN" w:bidi="ar-SA"/>
        </w:rPr>
        <w:t>十四、仓储能力</w:t>
      </w:r>
    </w:p>
    <w:p w14:paraId="25A3F6E1">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default" w:ascii="Times New Roman" w:hAnsi="Times New Roman" w:eastAsia="宋体" w:cs="Times New Roman"/>
          <w:color w:val="auto"/>
          <w:kern w:val="2"/>
          <w:sz w:val="24"/>
          <w:szCs w:val="22"/>
          <w:highlight w:val="none"/>
          <w:lang w:val="en-US" w:eastAsia="zh-CN" w:bidi="ar-SA"/>
        </w:rPr>
      </w:pPr>
      <w:r>
        <w:rPr>
          <w:rFonts w:hint="eastAsia" w:ascii="Times New Roman" w:hAnsi="Times New Roman" w:eastAsia="宋体" w:cs="Times New Roman"/>
          <w:color w:val="auto"/>
          <w:kern w:val="2"/>
          <w:sz w:val="24"/>
          <w:szCs w:val="22"/>
          <w:highlight w:val="none"/>
          <w:lang w:val="en-US" w:eastAsia="zh-CN" w:bidi="ar-SA"/>
        </w:rPr>
        <w:t>十五、投标人认为需提供的其他商务评审资料</w:t>
      </w:r>
    </w:p>
    <w:p w14:paraId="29365D45">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default" w:ascii="Times New Roman" w:hAnsi="Times New Roman" w:eastAsia="宋体" w:cs="Times New Roman"/>
          <w:color w:val="auto"/>
          <w:kern w:val="2"/>
          <w:sz w:val="24"/>
          <w:szCs w:val="22"/>
          <w:highlight w:val="none"/>
          <w:lang w:val="en-US" w:eastAsia="zh-CN" w:bidi="ar-SA"/>
        </w:rPr>
      </w:pPr>
      <w:r>
        <w:rPr>
          <w:rFonts w:hint="eastAsia" w:ascii="Times New Roman" w:hAnsi="Times New Roman" w:eastAsia="宋体" w:cs="Times New Roman"/>
          <w:color w:val="auto"/>
          <w:kern w:val="2"/>
          <w:sz w:val="24"/>
          <w:szCs w:val="22"/>
          <w:highlight w:val="none"/>
          <w:lang w:val="en-US" w:eastAsia="zh-CN" w:bidi="ar-SA"/>
        </w:rPr>
        <w:t>十六、项目实施方案</w:t>
      </w:r>
    </w:p>
    <w:p w14:paraId="23581940">
      <w:pPr>
        <w:keepNext w:val="0"/>
        <w:keepLines w:val="0"/>
        <w:pageBreakBefore w:val="0"/>
        <w:widowControl w:val="0"/>
        <w:kinsoku/>
        <w:wordWrap w:val="0"/>
        <w:overflowPunct/>
        <w:topLinePunct w:val="0"/>
        <w:autoSpaceDE/>
        <w:autoSpaceDN/>
        <w:bidi w:val="0"/>
        <w:adjustRightInd/>
        <w:snapToGrid/>
        <w:spacing w:line="360" w:lineRule="auto"/>
        <w:ind w:right="-105" w:rightChars="-50" w:firstLine="480" w:firstLineChars="200"/>
        <w:textAlignment w:val="auto"/>
        <w:rPr>
          <w:rFonts w:hint="eastAsia" w:ascii="Times New Roman" w:hAnsi="Times New Roman" w:eastAsia="宋体" w:cs="Times New Roman"/>
          <w:color w:val="auto"/>
          <w:kern w:val="2"/>
          <w:sz w:val="24"/>
          <w:szCs w:val="22"/>
          <w:highlight w:val="none"/>
          <w:lang w:val="en-US" w:eastAsia="zh-CN" w:bidi="ar-SA"/>
        </w:rPr>
      </w:pPr>
      <w:r>
        <w:rPr>
          <w:rFonts w:hint="eastAsia" w:ascii="Times New Roman" w:hAnsi="Times New Roman" w:eastAsia="宋体" w:cs="Times New Roman"/>
          <w:color w:val="auto"/>
          <w:kern w:val="2"/>
          <w:sz w:val="24"/>
          <w:szCs w:val="22"/>
          <w:highlight w:val="none"/>
          <w:lang w:val="en-US" w:eastAsia="zh-CN" w:bidi="ar-SA"/>
        </w:rPr>
        <w:t>十七、投标人认为需提供的其他技术评审资料</w:t>
      </w:r>
    </w:p>
    <w:p w14:paraId="0434FA8E">
      <w:pPr>
        <w:spacing w:line="360" w:lineRule="auto"/>
        <w:jc w:val="center"/>
        <w:outlineLvl w:val="1"/>
        <w:rPr>
          <w:rFonts w:ascii="宋体" w:hAnsi="宋体"/>
          <w:b/>
          <w:color w:val="auto"/>
          <w:szCs w:val="21"/>
          <w:highlight w:val="none"/>
        </w:rPr>
      </w:pPr>
      <w:r>
        <w:rPr>
          <w:rFonts w:ascii="Calibri" w:cs="宋体"/>
          <w:color w:val="auto"/>
          <w:szCs w:val="28"/>
          <w:highlight w:val="none"/>
        </w:rPr>
        <w:br w:type="page"/>
      </w:r>
      <w:r>
        <w:rPr>
          <w:rFonts w:ascii="Calibri" w:cs="宋体"/>
          <w:b/>
          <w:color w:val="auto"/>
          <w:sz w:val="28"/>
          <w:szCs w:val="28"/>
          <w:highlight w:val="none"/>
        </w:rPr>
        <w:t>一、投标函</w:t>
      </w:r>
    </w:p>
    <w:p w14:paraId="54D7A4BF">
      <w:pPr>
        <w:pStyle w:val="2"/>
        <w:tabs>
          <w:tab w:val="left" w:pos="1991"/>
        </w:tabs>
        <w:wordWrap w:val="0"/>
        <w:spacing w:after="0"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（招标人名称）：</w:t>
      </w:r>
    </w:p>
    <w:p w14:paraId="3EA2CA75">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1、我方已仔细研究了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（项目名称）</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ab/>
      </w:r>
      <w:r>
        <w:rPr>
          <w:rFonts w:hint="eastAsia" w:ascii="宋体" w:hAnsi="宋体" w:cs="宋体"/>
          <w:color w:val="auto"/>
          <w:szCs w:val="21"/>
          <w:highlight w:val="none"/>
          <w:lang w:val="en-US" w:eastAsia="zh-CN"/>
        </w:rPr>
        <w:t>标段</w:t>
      </w:r>
      <w:r>
        <w:rPr>
          <w:rFonts w:hint="eastAsia" w:ascii="宋体" w:hAnsi="宋体" w:cs="宋体"/>
          <w:color w:val="auto"/>
          <w:szCs w:val="21"/>
          <w:highlight w:val="none"/>
        </w:rPr>
        <w:t>招标文件的全部内容，愿意以人民币（大写）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）的投标总报价提供本项目招标文件要求的所有内容及要求，并按合同约定履行义务。</w:t>
      </w:r>
    </w:p>
    <w:p w14:paraId="3C871D87">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2、我方的投标文件包括下列内容：</w:t>
      </w:r>
    </w:p>
    <w:p w14:paraId="14889711">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hAnsi="宋体" w:cs="Times New Roman"/>
          <w:color w:val="auto"/>
          <w:kern w:val="2"/>
          <w:sz w:val="21"/>
          <w:szCs w:val="24"/>
          <w:highlight w:val="none"/>
          <w:lang w:val="en-US" w:eastAsia="zh-CN" w:bidi="ar-SA"/>
        </w:rPr>
      </w:pPr>
      <w:r>
        <w:rPr>
          <w:rFonts w:hint="eastAsia" w:hAnsi="宋体" w:cs="Times New Roman"/>
          <w:color w:val="auto"/>
          <w:kern w:val="2"/>
          <w:sz w:val="21"/>
          <w:szCs w:val="24"/>
          <w:highlight w:val="none"/>
          <w:lang w:val="en-US" w:eastAsia="zh-CN" w:bidi="ar-SA"/>
        </w:rPr>
        <w:t>一、投标函</w:t>
      </w:r>
    </w:p>
    <w:p w14:paraId="4F57AF4D">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hAnsi="宋体" w:cs="Times New Roman"/>
          <w:color w:val="auto"/>
          <w:kern w:val="2"/>
          <w:sz w:val="21"/>
          <w:szCs w:val="24"/>
          <w:highlight w:val="none"/>
          <w:lang w:val="en-US" w:eastAsia="zh-CN" w:bidi="ar-SA"/>
        </w:rPr>
      </w:pPr>
      <w:r>
        <w:rPr>
          <w:rFonts w:hint="eastAsia" w:hAnsi="宋体" w:cs="Times New Roman"/>
          <w:color w:val="auto"/>
          <w:kern w:val="2"/>
          <w:sz w:val="21"/>
          <w:szCs w:val="24"/>
          <w:highlight w:val="none"/>
          <w:lang w:val="en-US" w:eastAsia="zh-CN" w:bidi="ar-SA"/>
        </w:rPr>
        <w:t>二、开标一览表</w:t>
      </w:r>
    </w:p>
    <w:p w14:paraId="216C6227">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hAnsi="宋体" w:cs="Times New Roman"/>
          <w:color w:val="auto"/>
          <w:kern w:val="2"/>
          <w:sz w:val="21"/>
          <w:szCs w:val="24"/>
          <w:highlight w:val="none"/>
          <w:lang w:val="en-US" w:eastAsia="zh-CN" w:bidi="ar-SA"/>
        </w:rPr>
      </w:pPr>
      <w:r>
        <w:rPr>
          <w:rFonts w:hint="eastAsia" w:hAnsi="宋体" w:cs="Times New Roman"/>
          <w:color w:val="auto"/>
          <w:kern w:val="2"/>
          <w:sz w:val="21"/>
          <w:szCs w:val="24"/>
          <w:highlight w:val="none"/>
          <w:lang w:val="en-US" w:eastAsia="zh-CN" w:bidi="ar-SA"/>
        </w:rPr>
        <w:t>三、法定代表人身份证明</w:t>
      </w:r>
    </w:p>
    <w:p w14:paraId="59C54260">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hAnsi="宋体" w:cs="Times New Roman"/>
          <w:color w:val="auto"/>
          <w:kern w:val="2"/>
          <w:sz w:val="21"/>
          <w:szCs w:val="24"/>
          <w:highlight w:val="none"/>
          <w:lang w:val="en-US" w:eastAsia="zh-CN" w:bidi="ar-SA"/>
        </w:rPr>
      </w:pPr>
      <w:r>
        <w:rPr>
          <w:rFonts w:hint="eastAsia" w:hAnsi="宋体" w:cs="Times New Roman"/>
          <w:color w:val="auto"/>
          <w:kern w:val="2"/>
          <w:sz w:val="21"/>
          <w:szCs w:val="24"/>
          <w:highlight w:val="none"/>
          <w:lang w:val="en-US" w:eastAsia="zh-CN" w:bidi="ar-SA"/>
        </w:rPr>
        <w:t>四、授权委托书(如有）</w:t>
      </w:r>
    </w:p>
    <w:p w14:paraId="6A85E1DF">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hAnsi="宋体" w:cs="Times New Roman"/>
          <w:color w:val="auto"/>
          <w:kern w:val="2"/>
          <w:sz w:val="21"/>
          <w:szCs w:val="24"/>
          <w:highlight w:val="none"/>
          <w:lang w:val="en-US" w:eastAsia="zh-CN" w:bidi="ar-SA"/>
        </w:rPr>
      </w:pPr>
      <w:r>
        <w:rPr>
          <w:rFonts w:hint="eastAsia" w:hAnsi="宋体" w:cs="Times New Roman"/>
          <w:color w:val="auto"/>
          <w:kern w:val="2"/>
          <w:sz w:val="21"/>
          <w:szCs w:val="24"/>
          <w:highlight w:val="none"/>
          <w:lang w:val="en-US" w:eastAsia="zh-CN" w:bidi="ar-SA"/>
        </w:rPr>
        <w:t>五、投标人具备投标资格的证明文件</w:t>
      </w:r>
    </w:p>
    <w:p w14:paraId="0E2842AE">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hAnsi="宋体" w:cs="Times New Roman"/>
          <w:color w:val="auto"/>
          <w:kern w:val="2"/>
          <w:sz w:val="21"/>
          <w:szCs w:val="24"/>
          <w:highlight w:val="none"/>
          <w:lang w:val="en-US" w:eastAsia="zh-CN" w:bidi="ar-SA"/>
        </w:rPr>
      </w:pPr>
      <w:r>
        <w:rPr>
          <w:rFonts w:hint="eastAsia" w:hAnsi="宋体" w:cs="Times New Roman"/>
          <w:color w:val="auto"/>
          <w:kern w:val="2"/>
          <w:sz w:val="21"/>
          <w:szCs w:val="24"/>
          <w:highlight w:val="none"/>
          <w:lang w:val="en-US" w:eastAsia="zh-CN" w:bidi="ar-SA"/>
        </w:rPr>
        <w:t>六、投标保证金</w:t>
      </w:r>
    </w:p>
    <w:p w14:paraId="4155CF1E">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hAnsi="宋体" w:cs="Times New Roman"/>
          <w:color w:val="auto"/>
          <w:kern w:val="2"/>
          <w:sz w:val="21"/>
          <w:szCs w:val="24"/>
          <w:highlight w:val="none"/>
          <w:lang w:val="en-US" w:eastAsia="zh-CN" w:bidi="ar-SA"/>
        </w:rPr>
      </w:pPr>
      <w:r>
        <w:rPr>
          <w:rFonts w:hint="eastAsia" w:hAnsi="宋体" w:cs="Times New Roman"/>
          <w:color w:val="auto"/>
          <w:kern w:val="2"/>
          <w:sz w:val="21"/>
          <w:szCs w:val="24"/>
          <w:highlight w:val="none"/>
          <w:lang w:val="en-US" w:eastAsia="zh-CN" w:bidi="ar-SA"/>
        </w:rPr>
        <w:t>七、投标人承诺函</w:t>
      </w:r>
    </w:p>
    <w:p w14:paraId="0DD53C0E">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hAnsi="宋体" w:cs="Times New Roman"/>
          <w:color w:val="auto"/>
          <w:kern w:val="2"/>
          <w:sz w:val="21"/>
          <w:szCs w:val="24"/>
          <w:highlight w:val="none"/>
          <w:lang w:val="en-US" w:eastAsia="zh-CN" w:bidi="ar-SA"/>
        </w:rPr>
      </w:pPr>
      <w:r>
        <w:rPr>
          <w:rFonts w:hint="eastAsia" w:hAnsi="宋体" w:cs="Times New Roman"/>
          <w:color w:val="auto"/>
          <w:kern w:val="2"/>
          <w:sz w:val="21"/>
          <w:szCs w:val="24"/>
          <w:highlight w:val="none"/>
          <w:lang w:val="en-US" w:eastAsia="zh-CN" w:bidi="ar-SA"/>
        </w:rPr>
        <w:t>八、实质性条款（标注“★”符号）响应表</w:t>
      </w:r>
    </w:p>
    <w:p w14:paraId="57D4DB49">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hAnsi="宋体" w:cs="Times New Roman"/>
          <w:color w:val="auto"/>
          <w:kern w:val="2"/>
          <w:sz w:val="21"/>
          <w:szCs w:val="24"/>
          <w:highlight w:val="none"/>
          <w:lang w:val="en-US" w:eastAsia="zh-CN" w:bidi="ar-SA"/>
        </w:rPr>
      </w:pPr>
      <w:r>
        <w:rPr>
          <w:rFonts w:hint="eastAsia" w:hAnsi="宋体" w:cs="Times New Roman"/>
          <w:color w:val="auto"/>
          <w:kern w:val="2"/>
          <w:sz w:val="21"/>
          <w:szCs w:val="24"/>
          <w:highlight w:val="none"/>
          <w:lang w:val="en-US" w:eastAsia="zh-CN" w:bidi="ar-SA"/>
        </w:rPr>
        <w:t>九、商务和技术偏差表</w:t>
      </w:r>
    </w:p>
    <w:p w14:paraId="0CD03BC4">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ascii="Times New Roman" w:hAnsi="宋体" w:eastAsia="宋体" w:cs="Times New Roman"/>
          <w:color w:val="auto"/>
          <w:kern w:val="2"/>
          <w:sz w:val="21"/>
          <w:szCs w:val="24"/>
          <w:highlight w:val="none"/>
          <w:lang w:val="en-US" w:eastAsia="zh-CN" w:bidi="ar-SA"/>
        </w:rPr>
      </w:pPr>
      <w:r>
        <w:rPr>
          <w:rFonts w:hint="eastAsia" w:hAnsi="宋体" w:cs="Times New Roman"/>
          <w:color w:val="auto"/>
          <w:kern w:val="2"/>
          <w:sz w:val="21"/>
          <w:szCs w:val="24"/>
          <w:highlight w:val="none"/>
          <w:lang w:val="en-US" w:eastAsia="zh-CN" w:bidi="ar-SA"/>
        </w:rPr>
        <w:t>十</w:t>
      </w:r>
      <w:r>
        <w:rPr>
          <w:rFonts w:hint="eastAsia" w:ascii="Times New Roman" w:hAnsi="宋体" w:eastAsia="宋体" w:cs="Times New Roman"/>
          <w:color w:val="auto"/>
          <w:kern w:val="2"/>
          <w:sz w:val="21"/>
          <w:szCs w:val="24"/>
          <w:highlight w:val="none"/>
          <w:lang w:val="en-US" w:eastAsia="zh-CN" w:bidi="ar-SA"/>
        </w:rPr>
        <w:t>、投标人类似业绩</w:t>
      </w:r>
    </w:p>
    <w:p w14:paraId="4A182644">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ascii="Times New Roman" w:hAnsi="宋体" w:eastAsia="宋体" w:cs="Times New Roman"/>
          <w:color w:val="auto"/>
          <w:kern w:val="2"/>
          <w:sz w:val="21"/>
          <w:szCs w:val="24"/>
          <w:highlight w:val="none"/>
          <w:lang w:val="en-US" w:eastAsia="zh-CN" w:bidi="ar-SA"/>
        </w:rPr>
      </w:pPr>
      <w:r>
        <w:rPr>
          <w:rFonts w:hint="eastAsia" w:ascii="Times New Roman" w:hAnsi="宋体" w:eastAsia="宋体" w:cs="Times New Roman"/>
          <w:color w:val="auto"/>
          <w:kern w:val="2"/>
          <w:sz w:val="21"/>
          <w:szCs w:val="24"/>
          <w:highlight w:val="none"/>
          <w:lang w:val="en-US" w:eastAsia="zh-CN" w:bidi="ar-SA"/>
        </w:rPr>
        <w:t>十一、综合实力</w:t>
      </w:r>
    </w:p>
    <w:p w14:paraId="482B4094">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ascii="Times New Roman" w:hAnsi="宋体" w:eastAsia="宋体" w:cs="Times New Roman"/>
          <w:color w:val="auto"/>
          <w:kern w:val="2"/>
          <w:sz w:val="21"/>
          <w:szCs w:val="24"/>
          <w:highlight w:val="none"/>
          <w:lang w:val="en-US" w:eastAsia="zh-CN" w:bidi="ar-SA"/>
        </w:rPr>
      </w:pPr>
      <w:r>
        <w:rPr>
          <w:rFonts w:hint="eastAsia" w:ascii="Times New Roman" w:hAnsi="宋体" w:eastAsia="宋体" w:cs="Times New Roman"/>
          <w:color w:val="auto"/>
          <w:kern w:val="2"/>
          <w:sz w:val="21"/>
          <w:szCs w:val="24"/>
          <w:highlight w:val="none"/>
          <w:lang w:val="en-US" w:eastAsia="zh-CN" w:bidi="ar-SA"/>
        </w:rPr>
        <w:t>十二、售后服务保障</w:t>
      </w:r>
    </w:p>
    <w:p w14:paraId="3FEF3591">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ascii="Times New Roman" w:hAnsi="宋体" w:eastAsia="宋体" w:cs="Times New Roman"/>
          <w:color w:val="auto"/>
          <w:kern w:val="2"/>
          <w:sz w:val="21"/>
          <w:szCs w:val="24"/>
          <w:highlight w:val="none"/>
          <w:lang w:val="en-US" w:eastAsia="zh-CN" w:bidi="ar-SA"/>
        </w:rPr>
      </w:pPr>
      <w:r>
        <w:rPr>
          <w:rFonts w:hint="eastAsia" w:ascii="Times New Roman" w:hAnsi="宋体" w:eastAsia="宋体" w:cs="Times New Roman"/>
          <w:color w:val="auto"/>
          <w:kern w:val="2"/>
          <w:sz w:val="21"/>
          <w:szCs w:val="24"/>
          <w:highlight w:val="none"/>
          <w:lang w:val="en-US" w:eastAsia="zh-CN" w:bidi="ar-SA"/>
        </w:rPr>
        <w:t>十三、配送能力</w:t>
      </w:r>
    </w:p>
    <w:p w14:paraId="546E5507">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ascii="Times New Roman" w:hAnsi="宋体" w:eastAsia="宋体" w:cs="Times New Roman"/>
          <w:color w:val="auto"/>
          <w:kern w:val="2"/>
          <w:sz w:val="21"/>
          <w:szCs w:val="24"/>
          <w:highlight w:val="none"/>
          <w:lang w:val="en-US" w:eastAsia="zh-CN" w:bidi="ar-SA"/>
        </w:rPr>
      </w:pPr>
      <w:r>
        <w:rPr>
          <w:rFonts w:hint="eastAsia" w:ascii="Times New Roman" w:hAnsi="宋体" w:eastAsia="宋体" w:cs="Times New Roman"/>
          <w:color w:val="auto"/>
          <w:kern w:val="2"/>
          <w:sz w:val="21"/>
          <w:szCs w:val="24"/>
          <w:highlight w:val="none"/>
          <w:lang w:val="en-US" w:eastAsia="zh-CN" w:bidi="ar-SA"/>
        </w:rPr>
        <w:t>十四、仓储能力</w:t>
      </w:r>
    </w:p>
    <w:p w14:paraId="193F0C34">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ascii="Times New Roman" w:hAnsi="宋体" w:eastAsia="宋体" w:cs="Times New Roman"/>
          <w:color w:val="auto"/>
          <w:kern w:val="2"/>
          <w:sz w:val="21"/>
          <w:szCs w:val="24"/>
          <w:highlight w:val="none"/>
          <w:lang w:val="en-US" w:eastAsia="zh-CN" w:bidi="ar-SA"/>
        </w:rPr>
      </w:pPr>
      <w:r>
        <w:rPr>
          <w:rFonts w:hint="eastAsia" w:ascii="Times New Roman" w:hAnsi="宋体" w:eastAsia="宋体" w:cs="Times New Roman"/>
          <w:color w:val="auto"/>
          <w:kern w:val="2"/>
          <w:sz w:val="21"/>
          <w:szCs w:val="24"/>
          <w:highlight w:val="none"/>
          <w:lang w:val="en-US" w:eastAsia="zh-CN" w:bidi="ar-SA"/>
        </w:rPr>
        <w:t>十五、投标人认为需提供的其他商务评审资料</w:t>
      </w:r>
    </w:p>
    <w:p w14:paraId="515C56F6">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ascii="Times New Roman" w:hAnsi="宋体" w:eastAsia="宋体" w:cs="Times New Roman"/>
          <w:color w:val="auto"/>
          <w:kern w:val="2"/>
          <w:sz w:val="21"/>
          <w:szCs w:val="24"/>
          <w:highlight w:val="none"/>
          <w:lang w:val="en-US" w:eastAsia="zh-CN" w:bidi="ar-SA"/>
        </w:rPr>
      </w:pPr>
      <w:r>
        <w:rPr>
          <w:rFonts w:hint="eastAsia" w:ascii="Times New Roman" w:hAnsi="宋体" w:eastAsia="宋体" w:cs="Times New Roman"/>
          <w:color w:val="auto"/>
          <w:kern w:val="2"/>
          <w:sz w:val="21"/>
          <w:szCs w:val="24"/>
          <w:highlight w:val="none"/>
          <w:lang w:val="en-US" w:eastAsia="zh-CN" w:bidi="ar-SA"/>
        </w:rPr>
        <w:t>十六、项目实施方案</w:t>
      </w:r>
    </w:p>
    <w:p w14:paraId="566CA437">
      <w:pPr>
        <w:keepNext w:val="0"/>
        <w:keepLines w:val="0"/>
        <w:pageBreakBefore w:val="0"/>
        <w:widowControl/>
        <w:kinsoku/>
        <w:wordWrap/>
        <w:overflowPunct/>
        <w:topLinePunct w:val="0"/>
        <w:autoSpaceDE/>
        <w:autoSpaceDN/>
        <w:bidi w:val="0"/>
        <w:adjustRightInd/>
        <w:snapToGrid/>
        <w:spacing w:line="240" w:lineRule="auto"/>
        <w:ind w:left="840" w:leftChars="400" w:right="0" w:rightChars="0" w:firstLine="52" w:firstLineChars="25"/>
        <w:textAlignment w:val="auto"/>
        <w:rPr>
          <w:rFonts w:hint="eastAsia" w:ascii="Times New Roman" w:hAnsi="宋体" w:eastAsia="宋体" w:cs="Times New Roman"/>
          <w:color w:val="auto"/>
          <w:kern w:val="2"/>
          <w:sz w:val="21"/>
          <w:szCs w:val="24"/>
          <w:highlight w:val="none"/>
          <w:lang w:val="en-US" w:eastAsia="zh-CN" w:bidi="ar-SA"/>
        </w:rPr>
      </w:pPr>
      <w:r>
        <w:rPr>
          <w:rFonts w:hint="eastAsia" w:ascii="Times New Roman" w:hAnsi="宋体" w:eastAsia="宋体" w:cs="Times New Roman"/>
          <w:color w:val="auto"/>
          <w:kern w:val="2"/>
          <w:sz w:val="21"/>
          <w:szCs w:val="24"/>
          <w:highlight w:val="none"/>
          <w:lang w:val="en-US" w:eastAsia="zh-CN" w:bidi="ar-SA"/>
        </w:rPr>
        <w:t>十七、投标人认为需提供的其他技术评审资料</w:t>
      </w:r>
    </w:p>
    <w:p w14:paraId="0F251325">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3、按本项目招标公告规定交纳投标保证金，其金额为（大写）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，交纳方式为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375B32ED">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4、除《商务和技术偏差表》中列出的偏差外，我方承诺完全响应或优于招标文件的全部要求。</w:t>
      </w:r>
    </w:p>
    <w:p w14:paraId="3517C511">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5、本投标有效期为自招标文件规定的提交投标文件截止之日起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个日历天，我方承诺在招标文件规定的投标有效期内不撤销投标文件。</w:t>
      </w:r>
    </w:p>
    <w:p w14:paraId="5643D2CE">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6、如我方中标，我方承诺：</w:t>
      </w:r>
    </w:p>
    <w:p w14:paraId="7222C7B6">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（1）在收到中标通知书后，在中标通知书规定的期限内与贵方签订合同；</w:t>
      </w:r>
    </w:p>
    <w:p w14:paraId="30A5D909">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（2）在签订合同时不向贵方提出附加条件；</w:t>
      </w:r>
    </w:p>
    <w:p w14:paraId="29BE122F">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（3）按照招标文件要求提交履约保证金；</w:t>
      </w:r>
    </w:p>
    <w:p w14:paraId="09827539">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（4）在合同约定的期限内完成合同规定的全部义务。</w:t>
      </w:r>
    </w:p>
    <w:p w14:paraId="5CB22018">
      <w:pPr>
        <w:wordWrap w:val="0"/>
        <w:spacing w:line="360" w:lineRule="auto"/>
        <w:ind w:firstLine="420" w:firstLineChars="200"/>
        <w:rPr>
          <w:rFonts w:hint="eastAsia" w:ascii="宋体" w:hAnsi="宋体" w:cs="宋体"/>
          <w:bCs/>
          <w:color w:val="auto"/>
          <w:szCs w:val="21"/>
          <w:highlight w:val="none"/>
        </w:rPr>
      </w:pPr>
      <w:r>
        <w:rPr>
          <w:rFonts w:hint="eastAsia" w:ascii="宋体" w:hAnsi="宋体" w:cs="宋体"/>
          <w:color w:val="auto"/>
          <w:szCs w:val="21"/>
          <w:highlight w:val="none"/>
        </w:rPr>
        <w:t>7、我方在此声明，所递交的投标文件及有关资料内容完整、真实和准确，且</w:t>
      </w:r>
      <w:r>
        <w:rPr>
          <w:rFonts w:hint="eastAsia" w:ascii="宋体" w:hAnsi="宋体" w:cs="宋体"/>
          <w:bCs/>
          <w:color w:val="auto"/>
          <w:szCs w:val="21"/>
          <w:highlight w:val="none"/>
        </w:rPr>
        <w:t>不存在第二章“投标人须知”第1.4.</w:t>
      </w:r>
      <w:r>
        <w:rPr>
          <w:rFonts w:hint="eastAsia" w:ascii="宋体" w:hAnsi="宋体" w:cs="宋体"/>
          <w:bCs/>
          <w:color w:val="auto"/>
          <w:szCs w:val="21"/>
          <w:highlight w:val="none"/>
          <w:lang w:val="en-US" w:eastAsia="zh-CN"/>
        </w:rPr>
        <w:t>2</w:t>
      </w:r>
      <w:r>
        <w:rPr>
          <w:rFonts w:hint="eastAsia" w:ascii="宋体" w:hAnsi="宋体" w:cs="宋体"/>
          <w:bCs/>
          <w:color w:val="auto"/>
          <w:szCs w:val="21"/>
          <w:highlight w:val="none"/>
        </w:rPr>
        <w:t>项规定的任何一种情形；且没有发生“</w:t>
      </w:r>
      <w:r>
        <w:rPr>
          <w:rFonts w:hint="eastAsia" w:ascii="宋体" w:hAnsi="宋体" w:cs="宋体"/>
          <w:bCs/>
          <w:color w:val="auto"/>
          <w:szCs w:val="21"/>
          <w:highlight w:val="none"/>
          <w:lang w:eastAsia="zh-CN"/>
        </w:rPr>
        <w:t>被长沙市轨道交通集团有限公司或长沙穗城轨道交通有限公司函告禁止在一定期限内参与轨道项目投标的单位按函告内容执行</w:t>
      </w:r>
      <w:r>
        <w:rPr>
          <w:rFonts w:hint="eastAsia" w:ascii="宋体" w:hAnsi="宋体" w:cs="宋体"/>
          <w:bCs/>
          <w:color w:val="auto"/>
          <w:szCs w:val="21"/>
          <w:highlight w:val="none"/>
        </w:rPr>
        <w:t>”此规定的情形。</w:t>
      </w:r>
    </w:p>
    <w:p w14:paraId="7A79F0FB">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8、我方已详细审核了全部招标文件，包括招标文件的修改、补充通知（如果有的话）。我方知道必须放弃对上述文件中所有条款提出存有含糊不清或不理解之问题的权利。</w:t>
      </w:r>
    </w:p>
    <w:p w14:paraId="7DC6113C">
      <w:pPr>
        <w:wordWrap w:val="0"/>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9、投标总报价已包含了招标文件要求的所有内容及要求。投标报价表中未具体列明的，但在合同执行阶段可能发生的一切费用已经包含在投标报价中。</w:t>
      </w:r>
      <w:r>
        <w:rPr>
          <w:rFonts w:hint="eastAsia" w:ascii="宋体" w:hAnsi="宋体" w:cs="宋体"/>
          <w:color w:val="auto"/>
          <w:szCs w:val="21"/>
          <w:highlight w:val="none"/>
          <w:lang w:val="en-US" w:eastAsia="zh-CN"/>
        </w:rPr>
        <w:tab/>
      </w:r>
    </w:p>
    <w:p w14:paraId="50D8E8BF">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10、如果我方在开标后规定的投标有效期内撤回投标，我方的投标保证金可被贵方没收。如果贵方有要求，我方愿意进一步提供与本投标有关的任何证据或资料。</w:t>
      </w:r>
    </w:p>
    <w:p w14:paraId="05D5D84B">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11、我方自愿承诺和遵守长沙穗城轨道交通有限公司的相关规定和要求，如有违反，我司自愿承担因我方违反相关规定所引起的一切后果。</w:t>
      </w:r>
    </w:p>
    <w:p w14:paraId="0A357B3B">
      <w:pPr>
        <w:wordWrap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（其他补充说明）。</w:t>
      </w:r>
    </w:p>
    <w:p w14:paraId="3AA4BCE1">
      <w:pPr>
        <w:pStyle w:val="2"/>
        <w:tabs>
          <w:tab w:val="left" w:pos="3880"/>
        </w:tabs>
        <w:wordWrap w:val="0"/>
        <w:spacing w:after="0" w:line="360" w:lineRule="auto"/>
        <w:rPr>
          <w:rFonts w:ascii="宋体" w:hAnsi="宋体" w:cs="宋体"/>
          <w:color w:val="auto"/>
          <w:szCs w:val="21"/>
          <w:highlight w:val="none"/>
        </w:rPr>
      </w:pPr>
    </w:p>
    <w:p w14:paraId="0C277F39">
      <w:pPr>
        <w:pStyle w:val="2"/>
        <w:tabs>
          <w:tab w:val="left" w:pos="3880"/>
        </w:tabs>
        <w:wordWrap w:val="0"/>
        <w:spacing w:after="0" w:line="360" w:lineRule="auto"/>
        <w:rPr>
          <w:rFonts w:ascii="宋体" w:hAnsi="宋体" w:cs="宋体"/>
          <w:color w:val="auto"/>
          <w:szCs w:val="21"/>
          <w:highlight w:val="none"/>
        </w:rPr>
      </w:pPr>
      <w:r>
        <w:rPr>
          <w:rFonts w:hint="eastAsia" w:ascii="宋体" w:hAnsi="宋体" w:cs="宋体"/>
          <w:color w:val="auto"/>
          <w:szCs w:val="21"/>
          <w:highlight w:val="none"/>
        </w:rPr>
        <w:t>投 标 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（盖单位公章）</w:t>
      </w:r>
    </w:p>
    <w:p w14:paraId="1790DD53">
      <w:pPr>
        <w:pStyle w:val="2"/>
        <w:tabs>
          <w:tab w:val="left" w:pos="3232"/>
          <w:tab w:val="left" w:pos="8529"/>
        </w:tabs>
        <w:wordWrap w:val="0"/>
        <w:spacing w:after="0" w:line="360" w:lineRule="auto"/>
        <w:rPr>
          <w:rFonts w:ascii="宋体" w:hAnsi="宋体" w:cs="宋体"/>
          <w:color w:val="auto"/>
          <w:szCs w:val="21"/>
          <w:highlight w:val="none"/>
        </w:rPr>
      </w:pPr>
      <w:r>
        <w:rPr>
          <w:rFonts w:hint="eastAsia" w:ascii="宋体" w:hAnsi="宋体" w:cs="宋体"/>
          <w:color w:val="auto"/>
          <w:szCs w:val="21"/>
          <w:highlight w:val="none"/>
        </w:rPr>
        <w:t>地    址：</w:t>
      </w:r>
      <w:r>
        <w:rPr>
          <w:rFonts w:hint="eastAsia" w:ascii="宋体" w:hAnsi="宋体" w:cs="宋体"/>
          <w:color w:val="auto"/>
          <w:szCs w:val="21"/>
          <w:highlight w:val="none"/>
          <w:u w:val="single"/>
        </w:rPr>
        <w:t xml:space="preserve">                                              </w:t>
      </w:r>
    </w:p>
    <w:p w14:paraId="1E2734C2">
      <w:pPr>
        <w:pStyle w:val="2"/>
        <w:tabs>
          <w:tab w:val="left" w:pos="3232"/>
          <w:tab w:val="left" w:pos="8529"/>
        </w:tabs>
        <w:wordWrap w:val="0"/>
        <w:spacing w:after="0" w:line="360" w:lineRule="auto"/>
        <w:rPr>
          <w:rFonts w:ascii="宋体" w:hAnsi="宋体" w:cs="宋体"/>
          <w:color w:val="auto"/>
          <w:szCs w:val="21"/>
          <w:highlight w:val="none"/>
        </w:rPr>
      </w:pPr>
      <w:r>
        <w:rPr>
          <w:rFonts w:hint="eastAsia" w:ascii="宋体" w:hAnsi="宋体" w:cs="宋体"/>
          <w:color w:val="auto"/>
          <w:szCs w:val="21"/>
          <w:highlight w:val="none"/>
        </w:rPr>
        <w:t>网    址：</w:t>
      </w:r>
      <w:r>
        <w:rPr>
          <w:rFonts w:hint="eastAsia" w:ascii="宋体" w:hAnsi="宋体" w:cs="宋体"/>
          <w:color w:val="auto"/>
          <w:szCs w:val="21"/>
          <w:highlight w:val="none"/>
          <w:u w:val="single"/>
        </w:rPr>
        <w:t xml:space="preserve">                                              </w:t>
      </w:r>
    </w:p>
    <w:p w14:paraId="45A8B9A9">
      <w:pPr>
        <w:pStyle w:val="2"/>
        <w:tabs>
          <w:tab w:val="left" w:pos="3232"/>
          <w:tab w:val="left" w:pos="8529"/>
        </w:tabs>
        <w:wordWrap w:val="0"/>
        <w:spacing w:after="0" w:line="360" w:lineRule="auto"/>
        <w:rPr>
          <w:rFonts w:ascii="宋体" w:hAnsi="宋体" w:cs="宋体"/>
          <w:color w:val="auto"/>
          <w:szCs w:val="21"/>
          <w:highlight w:val="none"/>
        </w:rPr>
      </w:pPr>
      <w:r>
        <w:rPr>
          <w:rFonts w:hint="eastAsia" w:ascii="宋体" w:hAnsi="宋体" w:cs="宋体"/>
          <w:color w:val="auto"/>
          <w:szCs w:val="21"/>
          <w:highlight w:val="none"/>
        </w:rPr>
        <w:t>电    话：</w:t>
      </w:r>
      <w:r>
        <w:rPr>
          <w:rFonts w:hint="eastAsia" w:ascii="宋体" w:hAnsi="宋体" w:cs="宋体"/>
          <w:color w:val="auto"/>
          <w:szCs w:val="21"/>
          <w:highlight w:val="none"/>
          <w:u w:val="single"/>
        </w:rPr>
        <w:t xml:space="preserve">                                              </w:t>
      </w:r>
    </w:p>
    <w:p w14:paraId="5459CD60">
      <w:pPr>
        <w:pStyle w:val="2"/>
        <w:tabs>
          <w:tab w:val="left" w:pos="3232"/>
          <w:tab w:val="left" w:pos="8529"/>
        </w:tabs>
        <w:wordWrap w:val="0"/>
        <w:spacing w:after="0" w:line="360" w:lineRule="auto"/>
        <w:rPr>
          <w:rFonts w:ascii="宋体" w:hAnsi="宋体" w:cs="宋体"/>
          <w:color w:val="auto"/>
          <w:szCs w:val="21"/>
          <w:highlight w:val="none"/>
        </w:rPr>
      </w:pPr>
      <w:r>
        <w:rPr>
          <w:rFonts w:hint="eastAsia" w:ascii="宋体" w:hAnsi="宋体" w:cs="宋体"/>
          <w:color w:val="auto"/>
          <w:szCs w:val="21"/>
          <w:highlight w:val="none"/>
        </w:rPr>
        <w:t>传    真：</w:t>
      </w:r>
      <w:r>
        <w:rPr>
          <w:rFonts w:hint="eastAsia" w:ascii="宋体" w:hAnsi="宋体" w:cs="宋体"/>
          <w:color w:val="auto"/>
          <w:szCs w:val="21"/>
          <w:highlight w:val="none"/>
          <w:u w:val="single"/>
        </w:rPr>
        <w:t xml:space="preserve">                                              </w:t>
      </w:r>
    </w:p>
    <w:p w14:paraId="704A018C">
      <w:pPr>
        <w:pStyle w:val="2"/>
        <w:tabs>
          <w:tab w:val="left" w:pos="8529"/>
        </w:tabs>
        <w:wordWrap w:val="0"/>
        <w:spacing w:after="0" w:line="360" w:lineRule="auto"/>
        <w:rPr>
          <w:rFonts w:ascii="宋体" w:hAnsi="宋体" w:cs="宋体"/>
          <w:color w:val="auto"/>
          <w:szCs w:val="21"/>
          <w:highlight w:val="none"/>
        </w:rPr>
      </w:pPr>
      <w:r>
        <w:rPr>
          <w:rFonts w:hint="eastAsia" w:ascii="宋体" w:hAnsi="宋体" w:cs="宋体"/>
          <w:color w:val="auto"/>
          <w:szCs w:val="21"/>
          <w:highlight w:val="none"/>
        </w:rPr>
        <w:t>邮政编码：</w:t>
      </w:r>
      <w:r>
        <w:rPr>
          <w:rFonts w:hint="eastAsia" w:ascii="宋体" w:hAnsi="宋体" w:cs="宋体"/>
          <w:color w:val="auto"/>
          <w:szCs w:val="21"/>
          <w:highlight w:val="none"/>
          <w:u w:val="single"/>
        </w:rPr>
        <w:t xml:space="preserve">                                              </w:t>
      </w:r>
    </w:p>
    <w:p w14:paraId="549AA025">
      <w:pPr>
        <w:pStyle w:val="2"/>
        <w:tabs>
          <w:tab w:val="left" w:pos="631"/>
          <w:tab w:val="left" w:pos="1471"/>
          <w:tab w:val="left" w:pos="2311"/>
        </w:tabs>
        <w:wordWrap w:val="0"/>
        <w:spacing w:line="360" w:lineRule="auto"/>
        <w:jc w:val="right"/>
        <w:rPr>
          <w:rFonts w:ascii="宋体" w:hAnsi="宋体"/>
          <w:color w:val="auto"/>
          <w:szCs w:val="21"/>
          <w:highlight w:val="none"/>
        </w:rPr>
      </w:pP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月</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日</w:t>
      </w:r>
    </w:p>
    <w:p w14:paraId="71C393CE">
      <w:pPr>
        <w:wordWrap w:val="0"/>
        <w:spacing w:after="240"/>
        <w:ind w:left="220" w:right="339"/>
        <w:jc w:val="center"/>
        <w:rPr>
          <w:rFonts w:hint="eastAsia" w:ascii="Calibri" w:cs="宋体"/>
          <w:color w:val="auto"/>
          <w:szCs w:val="28"/>
          <w:highlight w:val="none"/>
        </w:rPr>
      </w:pPr>
      <w:r>
        <w:rPr>
          <w:rFonts w:hint="eastAsia" w:ascii="Calibri" w:cs="宋体"/>
          <w:color w:val="auto"/>
          <w:szCs w:val="28"/>
          <w:highlight w:val="none"/>
        </w:rPr>
        <w:br w:type="page"/>
      </w:r>
    </w:p>
    <w:p w14:paraId="7FF197F5">
      <w:pPr>
        <w:spacing w:line="360" w:lineRule="auto"/>
        <w:jc w:val="center"/>
        <w:outlineLvl w:val="1"/>
        <w:rPr>
          <w:rFonts w:hint="eastAsia" w:ascii="Calibri" w:hAnsi="Times New Roman" w:eastAsia="宋体" w:cs="宋体"/>
          <w:b/>
          <w:color w:val="auto"/>
          <w:sz w:val="28"/>
          <w:szCs w:val="28"/>
          <w:highlight w:val="none"/>
          <w:lang w:eastAsia="zh-CN"/>
        </w:rPr>
      </w:pPr>
      <w:r>
        <w:rPr>
          <w:rFonts w:hint="eastAsia" w:ascii="Calibri" w:hAnsi="Times New Roman" w:eastAsia="宋体" w:cs="宋体"/>
          <w:b/>
          <w:color w:val="auto"/>
          <w:sz w:val="28"/>
          <w:szCs w:val="28"/>
          <w:highlight w:val="none"/>
        </w:rPr>
        <w:t>二、</w:t>
      </w:r>
      <w:r>
        <w:rPr>
          <w:rFonts w:ascii="Calibri" w:hAnsi="Times New Roman" w:eastAsia="宋体" w:cs="宋体"/>
          <w:b/>
          <w:color w:val="auto"/>
          <w:sz w:val="28"/>
          <w:szCs w:val="28"/>
          <w:highlight w:val="none"/>
        </w:rPr>
        <w:t>开标一览</w:t>
      </w:r>
      <w:r>
        <w:rPr>
          <w:rFonts w:hint="eastAsia" w:ascii="Calibri" w:hAnsi="Times New Roman" w:eastAsia="宋体" w:cs="宋体"/>
          <w:b/>
          <w:color w:val="auto"/>
          <w:sz w:val="28"/>
          <w:szCs w:val="28"/>
          <w:highlight w:val="none"/>
        </w:rPr>
        <w:t>表</w:t>
      </w:r>
    </w:p>
    <w:p w14:paraId="3A8BC07B">
      <w:pPr>
        <w:tabs>
          <w:tab w:val="left" w:pos="8364"/>
        </w:tabs>
        <w:wordWrap w:val="0"/>
        <w:snapToGrid w:val="0"/>
        <w:spacing w:before="156" w:beforeLines="50" w:line="360" w:lineRule="auto"/>
        <w:jc w:val="right"/>
        <w:rPr>
          <w:rFonts w:hAnsi="宋体" w:cs="宋体"/>
          <w:bCs/>
          <w:color w:val="auto"/>
          <w:szCs w:val="21"/>
          <w:highlight w:val="none"/>
        </w:rPr>
      </w:pPr>
      <w:r>
        <w:rPr>
          <w:rFonts w:hint="eastAsia" w:hAnsi="宋体" w:cs="宋体"/>
          <w:bCs/>
          <w:color w:val="auto"/>
          <w:szCs w:val="21"/>
          <w:highlight w:val="none"/>
        </w:rPr>
        <w:t>（单位：人民币元）</w:t>
      </w:r>
    </w:p>
    <w:tbl>
      <w:tblPr>
        <w:tblStyle w:val="64"/>
        <w:tblW w:w="5000"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691"/>
        <w:gridCol w:w="1807"/>
        <w:gridCol w:w="7464"/>
      </w:tblGrid>
      <w:tr w14:paraId="2188E1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75" w:hRule="atLeast"/>
          <w:jc w:val="center"/>
        </w:trPr>
        <w:tc>
          <w:tcPr>
            <w:tcW w:w="5000" w:type="pct"/>
            <w:gridSpan w:val="3"/>
            <w:tcBorders>
              <w:tl2br w:val="nil"/>
              <w:tr2bl w:val="nil"/>
            </w:tcBorders>
            <w:vAlign w:val="center"/>
          </w:tcPr>
          <w:p w14:paraId="57BADF0D">
            <w:pPr>
              <w:wordWrap w:val="0"/>
              <w:jc w:val="center"/>
              <w:rPr>
                <w:rFonts w:hint="default" w:hAnsi="宋体" w:eastAsia="宋体" w:cs="宋体"/>
                <w:color w:val="auto"/>
                <w:szCs w:val="21"/>
                <w:highlight w:val="none"/>
                <w:u w:val="single"/>
                <w:lang w:val="en-US" w:eastAsia="zh-CN"/>
              </w:rPr>
            </w:pPr>
            <w:r>
              <w:rPr>
                <w:rFonts w:hint="eastAsia" w:ascii="宋体" w:hAnsi="宋体" w:eastAsia="宋体" w:cs="宋体"/>
                <w:snapToGrid w:val="0"/>
                <w:color w:val="auto"/>
                <w:kern w:val="0"/>
                <w:szCs w:val="21"/>
                <w:highlight w:val="none"/>
                <w:lang w:val="en-US" w:eastAsia="zh-CN"/>
              </w:rPr>
              <w:t>2026-2028年员工食堂劳务外包、物资供应项目</w:t>
            </w:r>
            <w:r>
              <w:rPr>
                <w:rFonts w:hint="eastAsia" w:ascii="宋体" w:hAnsi="宋体" w:cs="宋体"/>
                <w:b/>
                <w:bCs/>
                <w:snapToGrid w:val="0"/>
                <w:color w:val="auto"/>
                <w:kern w:val="0"/>
                <w:szCs w:val="21"/>
                <w:highlight w:val="none"/>
                <w:lang w:val="en-US" w:eastAsia="zh-CN"/>
              </w:rPr>
              <w:t>（</w:t>
            </w:r>
            <w:r>
              <w:rPr>
                <w:rFonts w:hint="eastAsia" w:ascii="宋体" w:hAnsi="宋体" w:cs="宋体"/>
                <w:b/>
                <w:bCs/>
                <w:i w:val="0"/>
                <w:iCs w:val="0"/>
                <w:snapToGrid w:val="0"/>
                <w:color w:val="auto"/>
                <w:kern w:val="0"/>
                <w:szCs w:val="21"/>
                <w:highlight w:val="none"/>
                <w:u w:val="single"/>
                <w:lang w:val="en-US" w:eastAsia="zh-CN"/>
              </w:rPr>
              <w:t xml:space="preserve">       </w:t>
            </w:r>
            <w:r>
              <w:rPr>
                <w:rFonts w:hint="eastAsia" w:ascii="宋体" w:hAnsi="宋体" w:cs="宋体"/>
                <w:b/>
                <w:bCs/>
                <w:snapToGrid w:val="0"/>
                <w:color w:val="auto"/>
                <w:kern w:val="0"/>
                <w:szCs w:val="21"/>
                <w:highlight w:val="none"/>
                <w:u w:val="none"/>
                <w:lang w:val="en-US" w:eastAsia="zh-CN"/>
              </w:rPr>
              <w:t>标段）</w:t>
            </w:r>
          </w:p>
        </w:tc>
      </w:tr>
      <w:tr w14:paraId="30A8A2A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347" w:type="pct"/>
            <w:tcBorders>
              <w:tl2br w:val="nil"/>
              <w:tr2bl w:val="nil"/>
            </w:tcBorders>
            <w:vAlign w:val="center"/>
          </w:tcPr>
          <w:p w14:paraId="0F71F574">
            <w:pPr>
              <w:widowControl/>
              <w:wordWrap w:val="0"/>
              <w:jc w:val="center"/>
              <w:rPr>
                <w:rFonts w:hAnsi="宋体" w:cs="宋体"/>
                <w:color w:val="auto"/>
                <w:szCs w:val="21"/>
                <w:highlight w:val="none"/>
              </w:rPr>
            </w:pPr>
            <w:r>
              <w:rPr>
                <w:rFonts w:hint="eastAsia" w:hAnsi="宋体" w:cs="宋体"/>
                <w:color w:val="auto"/>
                <w:szCs w:val="21"/>
                <w:highlight w:val="none"/>
              </w:rPr>
              <w:t>1</w:t>
            </w:r>
          </w:p>
        </w:tc>
        <w:tc>
          <w:tcPr>
            <w:tcW w:w="907" w:type="pct"/>
            <w:tcBorders>
              <w:tl2br w:val="nil"/>
              <w:tr2bl w:val="nil"/>
            </w:tcBorders>
            <w:vAlign w:val="center"/>
          </w:tcPr>
          <w:p w14:paraId="0D08908B">
            <w:pPr>
              <w:wordWrap w:val="0"/>
              <w:jc w:val="center"/>
              <w:rPr>
                <w:rFonts w:hAnsi="宋体" w:cs="宋体"/>
                <w:color w:val="auto"/>
                <w:szCs w:val="21"/>
                <w:highlight w:val="none"/>
              </w:rPr>
            </w:pPr>
            <w:r>
              <w:rPr>
                <w:rFonts w:hint="eastAsia" w:ascii="宋体" w:hAnsi="宋体" w:eastAsia="宋体" w:cs="宋体"/>
                <w:snapToGrid w:val="0"/>
                <w:color w:val="auto"/>
                <w:kern w:val="0"/>
                <w:szCs w:val="21"/>
                <w:highlight w:val="none"/>
                <w:lang w:val="en-US" w:eastAsia="zh-CN"/>
              </w:rPr>
              <w:t>优惠率</w:t>
            </w:r>
            <w:r>
              <w:rPr>
                <w:rFonts w:hint="eastAsia" w:hAnsi="宋体" w:cs="宋体"/>
                <w:b/>
                <w:color w:val="auto"/>
                <w:szCs w:val="21"/>
                <w:highlight w:val="none"/>
              </w:rPr>
              <w:t>（含税）</w:t>
            </w:r>
          </w:p>
        </w:tc>
        <w:tc>
          <w:tcPr>
            <w:tcW w:w="3744" w:type="pct"/>
            <w:tcBorders>
              <w:tl2br w:val="nil"/>
              <w:tr2bl w:val="nil"/>
            </w:tcBorders>
            <w:vAlign w:val="center"/>
          </w:tcPr>
          <w:p w14:paraId="53A95C3D">
            <w:pPr>
              <w:widowControl/>
              <w:ind w:firstLine="316" w:firstLineChars="150"/>
              <w:jc w:val="left"/>
              <w:rPr>
                <w:rFonts w:hAnsi="宋体" w:cs="宋体"/>
                <w:b/>
                <w:color w:val="auto"/>
                <w:szCs w:val="21"/>
                <w:highlight w:val="none"/>
              </w:rPr>
            </w:pPr>
            <w:r>
              <w:rPr>
                <w:rFonts w:hint="eastAsia" w:ascii="宋体" w:hAnsi="宋体" w:cs="宋体"/>
                <w:b/>
                <w:color w:val="auto"/>
                <w:szCs w:val="21"/>
                <w:highlight w:val="none"/>
                <w:lang w:val="en-US" w:eastAsia="zh-CN"/>
              </w:rPr>
              <w:t>大写：          ；</w:t>
            </w:r>
            <w:r>
              <w:rPr>
                <w:rFonts w:hint="eastAsia" w:ascii="宋体" w:hAnsi="宋体" w:cs="宋体"/>
                <w:b/>
                <w:color w:val="auto"/>
                <w:szCs w:val="21"/>
                <w:highlight w:val="none"/>
              </w:rPr>
              <w:t>小写：</w:t>
            </w:r>
            <w:r>
              <w:rPr>
                <w:rFonts w:hint="eastAsia" w:ascii="宋体" w:hAnsi="宋体" w:cs="宋体"/>
                <w:b/>
                <w:color w:val="auto"/>
                <w:szCs w:val="21"/>
                <w:highlight w:val="none"/>
                <w:lang w:val="en-US" w:eastAsia="zh-CN"/>
              </w:rPr>
              <w:t xml:space="preserve">    %</w:t>
            </w:r>
          </w:p>
        </w:tc>
      </w:tr>
      <w:tr w14:paraId="2A7BCFC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347" w:type="pct"/>
            <w:tcBorders>
              <w:tl2br w:val="nil"/>
              <w:tr2bl w:val="nil"/>
            </w:tcBorders>
            <w:vAlign w:val="center"/>
          </w:tcPr>
          <w:p w14:paraId="4256DAC3">
            <w:pPr>
              <w:wordWrap w:val="0"/>
              <w:jc w:val="center"/>
              <w:rPr>
                <w:rFonts w:hAnsi="宋体" w:cs="宋体"/>
                <w:color w:val="auto"/>
                <w:szCs w:val="21"/>
                <w:highlight w:val="none"/>
              </w:rPr>
            </w:pPr>
            <w:r>
              <w:rPr>
                <w:rFonts w:hAnsi="宋体" w:cs="宋体"/>
                <w:color w:val="auto"/>
                <w:szCs w:val="21"/>
                <w:highlight w:val="none"/>
              </w:rPr>
              <w:t>2</w:t>
            </w:r>
          </w:p>
        </w:tc>
        <w:tc>
          <w:tcPr>
            <w:tcW w:w="907" w:type="pct"/>
            <w:tcBorders>
              <w:tl2br w:val="nil"/>
              <w:tr2bl w:val="nil"/>
            </w:tcBorders>
            <w:vAlign w:val="center"/>
          </w:tcPr>
          <w:p w14:paraId="28C42FF0">
            <w:pPr>
              <w:wordWrap w:val="0"/>
              <w:jc w:val="center"/>
              <w:rPr>
                <w:rFonts w:hint="default" w:hAnsi="宋体" w:eastAsia="宋体" w:cs="宋体"/>
                <w:color w:val="auto"/>
                <w:szCs w:val="21"/>
                <w:highlight w:val="none"/>
                <w:lang w:val="en-US" w:eastAsia="zh-CN"/>
              </w:rPr>
            </w:pPr>
            <w:r>
              <w:rPr>
                <w:rFonts w:hint="eastAsia" w:ascii="宋体" w:hAnsi="宋体" w:cs="宋体"/>
                <w:color w:val="auto"/>
                <w:szCs w:val="21"/>
                <w:highlight w:val="none"/>
                <w:u w:val="none"/>
              </w:rPr>
              <w:t>服务期限</w:t>
            </w:r>
          </w:p>
        </w:tc>
        <w:tc>
          <w:tcPr>
            <w:tcW w:w="3744" w:type="pct"/>
            <w:tcBorders>
              <w:tl2br w:val="nil"/>
              <w:tr2bl w:val="nil"/>
            </w:tcBorders>
            <w:vAlign w:val="center"/>
          </w:tcPr>
          <w:p w14:paraId="68352539">
            <w:pPr>
              <w:wordWrap w:val="0"/>
              <w:jc w:val="center"/>
              <w:rPr>
                <w:rFonts w:hint="default" w:hAnsi="宋体" w:eastAsia="宋体" w:cs="宋体"/>
                <w:color w:val="auto"/>
                <w:szCs w:val="21"/>
                <w:highlight w:val="none"/>
                <w:lang w:val="en-US" w:eastAsia="zh-CN"/>
              </w:rPr>
            </w:pPr>
            <w:r>
              <w:rPr>
                <w:rFonts w:hint="eastAsia" w:ascii="宋体" w:hAnsi="宋体" w:eastAsia="宋体" w:cs="宋体"/>
                <w:sz w:val="21"/>
                <w:szCs w:val="21"/>
                <w:highlight w:val="none"/>
              </w:rPr>
              <w:t>三年，实际服务时间以乙方接到甲方发出开工通知书并正式进场服务开始计算。</w:t>
            </w:r>
          </w:p>
        </w:tc>
      </w:tr>
      <w:tr w14:paraId="2A72C4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347" w:type="pct"/>
            <w:tcBorders>
              <w:tl2br w:val="nil"/>
              <w:tr2bl w:val="nil"/>
            </w:tcBorders>
            <w:vAlign w:val="center"/>
          </w:tcPr>
          <w:p w14:paraId="57EC0A93">
            <w:pPr>
              <w:wordWrap w:val="0"/>
              <w:jc w:val="center"/>
              <w:rPr>
                <w:rFonts w:hint="eastAsia" w:hAnsi="宋体" w:eastAsia="宋体" w:cs="宋体"/>
                <w:color w:val="auto"/>
                <w:szCs w:val="21"/>
                <w:highlight w:val="none"/>
                <w:lang w:val="en-US" w:eastAsia="zh-CN"/>
              </w:rPr>
            </w:pPr>
            <w:r>
              <w:rPr>
                <w:rFonts w:hint="eastAsia" w:hAnsi="宋体" w:cs="宋体"/>
                <w:color w:val="auto"/>
                <w:szCs w:val="21"/>
                <w:highlight w:val="none"/>
                <w:lang w:val="en-US" w:eastAsia="zh-CN"/>
              </w:rPr>
              <w:t>3</w:t>
            </w:r>
          </w:p>
        </w:tc>
        <w:tc>
          <w:tcPr>
            <w:tcW w:w="907" w:type="pct"/>
            <w:tcBorders>
              <w:tl2br w:val="nil"/>
              <w:tr2bl w:val="nil"/>
            </w:tcBorders>
            <w:vAlign w:val="center"/>
          </w:tcPr>
          <w:p w14:paraId="5B30667E">
            <w:pPr>
              <w:wordWrap w:val="0"/>
              <w:jc w:val="center"/>
              <w:rPr>
                <w:rFonts w:hint="eastAsia" w:ascii="宋体" w:hAnsi="宋体" w:eastAsia="宋体" w:cs="宋体"/>
                <w:szCs w:val="21"/>
                <w:highlight w:val="none"/>
                <w:u w:val="none"/>
                <w:lang w:val="en-US" w:eastAsia="zh-CN"/>
              </w:rPr>
            </w:pPr>
            <w:r>
              <w:rPr>
                <w:rFonts w:hint="eastAsia" w:ascii="宋体" w:hAnsi="宋体" w:cs="宋体"/>
                <w:szCs w:val="21"/>
                <w:highlight w:val="none"/>
                <w:u w:val="none"/>
                <w:lang w:val="en-US" w:eastAsia="zh-CN"/>
              </w:rPr>
              <w:t>说明</w:t>
            </w:r>
          </w:p>
        </w:tc>
        <w:tc>
          <w:tcPr>
            <w:tcW w:w="3744" w:type="pct"/>
            <w:tcBorders>
              <w:tl2br w:val="nil"/>
              <w:tr2bl w:val="nil"/>
            </w:tcBorders>
            <w:vAlign w:val="center"/>
          </w:tcPr>
          <w:p w14:paraId="70DA8D24">
            <w:pPr>
              <w:widowControl/>
              <w:wordWrap w:val="0"/>
              <w:jc w:val="both"/>
              <w:rPr>
                <w:rFonts w:hint="eastAsia" w:ascii="宋体" w:hAnsi="宋体" w:eastAsia="宋体" w:cs="宋体"/>
                <w:sz w:val="21"/>
                <w:szCs w:val="21"/>
                <w:highlight w:val="none"/>
                <w:lang w:val="en-US" w:eastAsia="zh-CN"/>
              </w:rPr>
            </w:pPr>
            <w:r>
              <w:rPr>
                <w:rFonts w:hint="eastAsia" w:ascii="宋体" w:hAnsi="宋体" w:cs="宋体"/>
                <w:snapToGrid/>
                <w:kern w:val="2"/>
                <w:sz w:val="21"/>
                <w:szCs w:val="21"/>
                <w:highlight w:val="none"/>
                <w:lang w:val="en-US" w:eastAsia="zh-CN" w:bidi="ar-SA"/>
              </w:rPr>
              <w:t>以招标人采集的步步高超市、沃尔玛超市、大润发超市的平均价（</w:t>
            </w:r>
            <w:r>
              <w:rPr>
                <w:rFonts w:hint="eastAsia" w:ascii="宋体" w:hAnsi="宋体" w:eastAsia="宋体" w:cs="宋体"/>
                <w:sz w:val="21"/>
                <w:szCs w:val="21"/>
                <w:highlight w:val="none"/>
                <w:lang w:val="en-US" w:eastAsia="zh-CN"/>
              </w:rPr>
              <w:t>超市同期公示的非促销零售价/超市当期无任何附加条件的常规零售价</w:t>
            </w:r>
            <w:r>
              <w:rPr>
                <w:rFonts w:hint="eastAsia" w:ascii="宋体" w:hAnsi="宋体" w:cs="宋体"/>
                <w:snapToGrid/>
                <w:kern w:val="2"/>
                <w:sz w:val="21"/>
                <w:szCs w:val="21"/>
                <w:highlight w:val="none"/>
                <w:lang w:val="en-US" w:eastAsia="zh-CN" w:bidi="ar-SA"/>
              </w:rPr>
              <w:t>）为商品基准价</w:t>
            </w:r>
            <w:r>
              <w:rPr>
                <w:rFonts w:hint="eastAsia" w:ascii="宋体" w:hAnsi="宋体" w:cs="宋体"/>
                <w:szCs w:val="21"/>
                <w:highlight w:val="none"/>
              </w:rPr>
              <w:t>，结合中标优惠率据实结算</w:t>
            </w:r>
            <w:r>
              <w:rPr>
                <w:rFonts w:hint="eastAsia" w:ascii="宋体" w:hAnsi="宋体" w:eastAsia="宋体" w:cs="宋体"/>
                <w:snapToGrid/>
                <w:kern w:val="2"/>
                <w:sz w:val="21"/>
                <w:szCs w:val="21"/>
                <w:highlight w:val="none"/>
                <w:lang w:val="en-US" w:eastAsia="zh-CN" w:bidi="ar-SA"/>
              </w:rPr>
              <w:t>。</w:t>
            </w:r>
          </w:p>
        </w:tc>
      </w:tr>
    </w:tbl>
    <w:p w14:paraId="4EDFA914">
      <w:pPr>
        <w:wordWrap w:val="0"/>
        <w:spacing w:line="360" w:lineRule="auto"/>
        <w:rPr>
          <w:rFonts w:hAnsi="宋体" w:cs="宋体"/>
          <w:b/>
          <w:color w:val="auto"/>
          <w:szCs w:val="21"/>
          <w:highlight w:val="none"/>
        </w:rPr>
      </w:pPr>
      <w:r>
        <w:rPr>
          <w:rFonts w:hint="eastAsia" w:hAnsi="宋体" w:cs="宋体"/>
          <w:b/>
          <w:color w:val="auto"/>
          <w:szCs w:val="21"/>
          <w:highlight w:val="none"/>
        </w:rPr>
        <w:t>备注：</w:t>
      </w:r>
    </w:p>
    <w:p w14:paraId="1F77D6BC">
      <w:pPr>
        <w:wordWrap w:val="0"/>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1、关于投标报价，投标人按照招标文件要求填报“优惠率”即可；填报单位为百分比。</w:t>
      </w:r>
    </w:p>
    <w:p w14:paraId="5510DF34">
      <w:pPr>
        <w:wordWrap w:val="0"/>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2、所有投标报价相关表格保留小数点后两位，小数点后第三位“四舍五入”。</w:t>
      </w:r>
    </w:p>
    <w:p w14:paraId="596CAAF4">
      <w:pPr>
        <w:wordWrap w:val="0"/>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3、投标报价已包含了招标文件要求的所有内容及要求；任何投标报价相关表格中未具体列明的，但在合同 执行阶段可能发生的一切税费及费用等均已包含在投标报价中。投标报价视为已充分考虑本项目实施过程 中有可能出现的所有市场风险，包括但不限于人力成本的增加、物价上涨、国家宏观调控、经济环境变化 等因素。</w:t>
      </w:r>
    </w:p>
    <w:p w14:paraId="624F1860">
      <w:pPr>
        <w:wordWrap w:val="0"/>
        <w:spacing w:line="360" w:lineRule="auto"/>
        <w:ind w:firstLine="422" w:firstLineChars="200"/>
        <w:rPr>
          <w:rFonts w:hAnsi="宋体" w:cs="宋体"/>
          <w:b/>
          <w:color w:val="auto"/>
          <w:szCs w:val="21"/>
          <w:highlight w:val="none"/>
        </w:rPr>
      </w:pPr>
      <w:r>
        <w:rPr>
          <w:rFonts w:hint="eastAsia" w:hAnsi="宋体" w:cs="宋体"/>
          <w:b/>
          <w:bCs w:val="0"/>
          <w:color w:val="auto"/>
          <w:szCs w:val="21"/>
          <w:highlight w:val="none"/>
          <w:lang w:val="en-US" w:eastAsia="zh-CN"/>
        </w:rPr>
        <w:t>4</w:t>
      </w:r>
      <w:r>
        <w:rPr>
          <w:rFonts w:hint="eastAsia" w:hAnsi="宋体" w:cs="宋体"/>
          <w:b/>
          <w:bCs w:val="0"/>
          <w:color w:val="auto"/>
          <w:szCs w:val="21"/>
          <w:highlight w:val="none"/>
        </w:rPr>
        <w:t>、</w:t>
      </w:r>
      <w:r>
        <w:rPr>
          <w:rFonts w:hint="eastAsia" w:ascii="Times New Roman" w:hAnsi="宋体" w:eastAsia="宋体" w:cs="宋体"/>
          <w:b/>
          <w:bCs w:val="0"/>
          <w:color w:val="auto"/>
          <w:szCs w:val="21"/>
          <w:highlight w:val="none"/>
        </w:rPr>
        <w:t>任何关于投标报价不一致的情形，报价评审环节均以投标文件“开标一览表”中的</w:t>
      </w:r>
      <w:r>
        <w:rPr>
          <w:rFonts w:hint="eastAsia" w:ascii="Times New Roman" w:hAnsi="宋体" w:eastAsia="宋体" w:cs="宋体"/>
          <w:b/>
          <w:bCs w:val="0"/>
          <w:color w:val="auto"/>
          <w:szCs w:val="21"/>
          <w:highlight w:val="none"/>
          <w:lang w:val="en-US" w:eastAsia="zh-CN"/>
        </w:rPr>
        <w:t>优惠率</w:t>
      </w:r>
      <w:r>
        <w:rPr>
          <w:rFonts w:hint="eastAsia" w:ascii="Times New Roman" w:hAnsi="宋体" w:eastAsia="宋体" w:cs="宋体"/>
          <w:b/>
          <w:bCs w:val="0"/>
          <w:color w:val="auto"/>
          <w:szCs w:val="21"/>
          <w:highlight w:val="none"/>
        </w:rPr>
        <w:t>（含税）为准，合同签订阶段，按照招标文件相关要求执行。</w:t>
      </w:r>
    </w:p>
    <w:p w14:paraId="77CBC456">
      <w:pPr>
        <w:wordWrap w:val="0"/>
        <w:spacing w:line="360" w:lineRule="auto"/>
        <w:ind w:firstLine="630" w:firstLineChars="300"/>
        <w:rPr>
          <w:rFonts w:hAnsi="宋体" w:cs="宋体"/>
          <w:color w:val="auto"/>
          <w:szCs w:val="21"/>
          <w:highlight w:val="none"/>
        </w:rPr>
      </w:pPr>
    </w:p>
    <w:p w14:paraId="7C24C0C2">
      <w:pPr>
        <w:wordWrap w:val="0"/>
        <w:spacing w:line="360" w:lineRule="auto"/>
        <w:rPr>
          <w:rFonts w:hAnsi="宋体" w:cs="宋体"/>
          <w:color w:val="auto"/>
          <w:szCs w:val="21"/>
          <w:highlight w:val="none"/>
          <w:u w:val="single"/>
        </w:rPr>
      </w:pPr>
      <w:r>
        <w:rPr>
          <w:rFonts w:hint="eastAsia" w:hAnsi="宋体" w:cs="宋体"/>
          <w:color w:val="auto"/>
          <w:szCs w:val="21"/>
          <w:highlight w:val="none"/>
        </w:rPr>
        <w:t>投标人：</w:t>
      </w:r>
      <w:r>
        <w:rPr>
          <w:rFonts w:hint="eastAsia" w:hAnsi="宋体" w:cs="宋体"/>
          <w:color w:val="auto"/>
          <w:szCs w:val="21"/>
          <w:highlight w:val="none"/>
          <w:u w:val="single"/>
        </w:rPr>
        <w:t xml:space="preserve">                  </w:t>
      </w:r>
      <w:r>
        <w:rPr>
          <w:rFonts w:hint="eastAsia" w:hAnsi="宋体" w:cs="宋体"/>
          <w:color w:val="auto"/>
          <w:szCs w:val="21"/>
          <w:highlight w:val="none"/>
        </w:rPr>
        <w:t>（盖单位公章）</w:t>
      </w:r>
    </w:p>
    <w:p w14:paraId="1716C696">
      <w:pPr>
        <w:wordWrap w:val="0"/>
        <w:adjustRightInd w:val="0"/>
        <w:snapToGrid w:val="0"/>
        <w:spacing w:line="360" w:lineRule="auto"/>
        <w:rPr>
          <w:rFonts w:hAnsi="宋体" w:cs="宋体"/>
          <w:color w:val="auto"/>
          <w:szCs w:val="21"/>
          <w:highlight w:val="none"/>
        </w:rPr>
      </w:pPr>
      <w:r>
        <w:rPr>
          <w:rFonts w:hint="eastAsia" w:ascii="宋体" w:hAnsi="宋体" w:cs="宋体"/>
          <w:color w:val="auto"/>
          <w:szCs w:val="21"/>
          <w:highlight w:val="none"/>
        </w:rPr>
        <w:t>法定代表人或其委托代理人(签字或盖章)：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_</w:t>
      </w:r>
    </w:p>
    <w:p w14:paraId="017DB98D">
      <w:pPr>
        <w:wordWrap w:val="0"/>
        <w:spacing w:line="360" w:lineRule="auto"/>
        <w:rPr>
          <w:rFonts w:hint="eastAsia" w:hAnsi="宋体" w:cs="宋体"/>
          <w:color w:val="auto"/>
          <w:szCs w:val="21"/>
          <w:highlight w:val="none"/>
        </w:rPr>
      </w:pPr>
      <w:r>
        <w:rPr>
          <w:rFonts w:hint="eastAsia" w:hAnsi="宋体" w:cs="宋体"/>
          <w:color w:val="auto"/>
          <w:szCs w:val="21"/>
          <w:highlight w:val="none"/>
          <w:u w:val="single"/>
        </w:rPr>
        <w:t xml:space="preserve">       </w:t>
      </w:r>
      <w:r>
        <w:rPr>
          <w:rFonts w:hint="eastAsia" w:hAnsi="宋体" w:cs="宋体"/>
          <w:color w:val="auto"/>
          <w:szCs w:val="21"/>
          <w:highlight w:val="none"/>
        </w:rPr>
        <w:t>年</w:t>
      </w:r>
      <w:r>
        <w:rPr>
          <w:rFonts w:hint="eastAsia" w:hAnsi="宋体" w:cs="宋体"/>
          <w:color w:val="auto"/>
          <w:szCs w:val="21"/>
          <w:highlight w:val="none"/>
          <w:u w:val="single"/>
        </w:rPr>
        <w:t xml:space="preserve">    </w:t>
      </w:r>
      <w:r>
        <w:rPr>
          <w:rFonts w:hint="eastAsia" w:hAnsi="宋体" w:cs="宋体"/>
          <w:color w:val="auto"/>
          <w:szCs w:val="21"/>
          <w:highlight w:val="none"/>
        </w:rPr>
        <w:t>月</w:t>
      </w:r>
      <w:r>
        <w:rPr>
          <w:rFonts w:hint="eastAsia" w:hAnsi="宋体" w:cs="宋体"/>
          <w:color w:val="auto"/>
          <w:szCs w:val="21"/>
          <w:highlight w:val="none"/>
          <w:u w:val="single"/>
        </w:rPr>
        <w:t xml:space="preserve">     </w:t>
      </w:r>
      <w:r>
        <w:rPr>
          <w:rFonts w:hint="eastAsia" w:hAnsi="宋体" w:cs="宋体"/>
          <w:color w:val="auto"/>
          <w:szCs w:val="21"/>
          <w:highlight w:val="none"/>
        </w:rPr>
        <w:t>日</w:t>
      </w:r>
    </w:p>
    <w:p w14:paraId="1AFEA004">
      <w:pPr>
        <w:rPr>
          <w:rFonts w:ascii="Calibri" w:cs="宋体"/>
          <w:color w:val="auto"/>
          <w:szCs w:val="28"/>
          <w:highlight w:val="none"/>
        </w:rPr>
      </w:pPr>
      <w:r>
        <w:rPr>
          <w:rFonts w:ascii="Calibri" w:cs="宋体"/>
          <w:color w:val="auto"/>
          <w:szCs w:val="28"/>
          <w:highlight w:val="none"/>
        </w:rPr>
        <w:br w:type="page"/>
      </w:r>
    </w:p>
    <w:p w14:paraId="210FA74E">
      <w:pPr>
        <w:spacing w:line="360" w:lineRule="auto"/>
        <w:jc w:val="center"/>
        <w:outlineLvl w:val="1"/>
        <w:rPr>
          <w:rFonts w:ascii="Calibri" w:hAnsi="Times New Roman" w:eastAsia="宋体" w:cs="宋体"/>
          <w:b/>
          <w:color w:val="auto"/>
          <w:sz w:val="28"/>
          <w:szCs w:val="28"/>
          <w:highlight w:val="none"/>
        </w:rPr>
      </w:pPr>
      <w:r>
        <w:rPr>
          <w:rFonts w:hint="eastAsia" w:ascii="Calibri" w:hAnsi="Times New Roman" w:eastAsia="宋体" w:cs="宋体"/>
          <w:b/>
          <w:color w:val="auto"/>
          <w:sz w:val="28"/>
          <w:szCs w:val="28"/>
          <w:highlight w:val="none"/>
          <w:lang w:val="en-US" w:eastAsia="zh-CN"/>
        </w:rPr>
        <w:t>三</w:t>
      </w:r>
      <w:r>
        <w:rPr>
          <w:rFonts w:hint="eastAsia" w:ascii="Calibri" w:hAnsi="Times New Roman" w:eastAsia="宋体" w:cs="宋体"/>
          <w:b/>
          <w:color w:val="auto"/>
          <w:sz w:val="28"/>
          <w:szCs w:val="28"/>
          <w:highlight w:val="none"/>
        </w:rPr>
        <w:t>、法定代表人身份证明</w:t>
      </w:r>
    </w:p>
    <w:p w14:paraId="06B920A2">
      <w:pPr>
        <w:pStyle w:val="2"/>
        <w:tabs>
          <w:tab w:val="left" w:pos="3928"/>
        </w:tabs>
        <w:wordWrap w:val="0"/>
        <w:spacing w:after="0" w:line="360" w:lineRule="auto"/>
        <w:rPr>
          <w:rFonts w:ascii="宋体" w:hAnsi="宋体"/>
          <w:color w:val="auto"/>
          <w:szCs w:val="21"/>
          <w:highlight w:val="none"/>
        </w:rPr>
      </w:pPr>
    </w:p>
    <w:p w14:paraId="7950A225">
      <w:pPr>
        <w:pStyle w:val="2"/>
        <w:tabs>
          <w:tab w:val="left" w:pos="3928"/>
        </w:tabs>
        <w:wordWrap w:val="0"/>
        <w:spacing w:after="0" w:line="360" w:lineRule="auto"/>
        <w:rPr>
          <w:rFonts w:ascii="宋体" w:hAnsi="宋体"/>
          <w:color w:val="auto"/>
          <w:szCs w:val="21"/>
          <w:highlight w:val="none"/>
        </w:rPr>
      </w:pPr>
      <w:r>
        <w:rPr>
          <w:rFonts w:ascii="宋体" w:hAnsi="宋体"/>
          <w:color w:val="auto"/>
          <w:szCs w:val="21"/>
          <w:highlight w:val="none"/>
        </w:rPr>
        <w:t>投标人名称：</w:t>
      </w:r>
      <w:r>
        <w:rPr>
          <w:rFonts w:hint="eastAsia" w:ascii="宋体" w:hAnsi="宋体"/>
          <w:color w:val="auto"/>
          <w:szCs w:val="21"/>
          <w:highlight w:val="none"/>
          <w:u w:val="single"/>
        </w:rPr>
        <w:t xml:space="preserve">                                             </w:t>
      </w:r>
    </w:p>
    <w:p w14:paraId="1B664FAC">
      <w:pPr>
        <w:pStyle w:val="2"/>
        <w:tabs>
          <w:tab w:val="left" w:pos="2412"/>
          <w:tab w:val="left" w:pos="3883"/>
          <w:tab w:val="left" w:pos="5352"/>
          <w:tab w:val="left" w:pos="6869"/>
        </w:tabs>
        <w:wordWrap w:val="0"/>
        <w:spacing w:after="0" w:line="360" w:lineRule="auto"/>
        <w:rPr>
          <w:rFonts w:ascii="宋体" w:hAnsi="宋体"/>
          <w:color w:val="auto"/>
          <w:szCs w:val="21"/>
          <w:highlight w:val="none"/>
        </w:rPr>
      </w:pPr>
      <w:r>
        <w:rPr>
          <w:rFonts w:ascii="宋体" w:hAnsi="宋体"/>
          <w:color w:val="auto"/>
          <w:szCs w:val="21"/>
          <w:highlight w:val="none"/>
        </w:rPr>
        <w:t>姓名：</w:t>
      </w:r>
      <w:r>
        <w:rPr>
          <w:rFonts w:hint="eastAsia" w:ascii="宋体" w:hAnsi="宋体"/>
          <w:color w:val="auto"/>
          <w:szCs w:val="21"/>
          <w:highlight w:val="none"/>
          <w:u w:val="single"/>
        </w:rPr>
        <w:t xml:space="preserve">      </w:t>
      </w:r>
      <w:r>
        <w:rPr>
          <w:rFonts w:ascii="宋体" w:hAnsi="宋体"/>
          <w:color w:val="auto"/>
          <w:szCs w:val="21"/>
          <w:highlight w:val="none"/>
        </w:rPr>
        <w:t>性别：</w:t>
      </w:r>
      <w:r>
        <w:rPr>
          <w:rFonts w:hint="eastAsia" w:ascii="宋体" w:hAnsi="宋体"/>
          <w:color w:val="auto"/>
          <w:szCs w:val="21"/>
          <w:highlight w:val="none"/>
          <w:u w:val="single"/>
        </w:rPr>
        <w:t xml:space="preserve">         </w:t>
      </w:r>
      <w:r>
        <w:rPr>
          <w:rFonts w:ascii="宋体" w:hAnsi="宋体"/>
          <w:color w:val="auto"/>
          <w:szCs w:val="21"/>
          <w:highlight w:val="none"/>
        </w:rPr>
        <w:t>年龄：</w:t>
      </w:r>
      <w:r>
        <w:rPr>
          <w:rFonts w:hint="eastAsia" w:ascii="宋体" w:hAnsi="宋体"/>
          <w:color w:val="auto"/>
          <w:szCs w:val="21"/>
          <w:highlight w:val="none"/>
          <w:u w:val="single"/>
        </w:rPr>
        <w:t xml:space="preserve">           </w:t>
      </w:r>
      <w:r>
        <w:rPr>
          <w:rFonts w:ascii="宋体" w:hAnsi="宋体"/>
          <w:color w:val="auto"/>
          <w:szCs w:val="21"/>
          <w:highlight w:val="none"/>
        </w:rPr>
        <w:t>职务：</w:t>
      </w:r>
      <w:r>
        <w:rPr>
          <w:rFonts w:hint="eastAsia" w:ascii="宋体" w:hAnsi="宋体"/>
          <w:color w:val="auto"/>
          <w:szCs w:val="21"/>
          <w:highlight w:val="none"/>
          <w:u w:val="single"/>
        </w:rPr>
        <w:t xml:space="preserve">        </w:t>
      </w:r>
    </w:p>
    <w:p w14:paraId="66A2A7EE">
      <w:pPr>
        <w:pStyle w:val="2"/>
        <w:tabs>
          <w:tab w:val="left" w:pos="2832"/>
        </w:tabs>
        <w:wordWrap w:val="0"/>
        <w:spacing w:after="0" w:line="360" w:lineRule="auto"/>
        <w:rPr>
          <w:rFonts w:ascii="宋体" w:hAnsi="宋体"/>
          <w:color w:val="auto"/>
          <w:szCs w:val="21"/>
          <w:highlight w:val="none"/>
        </w:rPr>
      </w:pPr>
      <w:r>
        <w:rPr>
          <w:rFonts w:ascii="宋体" w:hAnsi="宋体"/>
          <w:color w:val="auto"/>
          <w:szCs w:val="21"/>
          <w:highlight w:val="none"/>
        </w:rPr>
        <w:t>系</w:t>
      </w:r>
      <w:r>
        <w:rPr>
          <w:rFonts w:hint="eastAsia" w:ascii="宋体" w:hAnsi="宋体"/>
          <w:color w:val="auto"/>
          <w:szCs w:val="21"/>
          <w:highlight w:val="none"/>
          <w:u w:val="single"/>
        </w:rPr>
        <w:t xml:space="preserve">                           </w:t>
      </w:r>
      <w:r>
        <w:rPr>
          <w:rFonts w:ascii="宋体" w:hAnsi="宋体"/>
          <w:color w:val="auto"/>
          <w:szCs w:val="21"/>
          <w:highlight w:val="none"/>
        </w:rPr>
        <w:t>（投标人名称）的法定代表人</w:t>
      </w:r>
      <w:r>
        <w:rPr>
          <w:rFonts w:hint="eastAsia" w:ascii="宋体" w:hAnsi="宋体" w:cs="宋体"/>
          <w:color w:val="auto"/>
          <w:szCs w:val="21"/>
          <w:highlight w:val="none"/>
        </w:rPr>
        <w:t>/负责人</w:t>
      </w:r>
      <w:r>
        <w:rPr>
          <w:rFonts w:ascii="宋体" w:hAnsi="宋体"/>
          <w:color w:val="auto"/>
          <w:szCs w:val="21"/>
          <w:highlight w:val="none"/>
        </w:rPr>
        <w:t>。</w:t>
      </w:r>
    </w:p>
    <w:p w14:paraId="27EDAE7F">
      <w:pPr>
        <w:pStyle w:val="2"/>
        <w:wordWrap w:val="0"/>
        <w:spacing w:after="0" w:line="360" w:lineRule="auto"/>
        <w:rPr>
          <w:rFonts w:ascii="宋体" w:hAnsi="宋体"/>
          <w:color w:val="auto"/>
          <w:szCs w:val="21"/>
          <w:highlight w:val="none"/>
        </w:rPr>
      </w:pPr>
    </w:p>
    <w:p w14:paraId="3E6171D1">
      <w:pPr>
        <w:pStyle w:val="2"/>
        <w:wordWrap w:val="0"/>
        <w:spacing w:after="0" w:line="360" w:lineRule="auto"/>
        <w:rPr>
          <w:rFonts w:ascii="宋体" w:hAnsi="宋体"/>
          <w:color w:val="auto"/>
          <w:szCs w:val="21"/>
          <w:highlight w:val="none"/>
        </w:rPr>
      </w:pPr>
      <w:r>
        <w:rPr>
          <w:rFonts w:ascii="宋体" w:hAnsi="宋体"/>
          <w:color w:val="auto"/>
          <w:szCs w:val="21"/>
          <w:highlight w:val="none"/>
        </w:rPr>
        <w:t>特此证明。</w:t>
      </w:r>
    </w:p>
    <w:p w14:paraId="00A4A897">
      <w:pPr>
        <w:pStyle w:val="2"/>
        <w:wordWrap w:val="0"/>
        <w:spacing w:after="0" w:line="360" w:lineRule="auto"/>
        <w:rPr>
          <w:rFonts w:ascii="宋体" w:hAnsi="宋体"/>
          <w:color w:val="auto"/>
          <w:szCs w:val="21"/>
          <w:highlight w:val="none"/>
        </w:rPr>
      </w:pPr>
    </w:p>
    <w:p w14:paraId="67B1FB5B">
      <w:pPr>
        <w:pStyle w:val="2"/>
        <w:wordWrap w:val="0"/>
        <w:spacing w:after="0" w:line="360" w:lineRule="auto"/>
        <w:ind w:firstLine="422" w:firstLineChars="200"/>
        <w:rPr>
          <w:rFonts w:ascii="宋体" w:hAnsi="宋体"/>
          <w:color w:val="auto"/>
          <w:szCs w:val="21"/>
          <w:highlight w:val="none"/>
        </w:rPr>
      </w:pPr>
      <w:r>
        <w:rPr>
          <w:rFonts w:ascii="宋体" w:hAnsi="宋体"/>
          <w:b/>
          <w:color w:val="auto"/>
          <w:szCs w:val="21"/>
          <w:highlight w:val="none"/>
        </w:rPr>
        <w:t>附：</w:t>
      </w:r>
      <w:r>
        <w:rPr>
          <w:rFonts w:ascii="宋体" w:hAnsi="宋体"/>
          <w:color w:val="auto"/>
          <w:szCs w:val="21"/>
          <w:highlight w:val="none"/>
        </w:rPr>
        <w:t>法定代表人</w:t>
      </w:r>
      <w:r>
        <w:rPr>
          <w:rFonts w:hint="eastAsia" w:ascii="宋体" w:hAnsi="宋体" w:cs="宋体"/>
          <w:color w:val="auto"/>
          <w:szCs w:val="21"/>
          <w:highlight w:val="none"/>
        </w:rPr>
        <w:t>/负责人</w:t>
      </w:r>
      <w:r>
        <w:rPr>
          <w:rFonts w:ascii="宋体" w:hAnsi="宋体"/>
          <w:color w:val="auto"/>
          <w:szCs w:val="21"/>
          <w:highlight w:val="none"/>
        </w:rPr>
        <w:t>身份证</w:t>
      </w:r>
      <w:r>
        <w:rPr>
          <w:rFonts w:hint="eastAsia" w:ascii="宋体" w:hAnsi="宋体"/>
          <w:color w:val="auto"/>
          <w:szCs w:val="21"/>
          <w:highlight w:val="none"/>
          <w:lang w:eastAsia="zh-CN"/>
        </w:rPr>
        <w:t>复印件</w:t>
      </w:r>
      <w:r>
        <w:rPr>
          <w:rFonts w:hint="eastAsia" w:ascii="宋体" w:hAnsi="宋体"/>
          <w:color w:val="auto"/>
          <w:szCs w:val="21"/>
          <w:highlight w:val="none"/>
        </w:rPr>
        <w:t>及营业执照</w:t>
      </w:r>
      <w:r>
        <w:rPr>
          <w:rFonts w:hint="eastAsia" w:ascii="宋体" w:hAnsi="宋体"/>
          <w:color w:val="auto"/>
          <w:szCs w:val="21"/>
          <w:highlight w:val="none"/>
          <w:lang w:eastAsia="zh-CN"/>
        </w:rPr>
        <w:t>复印件</w:t>
      </w:r>
      <w:r>
        <w:rPr>
          <w:rFonts w:hint="eastAsia" w:ascii="宋体" w:hAnsi="宋体"/>
          <w:color w:val="auto"/>
          <w:szCs w:val="21"/>
          <w:highlight w:val="none"/>
        </w:rPr>
        <w:t>（此附件为法定代表人</w:t>
      </w:r>
      <w:r>
        <w:rPr>
          <w:rFonts w:hint="eastAsia" w:ascii="宋体" w:hAnsi="宋体" w:cs="宋体"/>
          <w:color w:val="auto"/>
          <w:szCs w:val="21"/>
          <w:highlight w:val="none"/>
        </w:rPr>
        <w:t>/负责人</w:t>
      </w:r>
      <w:r>
        <w:rPr>
          <w:rFonts w:hint="eastAsia" w:ascii="宋体" w:hAnsi="宋体"/>
          <w:color w:val="auto"/>
          <w:szCs w:val="21"/>
          <w:highlight w:val="none"/>
        </w:rPr>
        <w:t>身份证明的必要组成部分，无此附件的法定代表人</w:t>
      </w:r>
      <w:r>
        <w:rPr>
          <w:rFonts w:hint="eastAsia" w:ascii="宋体" w:hAnsi="宋体" w:cs="宋体"/>
          <w:color w:val="auto"/>
          <w:szCs w:val="21"/>
          <w:highlight w:val="none"/>
        </w:rPr>
        <w:t>/负责人</w:t>
      </w:r>
      <w:r>
        <w:rPr>
          <w:rFonts w:hint="eastAsia" w:ascii="宋体" w:hAnsi="宋体"/>
          <w:color w:val="auto"/>
          <w:szCs w:val="21"/>
          <w:highlight w:val="none"/>
        </w:rPr>
        <w:t>身份证明无效。法定代表人</w:t>
      </w:r>
      <w:r>
        <w:rPr>
          <w:rFonts w:hint="eastAsia" w:ascii="宋体" w:hAnsi="宋体" w:cs="宋体"/>
          <w:color w:val="auto"/>
          <w:szCs w:val="21"/>
          <w:highlight w:val="none"/>
        </w:rPr>
        <w:t>/负责人</w:t>
      </w:r>
      <w:r>
        <w:rPr>
          <w:rFonts w:hint="eastAsia" w:ascii="宋体" w:hAnsi="宋体"/>
          <w:color w:val="auto"/>
          <w:szCs w:val="21"/>
          <w:highlight w:val="none"/>
        </w:rPr>
        <w:t>身份证</w:t>
      </w:r>
      <w:r>
        <w:rPr>
          <w:rFonts w:hint="eastAsia" w:ascii="宋体" w:hAnsi="宋体"/>
          <w:color w:val="auto"/>
          <w:szCs w:val="21"/>
          <w:highlight w:val="none"/>
          <w:lang w:eastAsia="zh-CN"/>
        </w:rPr>
        <w:t>复印件</w:t>
      </w:r>
      <w:r>
        <w:rPr>
          <w:rFonts w:hint="eastAsia" w:ascii="宋体" w:hAnsi="宋体"/>
          <w:color w:val="auto"/>
          <w:szCs w:val="21"/>
          <w:highlight w:val="none"/>
        </w:rPr>
        <w:t>及营业执照</w:t>
      </w:r>
      <w:r>
        <w:rPr>
          <w:rFonts w:hint="eastAsia" w:ascii="宋体" w:hAnsi="宋体"/>
          <w:color w:val="auto"/>
          <w:szCs w:val="21"/>
          <w:highlight w:val="none"/>
          <w:lang w:eastAsia="zh-CN"/>
        </w:rPr>
        <w:t>复印件</w:t>
      </w:r>
      <w:r>
        <w:rPr>
          <w:rFonts w:hint="eastAsia" w:ascii="宋体" w:hAnsi="宋体" w:cs="宋体"/>
          <w:color w:val="auto"/>
          <w:szCs w:val="21"/>
          <w:highlight w:val="none"/>
        </w:rPr>
        <w:t>可另附页，另附时，</w:t>
      </w:r>
      <w:r>
        <w:rPr>
          <w:rFonts w:hint="eastAsia" w:ascii="宋体" w:hAnsi="宋体" w:cs="宋体"/>
          <w:color w:val="auto"/>
          <w:szCs w:val="21"/>
          <w:highlight w:val="none"/>
          <w:lang w:eastAsia="zh-CN"/>
        </w:rPr>
        <w:t>复印件</w:t>
      </w:r>
      <w:r>
        <w:rPr>
          <w:rFonts w:hint="eastAsia" w:ascii="宋体" w:hAnsi="宋体" w:cs="宋体"/>
          <w:color w:val="auto"/>
          <w:szCs w:val="21"/>
          <w:highlight w:val="none"/>
        </w:rPr>
        <w:t>须加盖单位公章</w:t>
      </w:r>
      <w:r>
        <w:rPr>
          <w:rFonts w:hint="eastAsia" w:ascii="宋体" w:hAnsi="宋体"/>
          <w:color w:val="auto"/>
          <w:szCs w:val="21"/>
          <w:highlight w:val="none"/>
        </w:rPr>
        <w:t>）</w:t>
      </w:r>
    </w:p>
    <w:p w14:paraId="2927AB5C">
      <w:pPr>
        <w:pStyle w:val="2"/>
        <w:tabs>
          <w:tab w:val="left" w:pos="7140"/>
        </w:tabs>
        <w:wordWrap w:val="0"/>
        <w:spacing w:after="0" w:line="360" w:lineRule="auto"/>
        <w:rPr>
          <w:rFonts w:ascii="宋体" w:hAnsi="宋体"/>
          <w:color w:val="auto"/>
          <w:szCs w:val="21"/>
          <w:highlight w:val="none"/>
        </w:rPr>
      </w:pPr>
    </w:p>
    <w:p w14:paraId="6DC880A9">
      <w:pPr>
        <w:pStyle w:val="2"/>
        <w:tabs>
          <w:tab w:val="left" w:pos="7140"/>
        </w:tabs>
        <w:wordWrap w:val="0"/>
        <w:spacing w:after="0" w:line="360" w:lineRule="auto"/>
        <w:rPr>
          <w:rFonts w:ascii="宋体" w:hAnsi="宋体"/>
          <w:color w:val="auto"/>
          <w:szCs w:val="21"/>
          <w:highlight w:val="none"/>
        </w:rPr>
      </w:pPr>
    </w:p>
    <w:p w14:paraId="1AA5AA75">
      <w:pPr>
        <w:pStyle w:val="2"/>
        <w:tabs>
          <w:tab w:val="left" w:pos="6521"/>
        </w:tabs>
        <w:wordWrap w:val="0"/>
        <w:spacing w:after="0" w:line="360" w:lineRule="auto"/>
        <w:rPr>
          <w:rFonts w:ascii="宋体" w:hAnsi="宋体"/>
          <w:color w:val="auto"/>
          <w:szCs w:val="21"/>
          <w:highlight w:val="none"/>
        </w:rPr>
      </w:pPr>
      <w:r>
        <w:rPr>
          <w:rFonts w:ascii="宋体" w:hAnsi="宋体"/>
          <w:color w:val="auto"/>
          <w:szCs w:val="21"/>
          <w:highlight w:val="none"/>
        </w:rPr>
        <w:t>投标人：</w:t>
      </w:r>
      <w:r>
        <w:rPr>
          <w:rFonts w:hint="eastAsia" w:ascii="宋体" w:hAnsi="宋体"/>
          <w:color w:val="auto"/>
          <w:szCs w:val="21"/>
          <w:highlight w:val="none"/>
          <w:u w:val="single"/>
        </w:rPr>
        <w:t xml:space="preserve">                        </w:t>
      </w:r>
      <w:r>
        <w:rPr>
          <w:rFonts w:ascii="宋体" w:hAnsi="宋体"/>
          <w:color w:val="auto"/>
          <w:szCs w:val="21"/>
          <w:highlight w:val="none"/>
        </w:rPr>
        <w:t>（盖单位</w:t>
      </w:r>
      <w:r>
        <w:rPr>
          <w:rFonts w:hint="eastAsia" w:ascii="宋体" w:hAnsi="宋体"/>
          <w:color w:val="auto"/>
          <w:szCs w:val="21"/>
          <w:highlight w:val="none"/>
        </w:rPr>
        <w:t>公</w:t>
      </w:r>
      <w:r>
        <w:rPr>
          <w:rFonts w:ascii="宋体" w:hAnsi="宋体"/>
          <w:color w:val="auto"/>
          <w:szCs w:val="21"/>
          <w:highlight w:val="none"/>
        </w:rPr>
        <w:t>章）</w:t>
      </w:r>
    </w:p>
    <w:p w14:paraId="1C0434E9">
      <w:pPr>
        <w:pStyle w:val="2"/>
        <w:tabs>
          <w:tab w:val="left" w:pos="5352"/>
          <w:tab w:val="left" w:pos="6192"/>
          <w:tab w:val="left" w:pos="7032"/>
        </w:tabs>
        <w:wordWrap w:val="0"/>
        <w:spacing w:after="0" w:line="360" w:lineRule="auto"/>
        <w:ind w:firstLine="315" w:firstLineChars="150"/>
        <w:rPr>
          <w:rFonts w:ascii="宋体" w:hAns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月</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日</w:t>
      </w:r>
    </w:p>
    <w:p w14:paraId="7E42D0BE">
      <w:pPr>
        <w:wordWrap w:val="0"/>
        <w:rPr>
          <w:rFonts w:hAnsi="宋体" w:cs="宋体"/>
          <w:color w:val="auto"/>
          <w:szCs w:val="21"/>
          <w:highlight w:val="none"/>
        </w:rPr>
      </w:pPr>
    </w:p>
    <w:p w14:paraId="00927A4F">
      <w:pPr>
        <w:wordWrap w:val="0"/>
        <w:rPr>
          <w:rFonts w:hAnsi="宋体" w:cs="宋体"/>
          <w:color w:val="auto"/>
          <w:szCs w:val="21"/>
          <w:highlight w:val="none"/>
        </w:rPr>
      </w:pPr>
    </w:p>
    <w:p w14:paraId="34CCCD66">
      <w:pPr>
        <w:wordWrap w:val="0"/>
        <w:rPr>
          <w:rFonts w:hAnsi="宋体" w:cs="宋体"/>
          <w:color w:val="auto"/>
          <w:szCs w:val="21"/>
          <w:highlight w:val="none"/>
        </w:rPr>
      </w:pPr>
    </w:p>
    <w:p w14:paraId="79CCD571">
      <w:pPr>
        <w:wordWrap w:val="0"/>
        <w:rPr>
          <w:rFonts w:hAnsi="宋体" w:cs="宋体"/>
          <w:color w:val="auto"/>
          <w:szCs w:val="21"/>
          <w:highlight w:val="none"/>
        </w:rPr>
      </w:pPr>
    </w:p>
    <w:p w14:paraId="29392E4E">
      <w:pPr>
        <w:wordWrap w:val="0"/>
        <w:rPr>
          <w:rFonts w:hAnsi="宋体" w:cs="宋体"/>
          <w:color w:val="auto"/>
          <w:szCs w:val="21"/>
          <w:highlight w:val="none"/>
        </w:rPr>
      </w:pPr>
    </w:p>
    <w:p w14:paraId="4B583A6A">
      <w:pPr>
        <w:wordWrap w:val="0"/>
        <w:rPr>
          <w:rFonts w:hAnsi="宋体" w:cs="宋体"/>
          <w:color w:val="auto"/>
          <w:szCs w:val="21"/>
          <w:highlight w:val="none"/>
        </w:rPr>
      </w:pPr>
    </w:p>
    <w:p w14:paraId="76A6CD80">
      <w:pPr>
        <w:pStyle w:val="272"/>
        <w:wordWrap w:val="0"/>
        <w:ind w:firstLine="480" w:firstLineChars="200"/>
        <w:jc w:val="both"/>
        <w:rPr>
          <w:rFonts w:ascii="宋体" w:hAnsi="宋体" w:eastAsia="宋体" w:cs="Times New Roman"/>
          <w:color w:val="auto"/>
          <w:sz w:val="21"/>
          <w:szCs w:val="21"/>
          <w:highlight w:val="none"/>
        </w:rPr>
      </w:pPr>
      <w:r>
        <w:rPr>
          <w:rFonts w:hint="eastAsia" w:hAnsi="宋体" w:cs="宋体"/>
          <w:color w:val="auto"/>
          <w:szCs w:val="21"/>
          <w:highlight w:val="none"/>
          <w:lang w:val="en-US" w:eastAsia="zh-CN"/>
        </w:rPr>
        <w:t>注：</w:t>
      </w:r>
      <w:r>
        <w:rPr>
          <w:rFonts w:hint="eastAsia" w:ascii="宋体" w:hAnsi="宋体" w:eastAsia="宋体" w:cs="Times New Roman"/>
          <w:color w:val="auto"/>
          <w:sz w:val="21"/>
          <w:szCs w:val="21"/>
          <w:highlight w:val="none"/>
          <w:lang w:val="en-US" w:eastAsia="zh-CN"/>
        </w:rPr>
        <w:t>参加</w:t>
      </w:r>
      <w:r>
        <w:rPr>
          <w:rFonts w:hint="eastAsia" w:ascii="宋体" w:hAnsi="宋体" w:eastAsia="宋体" w:cs="Times New Roman"/>
          <w:color w:val="auto"/>
          <w:sz w:val="21"/>
          <w:szCs w:val="21"/>
          <w:highlight w:val="none"/>
        </w:rPr>
        <w:t>开标会议时，</w:t>
      </w:r>
      <w:r>
        <w:rPr>
          <w:rFonts w:hint="eastAsia" w:ascii="宋体" w:hAnsi="宋体" w:eastAsia="宋体" w:cs="Times New Roman"/>
          <w:color w:val="auto"/>
          <w:sz w:val="21"/>
          <w:szCs w:val="21"/>
          <w:highlight w:val="none"/>
          <w:lang w:val="en-US" w:eastAsia="zh-CN"/>
        </w:rPr>
        <w:t>如为投标人法定代表人参加投标，</w:t>
      </w:r>
      <w:r>
        <w:rPr>
          <w:rFonts w:hint="eastAsia" w:ascii="宋体" w:hAnsi="宋体" w:eastAsia="宋体" w:cs="Times New Roman"/>
          <w:color w:val="auto"/>
          <w:sz w:val="21"/>
          <w:szCs w:val="21"/>
          <w:highlight w:val="none"/>
        </w:rPr>
        <w:t>须</w:t>
      </w:r>
      <w:r>
        <w:rPr>
          <w:rFonts w:hint="eastAsia" w:ascii="宋体" w:hAnsi="宋体" w:eastAsia="宋体" w:cs="Times New Roman"/>
          <w:b/>
          <w:bCs/>
          <w:color w:val="auto"/>
          <w:sz w:val="21"/>
          <w:szCs w:val="21"/>
          <w:highlight w:val="none"/>
        </w:rPr>
        <w:t>持</w:t>
      </w:r>
      <w:r>
        <w:rPr>
          <w:rFonts w:hint="eastAsia" w:hAnsi="宋体"/>
          <w:b/>
          <w:bCs/>
          <w:color w:val="auto"/>
          <w:sz w:val="21"/>
          <w:szCs w:val="21"/>
          <w:highlight w:val="none"/>
        </w:rPr>
        <w:t>投标人营业执照副本复印件并加盖投标人公章的原件及</w:t>
      </w:r>
      <w:r>
        <w:rPr>
          <w:rFonts w:hint="eastAsia" w:ascii="宋体" w:hAnsi="宋体" w:eastAsia="宋体" w:cs="Times New Roman"/>
          <w:b/>
          <w:bCs/>
          <w:color w:val="auto"/>
          <w:sz w:val="21"/>
          <w:szCs w:val="21"/>
          <w:highlight w:val="none"/>
        </w:rPr>
        <w:t>法定代表人身份证明原件</w:t>
      </w:r>
      <w:r>
        <w:rPr>
          <w:rFonts w:hint="eastAsia" w:ascii="宋体" w:hAnsi="宋体" w:eastAsia="宋体" w:cs="Times New Roman"/>
          <w:color w:val="auto"/>
          <w:sz w:val="21"/>
          <w:szCs w:val="21"/>
          <w:highlight w:val="none"/>
        </w:rPr>
        <w:t>、</w:t>
      </w:r>
      <w:r>
        <w:rPr>
          <w:rFonts w:hint="eastAsia" w:ascii="宋体" w:hAnsi="宋体" w:eastAsia="宋体" w:cs="Times New Roman"/>
          <w:b/>
          <w:bCs/>
          <w:color w:val="auto"/>
          <w:sz w:val="21"/>
          <w:szCs w:val="21"/>
          <w:highlight w:val="none"/>
        </w:rPr>
        <w:t>本人身份证原件</w:t>
      </w:r>
      <w:r>
        <w:rPr>
          <w:rFonts w:hint="eastAsia" w:ascii="宋体" w:hAnsi="宋体" w:eastAsia="宋体" w:cs="Times New Roman"/>
          <w:color w:val="auto"/>
          <w:sz w:val="21"/>
          <w:szCs w:val="21"/>
          <w:highlight w:val="none"/>
        </w:rPr>
        <w:t>准时参加</w:t>
      </w:r>
      <w:r>
        <w:rPr>
          <w:rFonts w:hint="eastAsia" w:ascii="宋体" w:hAnsi="宋体" w:eastAsia="宋体" w:cs="Times New Roman"/>
          <w:color w:val="auto"/>
          <w:sz w:val="21"/>
          <w:szCs w:val="21"/>
          <w:highlight w:val="none"/>
          <w:lang w:eastAsia="zh-CN"/>
        </w:rPr>
        <w:t>，</w:t>
      </w:r>
      <w:r>
        <w:rPr>
          <w:rFonts w:hint="eastAsia" w:ascii="宋体" w:hAnsi="宋体" w:eastAsia="宋体" w:cs="Times New Roman"/>
          <w:color w:val="auto"/>
          <w:sz w:val="21"/>
          <w:szCs w:val="21"/>
          <w:highlight w:val="none"/>
        </w:rPr>
        <w:t>不符合要求的，其投标文件将予以拒绝并退还给投标人。</w:t>
      </w:r>
    </w:p>
    <w:p w14:paraId="1AA8CD30">
      <w:pPr>
        <w:wordWrap w:val="0"/>
        <w:rPr>
          <w:rFonts w:hAnsi="宋体" w:cs="宋体"/>
          <w:color w:val="auto"/>
          <w:szCs w:val="21"/>
          <w:highlight w:val="none"/>
        </w:rPr>
      </w:pPr>
      <w:r>
        <w:rPr>
          <w:rFonts w:hAnsi="宋体" w:cs="宋体"/>
          <w:color w:val="auto"/>
          <w:szCs w:val="21"/>
          <w:highlight w:val="none"/>
        </w:rPr>
        <w:br w:type="page"/>
      </w:r>
    </w:p>
    <w:p w14:paraId="5A6A937D">
      <w:pPr>
        <w:pStyle w:val="138"/>
        <w:tabs>
          <w:tab w:val="left" w:pos="4538"/>
          <w:tab w:val="left" w:pos="5484"/>
          <w:tab w:val="left" w:pos="6427"/>
        </w:tabs>
        <w:spacing w:before="0" w:line="360" w:lineRule="auto"/>
        <w:jc w:val="center"/>
        <w:rPr>
          <w:rFonts w:ascii="Calibri" w:cs="宋体"/>
          <w:color w:val="auto"/>
          <w:szCs w:val="28"/>
          <w:highlight w:val="none"/>
        </w:rPr>
      </w:pPr>
      <w:r>
        <w:rPr>
          <w:rFonts w:hint="eastAsia" w:ascii="Calibri" w:cs="宋体"/>
          <w:color w:val="auto"/>
          <w:szCs w:val="28"/>
          <w:highlight w:val="none"/>
          <w:lang w:val="en-US" w:eastAsia="zh-CN"/>
        </w:rPr>
        <w:t>四</w:t>
      </w:r>
      <w:r>
        <w:rPr>
          <w:rFonts w:hint="eastAsia" w:ascii="Calibri" w:cs="宋体"/>
          <w:color w:val="auto"/>
          <w:szCs w:val="28"/>
          <w:highlight w:val="none"/>
        </w:rPr>
        <w:t>、授权委托书（如有）</w:t>
      </w:r>
    </w:p>
    <w:p w14:paraId="1A7131B9">
      <w:pPr>
        <w:pStyle w:val="2"/>
        <w:wordWrap w:val="0"/>
        <w:spacing w:after="0" w:line="360" w:lineRule="auto"/>
        <w:jc w:val="center"/>
        <w:rPr>
          <w:rFonts w:ascii="宋体" w:hAnsi="宋体"/>
          <w:b/>
          <w:bCs/>
          <w:color w:val="auto"/>
          <w:szCs w:val="21"/>
          <w:highlight w:val="none"/>
        </w:rPr>
      </w:pPr>
      <w:r>
        <w:rPr>
          <w:rFonts w:ascii="宋体" w:hAnsi="宋体"/>
          <w:b/>
          <w:bCs/>
          <w:color w:val="auto"/>
          <w:szCs w:val="21"/>
          <w:highlight w:val="none"/>
        </w:rPr>
        <w:t>（</w:t>
      </w:r>
      <w:r>
        <w:rPr>
          <w:rFonts w:hint="eastAsia" w:ascii="宋体" w:hAnsi="宋体"/>
          <w:b/>
          <w:bCs/>
          <w:color w:val="auto"/>
          <w:szCs w:val="21"/>
          <w:highlight w:val="none"/>
        </w:rPr>
        <w:t>委托代理人作为签字代表的提供</w:t>
      </w:r>
      <w:r>
        <w:rPr>
          <w:rFonts w:ascii="宋体" w:hAnsi="宋体"/>
          <w:b/>
          <w:bCs/>
          <w:color w:val="auto"/>
          <w:szCs w:val="21"/>
          <w:highlight w:val="none"/>
        </w:rPr>
        <w:t>）</w:t>
      </w:r>
    </w:p>
    <w:p w14:paraId="758B48DB">
      <w:pPr>
        <w:pStyle w:val="2"/>
        <w:tabs>
          <w:tab w:val="left" w:pos="2421"/>
          <w:tab w:val="left" w:pos="5585"/>
        </w:tabs>
        <w:wordWrap w:val="0"/>
        <w:spacing w:line="360" w:lineRule="auto"/>
        <w:ind w:left="520" w:right="21"/>
        <w:rPr>
          <w:color w:val="auto"/>
          <w:highlight w:val="none"/>
        </w:rPr>
      </w:pPr>
    </w:p>
    <w:p w14:paraId="1ADD32A8">
      <w:pPr>
        <w:pStyle w:val="2"/>
        <w:tabs>
          <w:tab w:val="left" w:pos="2421"/>
          <w:tab w:val="left" w:pos="5585"/>
        </w:tabs>
        <w:wordWrap w:val="0"/>
        <w:spacing w:after="0" w:line="360" w:lineRule="auto"/>
        <w:ind w:firstLine="420" w:firstLineChars="200"/>
        <w:rPr>
          <w:rFonts w:ascii="宋体" w:hAnsi="宋体"/>
          <w:color w:val="auto"/>
          <w:szCs w:val="21"/>
          <w:highlight w:val="none"/>
        </w:rPr>
      </w:pPr>
      <w:r>
        <w:rPr>
          <w:rFonts w:ascii="宋体" w:hAnsi="宋体"/>
          <w:color w:val="auto"/>
          <w:szCs w:val="21"/>
          <w:highlight w:val="none"/>
        </w:rPr>
        <w:t>本人</w:t>
      </w:r>
      <w:r>
        <w:rPr>
          <w:rFonts w:hint="eastAsia" w:ascii="宋体" w:hAnsi="宋体"/>
          <w:color w:val="auto"/>
          <w:szCs w:val="21"/>
          <w:highlight w:val="none"/>
          <w:u w:val="single"/>
        </w:rPr>
        <w:t xml:space="preserve">         </w:t>
      </w:r>
      <w:r>
        <w:rPr>
          <w:rFonts w:ascii="宋体" w:hAnsi="宋体"/>
          <w:color w:val="auto"/>
          <w:szCs w:val="21"/>
          <w:highlight w:val="none"/>
        </w:rPr>
        <w:t>（姓名）系</w:t>
      </w:r>
      <w:r>
        <w:rPr>
          <w:rFonts w:hint="eastAsia" w:ascii="宋体" w:hAnsi="宋体"/>
          <w:color w:val="auto"/>
          <w:szCs w:val="21"/>
          <w:highlight w:val="none"/>
          <w:u w:val="single"/>
        </w:rPr>
        <w:t xml:space="preserve">             </w:t>
      </w:r>
      <w:r>
        <w:rPr>
          <w:rFonts w:ascii="宋体" w:hAnsi="宋体"/>
          <w:color w:val="auto"/>
          <w:szCs w:val="21"/>
          <w:highlight w:val="none"/>
        </w:rPr>
        <w:t>（投标人名称）的法定代表人</w:t>
      </w:r>
      <w:r>
        <w:rPr>
          <w:rFonts w:hint="eastAsia" w:ascii="宋体" w:hAnsi="宋体" w:cs="宋体"/>
          <w:iCs/>
          <w:color w:val="auto"/>
          <w:szCs w:val="21"/>
          <w:highlight w:val="none"/>
        </w:rPr>
        <w:t>/负责人</w:t>
      </w:r>
      <w:r>
        <w:rPr>
          <w:rFonts w:ascii="宋体" w:hAnsi="宋体"/>
          <w:color w:val="auto"/>
          <w:szCs w:val="21"/>
          <w:highlight w:val="none"/>
        </w:rPr>
        <w:t>，现委托</w:t>
      </w:r>
      <w:r>
        <w:rPr>
          <w:rFonts w:hint="eastAsia" w:ascii="宋体" w:hAnsi="宋体"/>
          <w:color w:val="auto"/>
          <w:szCs w:val="21"/>
          <w:highlight w:val="none"/>
          <w:u w:val="single"/>
        </w:rPr>
        <w:t xml:space="preserve">       </w:t>
      </w:r>
      <w:r>
        <w:rPr>
          <w:rFonts w:ascii="宋体" w:hAnsi="宋体"/>
          <w:color w:val="auto"/>
          <w:szCs w:val="21"/>
          <w:highlight w:val="none"/>
        </w:rPr>
        <w:t>（姓名）为我方代理人。代理人根据授权，以我方名义签署、澄清确认、递交、撤回、修改</w:t>
      </w:r>
      <w:r>
        <w:rPr>
          <w:rFonts w:hint="eastAsia" w:ascii="宋体" w:hAnsi="宋体"/>
          <w:color w:val="auto"/>
          <w:szCs w:val="21"/>
          <w:highlight w:val="none"/>
          <w:u w:val="single"/>
        </w:rPr>
        <w:t xml:space="preserve">               （项目名称）</w:t>
      </w:r>
      <w:r>
        <w:rPr>
          <w:rFonts w:ascii="宋体" w:hAnsi="宋体"/>
          <w:color w:val="auto"/>
          <w:szCs w:val="21"/>
          <w:highlight w:val="none"/>
        </w:rPr>
        <w:t>项目投标文件、签订合同和处理有关事宜，其法律后果由我方承担。</w:t>
      </w:r>
    </w:p>
    <w:p w14:paraId="28D75C90">
      <w:pPr>
        <w:pStyle w:val="2"/>
        <w:tabs>
          <w:tab w:val="left" w:pos="3566"/>
        </w:tabs>
        <w:wordWrap w:val="0"/>
        <w:spacing w:after="0" w:line="360" w:lineRule="auto"/>
        <w:ind w:firstLine="420" w:firstLineChars="200"/>
        <w:rPr>
          <w:rFonts w:ascii="宋体" w:hAnsi="宋体"/>
          <w:color w:val="auto"/>
          <w:szCs w:val="21"/>
          <w:highlight w:val="none"/>
        </w:rPr>
      </w:pPr>
      <w:r>
        <w:rPr>
          <w:rFonts w:ascii="宋体" w:hAnsi="宋体"/>
          <w:color w:val="auto"/>
          <w:szCs w:val="21"/>
          <w:highlight w:val="none"/>
        </w:rPr>
        <w:t>委托期限：</w:t>
      </w:r>
      <w:r>
        <w:rPr>
          <w:rFonts w:hint="eastAsia" w:ascii="宋体" w:hAnsi="宋体"/>
          <w:color w:val="auto"/>
          <w:szCs w:val="21"/>
          <w:highlight w:val="none"/>
          <w:u w:val="single"/>
        </w:rPr>
        <w:t>自本项目递交投标文件之日起至投标有效期届满止</w:t>
      </w:r>
      <w:r>
        <w:rPr>
          <w:rFonts w:ascii="宋体" w:hAnsi="宋体"/>
          <w:color w:val="auto"/>
          <w:szCs w:val="21"/>
          <w:highlight w:val="none"/>
        </w:rPr>
        <w:t>。</w:t>
      </w:r>
    </w:p>
    <w:p w14:paraId="3A85900B">
      <w:pPr>
        <w:pStyle w:val="2"/>
        <w:wordWrap w:val="0"/>
        <w:spacing w:after="0" w:line="360" w:lineRule="auto"/>
        <w:rPr>
          <w:rFonts w:ascii="宋体" w:hAnsi="宋体"/>
          <w:color w:val="auto"/>
          <w:szCs w:val="21"/>
          <w:highlight w:val="none"/>
        </w:rPr>
      </w:pPr>
    </w:p>
    <w:p w14:paraId="621BB5FB">
      <w:pPr>
        <w:pStyle w:val="2"/>
        <w:wordWrap w:val="0"/>
        <w:spacing w:after="0" w:line="360" w:lineRule="auto"/>
        <w:ind w:firstLine="420" w:firstLineChars="200"/>
        <w:rPr>
          <w:rFonts w:ascii="宋体" w:hAnsi="宋体"/>
          <w:color w:val="auto"/>
          <w:szCs w:val="21"/>
          <w:highlight w:val="none"/>
        </w:rPr>
      </w:pPr>
      <w:r>
        <w:rPr>
          <w:rFonts w:ascii="宋体" w:hAnsi="宋体"/>
          <w:color w:val="auto"/>
          <w:szCs w:val="21"/>
          <w:highlight w:val="none"/>
        </w:rPr>
        <w:t>代理人无转委托权。</w:t>
      </w:r>
    </w:p>
    <w:p w14:paraId="3B1BDF92">
      <w:pPr>
        <w:pStyle w:val="2"/>
        <w:wordWrap w:val="0"/>
        <w:spacing w:after="0" w:line="360" w:lineRule="auto"/>
        <w:rPr>
          <w:rFonts w:ascii="宋体" w:hAnsi="宋体"/>
          <w:color w:val="auto"/>
          <w:szCs w:val="21"/>
          <w:highlight w:val="none"/>
        </w:rPr>
      </w:pPr>
    </w:p>
    <w:p w14:paraId="7CC93E64">
      <w:pPr>
        <w:wordWrap w:val="0"/>
        <w:spacing w:line="360" w:lineRule="auto"/>
        <w:ind w:firstLine="420" w:firstLineChars="200"/>
        <w:rPr>
          <w:rFonts w:hAnsi="宋体"/>
          <w:bCs/>
          <w:color w:val="auto"/>
          <w:szCs w:val="21"/>
          <w:highlight w:val="none"/>
        </w:rPr>
      </w:pPr>
      <w:r>
        <w:rPr>
          <w:rFonts w:hAnsi="宋体"/>
          <w:bCs/>
          <w:color w:val="auto"/>
          <w:szCs w:val="21"/>
          <w:highlight w:val="none"/>
        </w:rPr>
        <w:t>附：法定代表人</w:t>
      </w:r>
      <w:r>
        <w:rPr>
          <w:rFonts w:hint="eastAsia" w:ascii="宋体" w:hAnsi="宋体" w:cs="宋体"/>
          <w:iCs/>
          <w:color w:val="auto"/>
          <w:szCs w:val="21"/>
          <w:highlight w:val="none"/>
        </w:rPr>
        <w:t>/负责人</w:t>
      </w:r>
      <w:r>
        <w:rPr>
          <w:rFonts w:hAnsi="宋体"/>
          <w:bCs/>
          <w:color w:val="auto"/>
          <w:szCs w:val="21"/>
          <w:highlight w:val="none"/>
        </w:rPr>
        <w:t>身份证</w:t>
      </w:r>
      <w:r>
        <w:rPr>
          <w:rFonts w:hint="eastAsia" w:hAnsi="宋体"/>
          <w:bCs/>
          <w:color w:val="auto"/>
          <w:szCs w:val="21"/>
          <w:highlight w:val="none"/>
          <w:lang w:eastAsia="zh-CN"/>
        </w:rPr>
        <w:t>复印件</w:t>
      </w:r>
      <w:r>
        <w:rPr>
          <w:rFonts w:hint="eastAsia" w:hAnsi="宋体"/>
          <w:bCs/>
          <w:color w:val="auto"/>
          <w:szCs w:val="21"/>
          <w:highlight w:val="none"/>
        </w:rPr>
        <w:t>、</w:t>
      </w:r>
      <w:r>
        <w:rPr>
          <w:rFonts w:hAnsi="宋体"/>
          <w:bCs/>
          <w:color w:val="auto"/>
          <w:szCs w:val="21"/>
          <w:highlight w:val="none"/>
        </w:rPr>
        <w:t>委托代理人身份证</w:t>
      </w:r>
      <w:r>
        <w:rPr>
          <w:rFonts w:hint="eastAsia" w:hAnsi="宋体"/>
          <w:bCs/>
          <w:color w:val="auto"/>
          <w:szCs w:val="21"/>
          <w:highlight w:val="none"/>
          <w:lang w:eastAsia="zh-CN"/>
        </w:rPr>
        <w:t>复印件</w:t>
      </w:r>
      <w:r>
        <w:rPr>
          <w:rFonts w:hint="eastAsia" w:hAnsi="宋体"/>
          <w:bCs/>
          <w:color w:val="auto"/>
          <w:szCs w:val="21"/>
          <w:highlight w:val="none"/>
        </w:rPr>
        <w:t>（此附件为授权委托书的必要组成部分，无此附件的授权委托书无效。</w:t>
      </w:r>
      <w:r>
        <w:rPr>
          <w:rFonts w:hAnsi="宋体"/>
          <w:bCs/>
          <w:color w:val="auto"/>
          <w:szCs w:val="21"/>
          <w:highlight w:val="none"/>
        </w:rPr>
        <w:t>法定代表人</w:t>
      </w:r>
      <w:r>
        <w:rPr>
          <w:rFonts w:hint="eastAsia" w:ascii="宋体" w:hAnsi="宋体" w:cs="宋体"/>
          <w:iCs/>
          <w:color w:val="auto"/>
          <w:szCs w:val="21"/>
          <w:highlight w:val="none"/>
        </w:rPr>
        <w:t>/负责人</w:t>
      </w:r>
      <w:r>
        <w:rPr>
          <w:rFonts w:hAnsi="宋体"/>
          <w:bCs/>
          <w:color w:val="auto"/>
          <w:szCs w:val="21"/>
          <w:highlight w:val="none"/>
        </w:rPr>
        <w:t>身份证</w:t>
      </w:r>
      <w:r>
        <w:rPr>
          <w:rFonts w:hint="eastAsia" w:hAnsi="宋体"/>
          <w:bCs/>
          <w:color w:val="auto"/>
          <w:szCs w:val="21"/>
          <w:highlight w:val="none"/>
          <w:lang w:eastAsia="zh-CN"/>
        </w:rPr>
        <w:t>复印件</w:t>
      </w:r>
      <w:r>
        <w:rPr>
          <w:rFonts w:hAnsi="宋体"/>
          <w:bCs/>
          <w:color w:val="auto"/>
          <w:szCs w:val="21"/>
          <w:highlight w:val="none"/>
        </w:rPr>
        <w:t>及委托代理人身份证</w:t>
      </w:r>
      <w:r>
        <w:rPr>
          <w:rFonts w:hint="eastAsia" w:hAnsi="宋体"/>
          <w:bCs/>
          <w:color w:val="auto"/>
          <w:szCs w:val="21"/>
          <w:highlight w:val="none"/>
          <w:lang w:eastAsia="zh-CN"/>
        </w:rPr>
        <w:t>复印件</w:t>
      </w:r>
      <w:r>
        <w:rPr>
          <w:rFonts w:hint="eastAsia" w:hAnsi="宋体"/>
          <w:bCs/>
          <w:color w:val="auto"/>
          <w:szCs w:val="21"/>
          <w:highlight w:val="none"/>
        </w:rPr>
        <w:t>可另附页，另附页时，</w:t>
      </w:r>
      <w:r>
        <w:rPr>
          <w:rFonts w:hint="eastAsia" w:hAnsi="宋体"/>
          <w:bCs/>
          <w:color w:val="auto"/>
          <w:szCs w:val="21"/>
          <w:highlight w:val="none"/>
          <w:lang w:eastAsia="zh-CN"/>
        </w:rPr>
        <w:t>复印件</w:t>
      </w:r>
      <w:r>
        <w:rPr>
          <w:rFonts w:hint="eastAsia" w:hAnsi="宋体"/>
          <w:bCs/>
          <w:color w:val="auto"/>
          <w:szCs w:val="21"/>
          <w:highlight w:val="none"/>
        </w:rPr>
        <w:t>须加盖单位公章。）</w:t>
      </w:r>
    </w:p>
    <w:p w14:paraId="28C9F22E">
      <w:pPr>
        <w:wordWrap w:val="0"/>
        <w:spacing w:line="360" w:lineRule="auto"/>
        <w:ind w:firstLine="420" w:firstLineChars="200"/>
        <w:rPr>
          <w:rFonts w:hAnsi="宋体"/>
          <w:color w:val="auto"/>
          <w:szCs w:val="21"/>
          <w:highlight w:val="none"/>
        </w:rPr>
      </w:pPr>
    </w:p>
    <w:p w14:paraId="0ACA4D6A">
      <w:pPr>
        <w:pStyle w:val="2"/>
        <w:wordWrap w:val="0"/>
        <w:spacing w:after="0" w:line="360" w:lineRule="auto"/>
        <w:rPr>
          <w:rFonts w:ascii="宋体" w:hAnsi="宋体"/>
          <w:color w:val="auto"/>
          <w:szCs w:val="21"/>
          <w:highlight w:val="none"/>
        </w:rPr>
      </w:pPr>
    </w:p>
    <w:p w14:paraId="054E8603">
      <w:pPr>
        <w:pStyle w:val="2"/>
        <w:wordWrap w:val="0"/>
        <w:spacing w:after="0" w:line="360" w:lineRule="auto"/>
        <w:rPr>
          <w:rFonts w:ascii="宋体" w:hAnsi="宋体"/>
          <w:color w:val="auto"/>
          <w:szCs w:val="21"/>
          <w:highlight w:val="none"/>
        </w:rPr>
      </w:pPr>
    </w:p>
    <w:p w14:paraId="03ED2ADA">
      <w:pPr>
        <w:pStyle w:val="2"/>
        <w:tabs>
          <w:tab w:val="left" w:pos="7241"/>
        </w:tabs>
        <w:wordWrap w:val="0"/>
        <w:spacing w:after="0" w:line="360" w:lineRule="auto"/>
        <w:rPr>
          <w:rFonts w:ascii="宋体" w:hAnsi="宋体"/>
          <w:color w:val="auto"/>
          <w:szCs w:val="21"/>
          <w:highlight w:val="none"/>
        </w:rPr>
      </w:pPr>
      <w:r>
        <w:rPr>
          <w:rFonts w:ascii="宋体" w:hAnsi="宋体"/>
          <w:color w:val="auto"/>
          <w:szCs w:val="21"/>
          <w:highlight w:val="none"/>
        </w:rPr>
        <w:t>投</w:t>
      </w:r>
      <w:r>
        <w:rPr>
          <w:rFonts w:hint="eastAsia" w:ascii="宋体" w:hAnsi="宋体"/>
          <w:color w:val="auto"/>
          <w:szCs w:val="21"/>
          <w:highlight w:val="none"/>
        </w:rPr>
        <w:t xml:space="preserve">  </w:t>
      </w:r>
      <w:r>
        <w:rPr>
          <w:rFonts w:ascii="宋体" w:hAnsi="宋体"/>
          <w:color w:val="auto"/>
          <w:szCs w:val="21"/>
          <w:highlight w:val="none"/>
        </w:rPr>
        <w:t>标</w:t>
      </w:r>
      <w:r>
        <w:rPr>
          <w:rFonts w:hint="eastAsia" w:ascii="宋体" w:hAnsi="宋体"/>
          <w:color w:val="auto"/>
          <w:szCs w:val="21"/>
          <w:highlight w:val="none"/>
        </w:rPr>
        <w:t xml:space="preserve">  </w:t>
      </w:r>
      <w:r>
        <w:rPr>
          <w:rFonts w:ascii="宋体" w:hAnsi="宋体"/>
          <w:color w:val="auto"/>
          <w:szCs w:val="21"/>
          <w:highlight w:val="none"/>
        </w:rPr>
        <w:t>人：</w:t>
      </w:r>
      <w:r>
        <w:rPr>
          <w:rFonts w:hint="eastAsia" w:ascii="宋体" w:hAnsi="宋体"/>
          <w:color w:val="auto"/>
          <w:szCs w:val="21"/>
          <w:highlight w:val="none"/>
          <w:u w:val="single"/>
        </w:rPr>
        <w:t xml:space="preserve">                      </w:t>
      </w:r>
      <w:r>
        <w:rPr>
          <w:rFonts w:ascii="宋体" w:hAnsi="宋体"/>
          <w:color w:val="auto"/>
          <w:szCs w:val="21"/>
          <w:highlight w:val="none"/>
        </w:rPr>
        <w:t>（盖单位</w:t>
      </w:r>
      <w:r>
        <w:rPr>
          <w:rFonts w:hint="eastAsia" w:ascii="宋体" w:hAnsi="宋体"/>
          <w:color w:val="auto"/>
          <w:szCs w:val="21"/>
          <w:highlight w:val="none"/>
        </w:rPr>
        <w:t>公</w:t>
      </w:r>
      <w:r>
        <w:rPr>
          <w:rFonts w:ascii="宋体" w:hAnsi="宋体"/>
          <w:color w:val="auto"/>
          <w:szCs w:val="21"/>
          <w:highlight w:val="none"/>
        </w:rPr>
        <w:t>章）</w:t>
      </w:r>
    </w:p>
    <w:p w14:paraId="16769606">
      <w:pPr>
        <w:pStyle w:val="2"/>
        <w:tabs>
          <w:tab w:val="left" w:pos="7661"/>
        </w:tabs>
        <w:wordWrap w:val="0"/>
        <w:spacing w:after="0" w:line="360" w:lineRule="auto"/>
        <w:rPr>
          <w:rFonts w:ascii="宋体" w:hAnsi="宋体"/>
          <w:color w:val="auto"/>
          <w:szCs w:val="21"/>
          <w:highlight w:val="none"/>
        </w:rPr>
      </w:pPr>
      <w:r>
        <w:rPr>
          <w:rFonts w:ascii="宋体" w:hAnsi="宋体"/>
          <w:color w:val="auto"/>
          <w:szCs w:val="21"/>
          <w:highlight w:val="none"/>
        </w:rPr>
        <w:t>法定代表人</w:t>
      </w:r>
      <w:r>
        <w:rPr>
          <w:rFonts w:hint="eastAsia" w:ascii="宋体" w:hAnsi="宋体" w:cs="宋体"/>
          <w:iCs/>
          <w:color w:val="auto"/>
          <w:szCs w:val="21"/>
          <w:highlight w:val="none"/>
        </w:rPr>
        <w:t>/负责人</w:t>
      </w:r>
      <w:r>
        <w:rPr>
          <w:rFonts w:ascii="宋体" w:hAnsi="宋体"/>
          <w:color w:val="auto"/>
          <w:szCs w:val="21"/>
          <w:highlight w:val="none"/>
        </w:rPr>
        <w:t>：</w:t>
      </w:r>
      <w:r>
        <w:rPr>
          <w:rFonts w:hint="eastAsia" w:ascii="宋体" w:hAnsi="宋体"/>
          <w:color w:val="auto"/>
          <w:szCs w:val="21"/>
          <w:highlight w:val="none"/>
          <w:u w:val="single"/>
        </w:rPr>
        <w:t xml:space="preserve">                     </w:t>
      </w:r>
      <w:r>
        <w:rPr>
          <w:rFonts w:ascii="宋体" w:hAnsi="宋体"/>
          <w:color w:val="auto"/>
          <w:szCs w:val="21"/>
          <w:highlight w:val="none"/>
        </w:rPr>
        <w:t>（</w:t>
      </w:r>
      <w:r>
        <w:rPr>
          <w:rFonts w:ascii="宋体" w:hAnsi="宋体" w:cs="宋体"/>
          <w:color w:val="auto"/>
          <w:szCs w:val="21"/>
          <w:highlight w:val="none"/>
        </w:rPr>
        <w:t>签字</w:t>
      </w:r>
      <w:r>
        <w:rPr>
          <w:rFonts w:hint="eastAsia" w:ascii="宋体" w:hAnsi="宋体" w:cs="宋体"/>
          <w:color w:val="auto"/>
          <w:szCs w:val="21"/>
          <w:highlight w:val="none"/>
        </w:rPr>
        <w:t>或签章</w:t>
      </w:r>
      <w:r>
        <w:rPr>
          <w:rFonts w:ascii="宋体" w:hAnsi="宋体"/>
          <w:color w:val="auto"/>
          <w:szCs w:val="21"/>
          <w:highlight w:val="none"/>
        </w:rPr>
        <w:t>）</w:t>
      </w:r>
    </w:p>
    <w:p w14:paraId="281593E4">
      <w:pPr>
        <w:pStyle w:val="2"/>
        <w:tabs>
          <w:tab w:val="left" w:pos="8549"/>
        </w:tabs>
        <w:wordWrap w:val="0"/>
        <w:spacing w:after="0" w:line="360" w:lineRule="auto"/>
        <w:rPr>
          <w:rFonts w:ascii="宋体" w:hAnsi="宋体"/>
          <w:color w:val="auto"/>
          <w:szCs w:val="21"/>
          <w:highlight w:val="none"/>
        </w:rPr>
      </w:pPr>
      <w:r>
        <w:rPr>
          <w:rFonts w:ascii="宋体" w:hAnsi="宋体"/>
          <w:color w:val="auto"/>
          <w:szCs w:val="21"/>
          <w:highlight w:val="none"/>
        </w:rPr>
        <w:t>身份证号码：</w:t>
      </w:r>
      <w:r>
        <w:rPr>
          <w:rFonts w:hint="eastAsia" w:ascii="宋体" w:hAnsi="宋体"/>
          <w:color w:val="auto"/>
          <w:szCs w:val="21"/>
          <w:highlight w:val="none"/>
          <w:u w:val="single"/>
        </w:rPr>
        <w:t xml:space="preserve">                                 </w:t>
      </w:r>
    </w:p>
    <w:p w14:paraId="256FE160">
      <w:pPr>
        <w:pStyle w:val="2"/>
        <w:tabs>
          <w:tab w:val="left" w:pos="7661"/>
        </w:tabs>
        <w:wordWrap w:val="0"/>
        <w:spacing w:after="0" w:line="360" w:lineRule="auto"/>
        <w:rPr>
          <w:rFonts w:ascii="宋体" w:hAnsi="宋体"/>
          <w:color w:val="auto"/>
          <w:szCs w:val="21"/>
          <w:highlight w:val="none"/>
        </w:rPr>
      </w:pPr>
      <w:r>
        <w:rPr>
          <w:rFonts w:ascii="宋体" w:hAnsi="宋体"/>
          <w:color w:val="auto"/>
          <w:szCs w:val="21"/>
          <w:highlight w:val="none"/>
        </w:rPr>
        <w:t>委托代理人：</w:t>
      </w:r>
      <w:r>
        <w:rPr>
          <w:rFonts w:hint="eastAsia" w:ascii="宋体" w:hAnsi="宋体"/>
          <w:color w:val="auto"/>
          <w:szCs w:val="21"/>
          <w:highlight w:val="none"/>
          <w:u w:val="single"/>
        </w:rPr>
        <w:t xml:space="preserve">                     </w:t>
      </w:r>
      <w:r>
        <w:rPr>
          <w:rFonts w:ascii="宋体" w:hAnsi="宋体"/>
          <w:color w:val="auto"/>
          <w:szCs w:val="21"/>
          <w:highlight w:val="none"/>
        </w:rPr>
        <w:t>（</w:t>
      </w:r>
      <w:r>
        <w:rPr>
          <w:rFonts w:ascii="宋体" w:hAnsi="宋体" w:cs="宋体"/>
          <w:color w:val="auto"/>
          <w:szCs w:val="21"/>
          <w:highlight w:val="none"/>
        </w:rPr>
        <w:t>签字</w:t>
      </w:r>
      <w:r>
        <w:rPr>
          <w:rFonts w:hint="eastAsia" w:ascii="宋体" w:hAnsi="宋体" w:cs="宋体"/>
          <w:color w:val="auto"/>
          <w:szCs w:val="21"/>
          <w:highlight w:val="none"/>
        </w:rPr>
        <w:t>或签章</w:t>
      </w:r>
      <w:r>
        <w:rPr>
          <w:rFonts w:ascii="宋体" w:hAnsi="宋体"/>
          <w:color w:val="auto"/>
          <w:szCs w:val="21"/>
          <w:highlight w:val="none"/>
        </w:rPr>
        <w:t>）</w:t>
      </w:r>
    </w:p>
    <w:p w14:paraId="5D9CE021">
      <w:pPr>
        <w:pStyle w:val="2"/>
        <w:tabs>
          <w:tab w:val="left" w:pos="8549"/>
        </w:tabs>
        <w:wordWrap w:val="0"/>
        <w:spacing w:after="0" w:line="360" w:lineRule="auto"/>
        <w:rPr>
          <w:rFonts w:ascii="宋体" w:hAnsi="宋体"/>
          <w:color w:val="auto"/>
          <w:szCs w:val="21"/>
          <w:highlight w:val="none"/>
        </w:rPr>
      </w:pPr>
      <w:r>
        <w:rPr>
          <w:rFonts w:ascii="宋体" w:hAnsi="宋体"/>
          <w:color w:val="auto"/>
          <w:szCs w:val="21"/>
          <w:highlight w:val="none"/>
        </w:rPr>
        <w:t>身份证号码：</w:t>
      </w:r>
      <w:r>
        <w:rPr>
          <w:rFonts w:hint="eastAsia" w:ascii="宋体" w:hAnsi="宋体"/>
          <w:color w:val="auto"/>
          <w:szCs w:val="21"/>
          <w:highlight w:val="none"/>
          <w:u w:val="single"/>
        </w:rPr>
        <w:t xml:space="preserve">                                  </w:t>
      </w:r>
    </w:p>
    <w:p w14:paraId="67E4DC27">
      <w:pPr>
        <w:bidi w:val="0"/>
        <w:rPr>
          <w:rFonts w:hAnsi="宋体" w:cs="Arial"/>
          <w:color w:val="auto"/>
          <w:kern w:val="0"/>
          <w:szCs w:val="21"/>
          <w:highlight w:val="none"/>
        </w:rPr>
      </w:pPr>
      <w:r>
        <w:rPr>
          <w:rFonts w:hint="eastAsia" w:hAnsi="宋体" w:cs="Arial"/>
          <w:color w:val="auto"/>
          <w:kern w:val="0"/>
          <w:szCs w:val="21"/>
          <w:highlight w:val="none"/>
          <w:u w:val="single"/>
        </w:rPr>
        <w:t xml:space="preserve">     </w:t>
      </w:r>
      <w:r>
        <w:rPr>
          <w:rFonts w:hAnsi="宋体" w:cs="Arial"/>
          <w:color w:val="auto"/>
          <w:kern w:val="0"/>
          <w:szCs w:val="21"/>
          <w:highlight w:val="none"/>
        </w:rPr>
        <w:t>年</w:t>
      </w:r>
      <w:r>
        <w:rPr>
          <w:rFonts w:hint="eastAsia" w:hAnsi="宋体" w:cs="Arial"/>
          <w:color w:val="auto"/>
          <w:kern w:val="0"/>
          <w:szCs w:val="21"/>
          <w:highlight w:val="none"/>
          <w:u w:val="single"/>
        </w:rPr>
        <w:t xml:space="preserve"> </w:t>
      </w:r>
      <w:r>
        <w:rPr>
          <w:rFonts w:hint="eastAsia" w:hAnsi="宋体" w:cs="Arial"/>
          <w:color w:val="auto"/>
          <w:kern w:val="0"/>
          <w:szCs w:val="21"/>
          <w:highlight w:val="none"/>
          <w:u w:val="single"/>
          <w:lang w:val="en-US" w:eastAsia="zh-CN"/>
        </w:rPr>
        <w:t xml:space="preserve">   </w:t>
      </w:r>
      <w:r>
        <w:rPr>
          <w:rFonts w:hAnsi="宋体" w:cs="Arial"/>
          <w:color w:val="auto"/>
          <w:kern w:val="0"/>
          <w:szCs w:val="21"/>
          <w:highlight w:val="none"/>
        </w:rPr>
        <w:t>月</w:t>
      </w:r>
      <w:r>
        <w:rPr>
          <w:rFonts w:hint="eastAsia" w:hAnsi="宋体" w:cs="Arial"/>
          <w:color w:val="auto"/>
          <w:kern w:val="0"/>
          <w:szCs w:val="21"/>
          <w:highlight w:val="none"/>
          <w:u w:val="single"/>
        </w:rPr>
        <w:t xml:space="preserve">   </w:t>
      </w:r>
      <w:r>
        <w:rPr>
          <w:rFonts w:hAnsi="宋体" w:cs="Arial"/>
          <w:color w:val="auto"/>
          <w:kern w:val="0"/>
          <w:szCs w:val="21"/>
          <w:highlight w:val="none"/>
        </w:rPr>
        <w:t>日</w:t>
      </w:r>
    </w:p>
    <w:p w14:paraId="289AF704">
      <w:pPr>
        <w:bidi w:val="0"/>
        <w:rPr>
          <w:rFonts w:hAnsi="宋体" w:cs="Arial"/>
          <w:color w:val="auto"/>
          <w:kern w:val="0"/>
          <w:szCs w:val="21"/>
          <w:highlight w:val="none"/>
        </w:rPr>
      </w:pPr>
    </w:p>
    <w:p w14:paraId="74F6D21A">
      <w:pPr>
        <w:bidi w:val="0"/>
        <w:rPr>
          <w:rFonts w:hAnsi="宋体" w:cs="Arial"/>
          <w:color w:val="auto"/>
          <w:kern w:val="0"/>
          <w:szCs w:val="21"/>
          <w:highlight w:val="none"/>
        </w:rPr>
      </w:pPr>
    </w:p>
    <w:p w14:paraId="11664BC6">
      <w:pPr>
        <w:bidi w:val="0"/>
        <w:rPr>
          <w:rFonts w:hAnsi="宋体" w:cs="Arial"/>
          <w:color w:val="auto"/>
          <w:kern w:val="0"/>
          <w:szCs w:val="21"/>
          <w:highlight w:val="none"/>
        </w:rPr>
      </w:pPr>
    </w:p>
    <w:p w14:paraId="628E37A9">
      <w:pPr>
        <w:bidi w:val="0"/>
        <w:rPr>
          <w:rFonts w:hAnsi="宋体" w:cs="Arial"/>
          <w:color w:val="auto"/>
          <w:kern w:val="0"/>
          <w:szCs w:val="21"/>
          <w:highlight w:val="none"/>
        </w:rPr>
      </w:pPr>
    </w:p>
    <w:p w14:paraId="74FD09A6">
      <w:pPr>
        <w:bidi w:val="0"/>
        <w:spacing w:line="360" w:lineRule="auto"/>
        <w:ind w:firstLine="420" w:firstLineChars="200"/>
        <w:rPr>
          <w:color w:val="auto"/>
          <w:highlight w:val="none"/>
        </w:rPr>
      </w:pPr>
      <w:r>
        <w:rPr>
          <w:rFonts w:hint="eastAsia" w:ascii="宋体" w:hAnsi="宋体" w:eastAsia="宋体" w:cs="Times New Roman"/>
          <w:color w:val="auto"/>
          <w:sz w:val="21"/>
          <w:szCs w:val="21"/>
          <w:highlight w:val="none"/>
          <w:lang w:val="en-US" w:eastAsia="zh-CN"/>
        </w:rPr>
        <w:t>注：参加</w:t>
      </w:r>
      <w:r>
        <w:rPr>
          <w:rFonts w:hint="eastAsia" w:ascii="宋体" w:hAnsi="宋体" w:eastAsia="宋体" w:cs="Times New Roman"/>
          <w:color w:val="auto"/>
          <w:sz w:val="21"/>
          <w:szCs w:val="21"/>
          <w:highlight w:val="none"/>
        </w:rPr>
        <w:t>开标会议时，</w:t>
      </w:r>
      <w:r>
        <w:rPr>
          <w:rFonts w:hint="eastAsia" w:ascii="宋体" w:hAnsi="宋体" w:eastAsia="宋体" w:cs="Times New Roman"/>
          <w:color w:val="auto"/>
          <w:sz w:val="21"/>
          <w:szCs w:val="21"/>
          <w:highlight w:val="none"/>
          <w:lang w:val="en-US" w:eastAsia="zh-CN"/>
        </w:rPr>
        <w:t>如为投标人授权委托代理人参加投标，须</w:t>
      </w:r>
      <w:r>
        <w:rPr>
          <w:rFonts w:hint="eastAsia" w:hAnsi="宋体"/>
          <w:b/>
          <w:bCs/>
          <w:color w:val="auto"/>
          <w:sz w:val="21"/>
          <w:szCs w:val="21"/>
          <w:highlight w:val="none"/>
        </w:rPr>
        <w:t>投标人营业执照副本复印件并加盖投标人公章的原件</w:t>
      </w:r>
      <w:r>
        <w:rPr>
          <w:rFonts w:hint="eastAsia" w:hAnsi="宋体"/>
          <w:b/>
          <w:bCs/>
          <w:color w:val="auto"/>
          <w:sz w:val="21"/>
          <w:szCs w:val="21"/>
          <w:highlight w:val="none"/>
          <w:lang w:eastAsia="zh-CN"/>
        </w:rPr>
        <w:t>、</w:t>
      </w:r>
      <w:r>
        <w:rPr>
          <w:rFonts w:hint="eastAsia" w:ascii="宋体" w:hAnsi="宋体" w:eastAsia="宋体" w:cs="Times New Roman"/>
          <w:b/>
          <w:bCs/>
          <w:color w:val="auto"/>
          <w:sz w:val="21"/>
          <w:szCs w:val="21"/>
          <w:highlight w:val="none"/>
        </w:rPr>
        <w:t>法定代表人身份证明原件</w:t>
      </w:r>
      <w:r>
        <w:rPr>
          <w:rFonts w:hint="eastAsia" w:ascii="宋体" w:hAnsi="宋体" w:eastAsia="宋体" w:cs="Times New Roman"/>
          <w:color w:val="auto"/>
          <w:sz w:val="21"/>
          <w:szCs w:val="21"/>
          <w:highlight w:val="none"/>
        </w:rPr>
        <w:t>、</w:t>
      </w:r>
      <w:r>
        <w:rPr>
          <w:rFonts w:hint="eastAsia" w:ascii="宋体" w:hAnsi="宋体" w:eastAsia="宋体" w:cs="Times New Roman"/>
          <w:b/>
          <w:bCs/>
          <w:color w:val="auto"/>
          <w:sz w:val="21"/>
          <w:szCs w:val="21"/>
          <w:highlight w:val="none"/>
        </w:rPr>
        <w:t>授权委托书原件</w:t>
      </w:r>
      <w:r>
        <w:rPr>
          <w:rFonts w:hint="eastAsia" w:ascii="宋体" w:hAnsi="宋体" w:eastAsia="宋体" w:cs="Times New Roman"/>
          <w:color w:val="auto"/>
          <w:sz w:val="21"/>
          <w:szCs w:val="21"/>
          <w:highlight w:val="none"/>
          <w:lang w:eastAsia="zh-CN"/>
        </w:rPr>
        <w:t>、</w:t>
      </w:r>
      <w:r>
        <w:rPr>
          <w:rFonts w:hint="eastAsia" w:ascii="宋体" w:hAnsi="宋体" w:eastAsia="宋体" w:cs="Times New Roman"/>
          <w:b/>
          <w:bCs/>
          <w:color w:val="auto"/>
          <w:sz w:val="21"/>
          <w:szCs w:val="21"/>
          <w:highlight w:val="none"/>
        </w:rPr>
        <w:t>授权委托代理人身份证原件</w:t>
      </w:r>
      <w:r>
        <w:rPr>
          <w:rFonts w:hint="eastAsia" w:ascii="宋体" w:hAnsi="宋体" w:eastAsia="宋体" w:cs="Times New Roman"/>
          <w:color w:val="auto"/>
          <w:sz w:val="21"/>
          <w:szCs w:val="21"/>
          <w:highlight w:val="none"/>
        </w:rPr>
        <w:t>准时参加</w:t>
      </w:r>
      <w:r>
        <w:rPr>
          <w:rFonts w:hint="eastAsia" w:ascii="宋体" w:hAnsi="宋体" w:eastAsia="宋体" w:cs="Times New Roman"/>
          <w:color w:val="auto"/>
          <w:sz w:val="21"/>
          <w:szCs w:val="21"/>
          <w:highlight w:val="none"/>
          <w:lang w:eastAsia="zh-CN"/>
        </w:rPr>
        <w:t>，</w:t>
      </w:r>
      <w:r>
        <w:rPr>
          <w:rFonts w:hint="eastAsia" w:ascii="宋体" w:hAnsi="宋体" w:eastAsia="宋体" w:cs="Times New Roman"/>
          <w:color w:val="auto"/>
          <w:sz w:val="21"/>
          <w:szCs w:val="21"/>
          <w:highlight w:val="none"/>
        </w:rPr>
        <w:t>不符合要求的，其投标文件将予以拒绝并退还给投标人。</w:t>
      </w:r>
      <w:r>
        <w:rPr>
          <w:color w:val="auto"/>
          <w:highlight w:val="none"/>
        </w:rPr>
        <w:br w:type="page"/>
      </w:r>
    </w:p>
    <w:p w14:paraId="31ADDCAE">
      <w:pPr>
        <w:pStyle w:val="138"/>
        <w:tabs>
          <w:tab w:val="left" w:pos="4538"/>
          <w:tab w:val="left" w:pos="5484"/>
          <w:tab w:val="left" w:pos="6427"/>
        </w:tabs>
        <w:spacing w:before="0" w:line="360" w:lineRule="auto"/>
        <w:jc w:val="center"/>
        <w:rPr>
          <w:rFonts w:ascii="Calibri" w:cs="宋体"/>
          <w:color w:val="auto"/>
          <w:szCs w:val="28"/>
          <w:highlight w:val="none"/>
        </w:rPr>
      </w:pPr>
      <w:r>
        <w:rPr>
          <w:rFonts w:hint="eastAsia" w:ascii="Calibri" w:cs="宋体"/>
          <w:color w:val="auto"/>
          <w:szCs w:val="28"/>
          <w:highlight w:val="none"/>
          <w:lang w:val="en-US" w:eastAsia="zh-CN"/>
        </w:rPr>
        <w:t>五</w:t>
      </w:r>
      <w:r>
        <w:rPr>
          <w:rFonts w:hint="eastAsia" w:ascii="Calibri" w:cs="宋体"/>
          <w:color w:val="auto"/>
          <w:szCs w:val="28"/>
          <w:highlight w:val="none"/>
        </w:rPr>
        <w:t>、投标人具备投标资格的证明文件</w:t>
      </w:r>
    </w:p>
    <w:p w14:paraId="32B3A43A">
      <w:pPr>
        <w:wordWrap w:val="0"/>
        <w:spacing w:line="360" w:lineRule="auto"/>
        <w:ind w:firstLine="422" w:firstLineChars="200"/>
        <w:jc w:val="left"/>
        <w:rPr>
          <w:rFonts w:hAnsi="宋体" w:cs="宋体"/>
          <w:b/>
          <w:color w:val="auto"/>
          <w:szCs w:val="21"/>
          <w:highlight w:val="none"/>
        </w:rPr>
      </w:pPr>
    </w:p>
    <w:p w14:paraId="212255C7">
      <w:pPr>
        <w:wordWrap w:val="0"/>
        <w:spacing w:line="360" w:lineRule="auto"/>
        <w:ind w:firstLine="422" w:firstLineChars="200"/>
        <w:jc w:val="left"/>
        <w:rPr>
          <w:rFonts w:hAnsi="宋体" w:cs="宋体"/>
          <w:b/>
          <w:color w:val="auto"/>
          <w:szCs w:val="21"/>
          <w:highlight w:val="none"/>
        </w:rPr>
      </w:pPr>
      <w:r>
        <w:rPr>
          <w:rFonts w:hint="eastAsia" w:hAnsi="宋体" w:cs="宋体"/>
          <w:b/>
          <w:color w:val="auto"/>
          <w:szCs w:val="21"/>
          <w:highlight w:val="none"/>
        </w:rPr>
        <w:t>1、投标人须附下列资格证明文件：</w:t>
      </w:r>
    </w:p>
    <w:p w14:paraId="6C3B323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（1）投标人须为具有独立法人资格的事业单位或企业单位，且营业执照（或事业单位法人证书）处于有效期内，投标人须提供营业执照副本（或事业单位法人证书）复印件；</w:t>
      </w:r>
    </w:p>
    <w:p w14:paraId="0BB0FD20">
      <w:pPr>
        <w:wordWrap w:val="0"/>
        <w:spacing w:line="360" w:lineRule="auto"/>
        <w:ind w:firstLine="420" w:firstLineChars="200"/>
        <w:jc w:val="left"/>
        <w:rPr>
          <w:rFonts w:hint="eastAsia" w:ascii="宋体" w:hAnsi="宋体" w:eastAsia="宋体" w:cs="宋体"/>
          <w:snapToGrid w:val="0"/>
          <w:color w:val="auto"/>
          <w:kern w:val="0"/>
          <w:szCs w:val="21"/>
          <w:highlight w:val="none"/>
          <w:lang w:val="en-US" w:eastAsia="zh-CN"/>
        </w:rPr>
      </w:pPr>
      <w:r>
        <w:rPr>
          <w:rFonts w:hint="eastAsia" w:ascii="宋体" w:hAnsi="宋体" w:eastAsia="宋体" w:cs="宋体"/>
          <w:snapToGrid w:val="0"/>
          <w:color w:val="auto"/>
          <w:kern w:val="0"/>
          <w:szCs w:val="21"/>
          <w:highlight w:val="none"/>
          <w:lang w:val="en-US" w:eastAsia="zh-CN"/>
        </w:rPr>
        <w:t>（2）投标人须提供《食品经营许可证》或《食品生产许可证》且证书在有效期内；投标人须提供《食品经营许可证》或《食品生产许可证》</w:t>
      </w:r>
      <w:r>
        <w:rPr>
          <w:rFonts w:hint="eastAsia" w:ascii="宋体" w:hAnsi="宋体" w:cs="宋体"/>
          <w:snapToGrid w:val="0"/>
          <w:color w:val="auto"/>
          <w:kern w:val="0"/>
          <w:szCs w:val="21"/>
          <w:highlight w:val="none"/>
          <w:lang w:val="en-US" w:eastAsia="zh-CN"/>
        </w:rPr>
        <w:t>；</w:t>
      </w:r>
    </w:p>
    <w:p w14:paraId="3E1F78A6">
      <w:pPr>
        <w:wordWrap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snapToGrid w:val="0"/>
          <w:color w:val="auto"/>
          <w:kern w:val="0"/>
          <w:szCs w:val="21"/>
          <w:highlight w:val="none"/>
          <w:lang w:val="en-US" w:eastAsia="zh-CN"/>
        </w:rPr>
        <w:t>3）入围业绩证明材料，提供合同复印件。</w:t>
      </w:r>
    </w:p>
    <w:p w14:paraId="1357AFC0">
      <w:pPr>
        <w:wordWrap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4</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法定代表人身份证明或授权委托书</w:t>
      </w:r>
      <w:r>
        <w:rPr>
          <w:rFonts w:hint="eastAsia" w:ascii="宋体" w:hAnsi="宋体" w:eastAsia="宋体" w:cs="宋体"/>
          <w:color w:val="000000" w:themeColor="text1"/>
          <w:szCs w:val="21"/>
          <w:highlight w:val="none"/>
          <w:lang w:eastAsia="zh-CN"/>
          <w14:textFill>
            <w14:solidFill>
              <w14:schemeClr w14:val="tx1"/>
            </w14:solidFill>
          </w14:textFill>
        </w:rPr>
        <w:t>复印件</w:t>
      </w:r>
      <w:r>
        <w:rPr>
          <w:rFonts w:hint="eastAsia" w:ascii="宋体" w:hAnsi="宋体" w:eastAsia="宋体" w:cs="宋体"/>
          <w:color w:val="000000" w:themeColor="text1"/>
          <w:szCs w:val="21"/>
          <w:highlight w:val="none"/>
          <w14:textFill>
            <w14:solidFill>
              <w14:schemeClr w14:val="tx1"/>
            </w14:solidFill>
          </w14:textFill>
        </w:rPr>
        <w:t>（法定代表人及委托代理人签字或签章）。法定代表人身份证明或授权委托书应符合第六章“投标文件格式”的要求；</w:t>
      </w:r>
    </w:p>
    <w:p w14:paraId="31477722">
      <w:pPr>
        <w:wordWrap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5</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snapToGrid w:val="0"/>
          <w:color w:val="000000" w:themeColor="text1"/>
          <w:kern w:val="0"/>
          <w:szCs w:val="21"/>
          <w:highlight w:val="none"/>
          <w14:textFill>
            <w14:solidFill>
              <w14:schemeClr w14:val="tx1"/>
            </w14:solidFill>
          </w14:textFill>
        </w:rPr>
        <w:t>投标人</w:t>
      </w:r>
      <w:r>
        <w:rPr>
          <w:rFonts w:hint="eastAsia" w:ascii="宋体" w:hAnsi="宋体" w:eastAsia="宋体" w:cs="宋体"/>
          <w:snapToGrid w:val="0"/>
          <w:color w:val="000000" w:themeColor="text1"/>
          <w:kern w:val="0"/>
          <w:szCs w:val="21"/>
          <w:highlight w:val="none"/>
          <w:lang w:val="en-US" w:eastAsia="zh-CN"/>
          <w14:textFill>
            <w14:solidFill>
              <w14:schemeClr w14:val="tx1"/>
            </w14:solidFill>
          </w14:textFill>
        </w:rPr>
        <w:t>未</w:t>
      </w:r>
      <w:r>
        <w:rPr>
          <w:rFonts w:hint="eastAsia" w:ascii="宋体" w:hAnsi="宋体" w:eastAsia="宋体" w:cs="宋体"/>
          <w:snapToGrid w:val="0"/>
          <w:color w:val="000000" w:themeColor="text1"/>
          <w:kern w:val="0"/>
          <w:szCs w:val="21"/>
          <w:highlight w:val="none"/>
          <w14:textFill>
            <w14:solidFill>
              <w14:schemeClr w14:val="tx1"/>
            </w14:solidFill>
          </w14:textFill>
        </w:rPr>
        <w:t>被“信用中国”网站</w:t>
      </w:r>
      <w:r>
        <w:rPr>
          <w:rFonts w:hint="eastAsia" w:ascii="宋体" w:hAnsi="宋体" w:eastAsia="宋体" w:cs="宋体"/>
          <w:snapToGrid w:val="0"/>
          <w:color w:val="000000" w:themeColor="text1"/>
          <w:kern w:val="0"/>
          <w:szCs w:val="21"/>
          <w:highlight w:val="none"/>
          <w:lang w:eastAsia="zh-CN"/>
          <w14:textFill>
            <w14:solidFill>
              <w14:schemeClr w14:val="tx1"/>
            </w14:solidFill>
          </w14:textFill>
        </w:rPr>
        <w:t>（</w:t>
      </w:r>
      <w:r>
        <w:rPr>
          <w:rFonts w:hint="eastAsia" w:ascii="宋体" w:hAnsi="宋体" w:eastAsia="宋体" w:cs="宋体"/>
          <w:snapToGrid w:val="0"/>
          <w:color w:val="000000" w:themeColor="text1"/>
          <w:kern w:val="0"/>
          <w:szCs w:val="21"/>
          <w:highlight w:val="none"/>
          <w14:textFill>
            <w14:solidFill>
              <w14:schemeClr w14:val="tx1"/>
            </w14:solidFill>
          </w14:textFill>
        </w:rPr>
        <w:t>www.creditchina.gov.cn</w:t>
      </w:r>
      <w:r>
        <w:rPr>
          <w:rFonts w:hint="eastAsia" w:ascii="宋体" w:hAnsi="宋体" w:eastAsia="宋体" w:cs="宋体"/>
          <w:snapToGrid w:val="0"/>
          <w:color w:val="000000" w:themeColor="text1"/>
          <w:kern w:val="0"/>
          <w:szCs w:val="21"/>
          <w:highlight w:val="none"/>
          <w:lang w:eastAsia="zh-CN"/>
          <w14:textFill>
            <w14:solidFill>
              <w14:schemeClr w14:val="tx1"/>
            </w14:solidFill>
          </w14:textFill>
        </w:rPr>
        <w:t>）</w:t>
      </w:r>
      <w:r>
        <w:rPr>
          <w:rFonts w:hint="eastAsia" w:ascii="宋体" w:hAnsi="宋体" w:eastAsia="宋体" w:cs="宋体"/>
          <w:snapToGrid w:val="0"/>
          <w:color w:val="000000" w:themeColor="text1"/>
          <w:kern w:val="0"/>
          <w:szCs w:val="21"/>
          <w:highlight w:val="none"/>
          <w14:textFill>
            <w14:solidFill>
              <w14:schemeClr w14:val="tx1"/>
            </w14:solidFill>
          </w14:textFill>
        </w:rPr>
        <w:t>列入失信被执行人和重大税收违法案件当事人名单</w:t>
      </w:r>
      <w:r>
        <w:rPr>
          <w:rFonts w:hint="eastAsia" w:ascii="宋体" w:hAnsi="宋体" w:eastAsia="宋体" w:cs="宋体"/>
          <w:snapToGrid w:val="0"/>
          <w:color w:val="000000" w:themeColor="text1"/>
          <w:kern w:val="0"/>
          <w:szCs w:val="21"/>
          <w:highlight w:val="none"/>
          <w:lang w:val="en-US" w:eastAsia="zh-CN"/>
          <w14:textFill>
            <w14:solidFill>
              <w14:schemeClr w14:val="tx1"/>
            </w14:solidFill>
          </w14:textFill>
        </w:rPr>
        <w:t>截图</w:t>
      </w:r>
      <w:r>
        <w:rPr>
          <w:rFonts w:hint="eastAsia" w:ascii="宋体" w:hAnsi="宋体" w:eastAsia="宋体" w:cs="宋体"/>
          <w:color w:val="000000" w:themeColor="text1"/>
          <w:szCs w:val="21"/>
          <w:highlight w:val="none"/>
          <w14:textFill>
            <w14:solidFill>
              <w14:schemeClr w14:val="tx1"/>
            </w14:solidFill>
          </w14:textFill>
        </w:rPr>
        <w:t>；</w:t>
      </w:r>
    </w:p>
    <w:p w14:paraId="68442C45">
      <w:pPr>
        <w:wordWrap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6</w:t>
      </w:r>
      <w:r>
        <w:rPr>
          <w:rFonts w:hint="eastAsia" w:ascii="宋体" w:hAnsi="宋体" w:eastAsia="宋体" w:cs="宋体"/>
          <w:color w:val="000000" w:themeColor="text1"/>
          <w:szCs w:val="21"/>
          <w:highlight w:val="none"/>
          <w14:textFill>
            <w14:solidFill>
              <w14:schemeClr w14:val="tx1"/>
            </w14:solidFill>
          </w14:textFill>
        </w:rPr>
        <w:t>）投标人承诺函；</w:t>
      </w:r>
    </w:p>
    <w:p w14:paraId="5530AC2B">
      <w:pPr>
        <w:wordWrap w:val="0"/>
        <w:spacing w:line="360" w:lineRule="auto"/>
        <w:ind w:firstLine="420" w:firstLineChars="200"/>
        <w:jc w:val="left"/>
        <w:rPr>
          <w:rFonts w:hAnsi="宋体" w:cs="宋体"/>
          <w:color w:val="auto"/>
          <w:szCs w:val="21"/>
          <w:highlight w:val="none"/>
        </w:rPr>
      </w:pP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7</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招标文件要求的其他材料。</w:t>
      </w:r>
    </w:p>
    <w:p w14:paraId="5670E884">
      <w:pPr>
        <w:wordWrap w:val="0"/>
        <w:spacing w:line="360" w:lineRule="auto"/>
        <w:ind w:firstLine="422" w:firstLineChars="200"/>
        <w:jc w:val="left"/>
        <w:rPr>
          <w:rFonts w:hAnsi="宋体" w:cs="宋体"/>
          <w:b/>
          <w:bCs/>
          <w:color w:val="auto"/>
          <w:szCs w:val="21"/>
          <w:highlight w:val="none"/>
        </w:rPr>
      </w:pPr>
      <w:r>
        <w:rPr>
          <w:rFonts w:hint="eastAsia" w:hAnsi="宋体" w:cs="宋体"/>
          <w:b/>
          <w:bCs/>
          <w:color w:val="auto"/>
          <w:szCs w:val="21"/>
          <w:highlight w:val="none"/>
        </w:rPr>
        <w:t>以上所有证明文件加盖投标人单位公章。</w:t>
      </w:r>
    </w:p>
    <w:p w14:paraId="697D2B17">
      <w:pPr>
        <w:widowControl/>
        <w:ind w:firstLine="422" w:firstLineChars="200"/>
        <w:jc w:val="left"/>
        <w:rPr>
          <w:rFonts w:hAnsi="宋体" w:cs="宋体"/>
          <w:b/>
          <w:color w:val="auto"/>
          <w:szCs w:val="21"/>
          <w:highlight w:val="none"/>
        </w:rPr>
      </w:pPr>
    </w:p>
    <w:p w14:paraId="514FAAB0">
      <w:pPr>
        <w:widowControl/>
        <w:ind w:firstLine="422" w:firstLineChars="200"/>
        <w:jc w:val="left"/>
        <w:rPr>
          <w:rFonts w:hAnsi="宋体" w:cs="宋体"/>
          <w:b/>
          <w:color w:val="auto"/>
          <w:szCs w:val="21"/>
          <w:highlight w:val="none"/>
        </w:rPr>
      </w:pPr>
      <w:r>
        <w:rPr>
          <w:rFonts w:hint="eastAsia" w:hAnsi="宋体" w:cs="宋体"/>
          <w:b/>
          <w:color w:val="auto"/>
          <w:szCs w:val="21"/>
          <w:highlight w:val="none"/>
        </w:rPr>
        <w:t>2、投标人须附下列文件（不作为资格审查依据）：</w:t>
      </w:r>
    </w:p>
    <w:p w14:paraId="6364B81B">
      <w:pPr>
        <w:wordWrap w:val="0"/>
        <w:spacing w:line="360" w:lineRule="auto"/>
        <w:ind w:firstLine="420" w:firstLineChars="200"/>
        <w:jc w:val="left"/>
        <w:rPr>
          <w:rFonts w:hAnsi="宋体" w:cs="宋体"/>
          <w:color w:val="auto"/>
          <w:szCs w:val="21"/>
          <w:highlight w:val="none"/>
        </w:rPr>
      </w:pPr>
      <w:r>
        <w:rPr>
          <w:rFonts w:hint="eastAsia" w:hAnsi="宋体"/>
          <w:color w:val="auto"/>
          <w:szCs w:val="21"/>
          <w:highlight w:val="none"/>
        </w:rPr>
        <w:t>（1）</w:t>
      </w:r>
      <w:r>
        <w:rPr>
          <w:rFonts w:hint="eastAsia"/>
          <w:color w:val="auto"/>
          <w:szCs w:val="21"/>
          <w:highlight w:val="none"/>
        </w:rPr>
        <w:t>投标人基本情况表</w:t>
      </w:r>
      <w:r>
        <w:rPr>
          <w:rFonts w:hint="eastAsia" w:hAnsi="宋体" w:cs="宋体"/>
          <w:color w:val="auto"/>
          <w:szCs w:val="21"/>
          <w:highlight w:val="none"/>
        </w:rPr>
        <w:t>（格式</w:t>
      </w:r>
      <w:r>
        <w:rPr>
          <w:rFonts w:hint="eastAsia" w:ascii="宋体" w:hAnsi="宋体" w:cs="宋体"/>
          <w:color w:val="auto"/>
          <w:szCs w:val="21"/>
          <w:highlight w:val="none"/>
        </w:rPr>
        <w:t>见附表</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-1）</w:t>
      </w:r>
    </w:p>
    <w:p w14:paraId="33AEE06B">
      <w:pPr>
        <w:wordWrap/>
        <w:spacing w:before="0" w:line="240" w:lineRule="auto"/>
        <w:jc w:val="left"/>
        <w:outlineLvl w:val="9"/>
        <w:rPr>
          <w:rFonts w:hint="eastAsia" w:hAnsi="宋体" w:cs="宋体"/>
          <w:b/>
          <w:color w:val="auto"/>
          <w:sz w:val="28"/>
          <w:szCs w:val="28"/>
          <w:highlight w:val="none"/>
          <w:lang w:eastAsia="zh-CN"/>
        </w:rPr>
      </w:pPr>
      <w:r>
        <w:rPr>
          <w:rFonts w:hint="eastAsia" w:hAnsi="宋体" w:cs="宋体"/>
          <w:b/>
          <w:color w:val="auto"/>
          <w:sz w:val="28"/>
          <w:szCs w:val="28"/>
          <w:highlight w:val="none"/>
          <w:lang w:eastAsia="zh-CN"/>
        </w:rPr>
        <w:br w:type="page"/>
      </w:r>
    </w:p>
    <w:p w14:paraId="4EE39A6D">
      <w:pPr>
        <w:pStyle w:val="2"/>
        <w:wordWrap w:val="0"/>
        <w:spacing w:after="0" w:line="360" w:lineRule="auto"/>
        <w:jc w:val="left"/>
        <w:rPr>
          <w:rFonts w:ascii="宋体" w:hAnsi="宋体" w:cs="宋体"/>
          <w:b/>
          <w:bCs/>
          <w:color w:val="auto"/>
          <w:sz w:val="28"/>
          <w:szCs w:val="28"/>
          <w:highlight w:val="none"/>
        </w:rPr>
      </w:pPr>
      <w:r>
        <w:rPr>
          <w:rFonts w:hint="eastAsia" w:ascii="宋体" w:hAnsi="宋体" w:cs="宋体"/>
          <w:b/>
          <w:bCs/>
          <w:color w:val="auto"/>
          <w:sz w:val="24"/>
          <w:szCs w:val="24"/>
          <w:highlight w:val="none"/>
        </w:rPr>
        <w:t>附表</w:t>
      </w:r>
      <w:r>
        <w:rPr>
          <w:rFonts w:hint="eastAsia" w:ascii="宋体" w:hAnsi="宋体" w:cs="宋体"/>
          <w:b/>
          <w:bCs/>
          <w:color w:val="auto"/>
          <w:sz w:val="24"/>
          <w:szCs w:val="24"/>
          <w:highlight w:val="none"/>
          <w:lang w:val="en-US" w:eastAsia="zh-CN"/>
        </w:rPr>
        <w:t>6</w:t>
      </w:r>
      <w:r>
        <w:rPr>
          <w:rFonts w:hint="eastAsia" w:ascii="宋体" w:hAnsi="宋体" w:cs="宋体"/>
          <w:b/>
          <w:bCs/>
          <w:color w:val="auto"/>
          <w:sz w:val="24"/>
          <w:szCs w:val="24"/>
          <w:highlight w:val="none"/>
        </w:rPr>
        <w:t>-1</w:t>
      </w:r>
    </w:p>
    <w:p w14:paraId="12C86F2A">
      <w:pPr>
        <w:wordWrap w:val="0"/>
        <w:spacing w:line="360" w:lineRule="auto"/>
        <w:jc w:val="center"/>
        <w:rPr>
          <w:rFonts w:hAnsi="宋体"/>
          <w:b/>
          <w:bCs/>
          <w:color w:val="auto"/>
          <w:sz w:val="28"/>
          <w:szCs w:val="28"/>
          <w:highlight w:val="none"/>
        </w:rPr>
      </w:pPr>
      <w:r>
        <w:rPr>
          <w:rFonts w:hint="eastAsia" w:hAnsi="宋体"/>
          <w:b/>
          <w:bCs/>
          <w:color w:val="auto"/>
          <w:sz w:val="28"/>
          <w:szCs w:val="28"/>
          <w:highlight w:val="none"/>
        </w:rPr>
        <w:t>投标人基本情况表</w:t>
      </w:r>
    </w:p>
    <w:tbl>
      <w:tblPr>
        <w:tblStyle w:val="64"/>
        <w:tblW w:w="8932"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
      <w:tblGrid>
        <w:gridCol w:w="2174"/>
        <w:gridCol w:w="944"/>
        <w:gridCol w:w="2410"/>
        <w:gridCol w:w="1135"/>
        <w:gridCol w:w="2269"/>
      </w:tblGrid>
      <w:tr w14:paraId="667EAD8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51" w:hRule="exact"/>
          <w:jc w:val="center"/>
        </w:trPr>
        <w:tc>
          <w:tcPr>
            <w:tcW w:w="2174" w:type="dxa"/>
            <w:tcBorders>
              <w:tl2br w:val="nil"/>
              <w:tr2bl w:val="nil"/>
            </w:tcBorders>
            <w:vAlign w:val="center"/>
          </w:tcPr>
          <w:p w14:paraId="2055302E">
            <w:pPr>
              <w:wordWrap w:val="0"/>
              <w:jc w:val="center"/>
              <w:rPr>
                <w:rFonts w:hAnsi="宋体"/>
                <w:color w:val="auto"/>
                <w:szCs w:val="21"/>
                <w:highlight w:val="none"/>
              </w:rPr>
            </w:pPr>
            <w:r>
              <w:rPr>
                <w:rFonts w:hint="eastAsia" w:hAnsi="宋体"/>
                <w:color w:val="auto"/>
                <w:szCs w:val="21"/>
                <w:highlight w:val="none"/>
              </w:rPr>
              <w:t>投标人名称</w:t>
            </w:r>
          </w:p>
        </w:tc>
        <w:tc>
          <w:tcPr>
            <w:tcW w:w="6758" w:type="dxa"/>
            <w:gridSpan w:val="4"/>
            <w:tcBorders>
              <w:tl2br w:val="nil"/>
              <w:tr2bl w:val="nil"/>
            </w:tcBorders>
            <w:vAlign w:val="center"/>
          </w:tcPr>
          <w:p w14:paraId="3D3CA072">
            <w:pPr>
              <w:wordWrap w:val="0"/>
              <w:jc w:val="center"/>
              <w:rPr>
                <w:rFonts w:hAnsi="宋体"/>
                <w:color w:val="auto"/>
                <w:szCs w:val="21"/>
                <w:highlight w:val="none"/>
              </w:rPr>
            </w:pPr>
          </w:p>
        </w:tc>
      </w:tr>
      <w:tr w14:paraId="33620B8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49" w:hRule="exact"/>
          <w:jc w:val="center"/>
        </w:trPr>
        <w:tc>
          <w:tcPr>
            <w:tcW w:w="2174" w:type="dxa"/>
            <w:tcBorders>
              <w:tl2br w:val="nil"/>
              <w:tr2bl w:val="nil"/>
            </w:tcBorders>
            <w:vAlign w:val="center"/>
          </w:tcPr>
          <w:p w14:paraId="07CCE3F0">
            <w:pPr>
              <w:wordWrap w:val="0"/>
              <w:jc w:val="center"/>
              <w:rPr>
                <w:rFonts w:hAnsi="宋体"/>
                <w:color w:val="auto"/>
                <w:szCs w:val="21"/>
                <w:highlight w:val="none"/>
              </w:rPr>
            </w:pPr>
            <w:r>
              <w:rPr>
                <w:rFonts w:hint="eastAsia" w:hAnsi="宋体"/>
                <w:color w:val="auto"/>
                <w:szCs w:val="21"/>
                <w:highlight w:val="none"/>
              </w:rPr>
              <w:t>注册资金</w:t>
            </w:r>
          </w:p>
        </w:tc>
        <w:tc>
          <w:tcPr>
            <w:tcW w:w="3354" w:type="dxa"/>
            <w:gridSpan w:val="2"/>
            <w:tcBorders>
              <w:tl2br w:val="nil"/>
              <w:tr2bl w:val="nil"/>
            </w:tcBorders>
            <w:vAlign w:val="center"/>
          </w:tcPr>
          <w:p w14:paraId="62D4D89C">
            <w:pPr>
              <w:wordWrap w:val="0"/>
              <w:jc w:val="center"/>
              <w:rPr>
                <w:rFonts w:hAnsi="宋体"/>
                <w:color w:val="auto"/>
                <w:szCs w:val="21"/>
                <w:highlight w:val="none"/>
              </w:rPr>
            </w:pPr>
          </w:p>
        </w:tc>
        <w:tc>
          <w:tcPr>
            <w:tcW w:w="1135" w:type="dxa"/>
            <w:tcBorders>
              <w:tl2br w:val="nil"/>
              <w:tr2bl w:val="nil"/>
            </w:tcBorders>
            <w:vAlign w:val="center"/>
          </w:tcPr>
          <w:p w14:paraId="20B96D5C">
            <w:pPr>
              <w:wordWrap w:val="0"/>
              <w:jc w:val="center"/>
              <w:rPr>
                <w:rFonts w:hAnsi="宋体"/>
                <w:color w:val="auto"/>
                <w:szCs w:val="21"/>
                <w:highlight w:val="none"/>
              </w:rPr>
            </w:pPr>
            <w:r>
              <w:rPr>
                <w:rFonts w:hint="eastAsia" w:hAnsi="宋体"/>
                <w:color w:val="auto"/>
                <w:szCs w:val="21"/>
                <w:highlight w:val="none"/>
              </w:rPr>
              <w:t>成立时间</w:t>
            </w:r>
          </w:p>
        </w:tc>
        <w:tc>
          <w:tcPr>
            <w:tcW w:w="2269" w:type="dxa"/>
            <w:tcBorders>
              <w:tl2br w:val="nil"/>
              <w:tr2bl w:val="nil"/>
            </w:tcBorders>
            <w:vAlign w:val="center"/>
          </w:tcPr>
          <w:p w14:paraId="3F856C50">
            <w:pPr>
              <w:wordWrap w:val="0"/>
              <w:jc w:val="center"/>
              <w:rPr>
                <w:rFonts w:hAnsi="宋体"/>
                <w:color w:val="auto"/>
                <w:szCs w:val="21"/>
                <w:highlight w:val="none"/>
              </w:rPr>
            </w:pPr>
          </w:p>
        </w:tc>
      </w:tr>
      <w:tr w14:paraId="04D1267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51" w:hRule="exact"/>
          <w:jc w:val="center"/>
        </w:trPr>
        <w:tc>
          <w:tcPr>
            <w:tcW w:w="2174" w:type="dxa"/>
            <w:tcBorders>
              <w:tl2br w:val="nil"/>
              <w:tr2bl w:val="nil"/>
            </w:tcBorders>
            <w:vAlign w:val="center"/>
          </w:tcPr>
          <w:p w14:paraId="7D113191">
            <w:pPr>
              <w:wordWrap w:val="0"/>
              <w:jc w:val="center"/>
              <w:rPr>
                <w:rFonts w:hAnsi="宋体"/>
                <w:color w:val="auto"/>
                <w:szCs w:val="21"/>
                <w:highlight w:val="none"/>
              </w:rPr>
            </w:pPr>
            <w:r>
              <w:rPr>
                <w:rFonts w:hint="eastAsia" w:hAnsi="宋体"/>
                <w:color w:val="auto"/>
                <w:szCs w:val="21"/>
                <w:highlight w:val="none"/>
              </w:rPr>
              <w:t>注册地址</w:t>
            </w:r>
          </w:p>
        </w:tc>
        <w:tc>
          <w:tcPr>
            <w:tcW w:w="6758" w:type="dxa"/>
            <w:gridSpan w:val="4"/>
            <w:tcBorders>
              <w:tl2br w:val="nil"/>
              <w:tr2bl w:val="nil"/>
            </w:tcBorders>
            <w:vAlign w:val="center"/>
          </w:tcPr>
          <w:p w14:paraId="3A4F5F76">
            <w:pPr>
              <w:wordWrap w:val="0"/>
              <w:jc w:val="center"/>
              <w:rPr>
                <w:rFonts w:hAnsi="宋体"/>
                <w:color w:val="auto"/>
                <w:szCs w:val="21"/>
                <w:highlight w:val="none"/>
              </w:rPr>
            </w:pPr>
          </w:p>
        </w:tc>
      </w:tr>
      <w:tr w14:paraId="5488168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49" w:hRule="exact"/>
          <w:jc w:val="center"/>
        </w:trPr>
        <w:tc>
          <w:tcPr>
            <w:tcW w:w="2174" w:type="dxa"/>
            <w:tcBorders>
              <w:tl2br w:val="nil"/>
              <w:tr2bl w:val="nil"/>
            </w:tcBorders>
            <w:vAlign w:val="center"/>
          </w:tcPr>
          <w:p w14:paraId="4E867A07">
            <w:pPr>
              <w:wordWrap w:val="0"/>
              <w:jc w:val="center"/>
              <w:rPr>
                <w:rFonts w:hAnsi="宋体"/>
                <w:color w:val="auto"/>
                <w:szCs w:val="21"/>
                <w:highlight w:val="none"/>
              </w:rPr>
            </w:pPr>
            <w:r>
              <w:rPr>
                <w:rFonts w:hint="eastAsia" w:hAnsi="宋体"/>
                <w:color w:val="auto"/>
                <w:szCs w:val="21"/>
                <w:highlight w:val="none"/>
              </w:rPr>
              <w:t>邮政编码</w:t>
            </w:r>
          </w:p>
        </w:tc>
        <w:tc>
          <w:tcPr>
            <w:tcW w:w="3354" w:type="dxa"/>
            <w:gridSpan w:val="2"/>
            <w:tcBorders>
              <w:tl2br w:val="nil"/>
              <w:tr2bl w:val="nil"/>
            </w:tcBorders>
            <w:vAlign w:val="center"/>
          </w:tcPr>
          <w:p w14:paraId="0621FAB1">
            <w:pPr>
              <w:wordWrap w:val="0"/>
              <w:jc w:val="center"/>
              <w:rPr>
                <w:rFonts w:hAnsi="宋体"/>
                <w:color w:val="auto"/>
                <w:szCs w:val="21"/>
                <w:highlight w:val="none"/>
              </w:rPr>
            </w:pPr>
          </w:p>
        </w:tc>
        <w:tc>
          <w:tcPr>
            <w:tcW w:w="1135" w:type="dxa"/>
            <w:tcBorders>
              <w:tl2br w:val="nil"/>
              <w:tr2bl w:val="nil"/>
            </w:tcBorders>
            <w:vAlign w:val="center"/>
          </w:tcPr>
          <w:p w14:paraId="0CC789E3">
            <w:pPr>
              <w:wordWrap w:val="0"/>
              <w:jc w:val="center"/>
              <w:rPr>
                <w:rFonts w:hAnsi="宋体"/>
                <w:color w:val="auto"/>
                <w:szCs w:val="21"/>
                <w:highlight w:val="none"/>
              </w:rPr>
            </w:pPr>
            <w:r>
              <w:rPr>
                <w:rFonts w:hint="eastAsia" w:hAnsi="宋体"/>
                <w:color w:val="auto"/>
                <w:szCs w:val="21"/>
                <w:highlight w:val="none"/>
              </w:rPr>
              <w:t>员工总数</w:t>
            </w:r>
          </w:p>
        </w:tc>
        <w:tc>
          <w:tcPr>
            <w:tcW w:w="2269" w:type="dxa"/>
            <w:tcBorders>
              <w:tl2br w:val="nil"/>
              <w:tr2bl w:val="nil"/>
            </w:tcBorders>
            <w:vAlign w:val="center"/>
          </w:tcPr>
          <w:p w14:paraId="7DD417AA">
            <w:pPr>
              <w:wordWrap w:val="0"/>
              <w:jc w:val="center"/>
              <w:rPr>
                <w:rFonts w:hAnsi="宋体"/>
                <w:color w:val="auto"/>
                <w:szCs w:val="21"/>
                <w:highlight w:val="none"/>
              </w:rPr>
            </w:pPr>
          </w:p>
        </w:tc>
      </w:tr>
      <w:tr w14:paraId="7E34C59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51" w:hRule="exact"/>
          <w:jc w:val="center"/>
        </w:trPr>
        <w:tc>
          <w:tcPr>
            <w:tcW w:w="2174" w:type="dxa"/>
            <w:vMerge w:val="restart"/>
            <w:tcBorders>
              <w:tl2br w:val="nil"/>
              <w:tr2bl w:val="nil"/>
            </w:tcBorders>
            <w:vAlign w:val="center"/>
          </w:tcPr>
          <w:p w14:paraId="037C646D">
            <w:pPr>
              <w:wordWrap w:val="0"/>
              <w:jc w:val="center"/>
              <w:rPr>
                <w:rFonts w:hAnsi="宋体"/>
                <w:color w:val="auto"/>
                <w:szCs w:val="21"/>
                <w:highlight w:val="none"/>
              </w:rPr>
            </w:pPr>
            <w:r>
              <w:rPr>
                <w:rFonts w:hint="eastAsia" w:hAnsi="宋体"/>
                <w:color w:val="auto"/>
                <w:szCs w:val="21"/>
                <w:highlight w:val="none"/>
              </w:rPr>
              <w:t>联系方式</w:t>
            </w:r>
          </w:p>
        </w:tc>
        <w:tc>
          <w:tcPr>
            <w:tcW w:w="944" w:type="dxa"/>
            <w:tcBorders>
              <w:tl2br w:val="nil"/>
              <w:tr2bl w:val="nil"/>
            </w:tcBorders>
            <w:vAlign w:val="center"/>
          </w:tcPr>
          <w:p w14:paraId="3C546DDB">
            <w:pPr>
              <w:wordWrap w:val="0"/>
              <w:jc w:val="center"/>
              <w:rPr>
                <w:rFonts w:hAnsi="宋体"/>
                <w:color w:val="auto"/>
                <w:szCs w:val="21"/>
                <w:highlight w:val="none"/>
              </w:rPr>
            </w:pPr>
            <w:r>
              <w:rPr>
                <w:rFonts w:hint="eastAsia" w:hAnsi="宋体"/>
                <w:color w:val="auto"/>
                <w:szCs w:val="21"/>
                <w:highlight w:val="none"/>
              </w:rPr>
              <w:t>联系人</w:t>
            </w:r>
          </w:p>
        </w:tc>
        <w:tc>
          <w:tcPr>
            <w:tcW w:w="2410" w:type="dxa"/>
            <w:tcBorders>
              <w:tl2br w:val="nil"/>
              <w:tr2bl w:val="nil"/>
            </w:tcBorders>
            <w:vAlign w:val="center"/>
          </w:tcPr>
          <w:p w14:paraId="6A789A6F">
            <w:pPr>
              <w:wordWrap w:val="0"/>
              <w:jc w:val="center"/>
              <w:rPr>
                <w:rFonts w:hAnsi="宋体"/>
                <w:color w:val="auto"/>
                <w:szCs w:val="21"/>
                <w:highlight w:val="none"/>
              </w:rPr>
            </w:pPr>
          </w:p>
        </w:tc>
        <w:tc>
          <w:tcPr>
            <w:tcW w:w="1135" w:type="dxa"/>
            <w:tcBorders>
              <w:tl2br w:val="nil"/>
              <w:tr2bl w:val="nil"/>
            </w:tcBorders>
            <w:vAlign w:val="center"/>
          </w:tcPr>
          <w:p w14:paraId="2BDAD0DA">
            <w:pPr>
              <w:wordWrap w:val="0"/>
              <w:jc w:val="center"/>
              <w:rPr>
                <w:rFonts w:hAnsi="宋体"/>
                <w:color w:val="auto"/>
                <w:szCs w:val="21"/>
                <w:highlight w:val="none"/>
              </w:rPr>
            </w:pPr>
            <w:r>
              <w:rPr>
                <w:rFonts w:hint="eastAsia" w:hAnsi="宋体"/>
                <w:color w:val="auto"/>
                <w:szCs w:val="21"/>
                <w:highlight w:val="none"/>
              </w:rPr>
              <w:t>电话</w:t>
            </w:r>
          </w:p>
        </w:tc>
        <w:tc>
          <w:tcPr>
            <w:tcW w:w="2269" w:type="dxa"/>
            <w:tcBorders>
              <w:tl2br w:val="nil"/>
              <w:tr2bl w:val="nil"/>
            </w:tcBorders>
            <w:vAlign w:val="center"/>
          </w:tcPr>
          <w:p w14:paraId="01827185">
            <w:pPr>
              <w:wordWrap w:val="0"/>
              <w:jc w:val="center"/>
              <w:rPr>
                <w:rFonts w:hAnsi="宋体"/>
                <w:color w:val="auto"/>
                <w:szCs w:val="21"/>
                <w:highlight w:val="none"/>
              </w:rPr>
            </w:pPr>
          </w:p>
        </w:tc>
      </w:tr>
      <w:tr w14:paraId="682DEDF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49" w:hRule="exact"/>
          <w:jc w:val="center"/>
        </w:trPr>
        <w:tc>
          <w:tcPr>
            <w:tcW w:w="2174" w:type="dxa"/>
            <w:vMerge w:val="continue"/>
            <w:tcBorders>
              <w:tl2br w:val="nil"/>
              <w:tr2bl w:val="nil"/>
            </w:tcBorders>
            <w:vAlign w:val="center"/>
          </w:tcPr>
          <w:p w14:paraId="302DB64F">
            <w:pPr>
              <w:wordWrap w:val="0"/>
              <w:jc w:val="center"/>
              <w:rPr>
                <w:rFonts w:hAnsi="宋体"/>
                <w:color w:val="auto"/>
                <w:szCs w:val="21"/>
                <w:highlight w:val="none"/>
              </w:rPr>
            </w:pPr>
          </w:p>
        </w:tc>
        <w:tc>
          <w:tcPr>
            <w:tcW w:w="944" w:type="dxa"/>
            <w:tcBorders>
              <w:tl2br w:val="nil"/>
              <w:tr2bl w:val="nil"/>
            </w:tcBorders>
            <w:vAlign w:val="center"/>
          </w:tcPr>
          <w:p w14:paraId="0DBE100A">
            <w:pPr>
              <w:wordWrap w:val="0"/>
              <w:jc w:val="center"/>
              <w:rPr>
                <w:rFonts w:hAnsi="宋体"/>
                <w:color w:val="auto"/>
                <w:szCs w:val="21"/>
                <w:highlight w:val="none"/>
              </w:rPr>
            </w:pPr>
            <w:r>
              <w:rPr>
                <w:rFonts w:hint="eastAsia" w:hAnsi="宋体"/>
                <w:color w:val="auto"/>
                <w:szCs w:val="21"/>
                <w:highlight w:val="none"/>
              </w:rPr>
              <w:t>网址</w:t>
            </w:r>
          </w:p>
        </w:tc>
        <w:tc>
          <w:tcPr>
            <w:tcW w:w="2410" w:type="dxa"/>
            <w:tcBorders>
              <w:tl2br w:val="nil"/>
              <w:tr2bl w:val="nil"/>
            </w:tcBorders>
            <w:vAlign w:val="center"/>
          </w:tcPr>
          <w:p w14:paraId="7A5E238A">
            <w:pPr>
              <w:wordWrap w:val="0"/>
              <w:jc w:val="center"/>
              <w:rPr>
                <w:rFonts w:hAnsi="宋体"/>
                <w:color w:val="auto"/>
                <w:szCs w:val="21"/>
                <w:highlight w:val="none"/>
              </w:rPr>
            </w:pPr>
          </w:p>
        </w:tc>
        <w:tc>
          <w:tcPr>
            <w:tcW w:w="1135" w:type="dxa"/>
            <w:tcBorders>
              <w:tl2br w:val="nil"/>
              <w:tr2bl w:val="nil"/>
            </w:tcBorders>
            <w:vAlign w:val="center"/>
          </w:tcPr>
          <w:p w14:paraId="0C30D3B4">
            <w:pPr>
              <w:wordWrap w:val="0"/>
              <w:jc w:val="center"/>
              <w:rPr>
                <w:rFonts w:hAnsi="宋体"/>
                <w:color w:val="auto"/>
                <w:szCs w:val="21"/>
                <w:highlight w:val="none"/>
              </w:rPr>
            </w:pPr>
            <w:r>
              <w:rPr>
                <w:rFonts w:hint="eastAsia" w:hAnsi="宋体"/>
                <w:color w:val="auto"/>
                <w:szCs w:val="21"/>
                <w:highlight w:val="none"/>
              </w:rPr>
              <w:t>传真</w:t>
            </w:r>
          </w:p>
        </w:tc>
        <w:tc>
          <w:tcPr>
            <w:tcW w:w="2269" w:type="dxa"/>
            <w:tcBorders>
              <w:tl2br w:val="nil"/>
              <w:tr2bl w:val="nil"/>
            </w:tcBorders>
            <w:vAlign w:val="center"/>
          </w:tcPr>
          <w:p w14:paraId="6EDE7EF4">
            <w:pPr>
              <w:wordWrap w:val="0"/>
              <w:jc w:val="center"/>
              <w:rPr>
                <w:rFonts w:hAnsi="宋体"/>
                <w:color w:val="auto"/>
                <w:szCs w:val="21"/>
                <w:highlight w:val="none"/>
              </w:rPr>
            </w:pPr>
          </w:p>
        </w:tc>
      </w:tr>
      <w:tr w14:paraId="5C7EDF2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890" w:hRule="exact"/>
          <w:jc w:val="center"/>
        </w:trPr>
        <w:tc>
          <w:tcPr>
            <w:tcW w:w="2174" w:type="dxa"/>
            <w:tcBorders>
              <w:tl2br w:val="nil"/>
              <w:tr2bl w:val="nil"/>
            </w:tcBorders>
            <w:vAlign w:val="center"/>
          </w:tcPr>
          <w:p w14:paraId="32AE0B03">
            <w:pPr>
              <w:wordWrap w:val="0"/>
              <w:jc w:val="center"/>
              <w:rPr>
                <w:rFonts w:hAnsi="宋体"/>
                <w:color w:val="auto"/>
                <w:szCs w:val="21"/>
                <w:highlight w:val="none"/>
              </w:rPr>
            </w:pPr>
            <w:r>
              <w:rPr>
                <w:rFonts w:hint="eastAsia" w:hAnsi="宋体"/>
                <w:color w:val="auto"/>
                <w:szCs w:val="21"/>
                <w:highlight w:val="none"/>
              </w:rPr>
              <w:t>法定代表人</w:t>
            </w:r>
            <w:r>
              <w:rPr>
                <w:rFonts w:hint="eastAsia" w:ascii="宋体" w:hAnsi="宋体" w:cs="宋体"/>
                <w:iCs/>
                <w:color w:val="auto"/>
                <w:szCs w:val="21"/>
                <w:highlight w:val="none"/>
              </w:rPr>
              <w:t>/负责人</w:t>
            </w:r>
          </w:p>
        </w:tc>
        <w:tc>
          <w:tcPr>
            <w:tcW w:w="944" w:type="dxa"/>
            <w:tcBorders>
              <w:tl2br w:val="nil"/>
              <w:tr2bl w:val="nil"/>
            </w:tcBorders>
            <w:vAlign w:val="center"/>
          </w:tcPr>
          <w:p w14:paraId="5DE17AD9">
            <w:pPr>
              <w:wordWrap w:val="0"/>
              <w:jc w:val="center"/>
              <w:rPr>
                <w:rFonts w:hAnsi="宋体"/>
                <w:color w:val="auto"/>
                <w:szCs w:val="21"/>
                <w:highlight w:val="none"/>
              </w:rPr>
            </w:pPr>
            <w:r>
              <w:rPr>
                <w:rFonts w:hint="eastAsia" w:hAnsi="宋体"/>
                <w:color w:val="auto"/>
                <w:szCs w:val="21"/>
                <w:highlight w:val="none"/>
              </w:rPr>
              <w:t>姓名</w:t>
            </w:r>
          </w:p>
        </w:tc>
        <w:tc>
          <w:tcPr>
            <w:tcW w:w="2410" w:type="dxa"/>
            <w:tcBorders>
              <w:tl2br w:val="nil"/>
              <w:tr2bl w:val="nil"/>
            </w:tcBorders>
            <w:vAlign w:val="center"/>
          </w:tcPr>
          <w:p w14:paraId="69B84630">
            <w:pPr>
              <w:wordWrap w:val="0"/>
              <w:jc w:val="center"/>
              <w:rPr>
                <w:rFonts w:hAnsi="宋体"/>
                <w:color w:val="auto"/>
                <w:szCs w:val="21"/>
                <w:highlight w:val="none"/>
              </w:rPr>
            </w:pPr>
          </w:p>
        </w:tc>
        <w:tc>
          <w:tcPr>
            <w:tcW w:w="1135" w:type="dxa"/>
            <w:tcBorders>
              <w:tl2br w:val="nil"/>
              <w:tr2bl w:val="nil"/>
            </w:tcBorders>
            <w:vAlign w:val="center"/>
          </w:tcPr>
          <w:p w14:paraId="0510DF82">
            <w:pPr>
              <w:wordWrap w:val="0"/>
              <w:jc w:val="center"/>
              <w:rPr>
                <w:rFonts w:hAnsi="宋体"/>
                <w:color w:val="auto"/>
                <w:szCs w:val="21"/>
                <w:highlight w:val="none"/>
              </w:rPr>
            </w:pPr>
            <w:r>
              <w:rPr>
                <w:rFonts w:hint="eastAsia" w:hAnsi="宋体"/>
                <w:color w:val="auto"/>
                <w:szCs w:val="21"/>
                <w:highlight w:val="none"/>
              </w:rPr>
              <w:t>电话</w:t>
            </w:r>
          </w:p>
        </w:tc>
        <w:tc>
          <w:tcPr>
            <w:tcW w:w="2269" w:type="dxa"/>
            <w:tcBorders>
              <w:tl2br w:val="nil"/>
              <w:tr2bl w:val="nil"/>
            </w:tcBorders>
            <w:vAlign w:val="center"/>
          </w:tcPr>
          <w:p w14:paraId="7699417D">
            <w:pPr>
              <w:wordWrap w:val="0"/>
              <w:jc w:val="center"/>
              <w:rPr>
                <w:rFonts w:hAnsi="宋体"/>
                <w:color w:val="auto"/>
                <w:szCs w:val="21"/>
                <w:highlight w:val="none"/>
              </w:rPr>
            </w:pPr>
          </w:p>
        </w:tc>
      </w:tr>
      <w:tr w14:paraId="74C8A3E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51" w:hRule="exact"/>
          <w:jc w:val="center"/>
        </w:trPr>
        <w:tc>
          <w:tcPr>
            <w:tcW w:w="2174" w:type="dxa"/>
            <w:tcBorders>
              <w:tl2br w:val="nil"/>
              <w:tr2bl w:val="nil"/>
            </w:tcBorders>
            <w:vAlign w:val="center"/>
          </w:tcPr>
          <w:p w14:paraId="225537AF">
            <w:pPr>
              <w:wordWrap w:val="0"/>
              <w:jc w:val="center"/>
              <w:rPr>
                <w:rFonts w:hAnsi="宋体"/>
                <w:color w:val="auto"/>
                <w:szCs w:val="21"/>
                <w:highlight w:val="none"/>
              </w:rPr>
            </w:pPr>
            <w:r>
              <w:rPr>
                <w:rFonts w:hint="eastAsia" w:hAnsi="宋体"/>
                <w:color w:val="auto"/>
                <w:szCs w:val="21"/>
                <w:highlight w:val="none"/>
              </w:rPr>
              <w:t>基本账户开户银行</w:t>
            </w:r>
          </w:p>
        </w:tc>
        <w:tc>
          <w:tcPr>
            <w:tcW w:w="6758" w:type="dxa"/>
            <w:gridSpan w:val="4"/>
            <w:tcBorders>
              <w:tl2br w:val="nil"/>
              <w:tr2bl w:val="nil"/>
            </w:tcBorders>
            <w:vAlign w:val="center"/>
          </w:tcPr>
          <w:p w14:paraId="133E6205">
            <w:pPr>
              <w:wordWrap w:val="0"/>
              <w:jc w:val="center"/>
              <w:rPr>
                <w:rFonts w:hAnsi="宋体"/>
                <w:color w:val="auto"/>
                <w:szCs w:val="21"/>
                <w:highlight w:val="none"/>
              </w:rPr>
            </w:pPr>
          </w:p>
        </w:tc>
      </w:tr>
      <w:tr w14:paraId="32A99C2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49" w:hRule="exact"/>
          <w:jc w:val="center"/>
        </w:trPr>
        <w:tc>
          <w:tcPr>
            <w:tcW w:w="2174" w:type="dxa"/>
            <w:tcBorders>
              <w:tl2br w:val="nil"/>
              <w:tr2bl w:val="nil"/>
            </w:tcBorders>
            <w:vAlign w:val="center"/>
          </w:tcPr>
          <w:p w14:paraId="3AE29EFD">
            <w:pPr>
              <w:wordWrap w:val="0"/>
              <w:jc w:val="center"/>
              <w:rPr>
                <w:rFonts w:hAnsi="宋体"/>
                <w:color w:val="auto"/>
                <w:szCs w:val="21"/>
                <w:highlight w:val="none"/>
              </w:rPr>
            </w:pPr>
            <w:r>
              <w:rPr>
                <w:rFonts w:hint="eastAsia" w:hAnsi="宋体"/>
                <w:color w:val="auto"/>
                <w:szCs w:val="21"/>
                <w:highlight w:val="none"/>
              </w:rPr>
              <w:t>基本账户银行账号</w:t>
            </w:r>
          </w:p>
        </w:tc>
        <w:tc>
          <w:tcPr>
            <w:tcW w:w="6758" w:type="dxa"/>
            <w:gridSpan w:val="4"/>
            <w:tcBorders>
              <w:tl2br w:val="nil"/>
              <w:tr2bl w:val="nil"/>
            </w:tcBorders>
            <w:vAlign w:val="center"/>
          </w:tcPr>
          <w:p w14:paraId="35E27679">
            <w:pPr>
              <w:wordWrap w:val="0"/>
              <w:jc w:val="center"/>
              <w:rPr>
                <w:rFonts w:hAnsi="宋体"/>
                <w:color w:val="auto"/>
                <w:szCs w:val="21"/>
                <w:highlight w:val="none"/>
              </w:rPr>
            </w:pPr>
          </w:p>
        </w:tc>
      </w:tr>
      <w:tr w14:paraId="48D54D3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51" w:hRule="exact"/>
          <w:jc w:val="center"/>
        </w:trPr>
        <w:tc>
          <w:tcPr>
            <w:tcW w:w="2174" w:type="dxa"/>
            <w:tcBorders>
              <w:tl2br w:val="nil"/>
              <w:tr2bl w:val="nil"/>
            </w:tcBorders>
            <w:vAlign w:val="center"/>
          </w:tcPr>
          <w:p w14:paraId="2821C7C8">
            <w:pPr>
              <w:wordWrap w:val="0"/>
              <w:jc w:val="center"/>
              <w:rPr>
                <w:rFonts w:hAnsi="宋体"/>
                <w:color w:val="auto"/>
                <w:szCs w:val="21"/>
                <w:highlight w:val="none"/>
              </w:rPr>
            </w:pPr>
            <w:r>
              <w:rPr>
                <w:rFonts w:hint="eastAsia" w:hAnsi="宋体"/>
                <w:color w:val="auto"/>
                <w:szCs w:val="21"/>
                <w:highlight w:val="none"/>
              </w:rPr>
              <w:t>近三年营业额</w:t>
            </w:r>
          </w:p>
        </w:tc>
        <w:tc>
          <w:tcPr>
            <w:tcW w:w="6758" w:type="dxa"/>
            <w:gridSpan w:val="4"/>
            <w:tcBorders>
              <w:tl2br w:val="nil"/>
              <w:tr2bl w:val="nil"/>
            </w:tcBorders>
            <w:vAlign w:val="center"/>
          </w:tcPr>
          <w:p w14:paraId="035CBB17">
            <w:pPr>
              <w:wordWrap w:val="0"/>
              <w:jc w:val="center"/>
              <w:rPr>
                <w:rFonts w:hAnsi="宋体"/>
                <w:color w:val="auto"/>
                <w:szCs w:val="21"/>
                <w:highlight w:val="none"/>
              </w:rPr>
            </w:pPr>
          </w:p>
        </w:tc>
      </w:tr>
      <w:tr w14:paraId="3DAC69B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650" w:hRule="exact"/>
          <w:jc w:val="center"/>
        </w:trPr>
        <w:tc>
          <w:tcPr>
            <w:tcW w:w="2174" w:type="dxa"/>
            <w:tcBorders>
              <w:tl2br w:val="nil"/>
              <w:tr2bl w:val="nil"/>
            </w:tcBorders>
            <w:vAlign w:val="center"/>
          </w:tcPr>
          <w:p w14:paraId="184DF7A5">
            <w:pPr>
              <w:wordWrap w:val="0"/>
              <w:jc w:val="center"/>
              <w:rPr>
                <w:rFonts w:hAnsi="宋体"/>
                <w:color w:val="auto"/>
                <w:szCs w:val="21"/>
                <w:highlight w:val="none"/>
              </w:rPr>
            </w:pPr>
            <w:r>
              <w:rPr>
                <w:rFonts w:hint="eastAsia" w:hAnsi="宋体"/>
                <w:color w:val="auto"/>
                <w:szCs w:val="21"/>
                <w:highlight w:val="none"/>
              </w:rPr>
              <w:t>投标人关联企业情况</w:t>
            </w:r>
          </w:p>
          <w:p w14:paraId="7E553D2F">
            <w:pPr>
              <w:wordWrap w:val="0"/>
              <w:jc w:val="center"/>
              <w:rPr>
                <w:rFonts w:hAnsi="宋体"/>
                <w:color w:val="auto"/>
                <w:szCs w:val="21"/>
                <w:highlight w:val="none"/>
              </w:rPr>
            </w:pPr>
            <w:r>
              <w:rPr>
                <w:rFonts w:hint="eastAsia" w:hAnsi="宋体"/>
                <w:color w:val="auto"/>
                <w:szCs w:val="21"/>
                <w:highlight w:val="none"/>
              </w:rPr>
              <w:t>（包括但不限于与投</w:t>
            </w:r>
            <w:r>
              <w:rPr>
                <w:rFonts w:hAnsi="宋体"/>
                <w:color w:val="auto"/>
                <w:szCs w:val="21"/>
                <w:highlight w:val="none"/>
              </w:rPr>
              <w:t xml:space="preserve"> </w:t>
            </w:r>
            <w:r>
              <w:rPr>
                <w:rFonts w:hint="eastAsia" w:hAnsi="宋体"/>
                <w:color w:val="auto"/>
                <w:szCs w:val="21"/>
                <w:highlight w:val="none"/>
              </w:rPr>
              <w:t>标人法定代表人为同一人或者存在控股、管理关系的不同单位）</w:t>
            </w:r>
          </w:p>
        </w:tc>
        <w:tc>
          <w:tcPr>
            <w:tcW w:w="6758" w:type="dxa"/>
            <w:gridSpan w:val="4"/>
            <w:tcBorders>
              <w:tl2br w:val="nil"/>
              <w:tr2bl w:val="nil"/>
            </w:tcBorders>
            <w:vAlign w:val="center"/>
          </w:tcPr>
          <w:p w14:paraId="463D7479">
            <w:pPr>
              <w:wordWrap w:val="0"/>
              <w:jc w:val="center"/>
              <w:rPr>
                <w:rFonts w:hAnsi="宋体"/>
                <w:color w:val="auto"/>
                <w:szCs w:val="21"/>
                <w:highlight w:val="none"/>
              </w:rPr>
            </w:pPr>
          </w:p>
        </w:tc>
      </w:tr>
      <w:tr w14:paraId="4531024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811" w:hRule="exact"/>
          <w:jc w:val="center"/>
        </w:trPr>
        <w:tc>
          <w:tcPr>
            <w:tcW w:w="2174" w:type="dxa"/>
            <w:tcBorders>
              <w:tl2br w:val="nil"/>
              <w:tr2bl w:val="nil"/>
            </w:tcBorders>
            <w:vAlign w:val="center"/>
          </w:tcPr>
          <w:p w14:paraId="71F75AA3">
            <w:pPr>
              <w:wordWrap w:val="0"/>
              <w:jc w:val="center"/>
              <w:rPr>
                <w:rFonts w:hAnsi="宋体"/>
                <w:color w:val="auto"/>
                <w:szCs w:val="21"/>
                <w:highlight w:val="none"/>
              </w:rPr>
            </w:pPr>
            <w:r>
              <w:rPr>
                <w:rFonts w:hint="eastAsia" w:hAnsi="宋体"/>
                <w:color w:val="auto"/>
                <w:szCs w:val="21"/>
                <w:highlight w:val="none"/>
              </w:rPr>
              <w:t>备注</w:t>
            </w:r>
          </w:p>
        </w:tc>
        <w:tc>
          <w:tcPr>
            <w:tcW w:w="6758" w:type="dxa"/>
            <w:gridSpan w:val="4"/>
            <w:tcBorders>
              <w:tl2br w:val="nil"/>
              <w:tr2bl w:val="nil"/>
            </w:tcBorders>
            <w:vAlign w:val="center"/>
          </w:tcPr>
          <w:p w14:paraId="1AEC9E35">
            <w:pPr>
              <w:wordWrap w:val="0"/>
              <w:jc w:val="center"/>
              <w:rPr>
                <w:rFonts w:hAnsi="宋体"/>
                <w:color w:val="auto"/>
                <w:szCs w:val="21"/>
                <w:highlight w:val="none"/>
              </w:rPr>
            </w:pPr>
          </w:p>
        </w:tc>
      </w:tr>
    </w:tbl>
    <w:p w14:paraId="647BE5BB">
      <w:pPr>
        <w:wordWrap/>
        <w:spacing w:before="0" w:line="240" w:lineRule="auto"/>
        <w:jc w:val="left"/>
        <w:outlineLvl w:val="9"/>
        <w:rPr>
          <w:rFonts w:hint="eastAsia" w:hAnsi="宋体" w:cs="宋体"/>
          <w:b/>
          <w:color w:val="auto"/>
          <w:sz w:val="28"/>
          <w:szCs w:val="28"/>
          <w:highlight w:val="none"/>
          <w:lang w:eastAsia="zh-CN"/>
        </w:rPr>
      </w:pPr>
      <w:r>
        <w:rPr>
          <w:rFonts w:hint="eastAsia" w:hAnsi="宋体" w:cs="宋体"/>
          <w:b/>
          <w:color w:val="auto"/>
          <w:sz w:val="28"/>
          <w:szCs w:val="28"/>
          <w:highlight w:val="none"/>
          <w:lang w:eastAsia="zh-CN"/>
        </w:rPr>
        <w:br w:type="page"/>
      </w:r>
    </w:p>
    <w:p w14:paraId="0CC410EF">
      <w:pPr>
        <w:wordWrap w:val="0"/>
        <w:spacing w:line="360" w:lineRule="auto"/>
        <w:jc w:val="center"/>
        <w:outlineLvl w:val="1"/>
        <w:rPr>
          <w:rFonts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lang w:val="en-US" w:eastAsia="zh-CN"/>
        </w:rPr>
        <w:t>六</w:t>
      </w:r>
      <w:r>
        <w:rPr>
          <w:rFonts w:hint="eastAsia" w:ascii="Calibri" w:hAnsi="宋体" w:cs="宋体"/>
          <w:b/>
          <w:snapToGrid w:val="0"/>
          <w:color w:val="auto"/>
          <w:kern w:val="0"/>
          <w:sz w:val="28"/>
          <w:szCs w:val="28"/>
          <w:highlight w:val="none"/>
        </w:rPr>
        <w:t>、投标保证金</w:t>
      </w:r>
    </w:p>
    <w:p w14:paraId="13FFA9BB">
      <w:pPr>
        <w:wordWrap w:val="0"/>
        <w:snapToGrid w:val="0"/>
        <w:spacing w:line="360" w:lineRule="auto"/>
        <w:ind w:firstLine="420" w:firstLineChars="200"/>
        <w:rPr>
          <w:rFonts w:ascii="宋体" w:hAnsi="宋体"/>
          <w:color w:val="auto"/>
          <w:szCs w:val="21"/>
          <w:highlight w:val="none"/>
          <w:lang w:val="sq-AL"/>
        </w:rPr>
      </w:pPr>
    </w:p>
    <w:p w14:paraId="19925562">
      <w:pPr>
        <w:wordWrap w:val="0"/>
        <w:snapToGrid w:val="0"/>
        <w:spacing w:line="360" w:lineRule="auto"/>
        <w:ind w:firstLine="420" w:firstLineChars="200"/>
        <w:rPr>
          <w:rFonts w:ascii="宋体" w:hAnsi="宋体"/>
          <w:color w:val="auto"/>
          <w:szCs w:val="21"/>
          <w:highlight w:val="none"/>
          <w:lang w:val="sq-AL"/>
        </w:rPr>
      </w:pPr>
      <w:r>
        <w:rPr>
          <w:rFonts w:hint="eastAsia" w:ascii="宋体" w:hAnsi="宋体"/>
          <w:color w:val="auto"/>
          <w:szCs w:val="21"/>
          <w:highlight w:val="none"/>
          <w:lang w:val="sq-AL"/>
        </w:rPr>
        <w:t>1、采用银行转帐的，请附投标人基本账户开户许可证复印件（或开户银行出具的基本账户证明）以及投标保证金转账凭证复印件；</w:t>
      </w:r>
    </w:p>
    <w:p w14:paraId="5C209307">
      <w:pPr>
        <w:wordWrap w:val="0"/>
        <w:spacing w:line="360" w:lineRule="auto"/>
        <w:ind w:firstLine="424" w:firstLineChars="202"/>
        <w:rPr>
          <w:rFonts w:hAnsi="宋体"/>
          <w:color w:val="auto"/>
          <w:szCs w:val="21"/>
          <w:highlight w:val="none"/>
        </w:rPr>
      </w:pPr>
      <w:r>
        <w:rPr>
          <w:rFonts w:hint="eastAsia" w:ascii="宋体" w:hAnsi="宋体"/>
          <w:color w:val="auto"/>
          <w:szCs w:val="21"/>
          <w:highlight w:val="none"/>
          <w:lang w:val="sq-AL"/>
        </w:rPr>
        <w:t>2、采用银行保函的，请附保函复印件；原</w:t>
      </w:r>
      <w:r>
        <w:rPr>
          <w:rFonts w:hint="eastAsia" w:ascii="宋体" w:hAnsi="宋体"/>
          <w:color w:val="auto"/>
          <w:szCs w:val="21"/>
          <w:highlight w:val="none"/>
        </w:rPr>
        <w:t>件</w:t>
      </w:r>
      <w:r>
        <w:rPr>
          <w:rFonts w:hint="eastAsia" w:ascii="宋体" w:hAnsi="宋体"/>
          <w:color w:val="auto"/>
          <w:szCs w:val="21"/>
          <w:highlight w:val="none"/>
          <w:lang w:val="sq-AL"/>
        </w:rPr>
        <w:t>按招标文件要求提交。</w:t>
      </w:r>
    </w:p>
    <w:p w14:paraId="0919000D">
      <w:pPr>
        <w:rPr>
          <w:rFonts w:hint="eastAsia" w:hAnsi="宋体" w:cs="宋体"/>
          <w:b/>
          <w:color w:val="auto"/>
          <w:sz w:val="28"/>
          <w:szCs w:val="28"/>
          <w:highlight w:val="none"/>
          <w:lang w:eastAsia="zh-CN"/>
        </w:rPr>
      </w:pPr>
      <w:r>
        <w:rPr>
          <w:rFonts w:hint="eastAsia" w:hAnsi="宋体" w:cs="宋体"/>
          <w:b/>
          <w:color w:val="auto"/>
          <w:sz w:val="28"/>
          <w:szCs w:val="28"/>
          <w:highlight w:val="none"/>
          <w:lang w:eastAsia="zh-CN"/>
        </w:rPr>
        <w:br w:type="page"/>
      </w:r>
    </w:p>
    <w:p w14:paraId="33992AB1">
      <w:pPr>
        <w:wordWrap w:val="0"/>
        <w:spacing w:line="360" w:lineRule="auto"/>
        <w:jc w:val="center"/>
        <w:outlineLvl w:val="1"/>
        <w:rPr>
          <w:rFonts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lang w:val="en-US" w:eastAsia="zh-CN"/>
        </w:rPr>
        <w:t>七</w:t>
      </w:r>
      <w:r>
        <w:rPr>
          <w:rFonts w:hint="eastAsia" w:ascii="Calibri" w:hAnsi="宋体" w:cs="宋体"/>
          <w:b/>
          <w:snapToGrid w:val="0"/>
          <w:color w:val="auto"/>
          <w:kern w:val="0"/>
          <w:sz w:val="28"/>
          <w:szCs w:val="28"/>
          <w:highlight w:val="none"/>
        </w:rPr>
        <w:t>、投标人承诺函</w:t>
      </w:r>
    </w:p>
    <w:p w14:paraId="69B2B24D">
      <w:pPr>
        <w:wordWrap w:val="0"/>
        <w:spacing w:line="360" w:lineRule="auto"/>
        <w:rPr>
          <w:rFonts w:ascii="Calibri" w:hAnsi="Calibri"/>
          <w:color w:val="auto"/>
          <w:szCs w:val="22"/>
          <w:highlight w:val="none"/>
          <w:u w:val="single"/>
        </w:rPr>
      </w:pPr>
    </w:p>
    <w:p w14:paraId="484C1BAE">
      <w:pPr>
        <w:wordWrap w:val="0"/>
        <w:spacing w:line="360" w:lineRule="auto"/>
        <w:rPr>
          <w:rFonts w:ascii="Calibri" w:hAnsi="Calibri"/>
          <w:color w:val="auto"/>
          <w:szCs w:val="22"/>
          <w:highlight w:val="none"/>
        </w:rPr>
      </w:pPr>
      <w:r>
        <w:rPr>
          <w:rFonts w:hint="eastAsia" w:ascii="Calibri" w:hAnsi="Calibri"/>
          <w:color w:val="auto"/>
          <w:szCs w:val="22"/>
          <w:highlight w:val="none"/>
          <w:u w:val="single"/>
        </w:rPr>
        <w:t xml:space="preserve">                      </w:t>
      </w:r>
      <w:r>
        <w:rPr>
          <w:rFonts w:hint="eastAsia" w:ascii="Calibri" w:hAnsi="Calibri"/>
          <w:color w:val="auto"/>
          <w:szCs w:val="22"/>
          <w:highlight w:val="none"/>
        </w:rPr>
        <w:t>（招标人名称）：</w:t>
      </w:r>
    </w:p>
    <w:p w14:paraId="179238D5">
      <w:pPr>
        <w:wordWrap w:val="0"/>
        <w:spacing w:line="360" w:lineRule="auto"/>
        <w:rPr>
          <w:rFonts w:ascii="Calibri" w:hAnsi="Calibri"/>
          <w:color w:val="auto"/>
          <w:szCs w:val="22"/>
          <w:highlight w:val="none"/>
        </w:rPr>
      </w:pPr>
      <w:r>
        <w:rPr>
          <w:rFonts w:hint="eastAsia" w:ascii="Calibri" w:hAnsi="Calibri"/>
          <w:color w:val="auto"/>
          <w:szCs w:val="22"/>
          <w:highlight w:val="none"/>
        </w:rPr>
        <w:t>我方在此声明：</w:t>
      </w:r>
    </w:p>
    <w:p w14:paraId="1C0FB493">
      <w:pPr>
        <w:wordWrap w:val="0"/>
        <w:spacing w:line="360" w:lineRule="auto"/>
        <w:ind w:firstLine="420" w:firstLineChars="200"/>
        <w:rPr>
          <w:rFonts w:hint="eastAsia" w:ascii="宋体" w:hAnsi="宋体" w:cs="宋体"/>
          <w:color w:val="auto"/>
          <w:szCs w:val="22"/>
          <w:highlight w:val="none"/>
        </w:rPr>
      </w:pPr>
      <w:r>
        <w:rPr>
          <w:rFonts w:hint="eastAsia" w:ascii="宋体" w:hAnsi="宋体" w:cs="宋体"/>
          <w:color w:val="auto"/>
          <w:szCs w:val="22"/>
          <w:highlight w:val="none"/>
        </w:rPr>
        <w:t>1、我方不存在第二章“投标人须知”第1.4.</w:t>
      </w:r>
      <w:r>
        <w:rPr>
          <w:rFonts w:hint="eastAsia" w:ascii="宋体" w:hAnsi="宋体" w:cs="宋体"/>
          <w:color w:val="auto"/>
          <w:szCs w:val="22"/>
          <w:highlight w:val="none"/>
          <w:lang w:val="en-US" w:eastAsia="zh-CN"/>
        </w:rPr>
        <w:t>2</w:t>
      </w:r>
      <w:r>
        <w:rPr>
          <w:rFonts w:hint="eastAsia" w:ascii="宋体" w:hAnsi="宋体" w:cs="宋体"/>
          <w:color w:val="auto"/>
          <w:szCs w:val="22"/>
          <w:highlight w:val="none"/>
        </w:rPr>
        <w:t>项规定的任何一种情形。</w:t>
      </w:r>
    </w:p>
    <w:p w14:paraId="7A4DC3E8">
      <w:pPr>
        <w:wordWrap w:val="0"/>
        <w:spacing w:line="360" w:lineRule="auto"/>
        <w:ind w:firstLine="420" w:firstLineChars="200"/>
        <w:rPr>
          <w:rFonts w:hint="eastAsia" w:ascii="宋体" w:hAnsi="宋体" w:cs="宋体"/>
          <w:color w:val="auto"/>
          <w:szCs w:val="22"/>
          <w:highlight w:val="none"/>
        </w:rPr>
      </w:pPr>
      <w:r>
        <w:rPr>
          <w:rFonts w:hint="eastAsia" w:ascii="宋体" w:hAnsi="宋体" w:cs="宋体"/>
          <w:color w:val="auto"/>
          <w:szCs w:val="22"/>
          <w:highlight w:val="none"/>
        </w:rPr>
        <w:t>2、我方没有发生“</w:t>
      </w:r>
      <w:r>
        <w:rPr>
          <w:rFonts w:hint="eastAsia" w:ascii="宋体" w:hAnsi="宋体" w:cs="宋体"/>
          <w:color w:val="auto"/>
          <w:szCs w:val="21"/>
          <w:highlight w:val="none"/>
          <w:lang w:eastAsia="zh-CN"/>
        </w:rPr>
        <w:t>被长沙市轨道交通集团有限公司或长沙穗城轨道交通有限公司函告禁止在一定期限内参与轨道项目投标的单位按函告内容执行</w:t>
      </w:r>
      <w:r>
        <w:rPr>
          <w:rFonts w:hint="eastAsia" w:ascii="宋体" w:hAnsi="宋体" w:cs="宋体"/>
          <w:color w:val="auto"/>
          <w:szCs w:val="22"/>
          <w:highlight w:val="none"/>
        </w:rPr>
        <w:t>”此规定的情形。</w:t>
      </w:r>
    </w:p>
    <w:p w14:paraId="6C0FAF3D">
      <w:pPr>
        <w:wordWrap w:val="0"/>
        <w:spacing w:line="360" w:lineRule="auto"/>
        <w:ind w:firstLine="420" w:firstLineChars="200"/>
        <w:rPr>
          <w:rFonts w:hint="eastAsia" w:ascii="宋体" w:hAnsi="宋体" w:cs="宋体"/>
          <w:color w:val="auto"/>
          <w:szCs w:val="22"/>
          <w:highlight w:val="none"/>
        </w:rPr>
      </w:pPr>
      <w:r>
        <w:rPr>
          <w:rFonts w:hint="eastAsia" w:ascii="宋体" w:hAnsi="宋体" w:cs="宋体"/>
          <w:color w:val="auto"/>
          <w:szCs w:val="22"/>
          <w:highlight w:val="none"/>
        </w:rPr>
        <w:t>3、我方严格遵守相关法律法规规定，没有串通投标、资质挂靠等违法、违规行为。</w:t>
      </w:r>
    </w:p>
    <w:p w14:paraId="6E2D5CC1">
      <w:pPr>
        <w:wordWrap w:val="0"/>
        <w:spacing w:line="360" w:lineRule="auto"/>
        <w:ind w:firstLine="420" w:firstLineChars="200"/>
        <w:rPr>
          <w:rFonts w:hint="eastAsia" w:ascii="宋体" w:hAnsi="宋体" w:cs="宋体"/>
          <w:color w:val="auto"/>
          <w:szCs w:val="22"/>
          <w:highlight w:val="none"/>
        </w:rPr>
      </w:pPr>
      <w:r>
        <w:rPr>
          <w:rFonts w:hint="eastAsia" w:ascii="宋体" w:hAnsi="宋体" w:cs="宋体"/>
          <w:color w:val="auto"/>
          <w:szCs w:val="22"/>
          <w:highlight w:val="none"/>
        </w:rPr>
        <w:t>4、我方保证提供的资质、业绩等证明材料真实、合法、有效，并愿意承担因我方就此弄虚作假所引起的一切后果。</w:t>
      </w:r>
    </w:p>
    <w:p w14:paraId="71058FFF">
      <w:pPr>
        <w:wordWrap w:val="0"/>
        <w:spacing w:line="360" w:lineRule="auto"/>
        <w:ind w:firstLine="420" w:firstLineChars="200"/>
        <w:rPr>
          <w:rFonts w:hint="eastAsia" w:ascii="宋体" w:hAnsi="宋体" w:cs="宋体"/>
          <w:color w:val="auto"/>
          <w:szCs w:val="22"/>
          <w:highlight w:val="none"/>
        </w:rPr>
      </w:pPr>
      <w:r>
        <w:rPr>
          <w:rFonts w:hint="eastAsia" w:ascii="宋体" w:hAnsi="宋体" w:cs="宋体"/>
          <w:color w:val="auto"/>
          <w:szCs w:val="22"/>
          <w:highlight w:val="none"/>
        </w:rPr>
        <w:t>5、我方不参与不正当竞争，不向招标人、招标代理机构、交易中心、评标专家以及行业监督部门行贿以谋取不正当利益。</w:t>
      </w:r>
    </w:p>
    <w:p w14:paraId="2E0FB3C8">
      <w:pPr>
        <w:wordWrap w:val="0"/>
        <w:spacing w:line="360" w:lineRule="auto"/>
        <w:ind w:firstLine="420" w:firstLineChars="200"/>
        <w:rPr>
          <w:rFonts w:hAnsi="宋体" w:cs="宋体"/>
          <w:color w:val="auto"/>
          <w:szCs w:val="21"/>
          <w:highlight w:val="none"/>
        </w:rPr>
      </w:pPr>
      <w:r>
        <w:rPr>
          <w:rFonts w:hint="eastAsia" w:ascii="Calibri" w:hAnsi="Calibri"/>
          <w:color w:val="auto"/>
          <w:szCs w:val="22"/>
          <w:highlight w:val="none"/>
        </w:rPr>
        <w:t>特此承诺！</w:t>
      </w:r>
    </w:p>
    <w:p w14:paraId="2F9C5F20">
      <w:pPr>
        <w:wordWrap w:val="0"/>
        <w:spacing w:line="360" w:lineRule="auto"/>
        <w:rPr>
          <w:rFonts w:hAnsi="宋体" w:cs="宋体"/>
          <w:color w:val="auto"/>
          <w:szCs w:val="21"/>
          <w:highlight w:val="none"/>
        </w:rPr>
      </w:pPr>
    </w:p>
    <w:p w14:paraId="421BDC7D">
      <w:pPr>
        <w:pStyle w:val="63"/>
        <w:wordWrap w:val="0"/>
        <w:rPr>
          <w:rFonts w:hAnsi="宋体" w:cs="宋体"/>
          <w:color w:val="auto"/>
          <w:szCs w:val="21"/>
          <w:highlight w:val="none"/>
        </w:rPr>
      </w:pPr>
    </w:p>
    <w:p w14:paraId="2A1ACA12">
      <w:pPr>
        <w:pStyle w:val="6"/>
        <w:wordWrap w:val="0"/>
        <w:rPr>
          <w:color w:val="auto"/>
          <w:highlight w:val="none"/>
        </w:rPr>
      </w:pPr>
    </w:p>
    <w:p w14:paraId="5EB4119A">
      <w:pPr>
        <w:wordWrap w:val="0"/>
        <w:spacing w:line="360" w:lineRule="auto"/>
        <w:rPr>
          <w:rFonts w:hAnsi="宋体" w:cs="宋体"/>
          <w:color w:val="auto"/>
          <w:szCs w:val="21"/>
          <w:highlight w:val="none"/>
        </w:rPr>
      </w:pPr>
      <w:r>
        <w:rPr>
          <w:rFonts w:hint="eastAsia" w:hAnsi="宋体" w:cs="宋体"/>
          <w:color w:val="auto"/>
          <w:szCs w:val="21"/>
          <w:highlight w:val="none"/>
        </w:rPr>
        <w:t>投标人：</w:t>
      </w:r>
      <w:r>
        <w:rPr>
          <w:rFonts w:hint="eastAsia" w:hAnsi="宋体" w:cs="宋体"/>
          <w:color w:val="auto"/>
          <w:szCs w:val="21"/>
          <w:highlight w:val="none"/>
          <w:u w:val="single"/>
        </w:rPr>
        <w:t xml:space="preserve">                  </w:t>
      </w:r>
      <w:r>
        <w:rPr>
          <w:rFonts w:hint="eastAsia" w:hAnsi="宋体" w:cs="宋体"/>
          <w:color w:val="auto"/>
          <w:szCs w:val="21"/>
          <w:highlight w:val="none"/>
        </w:rPr>
        <w:t>（盖单位公章）</w:t>
      </w:r>
    </w:p>
    <w:p w14:paraId="59A59412">
      <w:pPr>
        <w:wordWrap w:val="0"/>
        <w:adjustRightInd w:val="0"/>
        <w:snapToGrid w:val="0"/>
        <w:spacing w:line="280" w:lineRule="exact"/>
        <w:rPr>
          <w:rFonts w:hAnsi="宋体" w:cs="宋体"/>
          <w:color w:val="auto"/>
          <w:szCs w:val="21"/>
          <w:highlight w:val="none"/>
        </w:rPr>
      </w:pPr>
      <w:r>
        <w:rPr>
          <w:rFonts w:hint="eastAsia" w:ascii="宋体" w:hAnsi="宋体" w:cs="宋体"/>
          <w:color w:val="auto"/>
          <w:szCs w:val="21"/>
          <w:highlight w:val="none"/>
        </w:rPr>
        <w:t>法定代表人</w:t>
      </w:r>
      <w:r>
        <w:rPr>
          <w:rFonts w:hint="eastAsia" w:ascii="宋体" w:hAnsi="宋体" w:cs="宋体"/>
          <w:iCs/>
          <w:color w:val="auto"/>
          <w:szCs w:val="21"/>
          <w:highlight w:val="none"/>
        </w:rPr>
        <w:t>/负责人</w:t>
      </w:r>
      <w:r>
        <w:rPr>
          <w:rFonts w:hint="eastAsia" w:ascii="宋体" w:hAnsi="宋体" w:cs="宋体"/>
          <w:color w:val="auto"/>
          <w:szCs w:val="21"/>
          <w:highlight w:val="none"/>
        </w:rPr>
        <w:t>或其委托代理人</w:t>
      </w:r>
      <w:r>
        <w:rPr>
          <w:rFonts w:hint="eastAsia" w:ascii="宋体" w:hAnsi="宋体" w:cs="宋体"/>
          <w:color w:val="auto"/>
          <w:szCs w:val="21"/>
          <w:highlight w:val="none"/>
          <w:lang w:eastAsia="zh-CN"/>
        </w:rPr>
        <w:t>（</w:t>
      </w:r>
      <w:r>
        <w:rPr>
          <w:rFonts w:hint="eastAsia" w:ascii="宋体" w:hAnsi="宋体" w:cs="宋体"/>
          <w:color w:val="auto"/>
          <w:szCs w:val="21"/>
          <w:highlight w:val="none"/>
        </w:rPr>
        <w:t>签字或盖章</w:t>
      </w:r>
      <w:r>
        <w:rPr>
          <w:rFonts w:hint="eastAsia" w:ascii="宋体" w:hAnsi="宋体" w:cs="宋体"/>
          <w:color w:val="auto"/>
          <w:szCs w:val="21"/>
          <w:highlight w:val="none"/>
          <w:lang w:eastAsia="zh-CN"/>
        </w:rPr>
        <w:t>）</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_</w:t>
      </w:r>
    </w:p>
    <w:p w14:paraId="58888203">
      <w:pPr>
        <w:wordWrap w:val="0"/>
        <w:spacing w:line="360" w:lineRule="auto"/>
        <w:rPr>
          <w:rFonts w:hAnsi="宋体" w:cs="宋体"/>
          <w:color w:val="auto"/>
          <w:szCs w:val="21"/>
          <w:highlight w:val="none"/>
        </w:rPr>
      </w:pPr>
      <w:r>
        <w:rPr>
          <w:rFonts w:hint="eastAsia" w:hAnsi="宋体" w:cs="宋体"/>
          <w:color w:val="auto"/>
          <w:szCs w:val="21"/>
          <w:highlight w:val="none"/>
          <w:u w:val="single"/>
        </w:rPr>
        <w:t xml:space="preserve">       </w:t>
      </w:r>
      <w:r>
        <w:rPr>
          <w:rFonts w:hint="eastAsia" w:hAnsi="宋体" w:cs="宋体"/>
          <w:color w:val="auto"/>
          <w:szCs w:val="21"/>
          <w:highlight w:val="none"/>
        </w:rPr>
        <w:t>年</w:t>
      </w:r>
      <w:r>
        <w:rPr>
          <w:rFonts w:hint="eastAsia" w:hAnsi="宋体" w:cs="宋体"/>
          <w:color w:val="auto"/>
          <w:szCs w:val="21"/>
          <w:highlight w:val="none"/>
          <w:u w:val="single"/>
        </w:rPr>
        <w:t xml:space="preserve">    </w:t>
      </w:r>
      <w:r>
        <w:rPr>
          <w:rFonts w:hint="eastAsia" w:hAnsi="宋体" w:cs="宋体"/>
          <w:color w:val="auto"/>
          <w:szCs w:val="21"/>
          <w:highlight w:val="none"/>
        </w:rPr>
        <w:t>月</w:t>
      </w:r>
      <w:r>
        <w:rPr>
          <w:rFonts w:hint="eastAsia" w:hAnsi="宋体" w:cs="宋体"/>
          <w:color w:val="auto"/>
          <w:szCs w:val="21"/>
          <w:highlight w:val="none"/>
          <w:u w:val="single"/>
        </w:rPr>
        <w:t xml:space="preserve">     </w:t>
      </w:r>
      <w:r>
        <w:rPr>
          <w:rFonts w:hint="eastAsia" w:hAnsi="宋体" w:cs="宋体"/>
          <w:color w:val="auto"/>
          <w:szCs w:val="21"/>
          <w:highlight w:val="none"/>
        </w:rPr>
        <w:t>日</w:t>
      </w:r>
    </w:p>
    <w:p w14:paraId="46ACE349">
      <w:pPr>
        <w:pStyle w:val="6"/>
        <w:wordWrap w:val="0"/>
        <w:spacing w:line="360" w:lineRule="auto"/>
        <w:ind w:firstLine="0"/>
        <w:rPr>
          <w:color w:val="auto"/>
          <w:highlight w:val="none"/>
        </w:rPr>
      </w:pPr>
      <w:r>
        <w:rPr>
          <w:color w:val="auto"/>
          <w:highlight w:val="none"/>
        </w:rPr>
        <w:br w:type="page"/>
      </w:r>
    </w:p>
    <w:p w14:paraId="2EB3D06B">
      <w:pPr>
        <w:wordWrap w:val="0"/>
        <w:spacing w:line="360" w:lineRule="auto"/>
        <w:jc w:val="center"/>
        <w:outlineLvl w:val="1"/>
        <w:rPr>
          <w:rFonts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lang w:val="en-US" w:eastAsia="zh-CN"/>
        </w:rPr>
        <w:t>八</w:t>
      </w:r>
      <w:r>
        <w:rPr>
          <w:rFonts w:hint="eastAsia" w:ascii="Calibri" w:hAnsi="宋体" w:cs="宋体"/>
          <w:b/>
          <w:snapToGrid w:val="0"/>
          <w:color w:val="auto"/>
          <w:kern w:val="0"/>
          <w:sz w:val="28"/>
          <w:szCs w:val="28"/>
          <w:highlight w:val="none"/>
        </w:rPr>
        <w:t>、实质性条款（标注“★”符号）响应表</w:t>
      </w:r>
    </w:p>
    <w:p w14:paraId="4FC28F8E">
      <w:pPr>
        <w:wordWrap w:val="0"/>
        <w:adjustRightInd w:val="0"/>
        <w:snapToGrid w:val="0"/>
        <w:rPr>
          <w:rFonts w:hint="default" w:hAnsi="宋体" w:eastAsia="宋体" w:cs="宋体"/>
          <w:b/>
          <w:bCs/>
          <w:color w:val="auto"/>
          <w:szCs w:val="21"/>
          <w:highlight w:val="none"/>
          <w:u w:val="single"/>
          <w:lang w:val="en-US" w:eastAsia="zh-CN"/>
        </w:rPr>
      </w:pPr>
      <w:r>
        <w:rPr>
          <w:rFonts w:hint="eastAsia" w:hAnsi="宋体" w:cs="宋体"/>
          <w:b/>
          <w:bCs/>
          <w:color w:val="auto"/>
          <w:szCs w:val="21"/>
          <w:highlight w:val="none"/>
        </w:rPr>
        <w:t>项目名称</w:t>
      </w:r>
      <w:r>
        <w:rPr>
          <w:rFonts w:hint="eastAsia" w:ascii="Times New Roman" w:hAnsi="宋体" w:eastAsia="宋体" w:cs="宋体"/>
          <w:b/>
          <w:bCs/>
          <w:color w:val="auto"/>
          <w:szCs w:val="21"/>
          <w:highlight w:val="none"/>
        </w:rPr>
        <w:t>：</w:t>
      </w:r>
      <w:r>
        <w:rPr>
          <w:rFonts w:hint="eastAsia" w:ascii="Times New Roman" w:hAnsi="宋体" w:eastAsia="宋体" w:cs="宋体"/>
          <w:b/>
          <w:bCs/>
          <w:color w:val="auto"/>
          <w:szCs w:val="21"/>
          <w:highlight w:val="none"/>
          <w:lang w:val="en-US" w:eastAsia="zh-CN"/>
        </w:rPr>
        <w:t>2026-2028年员工食堂劳务外包、物资供应项目</w:t>
      </w:r>
      <w:r>
        <w:rPr>
          <w:rFonts w:hint="eastAsia" w:hAnsi="宋体" w:cs="宋体"/>
          <w:b/>
          <w:bCs/>
          <w:color w:val="auto"/>
          <w:szCs w:val="21"/>
          <w:highlight w:val="none"/>
          <w:u w:val="single"/>
          <w:lang w:val="en-US" w:eastAsia="zh-CN"/>
        </w:rPr>
        <w:t xml:space="preserve">     </w:t>
      </w:r>
      <w:r>
        <w:rPr>
          <w:rFonts w:hint="eastAsia" w:hAnsi="宋体" w:cs="宋体"/>
          <w:b/>
          <w:bCs/>
          <w:color w:val="auto"/>
          <w:szCs w:val="21"/>
          <w:highlight w:val="none"/>
          <w:u w:val="none"/>
          <w:lang w:val="en-US" w:eastAsia="zh-CN"/>
        </w:rPr>
        <w:t>标段</w:t>
      </w:r>
    </w:p>
    <w:tbl>
      <w:tblPr>
        <w:tblStyle w:val="64"/>
        <w:tblW w:w="484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3806"/>
        <w:gridCol w:w="2784"/>
        <w:gridCol w:w="2316"/>
      </w:tblGrid>
      <w:tr w14:paraId="73E31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6" w:hRule="atLeast"/>
        </w:trPr>
        <w:tc>
          <w:tcPr>
            <w:tcW w:w="388" w:type="pct"/>
            <w:vAlign w:val="center"/>
          </w:tcPr>
          <w:p w14:paraId="66C64B74">
            <w:pPr>
              <w:wordWrap w:val="0"/>
              <w:jc w:val="center"/>
              <w:rPr>
                <w:rFonts w:ascii="宋体" w:hAnsi="宋体" w:cs="宋体"/>
                <w:b/>
                <w:bCs/>
                <w:color w:val="auto"/>
                <w:szCs w:val="21"/>
                <w:highlight w:val="none"/>
              </w:rPr>
            </w:pPr>
            <w:r>
              <w:rPr>
                <w:rFonts w:hint="eastAsia" w:ascii="宋体" w:hAnsi="宋体" w:cs="宋体"/>
                <w:b/>
                <w:bCs/>
                <w:color w:val="auto"/>
                <w:szCs w:val="21"/>
                <w:highlight w:val="none"/>
              </w:rPr>
              <w:t>序号</w:t>
            </w:r>
          </w:p>
        </w:tc>
        <w:tc>
          <w:tcPr>
            <w:tcW w:w="1970" w:type="pct"/>
            <w:vAlign w:val="center"/>
          </w:tcPr>
          <w:p w14:paraId="55A53AA6">
            <w:pPr>
              <w:wordWrap w:val="0"/>
              <w:jc w:val="center"/>
              <w:rPr>
                <w:rFonts w:ascii="宋体" w:hAnsi="宋体" w:cs="宋体"/>
                <w:b/>
                <w:bCs/>
                <w:color w:val="auto"/>
                <w:szCs w:val="21"/>
                <w:highlight w:val="none"/>
              </w:rPr>
            </w:pPr>
            <w:r>
              <w:rPr>
                <w:rFonts w:hint="eastAsia" w:ascii="宋体" w:hAnsi="宋体" w:cs="宋体"/>
                <w:b/>
                <w:bCs/>
                <w:color w:val="auto"/>
                <w:szCs w:val="21"/>
                <w:highlight w:val="none"/>
              </w:rPr>
              <w:t>招标文件实质性</w:t>
            </w:r>
          </w:p>
          <w:p w14:paraId="32C5C3DF">
            <w:pPr>
              <w:wordWrap w:val="0"/>
              <w:jc w:val="center"/>
              <w:rPr>
                <w:rFonts w:ascii="宋体" w:hAnsi="宋体" w:cs="宋体"/>
                <w:b/>
                <w:bCs/>
                <w:color w:val="auto"/>
                <w:szCs w:val="21"/>
                <w:highlight w:val="none"/>
              </w:rPr>
            </w:pPr>
            <w:r>
              <w:rPr>
                <w:rFonts w:hint="eastAsia" w:ascii="宋体" w:hAnsi="宋体" w:cs="宋体"/>
                <w:b/>
                <w:bCs/>
                <w:color w:val="auto"/>
                <w:szCs w:val="21"/>
                <w:highlight w:val="none"/>
              </w:rPr>
              <w:t>条款号及内容</w:t>
            </w:r>
          </w:p>
        </w:tc>
        <w:tc>
          <w:tcPr>
            <w:tcW w:w="1441" w:type="pct"/>
            <w:vAlign w:val="center"/>
          </w:tcPr>
          <w:p w14:paraId="03DE8878">
            <w:pPr>
              <w:wordWrap w:val="0"/>
              <w:jc w:val="center"/>
              <w:rPr>
                <w:rFonts w:ascii="宋体" w:hAnsi="宋体" w:cs="宋体"/>
                <w:b/>
                <w:bCs/>
                <w:color w:val="auto"/>
                <w:szCs w:val="21"/>
                <w:highlight w:val="none"/>
              </w:rPr>
            </w:pPr>
            <w:r>
              <w:rPr>
                <w:rFonts w:hint="eastAsia" w:ascii="宋体" w:hAnsi="宋体" w:cs="宋体"/>
                <w:b/>
                <w:bCs/>
                <w:color w:val="auto"/>
                <w:szCs w:val="21"/>
                <w:highlight w:val="none"/>
              </w:rPr>
              <w:t>投标文件响应</w:t>
            </w:r>
          </w:p>
          <w:p w14:paraId="55031E3A">
            <w:pPr>
              <w:wordWrap w:val="0"/>
              <w:jc w:val="center"/>
              <w:rPr>
                <w:rFonts w:ascii="宋体" w:hAnsi="宋体" w:cs="宋体"/>
                <w:b/>
                <w:bCs/>
                <w:color w:val="auto"/>
                <w:szCs w:val="21"/>
                <w:highlight w:val="none"/>
              </w:rPr>
            </w:pPr>
            <w:r>
              <w:rPr>
                <w:rFonts w:hint="eastAsia" w:ascii="宋体" w:hAnsi="宋体" w:cs="宋体"/>
                <w:b/>
                <w:bCs/>
                <w:color w:val="auto"/>
                <w:szCs w:val="21"/>
                <w:highlight w:val="none"/>
              </w:rPr>
              <w:t>条款号及内容</w:t>
            </w:r>
          </w:p>
        </w:tc>
        <w:tc>
          <w:tcPr>
            <w:tcW w:w="1199" w:type="pct"/>
            <w:vAlign w:val="center"/>
          </w:tcPr>
          <w:p w14:paraId="0142093E">
            <w:pPr>
              <w:wordWrap w:val="0"/>
              <w:jc w:val="center"/>
              <w:rPr>
                <w:rFonts w:hint="eastAsia" w:ascii="宋体" w:hAnsi="宋体" w:cs="宋体"/>
                <w:b/>
                <w:bCs/>
                <w:color w:val="auto"/>
                <w:szCs w:val="21"/>
                <w:highlight w:val="none"/>
              </w:rPr>
            </w:pPr>
            <w:r>
              <w:rPr>
                <w:rFonts w:hint="eastAsia" w:ascii="宋体" w:hAnsi="宋体" w:cs="宋体"/>
                <w:b/>
                <w:bCs/>
                <w:color w:val="auto"/>
                <w:szCs w:val="21"/>
                <w:highlight w:val="none"/>
              </w:rPr>
              <w:t>响应情况</w:t>
            </w:r>
          </w:p>
          <w:p w14:paraId="7D26569A">
            <w:pPr>
              <w:wordWrap w:val="0"/>
              <w:jc w:val="center"/>
              <w:rPr>
                <w:rFonts w:ascii="宋体" w:hAnsi="宋体" w:cs="宋体"/>
                <w:b/>
                <w:bCs/>
                <w:color w:val="auto"/>
                <w:szCs w:val="21"/>
                <w:highlight w:val="none"/>
              </w:rPr>
            </w:pPr>
            <w:r>
              <w:rPr>
                <w:rFonts w:hint="eastAsia" w:ascii="宋体" w:hAnsi="宋体" w:cs="宋体"/>
                <w:b/>
                <w:bCs/>
                <w:color w:val="auto"/>
                <w:szCs w:val="21"/>
                <w:highlight w:val="none"/>
              </w:rPr>
              <w:t>（响应/不响应）</w:t>
            </w:r>
          </w:p>
        </w:tc>
      </w:tr>
      <w:tr w14:paraId="7CF95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388" w:type="pct"/>
            <w:vAlign w:val="center"/>
          </w:tcPr>
          <w:p w14:paraId="4DC09F1E">
            <w:pPr>
              <w:wordWrap w:val="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w:t>
            </w:r>
          </w:p>
        </w:tc>
        <w:tc>
          <w:tcPr>
            <w:tcW w:w="1970" w:type="pct"/>
            <w:shd w:val="clear" w:color="auto" w:fill="auto"/>
            <w:vAlign w:val="center"/>
          </w:tcPr>
          <w:p w14:paraId="0239BA02">
            <w:pPr>
              <w:wordWrap w:val="0"/>
              <w:jc w:val="cente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用户需求书</w:t>
            </w:r>
          </w:p>
          <w:p w14:paraId="7FC70875">
            <w:pPr>
              <w:wordWrap w:val="0"/>
              <w:jc w:val="center"/>
              <w:rPr>
                <w:rFonts w:hint="default"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二、</w:t>
            </w:r>
            <w:r>
              <w:rPr>
                <w:rFonts w:hint="eastAsia" w:ascii="宋体" w:hAnsi="宋体" w:eastAsia="宋体" w:cs="宋体"/>
                <w:b w:val="0"/>
                <w:color w:val="000000" w:themeColor="text1"/>
                <w:sz w:val="21"/>
                <w:szCs w:val="21"/>
                <w14:textFill>
                  <w14:solidFill>
                    <w14:schemeClr w14:val="tx1"/>
                  </w14:solidFill>
                </w14:textFill>
              </w:rPr>
              <w:t>服务期限及地点</w:t>
            </w:r>
          </w:p>
        </w:tc>
        <w:tc>
          <w:tcPr>
            <w:tcW w:w="1441" w:type="pct"/>
            <w:shd w:val="clear" w:color="auto" w:fill="auto"/>
            <w:vAlign w:val="center"/>
          </w:tcPr>
          <w:p w14:paraId="49DAAE15">
            <w:pPr>
              <w:wordWrap w:val="0"/>
              <w:jc w:val="center"/>
              <w:rPr>
                <w:rFonts w:ascii="宋体" w:hAnsi="宋体" w:eastAsia="宋体" w:cs="宋体"/>
                <w:color w:val="auto"/>
                <w:kern w:val="2"/>
                <w:sz w:val="21"/>
                <w:szCs w:val="21"/>
                <w:highlight w:val="none"/>
                <w:lang w:val="en-US" w:eastAsia="zh-CN" w:bidi="ar-SA"/>
              </w:rPr>
            </w:pPr>
          </w:p>
        </w:tc>
        <w:tc>
          <w:tcPr>
            <w:tcW w:w="1199" w:type="pct"/>
            <w:shd w:val="clear" w:color="auto" w:fill="auto"/>
            <w:vAlign w:val="center"/>
          </w:tcPr>
          <w:p w14:paraId="742493C0">
            <w:pPr>
              <w:wordWrap w:val="0"/>
              <w:jc w:val="center"/>
              <w:rPr>
                <w:rFonts w:ascii="宋体" w:hAnsi="宋体" w:eastAsia="宋体" w:cs="宋体"/>
                <w:color w:val="auto"/>
                <w:kern w:val="2"/>
                <w:sz w:val="21"/>
                <w:szCs w:val="21"/>
                <w:highlight w:val="none"/>
                <w:lang w:val="en-US" w:eastAsia="zh-CN" w:bidi="ar-SA"/>
              </w:rPr>
            </w:pPr>
          </w:p>
        </w:tc>
      </w:tr>
      <w:tr w14:paraId="35BC6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388" w:type="pct"/>
            <w:vAlign w:val="center"/>
          </w:tcPr>
          <w:p w14:paraId="3E22AE9B">
            <w:pPr>
              <w:wordWrap w:val="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w:t>
            </w:r>
          </w:p>
        </w:tc>
        <w:tc>
          <w:tcPr>
            <w:tcW w:w="1970" w:type="pct"/>
            <w:shd w:val="clear" w:color="auto" w:fill="auto"/>
            <w:vAlign w:val="center"/>
          </w:tcPr>
          <w:p w14:paraId="4E261CFF">
            <w:pPr>
              <w:wordWrap w:val="0"/>
              <w:jc w:val="cente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用户需求书</w:t>
            </w:r>
          </w:p>
          <w:p w14:paraId="41B285A7">
            <w:pPr>
              <w:wordWrap w:val="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三、</w:t>
            </w:r>
            <w:r>
              <w:rPr>
                <w:rFonts w:hint="eastAsia" w:ascii="宋体" w:hAnsi="宋体" w:eastAsia="宋体" w:cs="宋体"/>
                <w:color w:val="000000" w:themeColor="text1"/>
                <w:sz w:val="21"/>
                <w:szCs w:val="21"/>
                <w14:textFill>
                  <w14:solidFill>
                    <w14:schemeClr w14:val="tx1"/>
                  </w14:solidFill>
                </w14:textFill>
              </w:rPr>
              <w:t>采购范围</w:t>
            </w:r>
          </w:p>
        </w:tc>
        <w:tc>
          <w:tcPr>
            <w:tcW w:w="1441" w:type="pct"/>
            <w:shd w:val="clear" w:color="auto" w:fill="auto"/>
            <w:vAlign w:val="center"/>
          </w:tcPr>
          <w:p w14:paraId="2E98B13D">
            <w:pPr>
              <w:wordWrap w:val="0"/>
              <w:jc w:val="center"/>
              <w:rPr>
                <w:rFonts w:ascii="宋体" w:hAnsi="宋体" w:eastAsia="宋体" w:cs="宋体"/>
                <w:color w:val="auto"/>
                <w:kern w:val="2"/>
                <w:sz w:val="21"/>
                <w:szCs w:val="21"/>
                <w:highlight w:val="none"/>
                <w:lang w:val="en-US" w:eastAsia="zh-CN" w:bidi="ar-SA"/>
              </w:rPr>
            </w:pPr>
          </w:p>
        </w:tc>
        <w:tc>
          <w:tcPr>
            <w:tcW w:w="1199" w:type="pct"/>
            <w:shd w:val="clear" w:color="auto" w:fill="auto"/>
            <w:vAlign w:val="center"/>
          </w:tcPr>
          <w:p w14:paraId="0BCE997B">
            <w:pPr>
              <w:wordWrap w:val="0"/>
              <w:jc w:val="center"/>
              <w:rPr>
                <w:rFonts w:ascii="宋体" w:hAnsi="宋体" w:eastAsia="宋体" w:cs="宋体"/>
                <w:color w:val="auto"/>
                <w:kern w:val="2"/>
                <w:sz w:val="21"/>
                <w:szCs w:val="21"/>
                <w:highlight w:val="none"/>
                <w:lang w:val="en-US" w:eastAsia="zh-CN" w:bidi="ar-SA"/>
              </w:rPr>
            </w:pPr>
          </w:p>
        </w:tc>
      </w:tr>
      <w:tr w14:paraId="05279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388" w:type="pct"/>
            <w:vAlign w:val="center"/>
          </w:tcPr>
          <w:p w14:paraId="72A67545">
            <w:pPr>
              <w:wordWrap w:val="0"/>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3</w:t>
            </w:r>
          </w:p>
        </w:tc>
        <w:tc>
          <w:tcPr>
            <w:tcW w:w="1970" w:type="pct"/>
            <w:shd w:val="clear" w:color="auto" w:fill="auto"/>
            <w:vAlign w:val="center"/>
          </w:tcPr>
          <w:p w14:paraId="72465BE0">
            <w:pPr>
              <w:wordWrap w:val="0"/>
              <w:jc w:val="cente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用户需求书</w:t>
            </w:r>
          </w:p>
          <w:p w14:paraId="2F0F32F6">
            <w:pPr>
              <w:wordWrap w:val="0"/>
              <w:jc w:val="center"/>
              <w:rPr>
                <w:rFonts w:hint="default"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四、</w:t>
            </w:r>
            <w:r>
              <w:rPr>
                <w:rFonts w:hint="eastAsia" w:ascii="宋体" w:hAnsi="宋体" w:eastAsia="宋体" w:cs="宋体"/>
                <w:b w:val="0"/>
                <w:color w:val="000000" w:themeColor="text1"/>
                <w:kern w:val="2"/>
                <w:sz w:val="21"/>
                <w:szCs w:val="21"/>
                <w:highlight w:val="none"/>
                <w:lang w:val="en-US" w:eastAsia="zh-CN" w:bidi="ar-SA"/>
                <w14:textFill>
                  <w14:solidFill>
                    <w14:schemeClr w14:val="tx1"/>
                  </w14:solidFill>
                </w14:textFill>
              </w:rPr>
              <w:t>履行方式</w:t>
            </w:r>
          </w:p>
        </w:tc>
        <w:tc>
          <w:tcPr>
            <w:tcW w:w="1441" w:type="pct"/>
            <w:vAlign w:val="center"/>
          </w:tcPr>
          <w:p w14:paraId="016E4A10">
            <w:pPr>
              <w:wordWrap w:val="0"/>
              <w:jc w:val="center"/>
              <w:rPr>
                <w:rFonts w:ascii="宋体" w:hAnsi="宋体" w:cs="宋体"/>
                <w:color w:val="auto"/>
                <w:szCs w:val="21"/>
                <w:highlight w:val="none"/>
              </w:rPr>
            </w:pPr>
          </w:p>
        </w:tc>
        <w:tc>
          <w:tcPr>
            <w:tcW w:w="1199" w:type="pct"/>
            <w:vAlign w:val="center"/>
          </w:tcPr>
          <w:p w14:paraId="20E136EA">
            <w:pPr>
              <w:wordWrap w:val="0"/>
              <w:jc w:val="center"/>
              <w:rPr>
                <w:rFonts w:ascii="宋体" w:hAnsi="宋体" w:cs="宋体"/>
                <w:color w:val="auto"/>
                <w:szCs w:val="21"/>
                <w:highlight w:val="none"/>
              </w:rPr>
            </w:pPr>
          </w:p>
        </w:tc>
      </w:tr>
      <w:tr w14:paraId="56B61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388" w:type="pct"/>
            <w:vAlign w:val="center"/>
          </w:tcPr>
          <w:p w14:paraId="709818A2">
            <w:pPr>
              <w:wordWrap w:val="0"/>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4</w:t>
            </w:r>
          </w:p>
        </w:tc>
        <w:tc>
          <w:tcPr>
            <w:tcW w:w="1970" w:type="pct"/>
            <w:shd w:val="clear" w:color="auto" w:fill="auto"/>
            <w:vAlign w:val="center"/>
          </w:tcPr>
          <w:p w14:paraId="416174DF">
            <w:pPr>
              <w:wordWrap w:val="0"/>
              <w:jc w:val="cente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用户需求书</w:t>
            </w:r>
          </w:p>
          <w:p w14:paraId="611FD88E">
            <w:pPr>
              <w:wordWrap w:val="0"/>
              <w:jc w:val="center"/>
              <w:rPr>
                <w:rFonts w:hint="default"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六</w:t>
            </w:r>
            <w:r>
              <w:rPr>
                <w:rFonts w:hint="eastAsia" w:ascii="宋体" w:hAnsi="宋体" w:eastAsia="宋体" w:cs="宋体"/>
                <w:b w:val="0"/>
                <w:color w:val="000000" w:themeColor="text1"/>
                <w:kern w:val="2"/>
                <w:sz w:val="21"/>
                <w:szCs w:val="21"/>
                <w14:textFill>
                  <w14:solidFill>
                    <w14:schemeClr w14:val="tx1"/>
                  </w14:solidFill>
                </w14:textFill>
              </w:rPr>
              <w:t>、质量要求</w:t>
            </w:r>
          </w:p>
        </w:tc>
        <w:tc>
          <w:tcPr>
            <w:tcW w:w="1441" w:type="pct"/>
            <w:vAlign w:val="center"/>
          </w:tcPr>
          <w:p w14:paraId="5F118952">
            <w:pPr>
              <w:wordWrap w:val="0"/>
              <w:jc w:val="center"/>
              <w:rPr>
                <w:rFonts w:ascii="宋体" w:hAnsi="宋体" w:cs="宋体"/>
                <w:color w:val="auto"/>
                <w:szCs w:val="21"/>
                <w:highlight w:val="none"/>
              </w:rPr>
            </w:pPr>
          </w:p>
        </w:tc>
        <w:tc>
          <w:tcPr>
            <w:tcW w:w="1199" w:type="pct"/>
            <w:vAlign w:val="center"/>
          </w:tcPr>
          <w:p w14:paraId="2B478B6D">
            <w:pPr>
              <w:wordWrap w:val="0"/>
              <w:jc w:val="center"/>
              <w:rPr>
                <w:rFonts w:ascii="宋体" w:hAnsi="宋体" w:cs="宋体"/>
                <w:color w:val="auto"/>
                <w:szCs w:val="21"/>
                <w:highlight w:val="none"/>
              </w:rPr>
            </w:pPr>
          </w:p>
        </w:tc>
      </w:tr>
      <w:tr w14:paraId="674FA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388" w:type="pct"/>
            <w:vAlign w:val="center"/>
          </w:tcPr>
          <w:p w14:paraId="379FDDA5">
            <w:pPr>
              <w:wordWrap w:val="0"/>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5</w:t>
            </w:r>
          </w:p>
        </w:tc>
        <w:tc>
          <w:tcPr>
            <w:tcW w:w="1970" w:type="pct"/>
            <w:shd w:val="clear" w:color="auto" w:fill="auto"/>
            <w:vAlign w:val="center"/>
          </w:tcPr>
          <w:p w14:paraId="4F88834B">
            <w:pPr>
              <w:wordWrap w:val="0"/>
              <w:jc w:val="cente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用户需求书</w:t>
            </w:r>
          </w:p>
          <w:p w14:paraId="2ED75463">
            <w:pPr>
              <w:wordWrap w:val="0"/>
              <w:jc w:val="center"/>
              <w:rPr>
                <w:rFonts w:hint="default"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八</w:t>
            </w:r>
            <w:r>
              <w:rPr>
                <w:rFonts w:hint="eastAsia" w:ascii="宋体" w:hAnsi="宋体" w:eastAsia="宋体" w:cs="宋体"/>
                <w:b w:val="0"/>
                <w:bCs w:val="0"/>
                <w:color w:val="000000" w:themeColor="text1"/>
                <w:sz w:val="21"/>
                <w:szCs w:val="21"/>
                <w14:textFill>
                  <w14:solidFill>
                    <w14:schemeClr w14:val="tx1"/>
                  </w14:solidFill>
                </w14:textFill>
              </w:rPr>
              <w:t>、验收标准</w:t>
            </w:r>
          </w:p>
        </w:tc>
        <w:tc>
          <w:tcPr>
            <w:tcW w:w="1441" w:type="pct"/>
            <w:vAlign w:val="center"/>
          </w:tcPr>
          <w:p w14:paraId="7BD9FE52">
            <w:pPr>
              <w:wordWrap w:val="0"/>
              <w:jc w:val="center"/>
              <w:rPr>
                <w:rFonts w:ascii="宋体" w:hAnsi="宋体" w:cs="宋体"/>
                <w:color w:val="auto"/>
                <w:szCs w:val="21"/>
                <w:highlight w:val="none"/>
              </w:rPr>
            </w:pPr>
          </w:p>
        </w:tc>
        <w:tc>
          <w:tcPr>
            <w:tcW w:w="1199" w:type="pct"/>
            <w:vAlign w:val="center"/>
          </w:tcPr>
          <w:p w14:paraId="335A42FD">
            <w:pPr>
              <w:wordWrap w:val="0"/>
              <w:jc w:val="center"/>
              <w:rPr>
                <w:rFonts w:ascii="宋体" w:hAnsi="宋体" w:cs="宋体"/>
                <w:color w:val="auto"/>
                <w:szCs w:val="21"/>
                <w:highlight w:val="none"/>
              </w:rPr>
            </w:pPr>
          </w:p>
        </w:tc>
      </w:tr>
      <w:tr w14:paraId="375A0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388" w:type="pct"/>
            <w:vAlign w:val="center"/>
          </w:tcPr>
          <w:p w14:paraId="7A5DA95A">
            <w:pPr>
              <w:wordWrap w:val="0"/>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6</w:t>
            </w:r>
          </w:p>
        </w:tc>
        <w:tc>
          <w:tcPr>
            <w:tcW w:w="1970" w:type="pct"/>
            <w:shd w:val="clear" w:color="auto" w:fill="auto"/>
            <w:vAlign w:val="center"/>
          </w:tcPr>
          <w:p w14:paraId="7C088481">
            <w:pPr>
              <w:wordWrap w:val="0"/>
              <w:jc w:val="cente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用户需求书</w:t>
            </w:r>
          </w:p>
          <w:p w14:paraId="72492863">
            <w:pPr>
              <w:wordWrap w:val="0"/>
              <w:jc w:val="center"/>
              <w:rPr>
                <w:rFonts w:hint="default"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十</w:t>
            </w:r>
            <w:r>
              <w:rPr>
                <w:rFonts w:hint="eastAsia" w:ascii="宋体" w:hAnsi="宋体" w:eastAsia="宋体" w:cs="宋体"/>
                <w:b w:val="0"/>
                <w:bCs w:val="0"/>
                <w:color w:val="000000" w:themeColor="text1"/>
                <w:sz w:val="21"/>
                <w:szCs w:val="21"/>
                <w14:textFill>
                  <w14:solidFill>
                    <w14:schemeClr w14:val="tx1"/>
                  </w14:solidFill>
                </w14:textFill>
              </w:rPr>
              <w:t>、质量瑕疵的补救措施和索赔</w:t>
            </w:r>
          </w:p>
        </w:tc>
        <w:tc>
          <w:tcPr>
            <w:tcW w:w="1441" w:type="pct"/>
            <w:vAlign w:val="center"/>
          </w:tcPr>
          <w:p w14:paraId="08DCF702">
            <w:pPr>
              <w:wordWrap w:val="0"/>
              <w:jc w:val="center"/>
              <w:rPr>
                <w:rFonts w:ascii="宋体" w:hAnsi="宋体" w:cs="宋体"/>
                <w:color w:val="auto"/>
                <w:szCs w:val="21"/>
                <w:highlight w:val="none"/>
              </w:rPr>
            </w:pPr>
          </w:p>
        </w:tc>
        <w:tc>
          <w:tcPr>
            <w:tcW w:w="1199" w:type="pct"/>
            <w:vAlign w:val="center"/>
          </w:tcPr>
          <w:p w14:paraId="1812F55C">
            <w:pPr>
              <w:wordWrap w:val="0"/>
              <w:jc w:val="center"/>
              <w:rPr>
                <w:rFonts w:ascii="宋体" w:hAnsi="宋体" w:cs="宋体"/>
                <w:color w:val="auto"/>
                <w:szCs w:val="21"/>
                <w:highlight w:val="none"/>
              </w:rPr>
            </w:pPr>
          </w:p>
        </w:tc>
      </w:tr>
      <w:tr w14:paraId="78327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388" w:type="pct"/>
            <w:vAlign w:val="center"/>
          </w:tcPr>
          <w:p w14:paraId="04B3D9DC">
            <w:pPr>
              <w:wordWrap w:val="0"/>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7</w:t>
            </w:r>
          </w:p>
        </w:tc>
        <w:tc>
          <w:tcPr>
            <w:tcW w:w="1970" w:type="pct"/>
            <w:shd w:val="clear" w:color="auto" w:fill="auto"/>
            <w:vAlign w:val="center"/>
          </w:tcPr>
          <w:p w14:paraId="6F92DD05">
            <w:pPr>
              <w:wordWrap w:val="0"/>
              <w:jc w:val="cente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用户需求书</w:t>
            </w:r>
          </w:p>
          <w:p w14:paraId="1DCE31B1">
            <w:pPr>
              <w:wordWrap w:val="0"/>
              <w:jc w:val="center"/>
              <w:rPr>
                <w:rFonts w:hint="default"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十一</w:t>
            </w:r>
            <w:r>
              <w:rPr>
                <w:rFonts w:hint="eastAsia" w:ascii="宋体" w:hAnsi="宋体" w:eastAsia="宋体" w:cs="宋体"/>
                <w:b w:val="0"/>
                <w:bCs w:val="0"/>
                <w:color w:val="000000" w:themeColor="text1"/>
                <w:sz w:val="21"/>
                <w:szCs w:val="21"/>
                <w:lang w:val="en-US" w:eastAsia="zh-CN"/>
                <w14:textFill>
                  <w14:solidFill>
                    <w14:schemeClr w14:val="tx1"/>
                  </w14:solidFill>
                </w14:textFill>
              </w:rPr>
              <w:t>、</w:t>
            </w:r>
            <w:r>
              <w:rPr>
                <w:rFonts w:hint="eastAsia" w:ascii="宋体" w:hAnsi="宋体" w:eastAsia="宋体" w:cs="宋体"/>
                <w:b w:val="0"/>
                <w:bCs w:val="0"/>
                <w:color w:val="000000" w:themeColor="text1"/>
                <w:sz w:val="21"/>
                <w:szCs w:val="21"/>
                <w14:textFill>
                  <w14:solidFill>
                    <w14:schemeClr w14:val="tx1"/>
                  </w14:solidFill>
                </w14:textFill>
              </w:rPr>
              <w:t>迟延交货的违约责任</w:t>
            </w:r>
          </w:p>
        </w:tc>
        <w:tc>
          <w:tcPr>
            <w:tcW w:w="1441" w:type="pct"/>
            <w:vAlign w:val="center"/>
          </w:tcPr>
          <w:p w14:paraId="6A7BB093">
            <w:pPr>
              <w:wordWrap w:val="0"/>
              <w:jc w:val="center"/>
              <w:rPr>
                <w:rFonts w:ascii="宋体" w:hAnsi="宋体" w:cs="宋体"/>
                <w:color w:val="auto"/>
                <w:szCs w:val="21"/>
                <w:highlight w:val="none"/>
              </w:rPr>
            </w:pPr>
          </w:p>
          <w:p w14:paraId="5337D909">
            <w:pPr>
              <w:rPr>
                <w:color w:val="auto"/>
                <w:highlight w:val="none"/>
              </w:rPr>
            </w:pPr>
          </w:p>
        </w:tc>
        <w:tc>
          <w:tcPr>
            <w:tcW w:w="1199" w:type="pct"/>
            <w:vAlign w:val="center"/>
          </w:tcPr>
          <w:p w14:paraId="1B9115D1">
            <w:pPr>
              <w:wordWrap w:val="0"/>
              <w:jc w:val="center"/>
              <w:rPr>
                <w:rFonts w:ascii="宋体" w:hAnsi="宋体" w:cs="宋体"/>
                <w:color w:val="auto"/>
                <w:szCs w:val="21"/>
                <w:highlight w:val="none"/>
              </w:rPr>
            </w:pPr>
          </w:p>
        </w:tc>
      </w:tr>
    </w:tbl>
    <w:p w14:paraId="7D8C5D1E">
      <w:pPr>
        <w:wordWrap w:val="0"/>
        <w:adjustRightInd w:val="0"/>
        <w:snapToGrid w:val="0"/>
        <w:rPr>
          <w:rFonts w:hint="eastAsia" w:hAnsi="宋体" w:cs="宋体"/>
          <w:color w:val="auto"/>
          <w:szCs w:val="21"/>
          <w:highlight w:val="none"/>
          <w:u w:val="single"/>
        </w:rPr>
      </w:pPr>
    </w:p>
    <w:p w14:paraId="204DEF56">
      <w:pPr>
        <w:wordWrap w:val="0"/>
        <w:adjustRightInd w:val="0"/>
        <w:snapToGrid w:val="0"/>
        <w:rPr>
          <w:rFonts w:hint="eastAsia" w:hAnsi="宋体" w:cs="宋体"/>
          <w:color w:val="auto"/>
          <w:szCs w:val="21"/>
          <w:highlight w:val="none"/>
          <w:u w:val="single"/>
        </w:rPr>
      </w:pPr>
    </w:p>
    <w:p w14:paraId="03CC0740">
      <w:pPr>
        <w:wordWrap w:val="0"/>
        <w:spacing w:line="360" w:lineRule="auto"/>
        <w:rPr>
          <w:rFonts w:hAnsi="宋体" w:cs="宋体"/>
          <w:b/>
          <w:color w:val="auto"/>
          <w:szCs w:val="21"/>
          <w:highlight w:val="none"/>
        </w:rPr>
      </w:pPr>
      <w:r>
        <w:rPr>
          <w:rFonts w:hint="eastAsia" w:hAnsi="宋体" w:cs="宋体"/>
          <w:b/>
          <w:color w:val="auto"/>
          <w:szCs w:val="21"/>
          <w:highlight w:val="none"/>
        </w:rPr>
        <w:t>备注：</w:t>
      </w:r>
    </w:p>
    <w:p w14:paraId="3A8B7502">
      <w:pPr>
        <w:wordWrap w:val="0"/>
        <w:spacing w:line="360" w:lineRule="auto"/>
        <w:rPr>
          <w:rFonts w:hAnsi="宋体" w:cs="宋体"/>
          <w:b/>
          <w:color w:val="auto"/>
          <w:szCs w:val="21"/>
          <w:highlight w:val="none"/>
        </w:rPr>
      </w:pPr>
      <w:r>
        <w:rPr>
          <w:rFonts w:hint="eastAsia" w:hAnsi="宋体" w:cs="宋体"/>
          <w:b/>
          <w:color w:val="auto"/>
          <w:szCs w:val="21"/>
          <w:highlight w:val="none"/>
        </w:rPr>
        <w:t>1、“招标文件实质性条款号及内容”栏中所列内容均为实质性条款，投标文件对实质性条款的响应存在缺项、漏项或者任意一项不响应招标文件的，投标将被否决。</w:t>
      </w:r>
    </w:p>
    <w:p w14:paraId="2AF43C03">
      <w:pPr>
        <w:wordWrap w:val="0"/>
        <w:spacing w:line="360" w:lineRule="auto"/>
        <w:rPr>
          <w:rFonts w:hAnsi="宋体" w:cs="宋体"/>
          <w:color w:val="auto"/>
          <w:szCs w:val="21"/>
          <w:highlight w:val="none"/>
        </w:rPr>
      </w:pPr>
      <w:r>
        <w:rPr>
          <w:rFonts w:hint="eastAsia" w:hAnsi="宋体" w:cs="宋体"/>
          <w:b/>
          <w:color w:val="auto"/>
          <w:szCs w:val="21"/>
          <w:highlight w:val="none"/>
        </w:rPr>
        <w:t>2、“投标文件响应条款号及内容”格式可以自行扩展，如需附页，附页内容须加盖投标人单位公章。</w:t>
      </w:r>
    </w:p>
    <w:p w14:paraId="19C41F4C">
      <w:pPr>
        <w:wordWrap w:val="0"/>
        <w:spacing w:line="360" w:lineRule="auto"/>
        <w:rPr>
          <w:rFonts w:hAnsi="宋体" w:cs="宋体"/>
          <w:color w:val="auto"/>
          <w:szCs w:val="21"/>
          <w:highlight w:val="none"/>
        </w:rPr>
      </w:pPr>
    </w:p>
    <w:p w14:paraId="2B53714B">
      <w:pPr>
        <w:wordWrap w:val="0"/>
        <w:spacing w:line="360" w:lineRule="auto"/>
        <w:rPr>
          <w:rFonts w:hAnsi="宋体" w:cs="宋体"/>
          <w:color w:val="auto"/>
          <w:szCs w:val="21"/>
          <w:highlight w:val="none"/>
        </w:rPr>
      </w:pPr>
    </w:p>
    <w:p w14:paraId="388F3605">
      <w:pPr>
        <w:pStyle w:val="63"/>
        <w:wordWrap w:val="0"/>
        <w:rPr>
          <w:color w:val="auto"/>
          <w:highlight w:val="none"/>
        </w:rPr>
      </w:pPr>
    </w:p>
    <w:p w14:paraId="64B46056">
      <w:pPr>
        <w:wordWrap w:val="0"/>
        <w:spacing w:line="360" w:lineRule="auto"/>
        <w:rPr>
          <w:rFonts w:hAnsi="宋体" w:cs="宋体"/>
          <w:color w:val="auto"/>
          <w:szCs w:val="21"/>
          <w:highlight w:val="none"/>
          <w:u w:val="single"/>
        </w:rPr>
      </w:pPr>
      <w:r>
        <w:rPr>
          <w:rFonts w:hint="eastAsia" w:hAnsi="宋体" w:cs="宋体"/>
          <w:color w:val="auto"/>
          <w:szCs w:val="21"/>
          <w:highlight w:val="none"/>
        </w:rPr>
        <w:t>投标人：</w:t>
      </w:r>
      <w:r>
        <w:rPr>
          <w:rFonts w:hint="eastAsia" w:hAnsi="宋体" w:cs="宋体"/>
          <w:color w:val="auto"/>
          <w:szCs w:val="21"/>
          <w:highlight w:val="none"/>
          <w:u w:val="single"/>
        </w:rPr>
        <w:t xml:space="preserve">                  </w:t>
      </w:r>
      <w:r>
        <w:rPr>
          <w:rFonts w:hint="eastAsia" w:hAnsi="宋体" w:cs="宋体"/>
          <w:color w:val="auto"/>
          <w:szCs w:val="21"/>
          <w:highlight w:val="none"/>
        </w:rPr>
        <w:t>（盖单位公章）</w:t>
      </w:r>
    </w:p>
    <w:p w14:paraId="75A603B7">
      <w:pPr>
        <w:tabs>
          <w:tab w:val="center" w:pos="4365"/>
        </w:tabs>
        <w:wordWrap w:val="0"/>
        <w:spacing w:line="360" w:lineRule="auto"/>
        <w:rPr>
          <w:rFonts w:hAnsi="宋体" w:cs="宋体"/>
          <w:color w:val="auto"/>
          <w:szCs w:val="21"/>
          <w:highlight w:val="none"/>
        </w:rPr>
      </w:pPr>
      <w:r>
        <w:rPr>
          <w:rFonts w:hint="eastAsia" w:hAnsi="宋体" w:cs="宋体"/>
          <w:bCs/>
          <w:color w:val="auto"/>
          <w:szCs w:val="21"/>
          <w:highlight w:val="none"/>
          <w:u w:val="single"/>
        </w:rPr>
        <w:t xml:space="preserve">     </w:t>
      </w:r>
      <w:r>
        <w:rPr>
          <w:rFonts w:hint="eastAsia" w:hAnsi="宋体" w:cs="宋体"/>
          <w:bCs/>
          <w:color w:val="auto"/>
          <w:szCs w:val="21"/>
          <w:highlight w:val="none"/>
        </w:rPr>
        <w:t>年</w:t>
      </w:r>
      <w:r>
        <w:rPr>
          <w:rFonts w:hint="eastAsia" w:hAnsi="宋体" w:cs="宋体"/>
          <w:bCs/>
          <w:color w:val="auto"/>
          <w:szCs w:val="21"/>
          <w:highlight w:val="none"/>
          <w:u w:val="single"/>
        </w:rPr>
        <w:t xml:space="preserve">    </w:t>
      </w:r>
      <w:r>
        <w:rPr>
          <w:rFonts w:hint="eastAsia" w:hAnsi="宋体" w:cs="宋体"/>
          <w:bCs/>
          <w:color w:val="auto"/>
          <w:szCs w:val="21"/>
          <w:highlight w:val="none"/>
        </w:rPr>
        <w:t>月</w:t>
      </w:r>
      <w:r>
        <w:rPr>
          <w:rFonts w:hint="eastAsia" w:hAnsi="宋体" w:cs="宋体"/>
          <w:bCs/>
          <w:color w:val="auto"/>
          <w:szCs w:val="21"/>
          <w:highlight w:val="none"/>
          <w:u w:val="single"/>
        </w:rPr>
        <w:t xml:space="preserve">     </w:t>
      </w:r>
      <w:r>
        <w:rPr>
          <w:rFonts w:hint="eastAsia" w:hAnsi="宋体" w:cs="宋体"/>
          <w:bCs/>
          <w:color w:val="auto"/>
          <w:szCs w:val="21"/>
          <w:highlight w:val="none"/>
        </w:rPr>
        <w:t>日</w:t>
      </w:r>
    </w:p>
    <w:p w14:paraId="5CD41B63">
      <w:pPr>
        <w:wordWrap/>
        <w:spacing w:before="0" w:line="240" w:lineRule="auto"/>
        <w:jc w:val="left"/>
        <w:outlineLvl w:val="9"/>
        <w:rPr>
          <w:rFonts w:hint="eastAsia" w:hAnsi="宋体" w:cs="宋体"/>
          <w:b/>
          <w:color w:val="auto"/>
          <w:sz w:val="28"/>
          <w:szCs w:val="28"/>
          <w:highlight w:val="none"/>
          <w:lang w:eastAsia="zh-CN"/>
        </w:rPr>
      </w:pPr>
      <w:r>
        <w:rPr>
          <w:rFonts w:hint="eastAsia" w:hAnsi="宋体" w:cs="宋体"/>
          <w:b/>
          <w:color w:val="auto"/>
          <w:sz w:val="28"/>
          <w:szCs w:val="28"/>
          <w:highlight w:val="none"/>
          <w:lang w:eastAsia="zh-CN"/>
        </w:rPr>
        <w:br w:type="page"/>
      </w:r>
    </w:p>
    <w:p w14:paraId="5981F235">
      <w:pPr>
        <w:wordWrap w:val="0"/>
        <w:spacing w:line="360" w:lineRule="auto"/>
        <w:jc w:val="center"/>
        <w:outlineLvl w:val="1"/>
        <w:rPr>
          <w:rFonts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lang w:val="en-US" w:eastAsia="zh-CN"/>
        </w:rPr>
        <w:t>九</w:t>
      </w:r>
      <w:r>
        <w:rPr>
          <w:rFonts w:hint="eastAsia" w:ascii="Calibri" w:hAnsi="宋体" w:cs="宋体"/>
          <w:b/>
          <w:snapToGrid w:val="0"/>
          <w:color w:val="auto"/>
          <w:kern w:val="0"/>
          <w:sz w:val="28"/>
          <w:szCs w:val="28"/>
          <w:highlight w:val="none"/>
        </w:rPr>
        <w:t>、商务和技术偏差表</w:t>
      </w:r>
    </w:p>
    <w:p w14:paraId="49743552">
      <w:pPr>
        <w:wordWrap w:val="0"/>
        <w:adjustRightInd w:val="0"/>
        <w:snapToGrid w:val="0"/>
        <w:rPr>
          <w:rFonts w:hint="eastAsia" w:ascii="Times New Roman" w:hAnsi="宋体" w:eastAsia="宋体" w:cs="宋体"/>
          <w:b/>
          <w:bCs/>
          <w:color w:val="auto"/>
          <w:szCs w:val="21"/>
          <w:highlight w:val="none"/>
          <w:lang w:eastAsia="zh-CN"/>
        </w:rPr>
      </w:pPr>
      <w:r>
        <w:rPr>
          <w:rFonts w:hint="eastAsia" w:hAnsi="宋体" w:cs="宋体"/>
          <w:b/>
          <w:bCs/>
          <w:color w:val="auto"/>
          <w:szCs w:val="21"/>
          <w:highlight w:val="none"/>
        </w:rPr>
        <w:t>项目名称</w:t>
      </w:r>
      <w:r>
        <w:rPr>
          <w:rFonts w:hint="eastAsia" w:ascii="Times New Roman" w:hAnsi="宋体" w:eastAsia="宋体" w:cs="宋体"/>
          <w:b/>
          <w:bCs/>
          <w:color w:val="auto"/>
          <w:szCs w:val="21"/>
          <w:highlight w:val="none"/>
        </w:rPr>
        <w:t>：</w:t>
      </w:r>
      <w:r>
        <w:rPr>
          <w:rFonts w:hint="eastAsia" w:ascii="Times New Roman" w:hAnsi="宋体" w:eastAsia="宋体" w:cs="宋体"/>
          <w:b/>
          <w:bCs/>
          <w:color w:val="auto"/>
          <w:szCs w:val="21"/>
          <w:highlight w:val="none"/>
          <w:lang w:val="en-US" w:eastAsia="zh-CN"/>
        </w:rPr>
        <w:t>2026-2028年员工食堂劳务外包、物资供应项目</w:t>
      </w:r>
      <w:r>
        <w:rPr>
          <w:rFonts w:hint="eastAsia" w:hAnsi="宋体" w:cs="宋体"/>
          <w:b/>
          <w:bCs/>
          <w:color w:val="auto"/>
          <w:szCs w:val="21"/>
          <w:highlight w:val="none"/>
          <w:u w:val="single"/>
          <w:lang w:val="en-US" w:eastAsia="zh-CN"/>
        </w:rPr>
        <w:t xml:space="preserve">     </w:t>
      </w:r>
      <w:r>
        <w:rPr>
          <w:rFonts w:hint="eastAsia" w:hAnsi="宋体" w:cs="宋体"/>
          <w:b/>
          <w:bCs/>
          <w:color w:val="auto"/>
          <w:szCs w:val="21"/>
          <w:highlight w:val="none"/>
          <w:u w:val="none"/>
          <w:lang w:val="en-US" w:eastAsia="zh-CN"/>
        </w:rPr>
        <w:t>标段</w:t>
      </w:r>
    </w:p>
    <w:tbl>
      <w:tblPr>
        <w:tblStyle w:val="6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31"/>
        <w:gridCol w:w="3251"/>
        <w:gridCol w:w="3407"/>
        <w:gridCol w:w="1134"/>
        <w:gridCol w:w="1029"/>
      </w:tblGrid>
      <w:tr w14:paraId="7743B0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7" w:hRule="exact"/>
        </w:trPr>
        <w:tc>
          <w:tcPr>
            <w:tcW w:w="477" w:type="pct"/>
            <w:vAlign w:val="center"/>
          </w:tcPr>
          <w:p w14:paraId="1B8E49B9">
            <w:pPr>
              <w:wordWrap w:val="0"/>
              <w:jc w:val="center"/>
              <w:rPr>
                <w:rFonts w:ascii="Calibri" w:hAnsi="Calibri"/>
                <w:b/>
                <w:color w:val="auto"/>
                <w:sz w:val="22"/>
                <w:szCs w:val="22"/>
                <w:highlight w:val="none"/>
              </w:rPr>
            </w:pPr>
            <w:r>
              <w:rPr>
                <w:rFonts w:hint="eastAsia" w:ascii="Calibri" w:hAnsi="Calibri"/>
                <w:b/>
                <w:color w:val="auto"/>
                <w:sz w:val="22"/>
                <w:szCs w:val="22"/>
                <w:highlight w:val="none"/>
              </w:rPr>
              <w:t>序号</w:t>
            </w:r>
          </w:p>
        </w:tc>
        <w:tc>
          <w:tcPr>
            <w:tcW w:w="1666" w:type="pct"/>
            <w:vAlign w:val="center"/>
          </w:tcPr>
          <w:p w14:paraId="43E08735">
            <w:pPr>
              <w:wordWrap w:val="0"/>
              <w:jc w:val="center"/>
              <w:rPr>
                <w:rFonts w:ascii="Calibri" w:hAnsi="Calibri"/>
                <w:b/>
                <w:color w:val="auto"/>
                <w:sz w:val="22"/>
                <w:szCs w:val="22"/>
                <w:highlight w:val="none"/>
              </w:rPr>
            </w:pPr>
            <w:r>
              <w:rPr>
                <w:rFonts w:hint="eastAsia" w:ascii="Calibri" w:hAnsi="Calibri"/>
                <w:b/>
                <w:color w:val="auto"/>
                <w:sz w:val="22"/>
                <w:szCs w:val="22"/>
                <w:highlight w:val="none"/>
              </w:rPr>
              <w:t>招标文件章节及条款号</w:t>
            </w:r>
          </w:p>
        </w:tc>
        <w:tc>
          <w:tcPr>
            <w:tcW w:w="1746" w:type="pct"/>
            <w:vAlign w:val="center"/>
          </w:tcPr>
          <w:p w14:paraId="415E6B69">
            <w:pPr>
              <w:wordWrap w:val="0"/>
              <w:jc w:val="center"/>
              <w:rPr>
                <w:rFonts w:ascii="Calibri" w:hAnsi="Calibri"/>
                <w:b/>
                <w:color w:val="auto"/>
                <w:sz w:val="22"/>
                <w:szCs w:val="22"/>
                <w:highlight w:val="none"/>
              </w:rPr>
            </w:pPr>
            <w:r>
              <w:rPr>
                <w:rFonts w:hint="eastAsia" w:ascii="Calibri" w:hAnsi="Calibri"/>
                <w:b/>
                <w:color w:val="auto"/>
                <w:sz w:val="22"/>
                <w:szCs w:val="22"/>
                <w:highlight w:val="none"/>
              </w:rPr>
              <w:t>投标文件章节及条款号</w:t>
            </w:r>
          </w:p>
        </w:tc>
        <w:tc>
          <w:tcPr>
            <w:tcW w:w="581" w:type="pct"/>
            <w:tcBorders>
              <w:right w:val="single" w:color="auto" w:sz="4" w:space="0"/>
            </w:tcBorders>
            <w:vAlign w:val="center"/>
          </w:tcPr>
          <w:p w14:paraId="5EAE010E">
            <w:pPr>
              <w:wordWrap w:val="0"/>
              <w:jc w:val="center"/>
              <w:rPr>
                <w:rFonts w:ascii="Calibri" w:hAnsi="Calibri"/>
                <w:b/>
                <w:color w:val="auto"/>
                <w:sz w:val="22"/>
                <w:szCs w:val="22"/>
                <w:highlight w:val="none"/>
              </w:rPr>
            </w:pPr>
            <w:r>
              <w:rPr>
                <w:rFonts w:hint="eastAsia" w:ascii="Calibri" w:hAnsi="Calibri"/>
                <w:b/>
                <w:color w:val="auto"/>
                <w:sz w:val="22"/>
                <w:szCs w:val="22"/>
                <w:highlight w:val="none"/>
              </w:rPr>
              <w:t>响应/偏差</w:t>
            </w:r>
          </w:p>
        </w:tc>
        <w:tc>
          <w:tcPr>
            <w:tcW w:w="527" w:type="pct"/>
            <w:tcBorders>
              <w:left w:val="single" w:color="auto" w:sz="4" w:space="0"/>
            </w:tcBorders>
            <w:vAlign w:val="center"/>
          </w:tcPr>
          <w:p w14:paraId="57FBE1AB">
            <w:pPr>
              <w:wordWrap w:val="0"/>
              <w:jc w:val="center"/>
              <w:rPr>
                <w:rFonts w:ascii="Calibri" w:hAnsi="Calibri"/>
                <w:b/>
                <w:color w:val="auto"/>
                <w:sz w:val="22"/>
                <w:szCs w:val="22"/>
                <w:highlight w:val="none"/>
              </w:rPr>
            </w:pPr>
            <w:r>
              <w:rPr>
                <w:rFonts w:hint="eastAsia" w:ascii="Calibri" w:hAnsi="Calibri"/>
                <w:b/>
                <w:color w:val="auto"/>
                <w:sz w:val="22"/>
                <w:szCs w:val="22"/>
                <w:highlight w:val="none"/>
              </w:rPr>
              <w:t>说明</w:t>
            </w:r>
          </w:p>
        </w:tc>
      </w:tr>
      <w:tr w14:paraId="7E2BF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exact"/>
        </w:trPr>
        <w:tc>
          <w:tcPr>
            <w:tcW w:w="477" w:type="pct"/>
            <w:vAlign w:val="center"/>
          </w:tcPr>
          <w:p w14:paraId="7A19EED3">
            <w:pPr>
              <w:wordWrap w:val="0"/>
              <w:rPr>
                <w:rFonts w:ascii="Calibri" w:hAnsi="Calibri"/>
                <w:color w:val="auto"/>
                <w:sz w:val="22"/>
                <w:szCs w:val="22"/>
                <w:highlight w:val="none"/>
              </w:rPr>
            </w:pPr>
          </w:p>
          <w:p w14:paraId="3FA1ACD1">
            <w:pPr>
              <w:wordWrap w:val="0"/>
              <w:rPr>
                <w:rFonts w:ascii="Calibri" w:hAnsi="Calibri"/>
                <w:color w:val="auto"/>
                <w:sz w:val="22"/>
                <w:szCs w:val="22"/>
                <w:highlight w:val="none"/>
              </w:rPr>
            </w:pPr>
          </w:p>
        </w:tc>
        <w:tc>
          <w:tcPr>
            <w:tcW w:w="1666" w:type="pct"/>
            <w:vAlign w:val="center"/>
          </w:tcPr>
          <w:p w14:paraId="10734B81">
            <w:pPr>
              <w:wordWrap w:val="0"/>
              <w:rPr>
                <w:rFonts w:ascii="Calibri" w:hAnsi="Calibri"/>
                <w:color w:val="auto"/>
                <w:sz w:val="22"/>
                <w:szCs w:val="22"/>
                <w:highlight w:val="none"/>
              </w:rPr>
            </w:pPr>
          </w:p>
        </w:tc>
        <w:tc>
          <w:tcPr>
            <w:tcW w:w="1746" w:type="pct"/>
            <w:vAlign w:val="center"/>
          </w:tcPr>
          <w:p w14:paraId="21309AF5">
            <w:pPr>
              <w:wordWrap w:val="0"/>
              <w:rPr>
                <w:rFonts w:ascii="Calibri" w:hAnsi="Calibri"/>
                <w:color w:val="auto"/>
                <w:sz w:val="22"/>
                <w:szCs w:val="22"/>
                <w:highlight w:val="none"/>
              </w:rPr>
            </w:pPr>
          </w:p>
        </w:tc>
        <w:tc>
          <w:tcPr>
            <w:tcW w:w="581" w:type="pct"/>
            <w:tcBorders>
              <w:right w:val="single" w:color="auto" w:sz="4" w:space="0"/>
            </w:tcBorders>
            <w:vAlign w:val="center"/>
          </w:tcPr>
          <w:p w14:paraId="79DA886D">
            <w:pPr>
              <w:wordWrap w:val="0"/>
              <w:rPr>
                <w:rFonts w:ascii="Calibri" w:hAnsi="Calibri"/>
                <w:color w:val="auto"/>
                <w:sz w:val="22"/>
                <w:szCs w:val="22"/>
                <w:highlight w:val="none"/>
              </w:rPr>
            </w:pPr>
          </w:p>
        </w:tc>
        <w:tc>
          <w:tcPr>
            <w:tcW w:w="527" w:type="pct"/>
            <w:tcBorders>
              <w:left w:val="single" w:color="auto" w:sz="4" w:space="0"/>
            </w:tcBorders>
            <w:vAlign w:val="center"/>
          </w:tcPr>
          <w:p w14:paraId="6FFC7AD1">
            <w:pPr>
              <w:wordWrap w:val="0"/>
              <w:rPr>
                <w:rFonts w:ascii="Calibri" w:hAnsi="Calibri"/>
                <w:color w:val="auto"/>
                <w:sz w:val="22"/>
                <w:szCs w:val="22"/>
                <w:highlight w:val="none"/>
              </w:rPr>
            </w:pPr>
          </w:p>
        </w:tc>
      </w:tr>
      <w:tr w14:paraId="07A2D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477" w:type="pct"/>
            <w:vAlign w:val="center"/>
          </w:tcPr>
          <w:p w14:paraId="57914FCB">
            <w:pPr>
              <w:wordWrap w:val="0"/>
              <w:rPr>
                <w:rFonts w:ascii="Calibri" w:hAnsi="Calibri"/>
                <w:color w:val="auto"/>
                <w:sz w:val="22"/>
                <w:szCs w:val="22"/>
                <w:highlight w:val="none"/>
              </w:rPr>
            </w:pPr>
          </w:p>
          <w:p w14:paraId="12D3F183">
            <w:pPr>
              <w:wordWrap w:val="0"/>
              <w:rPr>
                <w:rFonts w:ascii="Calibri" w:hAnsi="Calibri"/>
                <w:color w:val="auto"/>
                <w:sz w:val="22"/>
                <w:szCs w:val="22"/>
                <w:highlight w:val="none"/>
              </w:rPr>
            </w:pPr>
          </w:p>
        </w:tc>
        <w:tc>
          <w:tcPr>
            <w:tcW w:w="1666" w:type="pct"/>
            <w:vAlign w:val="center"/>
          </w:tcPr>
          <w:p w14:paraId="3F0E05A4">
            <w:pPr>
              <w:wordWrap w:val="0"/>
              <w:rPr>
                <w:rFonts w:ascii="Calibri" w:hAnsi="Calibri"/>
                <w:color w:val="auto"/>
                <w:sz w:val="22"/>
                <w:szCs w:val="22"/>
                <w:highlight w:val="none"/>
              </w:rPr>
            </w:pPr>
          </w:p>
        </w:tc>
        <w:tc>
          <w:tcPr>
            <w:tcW w:w="1746" w:type="pct"/>
            <w:vAlign w:val="center"/>
          </w:tcPr>
          <w:p w14:paraId="5555A243">
            <w:pPr>
              <w:wordWrap w:val="0"/>
              <w:rPr>
                <w:rFonts w:ascii="Calibri" w:hAnsi="Calibri"/>
                <w:color w:val="auto"/>
                <w:sz w:val="22"/>
                <w:szCs w:val="22"/>
                <w:highlight w:val="none"/>
              </w:rPr>
            </w:pPr>
          </w:p>
        </w:tc>
        <w:tc>
          <w:tcPr>
            <w:tcW w:w="581" w:type="pct"/>
            <w:tcBorders>
              <w:right w:val="single" w:color="auto" w:sz="4" w:space="0"/>
            </w:tcBorders>
            <w:vAlign w:val="center"/>
          </w:tcPr>
          <w:p w14:paraId="78C90830">
            <w:pPr>
              <w:wordWrap w:val="0"/>
              <w:rPr>
                <w:rFonts w:ascii="Calibri" w:hAnsi="Calibri"/>
                <w:color w:val="auto"/>
                <w:sz w:val="22"/>
                <w:szCs w:val="22"/>
                <w:highlight w:val="none"/>
              </w:rPr>
            </w:pPr>
          </w:p>
        </w:tc>
        <w:tc>
          <w:tcPr>
            <w:tcW w:w="527" w:type="pct"/>
            <w:tcBorders>
              <w:left w:val="single" w:color="auto" w:sz="4" w:space="0"/>
            </w:tcBorders>
            <w:vAlign w:val="center"/>
          </w:tcPr>
          <w:p w14:paraId="6E68C4AB">
            <w:pPr>
              <w:wordWrap w:val="0"/>
              <w:rPr>
                <w:rFonts w:ascii="Calibri" w:hAnsi="Calibri"/>
                <w:color w:val="auto"/>
                <w:sz w:val="22"/>
                <w:szCs w:val="22"/>
                <w:highlight w:val="none"/>
              </w:rPr>
            </w:pPr>
          </w:p>
        </w:tc>
      </w:tr>
      <w:tr w14:paraId="344F2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477" w:type="pct"/>
            <w:vAlign w:val="center"/>
          </w:tcPr>
          <w:p w14:paraId="5B871BCC">
            <w:pPr>
              <w:wordWrap w:val="0"/>
              <w:rPr>
                <w:rFonts w:ascii="Calibri" w:hAnsi="Calibri"/>
                <w:color w:val="auto"/>
                <w:sz w:val="22"/>
                <w:szCs w:val="22"/>
                <w:highlight w:val="none"/>
              </w:rPr>
            </w:pPr>
          </w:p>
          <w:p w14:paraId="1716C881">
            <w:pPr>
              <w:wordWrap w:val="0"/>
              <w:rPr>
                <w:rFonts w:ascii="Calibri" w:hAnsi="Calibri"/>
                <w:color w:val="auto"/>
                <w:sz w:val="22"/>
                <w:szCs w:val="22"/>
                <w:highlight w:val="none"/>
              </w:rPr>
            </w:pPr>
          </w:p>
        </w:tc>
        <w:tc>
          <w:tcPr>
            <w:tcW w:w="1666" w:type="pct"/>
            <w:vAlign w:val="center"/>
          </w:tcPr>
          <w:p w14:paraId="3B6E19C7">
            <w:pPr>
              <w:wordWrap w:val="0"/>
              <w:rPr>
                <w:rFonts w:ascii="Calibri" w:hAnsi="Calibri"/>
                <w:color w:val="auto"/>
                <w:sz w:val="22"/>
                <w:szCs w:val="22"/>
                <w:highlight w:val="none"/>
              </w:rPr>
            </w:pPr>
          </w:p>
        </w:tc>
        <w:tc>
          <w:tcPr>
            <w:tcW w:w="1746" w:type="pct"/>
            <w:vAlign w:val="center"/>
          </w:tcPr>
          <w:p w14:paraId="1B6FDD26">
            <w:pPr>
              <w:wordWrap w:val="0"/>
              <w:rPr>
                <w:rFonts w:ascii="Calibri" w:hAnsi="Calibri"/>
                <w:color w:val="auto"/>
                <w:sz w:val="22"/>
                <w:szCs w:val="22"/>
                <w:highlight w:val="none"/>
              </w:rPr>
            </w:pPr>
          </w:p>
        </w:tc>
        <w:tc>
          <w:tcPr>
            <w:tcW w:w="581" w:type="pct"/>
            <w:tcBorders>
              <w:right w:val="single" w:color="auto" w:sz="4" w:space="0"/>
            </w:tcBorders>
            <w:vAlign w:val="center"/>
          </w:tcPr>
          <w:p w14:paraId="56F1A44C">
            <w:pPr>
              <w:wordWrap w:val="0"/>
              <w:rPr>
                <w:rFonts w:ascii="Calibri" w:hAnsi="Calibri"/>
                <w:color w:val="auto"/>
                <w:sz w:val="22"/>
                <w:szCs w:val="22"/>
                <w:highlight w:val="none"/>
              </w:rPr>
            </w:pPr>
          </w:p>
        </w:tc>
        <w:tc>
          <w:tcPr>
            <w:tcW w:w="527" w:type="pct"/>
            <w:tcBorders>
              <w:left w:val="single" w:color="auto" w:sz="4" w:space="0"/>
            </w:tcBorders>
            <w:vAlign w:val="center"/>
          </w:tcPr>
          <w:p w14:paraId="6A66C88E">
            <w:pPr>
              <w:wordWrap w:val="0"/>
              <w:rPr>
                <w:rFonts w:ascii="Calibri" w:hAnsi="Calibri"/>
                <w:color w:val="auto"/>
                <w:sz w:val="22"/>
                <w:szCs w:val="22"/>
                <w:highlight w:val="none"/>
              </w:rPr>
            </w:pPr>
          </w:p>
        </w:tc>
      </w:tr>
      <w:tr w14:paraId="48448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477" w:type="pct"/>
            <w:vAlign w:val="center"/>
          </w:tcPr>
          <w:p w14:paraId="56DC9D1C">
            <w:pPr>
              <w:wordWrap w:val="0"/>
              <w:rPr>
                <w:rFonts w:ascii="Calibri" w:hAnsi="Calibri"/>
                <w:color w:val="auto"/>
                <w:sz w:val="22"/>
                <w:szCs w:val="22"/>
                <w:highlight w:val="none"/>
              </w:rPr>
            </w:pPr>
          </w:p>
          <w:p w14:paraId="2E724269">
            <w:pPr>
              <w:wordWrap w:val="0"/>
              <w:rPr>
                <w:rFonts w:ascii="Calibri" w:hAnsi="Calibri"/>
                <w:color w:val="auto"/>
                <w:sz w:val="22"/>
                <w:szCs w:val="22"/>
                <w:highlight w:val="none"/>
              </w:rPr>
            </w:pPr>
          </w:p>
        </w:tc>
        <w:tc>
          <w:tcPr>
            <w:tcW w:w="1666" w:type="pct"/>
            <w:vAlign w:val="center"/>
          </w:tcPr>
          <w:p w14:paraId="3156F222">
            <w:pPr>
              <w:wordWrap w:val="0"/>
              <w:rPr>
                <w:rFonts w:ascii="Calibri" w:hAnsi="Calibri"/>
                <w:color w:val="auto"/>
                <w:sz w:val="22"/>
                <w:szCs w:val="22"/>
                <w:highlight w:val="none"/>
              </w:rPr>
            </w:pPr>
          </w:p>
        </w:tc>
        <w:tc>
          <w:tcPr>
            <w:tcW w:w="1746" w:type="pct"/>
            <w:vAlign w:val="center"/>
          </w:tcPr>
          <w:p w14:paraId="5501382A">
            <w:pPr>
              <w:wordWrap w:val="0"/>
              <w:rPr>
                <w:rFonts w:ascii="Calibri" w:hAnsi="Calibri"/>
                <w:color w:val="auto"/>
                <w:sz w:val="22"/>
                <w:szCs w:val="22"/>
                <w:highlight w:val="none"/>
              </w:rPr>
            </w:pPr>
          </w:p>
        </w:tc>
        <w:tc>
          <w:tcPr>
            <w:tcW w:w="581" w:type="pct"/>
            <w:tcBorders>
              <w:right w:val="single" w:color="auto" w:sz="4" w:space="0"/>
            </w:tcBorders>
            <w:vAlign w:val="center"/>
          </w:tcPr>
          <w:p w14:paraId="53666C9D">
            <w:pPr>
              <w:wordWrap w:val="0"/>
              <w:rPr>
                <w:rFonts w:ascii="Calibri" w:hAnsi="Calibri"/>
                <w:color w:val="auto"/>
                <w:sz w:val="22"/>
                <w:szCs w:val="22"/>
                <w:highlight w:val="none"/>
              </w:rPr>
            </w:pPr>
          </w:p>
        </w:tc>
        <w:tc>
          <w:tcPr>
            <w:tcW w:w="527" w:type="pct"/>
            <w:tcBorders>
              <w:left w:val="single" w:color="auto" w:sz="4" w:space="0"/>
            </w:tcBorders>
            <w:vAlign w:val="center"/>
          </w:tcPr>
          <w:p w14:paraId="3A1C4AEA">
            <w:pPr>
              <w:wordWrap w:val="0"/>
              <w:rPr>
                <w:rFonts w:ascii="Calibri" w:hAnsi="Calibri"/>
                <w:color w:val="auto"/>
                <w:sz w:val="22"/>
                <w:szCs w:val="22"/>
                <w:highlight w:val="none"/>
              </w:rPr>
            </w:pPr>
          </w:p>
        </w:tc>
      </w:tr>
      <w:tr w14:paraId="347CC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trPr>
        <w:tc>
          <w:tcPr>
            <w:tcW w:w="477" w:type="pct"/>
            <w:vAlign w:val="center"/>
          </w:tcPr>
          <w:p w14:paraId="4F76C388">
            <w:pPr>
              <w:wordWrap w:val="0"/>
              <w:rPr>
                <w:rFonts w:ascii="Calibri" w:hAnsi="Calibri"/>
                <w:color w:val="auto"/>
                <w:sz w:val="22"/>
                <w:szCs w:val="22"/>
                <w:highlight w:val="none"/>
              </w:rPr>
            </w:pPr>
          </w:p>
          <w:p w14:paraId="3EEAF926">
            <w:pPr>
              <w:wordWrap w:val="0"/>
              <w:rPr>
                <w:rFonts w:ascii="Calibri" w:hAnsi="Calibri"/>
                <w:color w:val="auto"/>
                <w:sz w:val="22"/>
                <w:szCs w:val="22"/>
                <w:highlight w:val="none"/>
              </w:rPr>
            </w:pPr>
          </w:p>
        </w:tc>
        <w:tc>
          <w:tcPr>
            <w:tcW w:w="1666" w:type="pct"/>
            <w:vAlign w:val="center"/>
          </w:tcPr>
          <w:p w14:paraId="482303BD">
            <w:pPr>
              <w:wordWrap w:val="0"/>
              <w:rPr>
                <w:rFonts w:ascii="Calibri" w:hAnsi="Calibri"/>
                <w:color w:val="auto"/>
                <w:sz w:val="22"/>
                <w:szCs w:val="22"/>
                <w:highlight w:val="none"/>
              </w:rPr>
            </w:pPr>
          </w:p>
        </w:tc>
        <w:tc>
          <w:tcPr>
            <w:tcW w:w="1746" w:type="pct"/>
            <w:vAlign w:val="center"/>
          </w:tcPr>
          <w:p w14:paraId="39C0C423">
            <w:pPr>
              <w:wordWrap w:val="0"/>
              <w:rPr>
                <w:rFonts w:ascii="Calibri" w:hAnsi="Calibri"/>
                <w:color w:val="auto"/>
                <w:sz w:val="22"/>
                <w:szCs w:val="22"/>
                <w:highlight w:val="none"/>
              </w:rPr>
            </w:pPr>
          </w:p>
        </w:tc>
        <w:tc>
          <w:tcPr>
            <w:tcW w:w="581" w:type="pct"/>
            <w:tcBorders>
              <w:right w:val="single" w:color="auto" w:sz="4" w:space="0"/>
            </w:tcBorders>
            <w:vAlign w:val="center"/>
          </w:tcPr>
          <w:p w14:paraId="6AE285D3">
            <w:pPr>
              <w:wordWrap w:val="0"/>
              <w:rPr>
                <w:rFonts w:ascii="Calibri" w:hAnsi="Calibri"/>
                <w:color w:val="auto"/>
                <w:sz w:val="22"/>
                <w:szCs w:val="22"/>
                <w:highlight w:val="none"/>
              </w:rPr>
            </w:pPr>
          </w:p>
        </w:tc>
        <w:tc>
          <w:tcPr>
            <w:tcW w:w="527" w:type="pct"/>
            <w:tcBorders>
              <w:left w:val="single" w:color="auto" w:sz="4" w:space="0"/>
            </w:tcBorders>
            <w:vAlign w:val="center"/>
          </w:tcPr>
          <w:p w14:paraId="19F20247">
            <w:pPr>
              <w:wordWrap w:val="0"/>
              <w:rPr>
                <w:rFonts w:ascii="Calibri" w:hAnsi="Calibri"/>
                <w:color w:val="auto"/>
                <w:sz w:val="22"/>
                <w:szCs w:val="22"/>
                <w:highlight w:val="none"/>
              </w:rPr>
            </w:pPr>
          </w:p>
        </w:tc>
      </w:tr>
      <w:tr w14:paraId="4FD672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exact"/>
        </w:trPr>
        <w:tc>
          <w:tcPr>
            <w:tcW w:w="477" w:type="pct"/>
            <w:vAlign w:val="center"/>
          </w:tcPr>
          <w:p w14:paraId="11E53C7A">
            <w:pPr>
              <w:wordWrap w:val="0"/>
              <w:rPr>
                <w:rFonts w:ascii="Calibri" w:hAnsi="Calibri"/>
                <w:color w:val="auto"/>
                <w:sz w:val="22"/>
                <w:szCs w:val="22"/>
                <w:highlight w:val="none"/>
              </w:rPr>
            </w:pPr>
          </w:p>
          <w:p w14:paraId="02340070">
            <w:pPr>
              <w:wordWrap w:val="0"/>
              <w:rPr>
                <w:rFonts w:ascii="Calibri" w:hAnsi="Calibri"/>
                <w:color w:val="auto"/>
                <w:sz w:val="22"/>
                <w:szCs w:val="22"/>
                <w:highlight w:val="none"/>
              </w:rPr>
            </w:pPr>
            <w:r>
              <w:rPr>
                <w:rFonts w:ascii="Calibri" w:hAnsi="Calibri"/>
                <w:color w:val="auto"/>
                <w:sz w:val="22"/>
                <w:szCs w:val="22"/>
                <w:highlight w:val="none"/>
              </w:rPr>
              <w:t>……</w:t>
            </w:r>
          </w:p>
        </w:tc>
        <w:tc>
          <w:tcPr>
            <w:tcW w:w="1666" w:type="pct"/>
            <w:vAlign w:val="center"/>
          </w:tcPr>
          <w:p w14:paraId="105D3B9D">
            <w:pPr>
              <w:wordWrap w:val="0"/>
              <w:rPr>
                <w:rFonts w:ascii="Calibri" w:hAnsi="Calibri"/>
                <w:color w:val="auto"/>
                <w:sz w:val="22"/>
                <w:szCs w:val="22"/>
                <w:highlight w:val="none"/>
              </w:rPr>
            </w:pPr>
          </w:p>
        </w:tc>
        <w:tc>
          <w:tcPr>
            <w:tcW w:w="1746" w:type="pct"/>
            <w:vAlign w:val="center"/>
          </w:tcPr>
          <w:p w14:paraId="02828266">
            <w:pPr>
              <w:wordWrap w:val="0"/>
              <w:rPr>
                <w:rFonts w:ascii="Calibri" w:hAnsi="Calibri"/>
                <w:color w:val="auto"/>
                <w:sz w:val="22"/>
                <w:szCs w:val="22"/>
                <w:highlight w:val="none"/>
              </w:rPr>
            </w:pPr>
          </w:p>
        </w:tc>
        <w:tc>
          <w:tcPr>
            <w:tcW w:w="581" w:type="pct"/>
            <w:tcBorders>
              <w:right w:val="single" w:color="auto" w:sz="4" w:space="0"/>
            </w:tcBorders>
            <w:vAlign w:val="center"/>
          </w:tcPr>
          <w:p w14:paraId="3FF8D02B">
            <w:pPr>
              <w:wordWrap w:val="0"/>
              <w:rPr>
                <w:rFonts w:ascii="Calibri" w:hAnsi="Calibri"/>
                <w:color w:val="auto"/>
                <w:sz w:val="22"/>
                <w:szCs w:val="22"/>
                <w:highlight w:val="none"/>
              </w:rPr>
            </w:pPr>
          </w:p>
        </w:tc>
        <w:tc>
          <w:tcPr>
            <w:tcW w:w="527" w:type="pct"/>
            <w:tcBorders>
              <w:left w:val="single" w:color="auto" w:sz="4" w:space="0"/>
            </w:tcBorders>
            <w:vAlign w:val="center"/>
          </w:tcPr>
          <w:p w14:paraId="6D3A30AB">
            <w:pPr>
              <w:wordWrap w:val="0"/>
              <w:rPr>
                <w:rFonts w:ascii="Calibri" w:hAnsi="Calibri"/>
                <w:color w:val="auto"/>
                <w:sz w:val="22"/>
                <w:szCs w:val="22"/>
                <w:highlight w:val="none"/>
              </w:rPr>
            </w:pPr>
          </w:p>
        </w:tc>
      </w:tr>
    </w:tbl>
    <w:p w14:paraId="4DA79D8D">
      <w:pPr>
        <w:wordWrap w:val="0"/>
        <w:spacing w:line="360" w:lineRule="auto"/>
        <w:rPr>
          <w:rFonts w:hAnsi="宋体" w:cs="宋体"/>
          <w:color w:val="auto"/>
          <w:szCs w:val="21"/>
          <w:highlight w:val="none"/>
        </w:rPr>
      </w:pPr>
      <w:r>
        <w:rPr>
          <w:rFonts w:hint="eastAsia" w:hAnsi="宋体" w:cs="宋体"/>
          <w:b/>
          <w:color w:val="auto"/>
          <w:szCs w:val="21"/>
          <w:highlight w:val="none"/>
        </w:rPr>
        <w:t>备注：</w:t>
      </w:r>
      <w:r>
        <w:rPr>
          <w:rFonts w:hint="eastAsia" w:hAnsi="宋体" w:cs="宋体"/>
          <w:color w:val="auto"/>
          <w:szCs w:val="21"/>
          <w:highlight w:val="none"/>
        </w:rPr>
        <w:t>1、按招标文件规定，投标人在本表中仅列明对非实质性要求和条件的有偏差的内容。</w:t>
      </w:r>
    </w:p>
    <w:p w14:paraId="6F80B999">
      <w:pPr>
        <w:wordWrap w:val="0"/>
        <w:spacing w:line="360" w:lineRule="auto"/>
        <w:ind w:firstLine="630" w:firstLineChars="300"/>
        <w:rPr>
          <w:rFonts w:hAnsi="宋体" w:cs="宋体"/>
          <w:color w:val="auto"/>
          <w:szCs w:val="21"/>
          <w:highlight w:val="none"/>
        </w:rPr>
      </w:pPr>
      <w:r>
        <w:rPr>
          <w:rFonts w:hint="eastAsia" w:hAnsi="宋体" w:cs="宋体"/>
          <w:color w:val="auto"/>
          <w:szCs w:val="21"/>
          <w:highlight w:val="none"/>
        </w:rPr>
        <w:t>2、除本表列明的偏差内容外，视为投标人响应招标文件的全部要求和条件。若投标文件中有偏差内容未在本表中列明的，评标委员会有权</w:t>
      </w:r>
      <w:r>
        <w:rPr>
          <w:rFonts w:hint="eastAsia" w:hAnsi="宋体" w:cs="宋体"/>
          <w:b/>
          <w:bCs/>
          <w:color w:val="auto"/>
          <w:szCs w:val="21"/>
          <w:highlight w:val="none"/>
        </w:rPr>
        <w:t>否决</w:t>
      </w:r>
      <w:r>
        <w:rPr>
          <w:rFonts w:hint="eastAsia" w:hAnsi="宋体" w:cs="宋体"/>
          <w:color w:val="auto"/>
          <w:szCs w:val="21"/>
          <w:highlight w:val="none"/>
        </w:rPr>
        <w:t>其投标或招标人有权取消其中标资格。</w:t>
      </w:r>
    </w:p>
    <w:p w14:paraId="22D2FC11">
      <w:pPr>
        <w:wordWrap w:val="0"/>
        <w:spacing w:line="360" w:lineRule="auto"/>
        <w:ind w:firstLine="630" w:firstLineChars="300"/>
        <w:rPr>
          <w:rFonts w:hAnsi="宋体" w:cs="宋体"/>
          <w:color w:val="auto"/>
          <w:szCs w:val="21"/>
          <w:highlight w:val="none"/>
        </w:rPr>
      </w:pPr>
      <w:r>
        <w:rPr>
          <w:rFonts w:hint="eastAsia" w:hAnsi="宋体" w:cs="宋体"/>
          <w:color w:val="auto"/>
          <w:szCs w:val="21"/>
          <w:highlight w:val="none"/>
        </w:rPr>
        <w:t>3、若投标人完全响应招标文件商务、技术要求，无任何偏差内容，应在本表“偏差说明”中注明“完全响应，无偏差”，其他内容无须填写。</w:t>
      </w:r>
    </w:p>
    <w:p w14:paraId="669DE479">
      <w:pPr>
        <w:wordWrap w:val="0"/>
        <w:spacing w:line="360" w:lineRule="auto"/>
        <w:rPr>
          <w:rFonts w:hAnsi="宋体" w:cs="宋体"/>
          <w:color w:val="auto"/>
          <w:szCs w:val="21"/>
          <w:highlight w:val="none"/>
        </w:rPr>
      </w:pPr>
    </w:p>
    <w:p w14:paraId="1372332B">
      <w:pPr>
        <w:wordWrap w:val="0"/>
        <w:spacing w:line="360" w:lineRule="auto"/>
        <w:rPr>
          <w:rFonts w:hAnsi="宋体" w:cs="宋体"/>
          <w:color w:val="auto"/>
          <w:szCs w:val="21"/>
          <w:highlight w:val="none"/>
        </w:rPr>
      </w:pPr>
    </w:p>
    <w:p w14:paraId="6B5A205A">
      <w:pPr>
        <w:wordWrap w:val="0"/>
        <w:spacing w:line="360" w:lineRule="auto"/>
        <w:rPr>
          <w:rFonts w:hAnsi="宋体" w:cs="宋体"/>
          <w:color w:val="auto"/>
          <w:szCs w:val="21"/>
          <w:highlight w:val="none"/>
        </w:rPr>
      </w:pPr>
    </w:p>
    <w:p w14:paraId="11BA44C0">
      <w:pPr>
        <w:wordWrap w:val="0"/>
        <w:spacing w:line="360" w:lineRule="auto"/>
        <w:outlineLvl w:val="9"/>
        <w:rPr>
          <w:rFonts w:hAnsi="宋体" w:cs="宋体"/>
          <w:color w:val="auto"/>
          <w:szCs w:val="21"/>
          <w:highlight w:val="none"/>
          <w:u w:val="single"/>
        </w:rPr>
      </w:pPr>
      <w:r>
        <w:rPr>
          <w:rFonts w:hint="eastAsia" w:hAnsi="宋体" w:cs="宋体"/>
          <w:color w:val="auto"/>
          <w:szCs w:val="21"/>
          <w:highlight w:val="none"/>
        </w:rPr>
        <w:t>投标人：</w:t>
      </w:r>
      <w:r>
        <w:rPr>
          <w:rFonts w:hint="eastAsia" w:hAnsi="宋体" w:cs="宋体"/>
          <w:color w:val="auto"/>
          <w:szCs w:val="21"/>
          <w:highlight w:val="none"/>
          <w:u w:val="single"/>
        </w:rPr>
        <w:t xml:space="preserve">                  </w:t>
      </w:r>
      <w:r>
        <w:rPr>
          <w:rFonts w:hint="eastAsia" w:hAnsi="宋体" w:cs="宋体"/>
          <w:color w:val="auto"/>
          <w:szCs w:val="21"/>
          <w:highlight w:val="none"/>
        </w:rPr>
        <w:t>（盖单位公章）</w:t>
      </w:r>
    </w:p>
    <w:p w14:paraId="128459FD">
      <w:pPr>
        <w:wordWrap w:val="0"/>
        <w:spacing w:line="360" w:lineRule="auto"/>
        <w:jc w:val="both"/>
        <w:outlineLvl w:val="9"/>
        <w:rPr>
          <w:rFonts w:hint="eastAsia" w:hAnsi="宋体" w:cs="宋体"/>
          <w:bCs/>
          <w:color w:val="auto"/>
          <w:szCs w:val="21"/>
          <w:highlight w:val="none"/>
        </w:rPr>
      </w:pPr>
      <w:r>
        <w:rPr>
          <w:rFonts w:hint="eastAsia" w:hAnsi="宋体" w:cs="宋体"/>
          <w:bCs/>
          <w:color w:val="auto"/>
          <w:szCs w:val="21"/>
          <w:highlight w:val="none"/>
          <w:u w:val="single"/>
        </w:rPr>
        <w:t xml:space="preserve">     </w:t>
      </w:r>
      <w:r>
        <w:rPr>
          <w:rFonts w:hint="eastAsia" w:hAnsi="宋体" w:cs="宋体"/>
          <w:bCs/>
          <w:color w:val="auto"/>
          <w:szCs w:val="21"/>
          <w:highlight w:val="none"/>
        </w:rPr>
        <w:t>年</w:t>
      </w:r>
      <w:r>
        <w:rPr>
          <w:rFonts w:hint="eastAsia" w:hAnsi="宋体" w:cs="宋体"/>
          <w:bCs/>
          <w:color w:val="auto"/>
          <w:szCs w:val="21"/>
          <w:highlight w:val="none"/>
          <w:u w:val="single"/>
        </w:rPr>
        <w:t xml:space="preserve">    </w:t>
      </w:r>
      <w:r>
        <w:rPr>
          <w:rFonts w:hint="eastAsia" w:hAnsi="宋体" w:cs="宋体"/>
          <w:bCs/>
          <w:color w:val="auto"/>
          <w:szCs w:val="21"/>
          <w:highlight w:val="none"/>
        </w:rPr>
        <w:t>月</w:t>
      </w:r>
      <w:r>
        <w:rPr>
          <w:rFonts w:hint="eastAsia" w:hAnsi="宋体" w:cs="宋体"/>
          <w:bCs/>
          <w:color w:val="auto"/>
          <w:szCs w:val="21"/>
          <w:highlight w:val="none"/>
          <w:u w:val="single"/>
        </w:rPr>
        <w:t xml:space="preserve">     </w:t>
      </w:r>
      <w:r>
        <w:rPr>
          <w:rFonts w:hint="eastAsia" w:hAnsi="宋体" w:cs="宋体"/>
          <w:bCs/>
          <w:color w:val="auto"/>
          <w:szCs w:val="21"/>
          <w:highlight w:val="none"/>
        </w:rPr>
        <w:t>日</w:t>
      </w:r>
    </w:p>
    <w:p w14:paraId="0D0D75A8">
      <w:pPr>
        <w:rPr>
          <w:rFonts w:hint="eastAsia"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rPr>
        <w:br w:type="page"/>
      </w:r>
    </w:p>
    <w:p w14:paraId="326FE37F">
      <w:pPr>
        <w:wordWrap w:val="0"/>
        <w:spacing w:line="360" w:lineRule="auto"/>
        <w:jc w:val="center"/>
        <w:outlineLvl w:val="1"/>
        <w:rPr>
          <w:rFonts w:ascii="Calibri" w:hAnsi="宋体" w:cs="宋体"/>
          <w:b/>
          <w:snapToGrid w:val="0"/>
          <w:color w:val="auto"/>
          <w:kern w:val="0"/>
          <w:sz w:val="28"/>
          <w:szCs w:val="28"/>
          <w:highlight w:val="none"/>
        </w:rPr>
      </w:pPr>
      <w:r>
        <w:rPr>
          <w:rFonts w:hint="eastAsia" w:ascii="Calibri" w:hAnsi="宋体" w:cs="宋体"/>
          <w:b/>
          <w:snapToGrid w:val="0"/>
          <w:color w:val="auto"/>
          <w:kern w:val="0"/>
          <w:sz w:val="28"/>
          <w:szCs w:val="28"/>
          <w:highlight w:val="none"/>
        </w:rPr>
        <w:t>十、</w:t>
      </w:r>
      <w:r>
        <w:rPr>
          <w:rFonts w:hint="eastAsia" w:ascii="Calibri" w:hAnsi="宋体" w:cs="宋体"/>
          <w:b/>
          <w:snapToGrid w:val="0"/>
          <w:color w:val="auto"/>
          <w:kern w:val="0"/>
          <w:sz w:val="28"/>
          <w:szCs w:val="28"/>
          <w:highlight w:val="none"/>
          <w:lang w:val="en-US" w:eastAsia="zh-CN"/>
        </w:rPr>
        <w:t>投标人类似业绩</w:t>
      </w:r>
    </w:p>
    <w:p w14:paraId="605B1674">
      <w:pPr>
        <w:wordWrap w:val="0"/>
        <w:adjustRightInd w:val="0"/>
        <w:snapToGrid w:val="0"/>
        <w:spacing w:line="360" w:lineRule="auto"/>
        <w:rPr>
          <w:rFonts w:hint="eastAsia" w:ascii="宋体" w:hAnsi="宋体" w:eastAsia="宋体" w:cs="宋体"/>
          <w:b/>
          <w:bCs/>
          <w:color w:val="auto"/>
          <w:szCs w:val="21"/>
          <w:highlight w:val="none"/>
          <w:lang w:eastAsia="zh-CN"/>
        </w:rPr>
      </w:pPr>
      <w:r>
        <w:rPr>
          <w:rFonts w:hint="eastAsia" w:hAnsi="宋体" w:cs="宋体"/>
          <w:b/>
          <w:bCs/>
          <w:color w:val="auto"/>
          <w:szCs w:val="21"/>
          <w:highlight w:val="none"/>
        </w:rPr>
        <w:t>项目名称：</w:t>
      </w:r>
      <w:r>
        <w:rPr>
          <w:rFonts w:hint="eastAsia" w:ascii="Times New Roman" w:hAnsi="宋体" w:eastAsia="宋体" w:cs="宋体"/>
          <w:b/>
          <w:bCs/>
          <w:color w:val="auto"/>
          <w:szCs w:val="21"/>
          <w:highlight w:val="none"/>
          <w:lang w:val="en-US" w:eastAsia="zh-CN"/>
        </w:rPr>
        <w:t>2026-2028年员工食堂劳务外包、物资供应项目</w:t>
      </w:r>
      <w:r>
        <w:rPr>
          <w:rFonts w:hint="eastAsia" w:hAnsi="宋体" w:cs="宋体"/>
          <w:b/>
          <w:bCs/>
          <w:color w:val="auto"/>
          <w:szCs w:val="21"/>
          <w:highlight w:val="none"/>
          <w:u w:val="single"/>
          <w:lang w:val="en-US" w:eastAsia="zh-CN"/>
        </w:rPr>
        <w:t xml:space="preserve">     </w:t>
      </w:r>
      <w:r>
        <w:rPr>
          <w:rFonts w:hint="eastAsia" w:hAnsi="宋体" w:cs="宋体"/>
          <w:b/>
          <w:bCs/>
          <w:color w:val="auto"/>
          <w:szCs w:val="21"/>
          <w:highlight w:val="none"/>
          <w:u w:val="none"/>
          <w:lang w:val="en-US" w:eastAsia="zh-CN"/>
        </w:rPr>
        <w:t>标段</w:t>
      </w:r>
    </w:p>
    <w:tbl>
      <w:tblPr>
        <w:tblStyle w:val="64"/>
        <w:tblW w:w="1014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97"/>
        <w:gridCol w:w="2210"/>
        <w:gridCol w:w="1887"/>
        <w:gridCol w:w="1791"/>
        <w:gridCol w:w="1657"/>
        <w:gridCol w:w="1006"/>
      </w:tblGrid>
      <w:tr w14:paraId="14E7952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46" w:hRule="atLeast"/>
          <w:jc w:val="center"/>
        </w:trPr>
        <w:tc>
          <w:tcPr>
            <w:tcW w:w="1597" w:type="dxa"/>
            <w:tcBorders>
              <w:tl2br w:val="nil"/>
              <w:tr2bl w:val="nil"/>
            </w:tcBorders>
            <w:vAlign w:val="center"/>
          </w:tcPr>
          <w:p w14:paraId="33E93F68">
            <w:pPr>
              <w:ind w:left="315" w:leftChars="0" w:right="-10" w:rightChars="-5" w:hanging="315" w:hangingChars="150"/>
              <w:jc w:val="center"/>
              <w:rPr>
                <w:rFonts w:ascii="Times New Roman" w:hAnsi="宋体" w:eastAsia="宋体" w:cs="宋体"/>
                <w:color w:val="auto"/>
                <w:szCs w:val="21"/>
                <w:highlight w:val="none"/>
              </w:rPr>
            </w:pPr>
            <w:r>
              <w:rPr>
                <w:rFonts w:hint="eastAsia" w:ascii="宋体" w:hAnsi="宋体" w:cs="宋体"/>
                <w:color w:val="auto"/>
                <w:szCs w:val="21"/>
                <w:highlight w:val="none"/>
              </w:rPr>
              <w:t>项目名称</w:t>
            </w:r>
          </w:p>
        </w:tc>
        <w:tc>
          <w:tcPr>
            <w:tcW w:w="2210" w:type="dxa"/>
            <w:tcBorders>
              <w:tl2br w:val="nil"/>
              <w:tr2bl w:val="nil"/>
            </w:tcBorders>
            <w:vAlign w:val="center"/>
          </w:tcPr>
          <w:p w14:paraId="391A27AD">
            <w:pPr>
              <w:ind w:left="315" w:leftChars="0" w:right="-10" w:rightChars="-5" w:hanging="315" w:hangingChars="150"/>
              <w:jc w:val="center"/>
              <w:rPr>
                <w:rFonts w:ascii="Times New Roman" w:hAnsi="宋体" w:eastAsia="宋体" w:cs="宋体"/>
                <w:color w:val="auto"/>
                <w:szCs w:val="21"/>
                <w:highlight w:val="none"/>
              </w:rPr>
            </w:pPr>
            <w:r>
              <w:rPr>
                <w:rFonts w:hint="eastAsia" w:hAnsi="宋体" w:cs="宋体"/>
                <w:color w:val="auto"/>
                <w:szCs w:val="21"/>
                <w:highlight w:val="none"/>
              </w:rPr>
              <w:t>招标人名称</w:t>
            </w:r>
          </w:p>
        </w:tc>
        <w:tc>
          <w:tcPr>
            <w:tcW w:w="1887" w:type="dxa"/>
            <w:tcBorders>
              <w:tl2br w:val="nil"/>
              <w:tr2bl w:val="nil"/>
            </w:tcBorders>
            <w:vAlign w:val="center"/>
          </w:tcPr>
          <w:p w14:paraId="6FEB1892">
            <w:pPr>
              <w:ind w:left="315" w:leftChars="0" w:right="-10" w:rightChars="-5" w:hanging="315" w:hangingChars="150"/>
              <w:jc w:val="center"/>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业绩规模</w:t>
            </w:r>
          </w:p>
        </w:tc>
        <w:tc>
          <w:tcPr>
            <w:tcW w:w="1791" w:type="dxa"/>
            <w:tcBorders>
              <w:tl2br w:val="nil"/>
              <w:tr2bl w:val="nil"/>
            </w:tcBorders>
            <w:vAlign w:val="center"/>
          </w:tcPr>
          <w:p w14:paraId="6F3599E8">
            <w:pPr>
              <w:ind w:left="315" w:leftChars="0" w:right="-10" w:rightChars="-5" w:hanging="315" w:hangingChars="150"/>
              <w:jc w:val="center"/>
              <w:rPr>
                <w:rFonts w:hint="default" w:ascii="Times New Roman"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合同金额（元）</w:t>
            </w:r>
          </w:p>
        </w:tc>
        <w:tc>
          <w:tcPr>
            <w:tcW w:w="1657" w:type="dxa"/>
            <w:tcBorders>
              <w:tl2br w:val="nil"/>
              <w:tr2bl w:val="nil"/>
            </w:tcBorders>
            <w:vAlign w:val="center"/>
          </w:tcPr>
          <w:p w14:paraId="30C8F704">
            <w:pPr>
              <w:ind w:left="315" w:leftChars="0" w:right="-10" w:rightChars="-5" w:hanging="315" w:hangingChars="150"/>
              <w:jc w:val="center"/>
              <w:rPr>
                <w:rFonts w:ascii="Times New Roman" w:hAnsi="宋体" w:eastAsia="宋体" w:cs="宋体"/>
                <w:color w:val="auto"/>
                <w:szCs w:val="21"/>
                <w:highlight w:val="none"/>
              </w:rPr>
            </w:pPr>
            <w:r>
              <w:rPr>
                <w:rFonts w:hint="eastAsia" w:hAnsi="宋体" w:cs="宋体"/>
                <w:color w:val="auto"/>
                <w:szCs w:val="21"/>
                <w:highlight w:val="none"/>
              </w:rPr>
              <w:t>合同签订时间</w:t>
            </w:r>
          </w:p>
        </w:tc>
        <w:tc>
          <w:tcPr>
            <w:tcW w:w="1006" w:type="dxa"/>
            <w:tcBorders>
              <w:tl2br w:val="nil"/>
              <w:tr2bl w:val="nil"/>
            </w:tcBorders>
            <w:vAlign w:val="center"/>
          </w:tcPr>
          <w:p w14:paraId="17EBD9CA">
            <w:pPr>
              <w:ind w:left="315" w:leftChars="0" w:right="-10" w:rightChars="-5" w:hanging="315" w:hangingChars="150"/>
              <w:rPr>
                <w:rFonts w:hint="eastAsia" w:ascii="Times New Roman" w:hAnsi="宋体" w:eastAsia="宋体" w:cs="宋体"/>
                <w:color w:val="auto"/>
                <w:szCs w:val="21"/>
                <w:highlight w:val="none"/>
                <w:lang w:val="en-US" w:eastAsia="zh-CN"/>
              </w:rPr>
            </w:pPr>
            <w:r>
              <w:rPr>
                <w:rFonts w:hint="eastAsia" w:ascii="Times New Roman" w:hAnsi="宋体" w:eastAsia="宋体" w:cs="宋体"/>
                <w:color w:val="auto"/>
                <w:szCs w:val="21"/>
                <w:highlight w:val="none"/>
                <w:lang w:val="en-US" w:eastAsia="zh-CN"/>
              </w:rPr>
              <w:t>备注</w:t>
            </w:r>
          </w:p>
        </w:tc>
      </w:tr>
      <w:tr w14:paraId="53C19B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0148" w:type="dxa"/>
            <w:gridSpan w:val="6"/>
            <w:tcBorders>
              <w:tl2br w:val="nil"/>
              <w:tr2bl w:val="nil"/>
            </w:tcBorders>
            <w:vAlign w:val="center"/>
          </w:tcPr>
          <w:p w14:paraId="2B041FAF">
            <w:pPr>
              <w:wordWrap w:val="0"/>
              <w:jc w:val="both"/>
              <w:rPr>
                <w:rFonts w:hint="default" w:ascii="Times New Roman" w:hAnsi="宋体" w:eastAsia="宋体" w:cs="宋体"/>
                <w:color w:val="auto"/>
                <w:szCs w:val="21"/>
                <w:highlight w:val="none"/>
                <w:lang w:val="en-US" w:eastAsia="zh-CN"/>
              </w:rPr>
            </w:pPr>
            <w:r>
              <w:rPr>
                <w:rFonts w:hint="eastAsia" w:hAnsi="宋体" w:cs="宋体"/>
                <w:color w:val="auto"/>
                <w:szCs w:val="21"/>
                <w:highlight w:val="none"/>
                <w:lang w:val="en-US" w:eastAsia="zh-CN"/>
              </w:rPr>
              <w:t>一、投标人入围业绩</w:t>
            </w:r>
          </w:p>
        </w:tc>
      </w:tr>
      <w:tr w14:paraId="2EF01F4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97" w:type="dxa"/>
            <w:tcBorders>
              <w:tl2br w:val="nil"/>
              <w:tr2bl w:val="nil"/>
            </w:tcBorders>
            <w:vAlign w:val="center"/>
          </w:tcPr>
          <w:p w14:paraId="503E3FC5">
            <w:pPr>
              <w:wordWrap w:val="0"/>
              <w:jc w:val="center"/>
              <w:rPr>
                <w:rFonts w:ascii="Times New Roman" w:hAnsi="宋体" w:eastAsia="宋体" w:cs="宋体"/>
                <w:color w:val="auto"/>
                <w:szCs w:val="21"/>
                <w:highlight w:val="none"/>
              </w:rPr>
            </w:pPr>
          </w:p>
        </w:tc>
        <w:tc>
          <w:tcPr>
            <w:tcW w:w="2210" w:type="dxa"/>
            <w:tcBorders>
              <w:tl2br w:val="nil"/>
              <w:tr2bl w:val="nil"/>
            </w:tcBorders>
          </w:tcPr>
          <w:p w14:paraId="4C3855C4">
            <w:pPr>
              <w:wordWrap w:val="0"/>
              <w:jc w:val="center"/>
              <w:rPr>
                <w:rFonts w:ascii="Times New Roman" w:hAnsi="宋体" w:eastAsia="宋体" w:cs="宋体"/>
                <w:color w:val="auto"/>
                <w:szCs w:val="21"/>
                <w:highlight w:val="none"/>
              </w:rPr>
            </w:pPr>
          </w:p>
        </w:tc>
        <w:tc>
          <w:tcPr>
            <w:tcW w:w="1887" w:type="dxa"/>
            <w:tcBorders>
              <w:tl2br w:val="nil"/>
              <w:tr2bl w:val="nil"/>
            </w:tcBorders>
            <w:vAlign w:val="center"/>
          </w:tcPr>
          <w:p w14:paraId="5077A8FC">
            <w:pPr>
              <w:wordWrap w:val="0"/>
              <w:jc w:val="center"/>
              <w:rPr>
                <w:rFonts w:ascii="Times New Roman" w:hAnsi="宋体" w:eastAsia="宋体" w:cs="宋体"/>
                <w:color w:val="auto"/>
                <w:szCs w:val="21"/>
                <w:highlight w:val="none"/>
              </w:rPr>
            </w:pPr>
          </w:p>
        </w:tc>
        <w:tc>
          <w:tcPr>
            <w:tcW w:w="1791" w:type="dxa"/>
            <w:tcBorders>
              <w:tl2br w:val="nil"/>
              <w:tr2bl w:val="nil"/>
            </w:tcBorders>
            <w:vAlign w:val="center"/>
          </w:tcPr>
          <w:p w14:paraId="08DDED7E">
            <w:pPr>
              <w:wordWrap w:val="0"/>
              <w:jc w:val="center"/>
              <w:rPr>
                <w:rFonts w:ascii="Times New Roman" w:hAnsi="宋体" w:eastAsia="宋体" w:cs="宋体"/>
                <w:color w:val="auto"/>
                <w:szCs w:val="21"/>
                <w:highlight w:val="none"/>
              </w:rPr>
            </w:pPr>
          </w:p>
        </w:tc>
        <w:tc>
          <w:tcPr>
            <w:tcW w:w="1657" w:type="dxa"/>
            <w:tcBorders>
              <w:tl2br w:val="nil"/>
              <w:tr2bl w:val="nil"/>
            </w:tcBorders>
            <w:vAlign w:val="center"/>
          </w:tcPr>
          <w:p w14:paraId="4B4BF3FD">
            <w:pPr>
              <w:wordWrap w:val="0"/>
              <w:jc w:val="center"/>
              <w:rPr>
                <w:rFonts w:ascii="Times New Roman" w:hAnsi="宋体" w:eastAsia="宋体" w:cs="宋体"/>
                <w:color w:val="auto"/>
                <w:szCs w:val="21"/>
                <w:highlight w:val="none"/>
              </w:rPr>
            </w:pPr>
          </w:p>
        </w:tc>
        <w:tc>
          <w:tcPr>
            <w:tcW w:w="1006" w:type="dxa"/>
            <w:tcBorders>
              <w:tl2br w:val="nil"/>
              <w:tr2bl w:val="nil"/>
            </w:tcBorders>
          </w:tcPr>
          <w:p w14:paraId="1B5BEA61">
            <w:pPr>
              <w:wordWrap w:val="0"/>
              <w:jc w:val="center"/>
              <w:rPr>
                <w:rFonts w:ascii="Times New Roman" w:hAnsi="宋体" w:eastAsia="宋体" w:cs="宋体"/>
                <w:color w:val="auto"/>
                <w:szCs w:val="21"/>
                <w:highlight w:val="none"/>
              </w:rPr>
            </w:pPr>
          </w:p>
        </w:tc>
      </w:tr>
      <w:tr w14:paraId="2E8E47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97" w:type="dxa"/>
            <w:tcBorders>
              <w:tl2br w:val="nil"/>
              <w:tr2bl w:val="nil"/>
            </w:tcBorders>
            <w:vAlign w:val="center"/>
          </w:tcPr>
          <w:p w14:paraId="44DBE682">
            <w:pPr>
              <w:wordWrap w:val="0"/>
              <w:jc w:val="center"/>
              <w:rPr>
                <w:rFonts w:ascii="Times New Roman" w:hAnsi="宋体" w:eastAsia="宋体" w:cs="宋体"/>
                <w:color w:val="auto"/>
                <w:szCs w:val="21"/>
                <w:highlight w:val="none"/>
              </w:rPr>
            </w:pPr>
          </w:p>
        </w:tc>
        <w:tc>
          <w:tcPr>
            <w:tcW w:w="2210" w:type="dxa"/>
            <w:tcBorders>
              <w:tl2br w:val="nil"/>
              <w:tr2bl w:val="nil"/>
            </w:tcBorders>
          </w:tcPr>
          <w:p w14:paraId="0BEC280B">
            <w:pPr>
              <w:wordWrap w:val="0"/>
              <w:jc w:val="center"/>
              <w:rPr>
                <w:rFonts w:ascii="Times New Roman" w:hAnsi="宋体" w:eastAsia="宋体" w:cs="宋体"/>
                <w:color w:val="auto"/>
                <w:szCs w:val="21"/>
                <w:highlight w:val="none"/>
              </w:rPr>
            </w:pPr>
          </w:p>
        </w:tc>
        <w:tc>
          <w:tcPr>
            <w:tcW w:w="1887" w:type="dxa"/>
            <w:tcBorders>
              <w:tl2br w:val="nil"/>
              <w:tr2bl w:val="nil"/>
            </w:tcBorders>
            <w:vAlign w:val="center"/>
          </w:tcPr>
          <w:p w14:paraId="667DB486">
            <w:pPr>
              <w:wordWrap w:val="0"/>
              <w:jc w:val="center"/>
              <w:rPr>
                <w:rFonts w:ascii="Times New Roman" w:hAnsi="宋体" w:eastAsia="宋体" w:cs="宋体"/>
                <w:color w:val="auto"/>
                <w:szCs w:val="21"/>
                <w:highlight w:val="none"/>
              </w:rPr>
            </w:pPr>
          </w:p>
        </w:tc>
        <w:tc>
          <w:tcPr>
            <w:tcW w:w="1791" w:type="dxa"/>
            <w:tcBorders>
              <w:tl2br w:val="nil"/>
              <w:tr2bl w:val="nil"/>
            </w:tcBorders>
            <w:vAlign w:val="center"/>
          </w:tcPr>
          <w:p w14:paraId="023C0FC7">
            <w:pPr>
              <w:wordWrap w:val="0"/>
              <w:jc w:val="center"/>
              <w:rPr>
                <w:rFonts w:ascii="Times New Roman" w:hAnsi="宋体" w:eastAsia="宋体" w:cs="宋体"/>
                <w:color w:val="auto"/>
                <w:szCs w:val="21"/>
                <w:highlight w:val="none"/>
              </w:rPr>
            </w:pPr>
          </w:p>
        </w:tc>
        <w:tc>
          <w:tcPr>
            <w:tcW w:w="1657" w:type="dxa"/>
            <w:tcBorders>
              <w:tl2br w:val="nil"/>
              <w:tr2bl w:val="nil"/>
            </w:tcBorders>
            <w:vAlign w:val="center"/>
          </w:tcPr>
          <w:p w14:paraId="1EB8B2DA">
            <w:pPr>
              <w:wordWrap w:val="0"/>
              <w:jc w:val="center"/>
              <w:rPr>
                <w:rFonts w:ascii="Times New Roman" w:hAnsi="宋体" w:eastAsia="宋体" w:cs="宋体"/>
                <w:color w:val="auto"/>
                <w:szCs w:val="21"/>
                <w:highlight w:val="none"/>
              </w:rPr>
            </w:pPr>
          </w:p>
        </w:tc>
        <w:tc>
          <w:tcPr>
            <w:tcW w:w="1006" w:type="dxa"/>
            <w:tcBorders>
              <w:tl2br w:val="nil"/>
              <w:tr2bl w:val="nil"/>
            </w:tcBorders>
          </w:tcPr>
          <w:p w14:paraId="3F247E7F">
            <w:pPr>
              <w:wordWrap w:val="0"/>
              <w:jc w:val="center"/>
              <w:rPr>
                <w:rFonts w:ascii="Times New Roman" w:hAnsi="宋体" w:eastAsia="宋体" w:cs="宋体"/>
                <w:color w:val="auto"/>
                <w:szCs w:val="21"/>
                <w:highlight w:val="none"/>
              </w:rPr>
            </w:pPr>
          </w:p>
        </w:tc>
      </w:tr>
      <w:tr w14:paraId="0F31494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10148" w:type="dxa"/>
            <w:gridSpan w:val="6"/>
            <w:tcBorders>
              <w:tl2br w:val="nil"/>
              <w:tr2bl w:val="nil"/>
            </w:tcBorders>
            <w:vAlign w:val="center"/>
          </w:tcPr>
          <w:p w14:paraId="4C078057">
            <w:pPr>
              <w:wordWrap w:val="0"/>
              <w:jc w:val="both"/>
              <w:rPr>
                <w:rFonts w:hint="default" w:ascii="Times New Roman" w:hAnsi="宋体" w:eastAsia="宋体" w:cs="宋体"/>
                <w:color w:val="auto"/>
                <w:szCs w:val="21"/>
                <w:highlight w:val="none"/>
                <w:lang w:val="en-US" w:eastAsia="zh-CN"/>
              </w:rPr>
            </w:pPr>
            <w:r>
              <w:rPr>
                <w:rFonts w:hint="eastAsia" w:hAnsi="宋体" w:cs="宋体"/>
                <w:color w:val="auto"/>
                <w:szCs w:val="21"/>
                <w:highlight w:val="none"/>
                <w:lang w:val="en-US" w:eastAsia="zh-CN"/>
              </w:rPr>
              <w:t>二、投标人计分业绩</w:t>
            </w:r>
          </w:p>
        </w:tc>
      </w:tr>
      <w:tr w14:paraId="2A2563D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1597" w:type="dxa"/>
            <w:tcBorders>
              <w:tl2br w:val="nil"/>
              <w:tr2bl w:val="nil"/>
            </w:tcBorders>
            <w:vAlign w:val="center"/>
          </w:tcPr>
          <w:p w14:paraId="23B93442">
            <w:pPr>
              <w:wordWrap w:val="0"/>
              <w:jc w:val="center"/>
              <w:rPr>
                <w:rFonts w:ascii="Times New Roman" w:hAnsi="宋体" w:eastAsia="宋体" w:cs="宋体"/>
                <w:color w:val="auto"/>
                <w:szCs w:val="21"/>
                <w:highlight w:val="none"/>
              </w:rPr>
            </w:pPr>
          </w:p>
        </w:tc>
        <w:tc>
          <w:tcPr>
            <w:tcW w:w="2210" w:type="dxa"/>
            <w:tcBorders>
              <w:tl2br w:val="nil"/>
              <w:tr2bl w:val="nil"/>
            </w:tcBorders>
          </w:tcPr>
          <w:p w14:paraId="1F84E651">
            <w:pPr>
              <w:wordWrap w:val="0"/>
              <w:jc w:val="center"/>
              <w:rPr>
                <w:rFonts w:ascii="Times New Roman" w:hAnsi="宋体" w:eastAsia="宋体" w:cs="宋体"/>
                <w:color w:val="auto"/>
                <w:szCs w:val="21"/>
                <w:highlight w:val="none"/>
              </w:rPr>
            </w:pPr>
          </w:p>
        </w:tc>
        <w:tc>
          <w:tcPr>
            <w:tcW w:w="1887" w:type="dxa"/>
            <w:tcBorders>
              <w:tl2br w:val="nil"/>
              <w:tr2bl w:val="nil"/>
            </w:tcBorders>
            <w:vAlign w:val="center"/>
          </w:tcPr>
          <w:p w14:paraId="00561FFE">
            <w:pPr>
              <w:wordWrap w:val="0"/>
              <w:jc w:val="center"/>
              <w:rPr>
                <w:rFonts w:ascii="Times New Roman" w:hAnsi="宋体" w:eastAsia="宋体" w:cs="宋体"/>
                <w:color w:val="auto"/>
                <w:szCs w:val="21"/>
                <w:highlight w:val="none"/>
              </w:rPr>
            </w:pPr>
          </w:p>
        </w:tc>
        <w:tc>
          <w:tcPr>
            <w:tcW w:w="1791" w:type="dxa"/>
            <w:tcBorders>
              <w:tl2br w:val="nil"/>
              <w:tr2bl w:val="nil"/>
            </w:tcBorders>
            <w:vAlign w:val="center"/>
          </w:tcPr>
          <w:p w14:paraId="29673402">
            <w:pPr>
              <w:wordWrap w:val="0"/>
              <w:jc w:val="center"/>
              <w:rPr>
                <w:rFonts w:ascii="Times New Roman" w:hAnsi="宋体" w:eastAsia="宋体" w:cs="宋体"/>
                <w:color w:val="auto"/>
                <w:szCs w:val="21"/>
                <w:highlight w:val="none"/>
              </w:rPr>
            </w:pPr>
          </w:p>
        </w:tc>
        <w:tc>
          <w:tcPr>
            <w:tcW w:w="1657" w:type="dxa"/>
            <w:tcBorders>
              <w:tl2br w:val="nil"/>
              <w:tr2bl w:val="nil"/>
            </w:tcBorders>
            <w:vAlign w:val="center"/>
          </w:tcPr>
          <w:p w14:paraId="3AEB8BB3">
            <w:pPr>
              <w:wordWrap w:val="0"/>
              <w:jc w:val="center"/>
              <w:rPr>
                <w:rFonts w:ascii="Times New Roman" w:hAnsi="宋体" w:eastAsia="宋体" w:cs="宋体"/>
                <w:color w:val="auto"/>
                <w:szCs w:val="21"/>
                <w:highlight w:val="none"/>
              </w:rPr>
            </w:pPr>
          </w:p>
        </w:tc>
        <w:tc>
          <w:tcPr>
            <w:tcW w:w="1006" w:type="dxa"/>
            <w:tcBorders>
              <w:tl2br w:val="nil"/>
              <w:tr2bl w:val="nil"/>
            </w:tcBorders>
          </w:tcPr>
          <w:p w14:paraId="0AFB82F5">
            <w:pPr>
              <w:wordWrap w:val="0"/>
              <w:jc w:val="center"/>
              <w:rPr>
                <w:rFonts w:ascii="Times New Roman" w:hAnsi="宋体" w:eastAsia="宋体" w:cs="宋体"/>
                <w:color w:val="auto"/>
                <w:szCs w:val="21"/>
                <w:highlight w:val="none"/>
              </w:rPr>
            </w:pPr>
          </w:p>
        </w:tc>
      </w:tr>
      <w:tr w14:paraId="078E2A9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1597" w:type="dxa"/>
            <w:tcBorders>
              <w:tl2br w:val="nil"/>
              <w:tr2bl w:val="nil"/>
            </w:tcBorders>
            <w:vAlign w:val="center"/>
          </w:tcPr>
          <w:p w14:paraId="7D042BA8">
            <w:pPr>
              <w:wordWrap w:val="0"/>
              <w:jc w:val="center"/>
              <w:rPr>
                <w:rFonts w:ascii="Times New Roman" w:hAnsi="宋体" w:eastAsia="宋体" w:cs="宋体"/>
                <w:color w:val="auto"/>
                <w:szCs w:val="21"/>
                <w:highlight w:val="none"/>
              </w:rPr>
            </w:pPr>
          </w:p>
        </w:tc>
        <w:tc>
          <w:tcPr>
            <w:tcW w:w="2210" w:type="dxa"/>
            <w:tcBorders>
              <w:tl2br w:val="nil"/>
              <w:tr2bl w:val="nil"/>
            </w:tcBorders>
          </w:tcPr>
          <w:p w14:paraId="0505E2C4">
            <w:pPr>
              <w:wordWrap w:val="0"/>
              <w:jc w:val="center"/>
              <w:rPr>
                <w:rFonts w:ascii="Times New Roman" w:hAnsi="宋体" w:eastAsia="宋体" w:cs="宋体"/>
                <w:color w:val="auto"/>
                <w:szCs w:val="21"/>
                <w:highlight w:val="none"/>
              </w:rPr>
            </w:pPr>
          </w:p>
        </w:tc>
        <w:tc>
          <w:tcPr>
            <w:tcW w:w="1887" w:type="dxa"/>
            <w:tcBorders>
              <w:tl2br w:val="nil"/>
              <w:tr2bl w:val="nil"/>
            </w:tcBorders>
            <w:vAlign w:val="center"/>
          </w:tcPr>
          <w:p w14:paraId="0593D94D">
            <w:pPr>
              <w:wordWrap w:val="0"/>
              <w:jc w:val="center"/>
              <w:rPr>
                <w:rFonts w:ascii="Times New Roman" w:hAnsi="宋体" w:eastAsia="宋体" w:cs="宋体"/>
                <w:color w:val="auto"/>
                <w:szCs w:val="21"/>
                <w:highlight w:val="none"/>
              </w:rPr>
            </w:pPr>
          </w:p>
        </w:tc>
        <w:tc>
          <w:tcPr>
            <w:tcW w:w="1791" w:type="dxa"/>
            <w:tcBorders>
              <w:tl2br w:val="nil"/>
              <w:tr2bl w:val="nil"/>
            </w:tcBorders>
            <w:vAlign w:val="center"/>
          </w:tcPr>
          <w:p w14:paraId="1E0047CD">
            <w:pPr>
              <w:wordWrap w:val="0"/>
              <w:jc w:val="center"/>
              <w:rPr>
                <w:rFonts w:ascii="Times New Roman" w:hAnsi="宋体" w:eastAsia="宋体" w:cs="宋体"/>
                <w:color w:val="auto"/>
                <w:szCs w:val="21"/>
                <w:highlight w:val="none"/>
              </w:rPr>
            </w:pPr>
          </w:p>
        </w:tc>
        <w:tc>
          <w:tcPr>
            <w:tcW w:w="1657" w:type="dxa"/>
            <w:tcBorders>
              <w:tl2br w:val="nil"/>
              <w:tr2bl w:val="nil"/>
            </w:tcBorders>
            <w:vAlign w:val="center"/>
          </w:tcPr>
          <w:p w14:paraId="6C6506D5">
            <w:pPr>
              <w:wordWrap w:val="0"/>
              <w:jc w:val="center"/>
              <w:rPr>
                <w:rFonts w:ascii="Times New Roman" w:hAnsi="宋体" w:eastAsia="宋体" w:cs="宋体"/>
                <w:color w:val="auto"/>
                <w:szCs w:val="21"/>
                <w:highlight w:val="none"/>
              </w:rPr>
            </w:pPr>
          </w:p>
        </w:tc>
        <w:tc>
          <w:tcPr>
            <w:tcW w:w="1006" w:type="dxa"/>
            <w:tcBorders>
              <w:tl2br w:val="nil"/>
              <w:tr2bl w:val="nil"/>
            </w:tcBorders>
          </w:tcPr>
          <w:p w14:paraId="5B91E7DB">
            <w:pPr>
              <w:wordWrap w:val="0"/>
              <w:jc w:val="center"/>
              <w:rPr>
                <w:rFonts w:ascii="Times New Roman" w:hAnsi="宋体" w:eastAsia="宋体" w:cs="宋体"/>
                <w:color w:val="auto"/>
                <w:szCs w:val="21"/>
                <w:highlight w:val="none"/>
              </w:rPr>
            </w:pPr>
          </w:p>
        </w:tc>
      </w:tr>
    </w:tbl>
    <w:p w14:paraId="3C011036">
      <w:pPr>
        <w:wordWrap w:val="0"/>
        <w:adjustRightInd w:val="0"/>
        <w:snapToGrid w:val="0"/>
        <w:spacing w:line="360" w:lineRule="auto"/>
        <w:rPr>
          <w:rFonts w:hint="eastAsia" w:ascii="宋体" w:hAnsi="宋体" w:cs="宋体"/>
          <w:bCs/>
          <w:color w:val="auto"/>
          <w:szCs w:val="21"/>
          <w:highlight w:val="none"/>
        </w:rPr>
      </w:pPr>
    </w:p>
    <w:p w14:paraId="64EC8B1A">
      <w:pPr>
        <w:wordWrap w:val="0"/>
        <w:spacing w:line="360" w:lineRule="auto"/>
        <w:rPr>
          <w:rFonts w:ascii="宋体" w:hAnsi="宋体" w:cs="宋体"/>
          <w:bCs/>
          <w:color w:val="auto"/>
          <w:szCs w:val="21"/>
          <w:highlight w:val="none"/>
        </w:rPr>
      </w:pPr>
      <w:r>
        <w:rPr>
          <w:rFonts w:hint="eastAsia" w:hAnsi="宋体" w:cs="宋体"/>
          <w:b/>
          <w:color w:val="auto"/>
          <w:szCs w:val="21"/>
          <w:highlight w:val="none"/>
        </w:rPr>
        <w:t>注：</w:t>
      </w:r>
      <w:r>
        <w:rPr>
          <w:rFonts w:hint="eastAsia" w:ascii="宋体" w:hAnsi="宋体" w:cs="宋体"/>
          <w:bCs/>
          <w:color w:val="auto"/>
          <w:szCs w:val="21"/>
          <w:highlight w:val="none"/>
        </w:rPr>
        <w:t>1、投标人应将提交的业绩情况按上表格式进行汇总填写，本表情况应与投标文件中所述情况一致，如投标人未如实、详细、正确填写本表，所造成一切后果由投标人自行承担。</w:t>
      </w:r>
    </w:p>
    <w:p w14:paraId="3AD4C37D">
      <w:pPr>
        <w:wordWrap w:val="0"/>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2、投标人业绩须按招标文件要求提供相关业绩证明材料，本表后须附业绩证明材料，具体要求按招标文件执行。</w:t>
      </w:r>
    </w:p>
    <w:p w14:paraId="66704799">
      <w:pPr>
        <w:wordWrap w:val="0"/>
        <w:spacing w:line="360" w:lineRule="auto"/>
        <w:ind w:firstLine="420" w:firstLineChars="200"/>
        <w:rPr>
          <w:rFonts w:ascii="宋体" w:hAnsi="宋体" w:cs="宋体"/>
          <w:bCs/>
          <w:color w:val="auto"/>
          <w:szCs w:val="21"/>
          <w:highlight w:val="none"/>
        </w:rPr>
      </w:pPr>
      <w:r>
        <w:rPr>
          <w:rFonts w:ascii="宋体" w:hAnsi="宋体" w:cs="宋体"/>
          <w:bCs/>
          <w:color w:val="auto"/>
          <w:szCs w:val="21"/>
          <w:highlight w:val="none"/>
        </w:rPr>
        <w:t>3</w:t>
      </w:r>
      <w:r>
        <w:rPr>
          <w:rFonts w:hint="eastAsia" w:ascii="宋体" w:hAnsi="宋体" w:cs="宋体"/>
          <w:bCs/>
          <w:color w:val="auto"/>
          <w:szCs w:val="21"/>
          <w:highlight w:val="none"/>
        </w:rPr>
        <w:t>、投标人必须将各项内容填写在投标文件各自相对应的目录中，未按要求填写的，相应责任由投标人自行承担。</w:t>
      </w:r>
    </w:p>
    <w:p w14:paraId="49C5FB7C">
      <w:pPr>
        <w:wordWrap w:val="0"/>
        <w:spacing w:after="120" w:line="360" w:lineRule="auto"/>
        <w:rPr>
          <w:color w:val="auto"/>
          <w:highlight w:val="none"/>
        </w:rPr>
      </w:pPr>
    </w:p>
    <w:p w14:paraId="1C715BCF">
      <w:pPr>
        <w:wordWrap w:val="0"/>
        <w:spacing w:line="360" w:lineRule="auto"/>
        <w:rPr>
          <w:rFonts w:hAnsi="宋体" w:cs="宋体"/>
          <w:color w:val="auto"/>
          <w:szCs w:val="21"/>
          <w:highlight w:val="none"/>
          <w:u w:val="single"/>
        </w:rPr>
      </w:pPr>
      <w:r>
        <w:rPr>
          <w:rFonts w:hint="eastAsia" w:hAnsi="宋体" w:cs="宋体"/>
          <w:color w:val="auto"/>
          <w:szCs w:val="21"/>
          <w:highlight w:val="none"/>
        </w:rPr>
        <w:t>投标人：</w:t>
      </w:r>
      <w:r>
        <w:rPr>
          <w:rFonts w:hint="eastAsia" w:hAnsi="宋体" w:cs="宋体"/>
          <w:color w:val="auto"/>
          <w:szCs w:val="21"/>
          <w:highlight w:val="none"/>
          <w:u w:val="single"/>
        </w:rPr>
        <w:t xml:space="preserve">                  </w:t>
      </w:r>
      <w:r>
        <w:rPr>
          <w:rFonts w:hint="eastAsia" w:hAnsi="宋体" w:cs="宋体"/>
          <w:color w:val="auto"/>
          <w:szCs w:val="21"/>
          <w:highlight w:val="none"/>
        </w:rPr>
        <w:t>（盖单位公章）</w:t>
      </w:r>
    </w:p>
    <w:p w14:paraId="508225CC">
      <w:pPr>
        <w:tabs>
          <w:tab w:val="center" w:pos="4365"/>
        </w:tabs>
        <w:wordWrap w:val="0"/>
        <w:spacing w:line="360" w:lineRule="auto"/>
        <w:rPr>
          <w:rFonts w:ascii="宋体" w:hAnsi="宋体"/>
          <w:bCs/>
          <w:color w:val="auto"/>
          <w:szCs w:val="21"/>
          <w:highlight w:val="none"/>
        </w:rPr>
      </w:pPr>
      <w:r>
        <w:rPr>
          <w:rFonts w:hint="eastAsia" w:hAnsi="宋体" w:cs="宋体"/>
          <w:bCs/>
          <w:color w:val="auto"/>
          <w:szCs w:val="21"/>
          <w:highlight w:val="none"/>
          <w:u w:val="single"/>
        </w:rPr>
        <w:t xml:space="preserve">     </w:t>
      </w:r>
      <w:r>
        <w:rPr>
          <w:rFonts w:hint="eastAsia" w:hAnsi="宋体" w:cs="宋体"/>
          <w:bCs/>
          <w:color w:val="auto"/>
          <w:szCs w:val="21"/>
          <w:highlight w:val="none"/>
        </w:rPr>
        <w:t>年</w:t>
      </w:r>
      <w:r>
        <w:rPr>
          <w:rFonts w:hint="eastAsia" w:hAnsi="宋体" w:cs="宋体"/>
          <w:bCs/>
          <w:color w:val="auto"/>
          <w:szCs w:val="21"/>
          <w:highlight w:val="none"/>
          <w:u w:val="single"/>
        </w:rPr>
        <w:t xml:space="preserve">    </w:t>
      </w:r>
      <w:r>
        <w:rPr>
          <w:rFonts w:hint="eastAsia" w:hAnsi="宋体" w:cs="宋体"/>
          <w:bCs/>
          <w:color w:val="auto"/>
          <w:szCs w:val="21"/>
          <w:highlight w:val="none"/>
        </w:rPr>
        <w:t>月</w:t>
      </w:r>
      <w:r>
        <w:rPr>
          <w:rFonts w:hint="eastAsia" w:hAnsi="宋体" w:cs="宋体"/>
          <w:bCs/>
          <w:color w:val="auto"/>
          <w:szCs w:val="21"/>
          <w:highlight w:val="none"/>
          <w:u w:val="single"/>
        </w:rPr>
        <w:t xml:space="preserve">     </w:t>
      </w:r>
      <w:r>
        <w:rPr>
          <w:rFonts w:hint="eastAsia" w:hAnsi="宋体" w:cs="宋体"/>
          <w:bCs/>
          <w:color w:val="auto"/>
          <w:szCs w:val="21"/>
          <w:highlight w:val="none"/>
        </w:rPr>
        <w:t>日</w:t>
      </w:r>
    </w:p>
    <w:p w14:paraId="299C8AB2">
      <w:pPr>
        <w:wordWrap/>
        <w:spacing w:before="0" w:line="240" w:lineRule="auto"/>
        <w:jc w:val="left"/>
        <w:outlineLvl w:val="9"/>
        <w:rPr>
          <w:rFonts w:hint="eastAsia" w:hAnsi="宋体" w:cs="宋体"/>
          <w:b/>
          <w:color w:val="auto"/>
          <w:sz w:val="28"/>
          <w:szCs w:val="28"/>
          <w:highlight w:val="none"/>
          <w:lang w:eastAsia="zh-CN"/>
        </w:rPr>
      </w:pPr>
      <w:r>
        <w:rPr>
          <w:rFonts w:hint="eastAsia" w:hAnsi="宋体" w:cs="宋体"/>
          <w:b/>
          <w:color w:val="auto"/>
          <w:sz w:val="28"/>
          <w:szCs w:val="28"/>
          <w:highlight w:val="none"/>
          <w:lang w:eastAsia="zh-CN"/>
        </w:rPr>
        <w:br w:type="page"/>
      </w:r>
    </w:p>
    <w:p w14:paraId="123C31D7">
      <w:pPr>
        <w:spacing w:before="37"/>
        <w:jc w:val="center"/>
        <w:outlineLvl w:val="1"/>
        <w:rPr>
          <w:rFonts w:hint="eastAsia" w:ascii="Times New Roman" w:hAnsi="宋体" w:eastAsia="宋体" w:cs="宋体"/>
          <w:b/>
          <w:color w:val="auto"/>
          <w:sz w:val="28"/>
          <w:szCs w:val="28"/>
          <w:highlight w:val="none"/>
          <w:lang w:val="en-US" w:eastAsia="zh-CN"/>
        </w:rPr>
      </w:pPr>
      <w:r>
        <w:rPr>
          <w:rFonts w:hint="eastAsia" w:ascii="Times New Roman" w:hAnsi="宋体" w:eastAsia="宋体" w:cs="宋体"/>
          <w:b/>
          <w:color w:val="auto"/>
          <w:sz w:val="28"/>
          <w:szCs w:val="28"/>
          <w:highlight w:val="none"/>
          <w:lang w:val="en-US" w:eastAsia="zh-CN"/>
        </w:rPr>
        <w:t>十</w:t>
      </w:r>
      <w:r>
        <w:rPr>
          <w:rFonts w:hint="eastAsia" w:hAnsi="宋体" w:cs="宋体"/>
          <w:b/>
          <w:color w:val="auto"/>
          <w:sz w:val="28"/>
          <w:szCs w:val="28"/>
          <w:highlight w:val="none"/>
          <w:lang w:val="en-US" w:eastAsia="zh-CN"/>
        </w:rPr>
        <w:t>一</w:t>
      </w:r>
      <w:r>
        <w:rPr>
          <w:rFonts w:hint="eastAsia" w:ascii="Times New Roman" w:hAnsi="宋体" w:eastAsia="宋体" w:cs="宋体"/>
          <w:b/>
          <w:color w:val="auto"/>
          <w:sz w:val="28"/>
          <w:szCs w:val="28"/>
          <w:highlight w:val="none"/>
          <w:lang w:val="en-US" w:eastAsia="zh-CN"/>
        </w:rPr>
        <w:t>、综合实力</w:t>
      </w:r>
    </w:p>
    <w:p w14:paraId="6E2B9C0B">
      <w:pPr>
        <w:wordWrap w:val="0"/>
        <w:adjustRightInd w:val="0"/>
        <w:snapToGrid w:val="0"/>
        <w:spacing w:line="360" w:lineRule="auto"/>
        <w:rPr>
          <w:rFonts w:hint="eastAsia" w:ascii="宋体" w:hAnsi="宋体" w:eastAsia="宋体" w:cs="宋体"/>
          <w:b/>
          <w:bCs/>
          <w:color w:val="auto"/>
          <w:szCs w:val="21"/>
          <w:highlight w:val="none"/>
          <w:lang w:eastAsia="zh-CN"/>
        </w:rPr>
      </w:pPr>
      <w:r>
        <w:rPr>
          <w:rFonts w:hint="eastAsia" w:hAnsi="宋体" w:cs="宋体"/>
          <w:b/>
          <w:bCs/>
          <w:color w:val="auto"/>
          <w:szCs w:val="21"/>
          <w:highlight w:val="none"/>
        </w:rPr>
        <w:t>项目名称：</w:t>
      </w:r>
      <w:r>
        <w:rPr>
          <w:rFonts w:hint="eastAsia" w:ascii="Times New Roman" w:hAnsi="宋体" w:eastAsia="宋体" w:cs="宋体"/>
          <w:b/>
          <w:bCs/>
          <w:color w:val="auto"/>
          <w:szCs w:val="21"/>
          <w:highlight w:val="none"/>
          <w:lang w:val="en-US" w:eastAsia="zh-CN"/>
        </w:rPr>
        <w:t>2026-2028年员工食堂劳务外包、物资供应项目</w:t>
      </w:r>
      <w:r>
        <w:rPr>
          <w:rFonts w:hint="eastAsia" w:hAnsi="宋体" w:cs="宋体"/>
          <w:b/>
          <w:bCs/>
          <w:color w:val="auto"/>
          <w:szCs w:val="21"/>
          <w:highlight w:val="none"/>
          <w:u w:val="single"/>
          <w:lang w:val="en-US" w:eastAsia="zh-CN"/>
        </w:rPr>
        <w:t xml:space="preserve">     </w:t>
      </w:r>
      <w:r>
        <w:rPr>
          <w:rFonts w:hint="eastAsia" w:hAnsi="宋体" w:cs="宋体"/>
          <w:b/>
          <w:bCs/>
          <w:color w:val="auto"/>
          <w:szCs w:val="21"/>
          <w:highlight w:val="none"/>
          <w:u w:val="none"/>
          <w:lang w:val="en-US" w:eastAsia="zh-CN"/>
        </w:rPr>
        <w:t>标段</w:t>
      </w:r>
    </w:p>
    <w:p w14:paraId="1BCA75A0">
      <w:pPr>
        <w:pStyle w:val="2"/>
        <w:wordWrap w:val="0"/>
        <w:spacing w:after="0" w:line="360" w:lineRule="auto"/>
        <w:ind w:right="105" w:firstLine="420" w:firstLineChars="200"/>
        <w:jc w:val="left"/>
        <w:rPr>
          <w:rFonts w:hint="eastAsia"/>
          <w:color w:val="auto"/>
          <w:highlight w:val="none"/>
        </w:rPr>
      </w:pPr>
    </w:p>
    <w:p w14:paraId="14013F2A">
      <w:pPr>
        <w:pStyle w:val="2"/>
        <w:wordWrap w:val="0"/>
        <w:spacing w:after="0" w:line="360" w:lineRule="auto"/>
        <w:ind w:right="105" w:firstLine="420" w:firstLineChars="200"/>
        <w:jc w:val="left"/>
        <w:rPr>
          <w:rFonts w:hint="eastAsia" w:ascii="宋体" w:hAnsi="宋体"/>
          <w:b/>
          <w:color w:val="auto"/>
          <w:szCs w:val="21"/>
          <w:highlight w:val="none"/>
        </w:rPr>
      </w:pPr>
      <w:r>
        <w:rPr>
          <w:rFonts w:hint="eastAsia"/>
          <w:color w:val="auto"/>
          <w:highlight w:val="none"/>
        </w:rPr>
        <w:t>投标人应根据评标办法中“商务详细评分标准”中的“</w:t>
      </w:r>
      <w:r>
        <w:rPr>
          <w:rFonts w:hint="eastAsia" w:ascii="宋体" w:hAnsi="宋体" w:eastAsia="宋体" w:cs="宋体"/>
          <w:color w:val="auto"/>
          <w:sz w:val="21"/>
          <w:szCs w:val="21"/>
          <w:highlight w:val="none"/>
        </w:rPr>
        <w:t>综合实力</w:t>
      </w:r>
      <w:r>
        <w:rPr>
          <w:rFonts w:hint="eastAsia"/>
          <w:color w:val="auto"/>
          <w:highlight w:val="none"/>
        </w:rPr>
        <w:t>”的</w:t>
      </w:r>
      <w:r>
        <w:rPr>
          <w:color w:val="auto"/>
          <w:highlight w:val="none"/>
        </w:rPr>
        <w:t>评分标准提供证明文件</w:t>
      </w:r>
      <w:r>
        <w:rPr>
          <w:rFonts w:hint="eastAsia"/>
          <w:color w:val="auto"/>
          <w:highlight w:val="none"/>
        </w:rPr>
        <w:t>。</w:t>
      </w:r>
    </w:p>
    <w:p w14:paraId="6CFAD1C3">
      <w:pPr>
        <w:pStyle w:val="2"/>
        <w:wordWrap w:val="0"/>
        <w:spacing w:after="0" w:line="360" w:lineRule="auto"/>
        <w:ind w:right="105" w:firstLine="422" w:firstLineChars="200"/>
        <w:jc w:val="left"/>
        <w:rPr>
          <w:rFonts w:hint="eastAsia" w:ascii="宋体" w:hAnsi="宋体"/>
          <w:b/>
          <w:color w:val="auto"/>
          <w:szCs w:val="21"/>
          <w:highlight w:val="none"/>
        </w:rPr>
      </w:pPr>
    </w:p>
    <w:p w14:paraId="6C4B7505">
      <w:pPr>
        <w:pStyle w:val="2"/>
        <w:wordWrap w:val="0"/>
        <w:spacing w:after="0" w:line="360" w:lineRule="auto"/>
        <w:ind w:right="105" w:firstLine="422" w:firstLineChars="200"/>
        <w:jc w:val="left"/>
        <w:rPr>
          <w:rFonts w:hint="eastAsia" w:ascii="宋体" w:hAnsi="宋体"/>
          <w:b/>
          <w:color w:val="auto"/>
          <w:szCs w:val="21"/>
          <w:highlight w:val="none"/>
        </w:rPr>
      </w:pPr>
      <w:r>
        <w:rPr>
          <w:rFonts w:hint="eastAsia" w:ascii="宋体" w:hAnsi="宋体"/>
          <w:b/>
          <w:color w:val="auto"/>
          <w:szCs w:val="21"/>
          <w:highlight w:val="none"/>
        </w:rPr>
        <w:t>注：</w:t>
      </w:r>
      <w:r>
        <w:rPr>
          <w:rFonts w:hint="eastAsia" w:ascii="宋体" w:hAnsi="宋体"/>
          <w:bCs/>
          <w:color w:val="auto"/>
          <w:szCs w:val="21"/>
          <w:highlight w:val="none"/>
        </w:rPr>
        <w:t>投标人必须将各项内容填写在投标文件各自相对应的目录中，未按要求填写的，相应责任由投标人自行承担。</w:t>
      </w:r>
    </w:p>
    <w:p w14:paraId="4FD9205C">
      <w:pPr>
        <w:pStyle w:val="63"/>
        <w:rPr>
          <w:color w:val="auto"/>
          <w:highlight w:val="none"/>
        </w:rPr>
      </w:pPr>
      <w:r>
        <w:rPr>
          <w:color w:val="auto"/>
          <w:highlight w:val="none"/>
        </w:rPr>
        <w:br w:type="page"/>
      </w:r>
    </w:p>
    <w:p w14:paraId="442E414A">
      <w:pPr>
        <w:spacing w:before="37"/>
        <w:jc w:val="center"/>
        <w:outlineLvl w:val="1"/>
        <w:rPr>
          <w:rFonts w:hint="default" w:ascii="Times New Roman" w:hAnsi="宋体" w:eastAsia="宋体" w:cs="宋体"/>
          <w:b/>
          <w:color w:val="auto"/>
          <w:sz w:val="28"/>
          <w:szCs w:val="28"/>
          <w:highlight w:val="none"/>
          <w:lang w:val="en-US" w:eastAsia="zh-CN"/>
        </w:rPr>
      </w:pPr>
      <w:r>
        <w:rPr>
          <w:rFonts w:hint="eastAsia" w:ascii="Times New Roman" w:hAnsi="宋体" w:eastAsia="宋体" w:cs="宋体"/>
          <w:b/>
          <w:color w:val="auto"/>
          <w:sz w:val="28"/>
          <w:szCs w:val="28"/>
          <w:highlight w:val="none"/>
          <w:lang w:val="en-US" w:eastAsia="zh-CN"/>
        </w:rPr>
        <w:t>十二、售后服务保障</w:t>
      </w:r>
    </w:p>
    <w:p w14:paraId="76FBB8C0">
      <w:pPr>
        <w:wordWrap w:val="0"/>
        <w:adjustRightInd w:val="0"/>
        <w:snapToGrid w:val="0"/>
        <w:spacing w:line="360" w:lineRule="auto"/>
        <w:rPr>
          <w:rFonts w:hint="eastAsia" w:ascii="宋体" w:hAnsi="宋体" w:eastAsia="宋体" w:cs="宋体"/>
          <w:b/>
          <w:bCs/>
          <w:color w:val="auto"/>
          <w:szCs w:val="21"/>
          <w:highlight w:val="none"/>
          <w:lang w:eastAsia="zh-CN"/>
        </w:rPr>
      </w:pPr>
      <w:r>
        <w:rPr>
          <w:rFonts w:hint="eastAsia" w:hAnsi="宋体" w:cs="宋体"/>
          <w:b/>
          <w:bCs/>
          <w:color w:val="auto"/>
          <w:szCs w:val="21"/>
          <w:highlight w:val="none"/>
        </w:rPr>
        <w:t>项目名称：</w:t>
      </w:r>
      <w:r>
        <w:rPr>
          <w:rFonts w:hint="eastAsia" w:ascii="Times New Roman" w:hAnsi="宋体" w:eastAsia="宋体" w:cs="宋体"/>
          <w:b/>
          <w:bCs/>
          <w:color w:val="auto"/>
          <w:szCs w:val="21"/>
          <w:highlight w:val="none"/>
          <w:lang w:val="en-US" w:eastAsia="zh-CN"/>
        </w:rPr>
        <w:t>2026-2028年员工食堂劳务外包、物资供应项目</w:t>
      </w:r>
      <w:r>
        <w:rPr>
          <w:rFonts w:hint="eastAsia" w:hAnsi="宋体" w:cs="宋体"/>
          <w:b/>
          <w:bCs/>
          <w:color w:val="auto"/>
          <w:szCs w:val="21"/>
          <w:highlight w:val="none"/>
          <w:u w:val="single"/>
          <w:lang w:val="en-US" w:eastAsia="zh-CN"/>
        </w:rPr>
        <w:t xml:space="preserve">     </w:t>
      </w:r>
      <w:r>
        <w:rPr>
          <w:rFonts w:hint="eastAsia" w:hAnsi="宋体" w:cs="宋体"/>
          <w:b/>
          <w:bCs/>
          <w:color w:val="auto"/>
          <w:szCs w:val="21"/>
          <w:highlight w:val="none"/>
          <w:u w:val="none"/>
          <w:lang w:val="en-US" w:eastAsia="zh-CN"/>
        </w:rPr>
        <w:t>标段</w:t>
      </w:r>
    </w:p>
    <w:p w14:paraId="05B19CC9">
      <w:pPr>
        <w:pStyle w:val="2"/>
        <w:wordWrap w:val="0"/>
        <w:spacing w:after="0" w:line="360" w:lineRule="auto"/>
        <w:ind w:right="105" w:firstLine="420" w:firstLineChars="200"/>
        <w:jc w:val="left"/>
        <w:rPr>
          <w:rFonts w:hint="eastAsia"/>
          <w:color w:val="auto"/>
          <w:highlight w:val="none"/>
        </w:rPr>
      </w:pPr>
    </w:p>
    <w:p w14:paraId="284725E0">
      <w:pPr>
        <w:pStyle w:val="2"/>
        <w:wordWrap w:val="0"/>
        <w:spacing w:after="0" w:line="360" w:lineRule="auto"/>
        <w:ind w:right="105" w:firstLine="420" w:firstLineChars="200"/>
        <w:jc w:val="left"/>
        <w:rPr>
          <w:color w:val="auto"/>
          <w:highlight w:val="none"/>
        </w:rPr>
      </w:pPr>
      <w:r>
        <w:rPr>
          <w:rFonts w:hint="eastAsia"/>
          <w:color w:val="auto"/>
          <w:highlight w:val="none"/>
        </w:rPr>
        <w:t>投标人应根据评标办法中“商务详细评分标准”中的“</w:t>
      </w:r>
      <w:r>
        <w:rPr>
          <w:rFonts w:hint="eastAsia"/>
          <w:color w:val="auto"/>
          <w:highlight w:val="none"/>
          <w:lang w:val="en-US" w:eastAsia="zh-CN"/>
        </w:rPr>
        <w:t>售后服务保障</w:t>
      </w:r>
      <w:r>
        <w:rPr>
          <w:rFonts w:hint="eastAsia"/>
          <w:color w:val="auto"/>
          <w:highlight w:val="none"/>
        </w:rPr>
        <w:t>”的</w:t>
      </w:r>
      <w:r>
        <w:rPr>
          <w:color w:val="auto"/>
          <w:highlight w:val="none"/>
        </w:rPr>
        <w:t>评分标准提供证明文件</w:t>
      </w:r>
      <w:r>
        <w:rPr>
          <w:rFonts w:hint="eastAsia"/>
          <w:color w:val="auto"/>
          <w:highlight w:val="none"/>
        </w:rPr>
        <w:t>。</w:t>
      </w:r>
    </w:p>
    <w:p w14:paraId="2E0BF8F7">
      <w:pPr>
        <w:pStyle w:val="2"/>
        <w:wordWrap w:val="0"/>
        <w:spacing w:after="0" w:line="360" w:lineRule="auto"/>
        <w:ind w:right="105" w:firstLine="422" w:firstLineChars="200"/>
        <w:jc w:val="left"/>
        <w:rPr>
          <w:rFonts w:hint="eastAsia" w:ascii="宋体" w:hAnsi="宋体"/>
          <w:b/>
          <w:color w:val="auto"/>
          <w:szCs w:val="21"/>
          <w:highlight w:val="none"/>
        </w:rPr>
      </w:pPr>
    </w:p>
    <w:p w14:paraId="0B8D01A7">
      <w:pPr>
        <w:rPr>
          <w:color w:val="auto"/>
          <w:highlight w:val="none"/>
        </w:rPr>
      </w:pPr>
      <w:r>
        <w:rPr>
          <w:rFonts w:hint="eastAsia" w:ascii="宋体" w:hAnsi="宋体"/>
          <w:b/>
          <w:color w:val="auto"/>
          <w:szCs w:val="21"/>
          <w:highlight w:val="none"/>
        </w:rPr>
        <w:t>注：</w:t>
      </w:r>
      <w:r>
        <w:rPr>
          <w:rFonts w:hint="eastAsia" w:ascii="宋体" w:hAnsi="宋体"/>
          <w:bCs/>
          <w:color w:val="auto"/>
          <w:szCs w:val="21"/>
          <w:highlight w:val="none"/>
        </w:rPr>
        <w:t>投标人必须将各项内容填写在投标文件各自相对应的目录中，未按要求填写的，相应责任由投标人自行承担。</w:t>
      </w:r>
      <w:r>
        <w:rPr>
          <w:color w:val="auto"/>
          <w:highlight w:val="none"/>
        </w:rPr>
        <w:br w:type="page"/>
      </w:r>
    </w:p>
    <w:p w14:paraId="1F8577D5">
      <w:pPr>
        <w:spacing w:before="37"/>
        <w:jc w:val="center"/>
        <w:outlineLvl w:val="1"/>
        <w:rPr>
          <w:rFonts w:hint="default" w:ascii="Times New Roman" w:hAnsi="宋体" w:eastAsia="宋体" w:cs="宋体"/>
          <w:b/>
          <w:color w:val="auto"/>
          <w:sz w:val="28"/>
          <w:szCs w:val="28"/>
          <w:highlight w:val="none"/>
          <w:lang w:val="en-US" w:eastAsia="zh-CN"/>
        </w:rPr>
      </w:pPr>
      <w:r>
        <w:rPr>
          <w:rFonts w:hint="eastAsia" w:ascii="Times New Roman" w:hAnsi="宋体" w:eastAsia="宋体" w:cs="宋体"/>
          <w:b/>
          <w:color w:val="auto"/>
          <w:sz w:val="28"/>
          <w:szCs w:val="28"/>
          <w:highlight w:val="none"/>
          <w:lang w:val="en-US" w:eastAsia="zh-CN"/>
        </w:rPr>
        <w:t>十三、配送能力</w:t>
      </w:r>
    </w:p>
    <w:p w14:paraId="652327BB">
      <w:pPr>
        <w:wordWrap w:val="0"/>
        <w:adjustRightInd w:val="0"/>
        <w:snapToGrid w:val="0"/>
        <w:spacing w:line="360" w:lineRule="auto"/>
        <w:rPr>
          <w:rFonts w:hint="eastAsia" w:ascii="宋体" w:hAnsi="宋体" w:eastAsia="宋体" w:cs="宋体"/>
          <w:b/>
          <w:bCs/>
          <w:color w:val="auto"/>
          <w:szCs w:val="21"/>
          <w:highlight w:val="none"/>
          <w:lang w:eastAsia="zh-CN"/>
        </w:rPr>
      </w:pPr>
      <w:r>
        <w:rPr>
          <w:rFonts w:hint="eastAsia" w:hAnsi="宋体" w:cs="宋体"/>
          <w:b/>
          <w:bCs/>
          <w:color w:val="auto"/>
          <w:szCs w:val="21"/>
          <w:highlight w:val="none"/>
        </w:rPr>
        <w:t>项目名称：</w:t>
      </w:r>
      <w:r>
        <w:rPr>
          <w:rFonts w:hint="eastAsia" w:ascii="Times New Roman" w:hAnsi="宋体" w:eastAsia="宋体" w:cs="宋体"/>
          <w:b/>
          <w:bCs/>
          <w:color w:val="auto"/>
          <w:szCs w:val="21"/>
          <w:highlight w:val="none"/>
          <w:lang w:val="en-US" w:eastAsia="zh-CN"/>
        </w:rPr>
        <w:t>2026-2028年员工食堂劳务外包、物资供应项目</w:t>
      </w:r>
      <w:r>
        <w:rPr>
          <w:rFonts w:hint="eastAsia" w:hAnsi="宋体" w:cs="宋体"/>
          <w:b/>
          <w:bCs/>
          <w:color w:val="auto"/>
          <w:szCs w:val="21"/>
          <w:highlight w:val="none"/>
          <w:u w:val="single"/>
          <w:lang w:val="en-US" w:eastAsia="zh-CN"/>
        </w:rPr>
        <w:t xml:space="preserve">     </w:t>
      </w:r>
      <w:r>
        <w:rPr>
          <w:rFonts w:hint="eastAsia" w:hAnsi="宋体" w:cs="宋体"/>
          <w:b/>
          <w:bCs/>
          <w:color w:val="auto"/>
          <w:szCs w:val="21"/>
          <w:highlight w:val="none"/>
          <w:u w:val="none"/>
          <w:lang w:val="en-US" w:eastAsia="zh-CN"/>
        </w:rPr>
        <w:t>标段</w:t>
      </w:r>
    </w:p>
    <w:p w14:paraId="5FC80AC2">
      <w:pPr>
        <w:pStyle w:val="2"/>
        <w:wordWrap w:val="0"/>
        <w:spacing w:after="0" w:line="360" w:lineRule="auto"/>
        <w:ind w:right="105" w:firstLine="420" w:firstLineChars="200"/>
        <w:jc w:val="left"/>
        <w:rPr>
          <w:rFonts w:hint="eastAsia"/>
          <w:color w:val="auto"/>
          <w:highlight w:val="none"/>
        </w:rPr>
      </w:pPr>
    </w:p>
    <w:p w14:paraId="2C59DB92">
      <w:pPr>
        <w:pStyle w:val="2"/>
        <w:wordWrap w:val="0"/>
        <w:spacing w:after="0" w:line="360" w:lineRule="auto"/>
        <w:ind w:right="105" w:firstLine="420" w:firstLineChars="200"/>
        <w:jc w:val="left"/>
        <w:rPr>
          <w:rFonts w:hint="eastAsia" w:ascii="宋体" w:hAnsi="宋体"/>
          <w:b/>
          <w:color w:val="auto"/>
          <w:szCs w:val="21"/>
          <w:highlight w:val="none"/>
        </w:rPr>
      </w:pPr>
      <w:r>
        <w:rPr>
          <w:rFonts w:hint="eastAsia"/>
          <w:color w:val="auto"/>
          <w:highlight w:val="none"/>
        </w:rPr>
        <w:t>投标人应根据评标办法中“商务详细评分标准”中的“</w:t>
      </w:r>
      <w:r>
        <w:rPr>
          <w:rFonts w:hint="eastAsia"/>
          <w:color w:val="auto"/>
          <w:highlight w:val="none"/>
          <w:lang w:val="en-US" w:eastAsia="zh-CN"/>
        </w:rPr>
        <w:t>配送能力</w:t>
      </w:r>
      <w:r>
        <w:rPr>
          <w:rFonts w:hint="eastAsia"/>
          <w:color w:val="auto"/>
          <w:highlight w:val="none"/>
        </w:rPr>
        <w:t>”的</w:t>
      </w:r>
      <w:r>
        <w:rPr>
          <w:color w:val="auto"/>
          <w:highlight w:val="none"/>
        </w:rPr>
        <w:t>评分标准提供证明文件</w:t>
      </w:r>
      <w:r>
        <w:rPr>
          <w:rFonts w:hint="eastAsia"/>
          <w:color w:val="auto"/>
          <w:highlight w:val="none"/>
        </w:rPr>
        <w:t>。</w:t>
      </w:r>
    </w:p>
    <w:p w14:paraId="45D663EE">
      <w:pPr>
        <w:spacing w:before="37"/>
        <w:jc w:val="both"/>
        <w:outlineLvl w:val="9"/>
        <w:rPr>
          <w:rFonts w:hint="eastAsia" w:ascii="宋体" w:hAnsi="宋体"/>
          <w:b/>
          <w:color w:val="auto"/>
          <w:szCs w:val="21"/>
          <w:highlight w:val="none"/>
        </w:rPr>
      </w:pPr>
    </w:p>
    <w:p w14:paraId="07D52C76">
      <w:pPr>
        <w:spacing w:before="37"/>
        <w:jc w:val="both"/>
        <w:outlineLvl w:val="9"/>
        <w:rPr>
          <w:color w:val="auto"/>
          <w:highlight w:val="none"/>
        </w:rPr>
      </w:pPr>
      <w:r>
        <w:rPr>
          <w:rFonts w:hint="eastAsia" w:ascii="宋体" w:hAnsi="宋体"/>
          <w:b/>
          <w:color w:val="auto"/>
          <w:szCs w:val="21"/>
          <w:highlight w:val="none"/>
        </w:rPr>
        <w:t>注：</w:t>
      </w:r>
      <w:r>
        <w:rPr>
          <w:rFonts w:hint="eastAsia" w:ascii="宋体" w:hAnsi="宋体"/>
          <w:bCs/>
          <w:color w:val="auto"/>
          <w:szCs w:val="21"/>
          <w:highlight w:val="none"/>
        </w:rPr>
        <w:t>投标人必须将各项内容填写在投标文件各自相对应的目录中，未按要求填写的，相应责任由投标人自行承担。</w:t>
      </w:r>
      <w:r>
        <w:rPr>
          <w:color w:val="auto"/>
          <w:highlight w:val="none"/>
        </w:rPr>
        <w:br w:type="page"/>
      </w:r>
    </w:p>
    <w:p w14:paraId="0DCE38D0">
      <w:pPr>
        <w:spacing w:before="37"/>
        <w:jc w:val="center"/>
        <w:outlineLvl w:val="1"/>
        <w:rPr>
          <w:rFonts w:hint="default" w:ascii="Times New Roman" w:hAnsi="宋体" w:eastAsia="宋体" w:cs="宋体"/>
          <w:b/>
          <w:color w:val="auto"/>
          <w:sz w:val="28"/>
          <w:szCs w:val="28"/>
          <w:highlight w:val="none"/>
          <w:lang w:val="en-US" w:eastAsia="zh-CN"/>
        </w:rPr>
      </w:pPr>
      <w:r>
        <w:rPr>
          <w:rFonts w:hint="eastAsia" w:ascii="Times New Roman" w:hAnsi="宋体" w:eastAsia="宋体" w:cs="宋体"/>
          <w:b/>
          <w:color w:val="auto"/>
          <w:sz w:val="28"/>
          <w:szCs w:val="28"/>
          <w:highlight w:val="none"/>
          <w:lang w:val="en-US" w:eastAsia="zh-CN"/>
        </w:rPr>
        <w:t>十四、仓储能力</w:t>
      </w:r>
    </w:p>
    <w:p w14:paraId="034705C6">
      <w:pPr>
        <w:wordWrap w:val="0"/>
        <w:adjustRightInd w:val="0"/>
        <w:snapToGrid w:val="0"/>
        <w:spacing w:line="360" w:lineRule="auto"/>
        <w:rPr>
          <w:rFonts w:hint="eastAsia" w:ascii="宋体" w:hAnsi="宋体" w:eastAsia="宋体" w:cs="宋体"/>
          <w:b/>
          <w:bCs/>
          <w:color w:val="auto"/>
          <w:szCs w:val="21"/>
          <w:highlight w:val="none"/>
          <w:lang w:eastAsia="zh-CN"/>
        </w:rPr>
      </w:pPr>
      <w:r>
        <w:rPr>
          <w:rFonts w:hint="eastAsia" w:hAnsi="宋体" w:cs="宋体"/>
          <w:b/>
          <w:bCs/>
          <w:color w:val="auto"/>
          <w:szCs w:val="21"/>
          <w:highlight w:val="none"/>
        </w:rPr>
        <w:t>项目名称：</w:t>
      </w:r>
      <w:r>
        <w:rPr>
          <w:rFonts w:hint="eastAsia" w:ascii="Times New Roman" w:hAnsi="宋体" w:eastAsia="宋体" w:cs="宋体"/>
          <w:b/>
          <w:bCs/>
          <w:color w:val="auto"/>
          <w:szCs w:val="21"/>
          <w:highlight w:val="none"/>
          <w:lang w:val="en-US" w:eastAsia="zh-CN"/>
        </w:rPr>
        <w:t>2026-2028年员工食堂劳务外包、物资供应项目</w:t>
      </w:r>
      <w:r>
        <w:rPr>
          <w:rFonts w:hint="eastAsia" w:hAnsi="宋体" w:cs="宋体"/>
          <w:b/>
          <w:bCs/>
          <w:color w:val="auto"/>
          <w:szCs w:val="21"/>
          <w:highlight w:val="none"/>
          <w:u w:val="single"/>
          <w:lang w:val="en-US" w:eastAsia="zh-CN"/>
        </w:rPr>
        <w:t xml:space="preserve">     </w:t>
      </w:r>
      <w:r>
        <w:rPr>
          <w:rFonts w:hint="eastAsia" w:hAnsi="宋体" w:cs="宋体"/>
          <w:b/>
          <w:bCs/>
          <w:color w:val="auto"/>
          <w:szCs w:val="21"/>
          <w:highlight w:val="none"/>
          <w:u w:val="none"/>
          <w:lang w:val="en-US" w:eastAsia="zh-CN"/>
        </w:rPr>
        <w:t>标段</w:t>
      </w:r>
    </w:p>
    <w:p w14:paraId="080D3B2C">
      <w:pPr>
        <w:pStyle w:val="2"/>
        <w:wordWrap w:val="0"/>
        <w:spacing w:after="0" w:line="360" w:lineRule="auto"/>
        <w:ind w:right="105" w:firstLine="420" w:firstLineChars="200"/>
        <w:jc w:val="left"/>
        <w:rPr>
          <w:rFonts w:hint="eastAsia"/>
          <w:color w:val="auto"/>
          <w:highlight w:val="none"/>
        </w:rPr>
      </w:pPr>
    </w:p>
    <w:p w14:paraId="5051765C">
      <w:pPr>
        <w:pStyle w:val="2"/>
        <w:wordWrap w:val="0"/>
        <w:spacing w:after="0" w:line="360" w:lineRule="auto"/>
        <w:ind w:right="105" w:firstLine="420" w:firstLineChars="200"/>
        <w:jc w:val="left"/>
        <w:rPr>
          <w:color w:val="auto"/>
          <w:highlight w:val="none"/>
        </w:rPr>
      </w:pPr>
      <w:r>
        <w:rPr>
          <w:rFonts w:hint="eastAsia"/>
          <w:color w:val="auto"/>
          <w:highlight w:val="none"/>
        </w:rPr>
        <w:t>投标人应根据评标办法中“商务详细评分标准”中</w:t>
      </w:r>
      <w:r>
        <w:rPr>
          <w:rFonts w:hint="eastAsia" w:ascii="Times New Roman" w:hAnsi="Times New Roman" w:eastAsia="宋体" w:cs="Times New Roman"/>
          <w:color w:val="auto"/>
          <w:highlight w:val="none"/>
        </w:rPr>
        <w:t>的“</w:t>
      </w:r>
      <w:r>
        <w:rPr>
          <w:rFonts w:hint="eastAsia" w:ascii="Times New Roman" w:hAnsi="Times New Roman" w:eastAsia="宋体" w:cs="Times New Roman"/>
          <w:color w:val="auto"/>
          <w:highlight w:val="none"/>
          <w:lang w:val="en-US" w:eastAsia="zh-CN"/>
        </w:rPr>
        <w:t>仓储能力</w:t>
      </w:r>
      <w:r>
        <w:rPr>
          <w:rFonts w:hint="eastAsia" w:ascii="Times New Roman" w:hAnsi="Times New Roman" w:eastAsia="宋体" w:cs="Times New Roman"/>
          <w:color w:val="auto"/>
          <w:highlight w:val="none"/>
        </w:rPr>
        <w:t>”的评</w:t>
      </w:r>
      <w:r>
        <w:rPr>
          <w:color w:val="auto"/>
          <w:highlight w:val="none"/>
        </w:rPr>
        <w:t>分标准提供证明文件</w:t>
      </w:r>
      <w:r>
        <w:rPr>
          <w:rFonts w:hint="eastAsia"/>
          <w:color w:val="auto"/>
          <w:highlight w:val="none"/>
        </w:rPr>
        <w:t>。</w:t>
      </w:r>
    </w:p>
    <w:p w14:paraId="5E264199">
      <w:pPr>
        <w:pStyle w:val="2"/>
        <w:wordWrap w:val="0"/>
        <w:spacing w:after="0" w:line="360" w:lineRule="auto"/>
        <w:ind w:right="105" w:firstLine="422" w:firstLineChars="200"/>
        <w:jc w:val="left"/>
        <w:outlineLvl w:val="9"/>
        <w:rPr>
          <w:rFonts w:hint="eastAsia" w:ascii="宋体" w:hAnsi="宋体"/>
          <w:b/>
          <w:color w:val="auto"/>
          <w:szCs w:val="21"/>
          <w:highlight w:val="none"/>
        </w:rPr>
      </w:pPr>
    </w:p>
    <w:p w14:paraId="5698A565">
      <w:pPr>
        <w:jc w:val="center"/>
        <w:outlineLvl w:val="9"/>
        <w:rPr>
          <w:rFonts w:hint="eastAsia" w:ascii="宋体" w:hAnsi="宋体"/>
          <w:b/>
          <w:color w:val="auto"/>
          <w:szCs w:val="21"/>
          <w:highlight w:val="none"/>
        </w:rPr>
      </w:pPr>
    </w:p>
    <w:p w14:paraId="5298114A">
      <w:pPr>
        <w:jc w:val="both"/>
        <w:outlineLvl w:val="9"/>
        <w:rPr>
          <w:rFonts w:hint="eastAsia" w:ascii="宋体" w:hAnsi="宋体"/>
          <w:bCs/>
          <w:color w:val="auto"/>
          <w:szCs w:val="21"/>
          <w:highlight w:val="none"/>
        </w:rPr>
      </w:pPr>
      <w:r>
        <w:rPr>
          <w:rFonts w:hint="eastAsia" w:ascii="宋体" w:hAnsi="宋体"/>
          <w:b/>
          <w:color w:val="auto"/>
          <w:szCs w:val="21"/>
          <w:highlight w:val="none"/>
        </w:rPr>
        <w:t>注：</w:t>
      </w:r>
      <w:r>
        <w:rPr>
          <w:rFonts w:hint="eastAsia" w:ascii="宋体" w:hAnsi="宋体"/>
          <w:bCs/>
          <w:color w:val="auto"/>
          <w:szCs w:val="21"/>
          <w:highlight w:val="none"/>
        </w:rPr>
        <w:t>投标人必须将各项内容填写在投标文件各自相对应的目录中，未按要求填写的，相应责任由投标人自行承担。</w:t>
      </w:r>
    </w:p>
    <w:p w14:paraId="73701C88">
      <w:pPr>
        <w:spacing w:before="37"/>
        <w:jc w:val="center"/>
        <w:outlineLvl w:val="1"/>
        <w:rPr>
          <w:rFonts w:hint="default" w:ascii="Times New Roman" w:hAnsi="宋体" w:eastAsia="宋体" w:cs="宋体"/>
          <w:b/>
          <w:color w:val="auto"/>
          <w:sz w:val="28"/>
          <w:szCs w:val="28"/>
          <w:highlight w:val="none"/>
          <w:lang w:val="en-US" w:eastAsia="zh-CN"/>
        </w:rPr>
      </w:pPr>
      <w:r>
        <w:rPr>
          <w:color w:val="auto"/>
          <w:highlight w:val="none"/>
        </w:rPr>
        <w:br w:type="page"/>
      </w:r>
      <w:r>
        <w:rPr>
          <w:rFonts w:hint="eastAsia" w:ascii="Times New Roman" w:hAnsi="宋体" w:eastAsia="宋体" w:cs="宋体"/>
          <w:b/>
          <w:color w:val="auto"/>
          <w:sz w:val="28"/>
          <w:szCs w:val="28"/>
          <w:highlight w:val="none"/>
          <w:lang w:val="en-US" w:eastAsia="zh-CN"/>
        </w:rPr>
        <w:t>十</w:t>
      </w:r>
      <w:r>
        <w:rPr>
          <w:rFonts w:hint="eastAsia" w:hAnsi="宋体" w:cs="宋体"/>
          <w:b/>
          <w:color w:val="auto"/>
          <w:sz w:val="28"/>
          <w:szCs w:val="28"/>
          <w:highlight w:val="none"/>
          <w:lang w:val="en-US" w:eastAsia="zh-CN"/>
        </w:rPr>
        <w:t>五</w:t>
      </w:r>
      <w:r>
        <w:rPr>
          <w:rFonts w:hint="eastAsia" w:ascii="Times New Roman" w:hAnsi="宋体" w:eastAsia="宋体" w:cs="宋体"/>
          <w:b/>
          <w:color w:val="auto"/>
          <w:sz w:val="28"/>
          <w:szCs w:val="28"/>
          <w:highlight w:val="none"/>
          <w:lang w:val="en-US" w:eastAsia="zh-CN"/>
        </w:rPr>
        <w:t>、投标人认为需提供的其它商务评审资料</w:t>
      </w:r>
    </w:p>
    <w:p w14:paraId="5BE893AC">
      <w:pPr>
        <w:wordWrap w:val="0"/>
        <w:adjustRightInd w:val="0"/>
        <w:snapToGrid w:val="0"/>
        <w:spacing w:line="360" w:lineRule="auto"/>
        <w:rPr>
          <w:rFonts w:hint="default" w:ascii="宋体" w:hAnsi="宋体" w:eastAsia="宋体" w:cs="宋体"/>
          <w:b/>
          <w:bCs/>
          <w:color w:val="auto"/>
          <w:szCs w:val="21"/>
          <w:highlight w:val="none"/>
          <w:lang w:val="en-US" w:eastAsia="zh-CN"/>
        </w:rPr>
      </w:pPr>
      <w:r>
        <w:rPr>
          <w:rFonts w:hint="eastAsia" w:hAnsi="宋体" w:cs="宋体"/>
          <w:b/>
          <w:bCs/>
          <w:color w:val="auto"/>
          <w:szCs w:val="21"/>
          <w:highlight w:val="none"/>
        </w:rPr>
        <w:t>项目名称：</w:t>
      </w:r>
      <w:r>
        <w:rPr>
          <w:rFonts w:hint="eastAsia" w:ascii="Times New Roman" w:hAnsi="宋体" w:eastAsia="宋体" w:cs="宋体"/>
          <w:b/>
          <w:bCs/>
          <w:color w:val="auto"/>
          <w:szCs w:val="21"/>
          <w:highlight w:val="none"/>
          <w:lang w:val="en-US" w:eastAsia="zh-CN"/>
        </w:rPr>
        <w:t>2026-2028年员工食堂劳务外包、物资供应项目</w:t>
      </w:r>
      <w:r>
        <w:rPr>
          <w:rFonts w:hint="eastAsia" w:hAnsi="宋体" w:cs="宋体"/>
          <w:b/>
          <w:bCs/>
          <w:color w:val="auto"/>
          <w:szCs w:val="21"/>
          <w:highlight w:val="none"/>
          <w:u w:val="single"/>
          <w:lang w:val="en-US" w:eastAsia="zh-CN"/>
        </w:rPr>
        <w:t xml:space="preserve">     </w:t>
      </w:r>
      <w:r>
        <w:rPr>
          <w:rFonts w:hint="eastAsia" w:hAnsi="宋体" w:cs="宋体"/>
          <w:b/>
          <w:bCs/>
          <w:color w:val="auto"/>
          <w:szCs w:val="21"/>
          <w:highlight w:val="none"/>
          <w:u w:val="none"/>
          <w:lang w:val="en-US" w:eastAsia="zh-CN"/>
        </w:rPr>
        <w:t>标段</w:t>
      </w:r>
      <w:r>
        <w:rPr>
          <w:rFonts w:hint="eastAsia" w:hAnsi="宋体" w:cs="宋体"/>
          <w:b/>
          <w:bCs/>
          <w:color w:val="auto"/>
          <w:szCs w:val="21"/>
          <w:highlight w:val="none"/>
          <w:lang w:val="en-US" w:eastAsia="zh-CN"/>
        </w:rPr>
        <w:t xml:space="preserve">  </w:t>
      </w:r>
    </w:p>
    <w:p w14:paraId="3188674C">
      <w:pPr>
        <w:pStyle w:val="2"/>
        <w:wordWrap w:val="0"/>
        <w:spacing w:after="0" w:line="360" w:lineRule="auto"/>
        <w:ind w:right="105" w:firstLine="420" w:firstLineChars="200"/>
        <w:jc w:val="left"/>
        <w:rPr>
          <w:rFonts w:hint="eastAsia"/>
          <w:color w:val="auto"/>
          <w:highlight w:val="none"/>
        </w:rPr>
      </w:pPr>
    </w:p>
    <w:p w14:paraId="6231644D">
      <w:pPr>
        <w:pStyle w:val="2"/>
        <w:wordWrap w:val="0"/>
        <w:spacing w:after="0" w:line="360" w:lineRule="auto"/>
        <w:ind w:right="105" w:firstLine="422" w:firstLineChars="200"/>
        <w:jc w:val="left"/>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 </w:t>
      </w:r>
      <w:r>
        <w:rPr>
          <w:rFonts w:hint="eastAsia" w:ascii="宋体" w:hAnsi="宋体"/>
          <w:b/>
          <w:color w:val="auto"/>
          <w:szCs w:val="21"/>
          <w:highlight w:val="none"/>
          <w:lang w:val="en-US" w:eastAsia="zh-CN"/>
        </w:rPr>
        <w:tab/>
      </w:r>
    </w:p>
    <w:p w14:paraId="5579B849">
      <w:pPr>
        <w:pStyle w:val="2"/>
        <w:wordWrap w:val="0"/>
        <w:spacing w:after="0" w:line="360" w:lineRule="auto"/>
        <w:ind w:right="105" w:firstLine="422" w:firstLineChars="200"/>
        <w:jc w:val="left"/>
        <w:rPr>
          <w:b/>
          <w:bCs/>
          <w:color w:val="auto"/>
          <w:highlight w:val="none"/>
        </w:rPr>
      </w:pPr>
      <w:r>
        <w:rPr>
          <w:rFonts w:hint="eastAsia" w:ascii="宋体" w:hAnsi="宋体"/>
          <w:b/>
          <w:color w:val="auto"/>
          <w:szCs w:val="21"/>
          <w:highlight w:val="none"/>
        </w:rPr>
        <w:t>注：</w:t>
      </w:r>
      <w:r>
        <w:rPr>
          <w:rFonts w:hint="eastAsia" w:ascii="宋体" w:hAnsi="宋体"/>
          <w:bCs/>
          <w:color w:val="auto"/>
          <w:szCs w:val="21"/>
          <w:highlight w:val="none"/>
        </w:rPr>
        <w:t>投标人必须将各项内容填写在投标文件各自相对应的目录中，未按要求填写的，相应责任由投标人自行承担。</w:t>
      </w:r>
    </w:p>
    <w:p w14:paraId="2BE51775">
      <w:pPr>
        <w:rPr>
          <w:rFonts w:hint="eastAsia" w:ascii="Times New Roman" w:hAnsi="宋体" w:eastAsia="宋体" w:cs="宋体"/>
          <w:b/>
          <w:color w:val="auto"/>
          <w:sz w:val="28"/>
          <w:szCs w:val="28"/>
          <w:highlight w:val="none"/>
          <w:lang w:val="en-US" w:eastAsia="zh-CN"/>
        </w:rPr>
      </w:pPr>
      <w:r>
        <w:rPr>
          <w:rFonts w:hint="eastAsia" w:ascii="Times New Roman" w:hAnsi="宋体" w:eastAsia="宋体" w:cs="宋体"/>
          <w:b/>
          <w:color w:val="auto"/>
          <w:sz w:val="28"/>
          <w:szCs w:val="28"/>
          <w:highlight w:val="none"/>
          <w:lang w:val="en-US" w:eastAsia="zh-CN"/>
        </w:rPr>
        <w:br w:type="page"/>
      </w:r>
    </w:p>
    <w:p w14:paraId="60803891">
      <w:pPr>
        <w:spacing w:before="37"/>
        <w:jc w:val="center"/>
        <w:outlineLvl w:val="1"/>
        <w:rPr>
          <w:rFonts w:hint="eastAsia" w:ascii="Times New Roman" w:hAnsi="宋体" w:eastAsia="宋体" w:cs="宋体"/>
          <w:b/>
          <w:color w:val="auto"/>
          <w:sz w:val="28"/>
          <w:szCs w:val="28"/>
          <w:highlight w:val="none"/>
          <w:lang w:val="en-US" w:eastAsia="zh-CN"/>
        </w:rPr>
      </w:pPr>
      <w:r>
        <w:rPr>
          <w:rFonts w:hint="eastAsia" w:ascii="Times New Roman" w:hAnsi="宋体" w:eastAsia="宋体" w:cs="宋体"/>
          <w:b/>
          <w:color w:val="auto"/>
          <w:sz w:val="28"/>
          <w:szCs w:val="28"/>
          <w:highlight w:val="none"/>
          <w:lang w:val="en-US" w:eastAsia="zh-CN"/>
        </w:rPr>
        <w:t>十</w:t>
      </w:r>
      <w:r>
        <w:rPr>
          <w:rFonts w:hint="eastAsia" w:hAnsi="宋体" w:cs="宋体"/>
          <w:b/>
          <w:color w:val="auto"/>
          <w:sz w:val="28"/>
          <w:szCs w:val="28"/>
          <w:highlight w:val="none"/>
          <w:lang w:val="en-US" w:eastAsia="zh-CN"/>
        </w:rPr>
        <w:t>六</w:t>
      </w:r>
      <w:r>
        <w:rPr>
          <w:rFonts w:hint="eastAsia" w:ascii="Times New Roman" w:hAnsi="宋体" w:eastAsia="宋体" w:cs="宋体"/>
          <w:b/>
          <w:color w:val="auto"/>
          <w:sz w:val="28"/>
          <w:szCs w:val="28"/>
          <w:highlight w:val="none"/>
          <w:lang w:val="en-US" w:eastAsia="zh-CN"/>
        </w:rPr>
        <w:t>、项目实施方案</w:t>
      </w:r>
    </w:p>
    <w:p w14:paraId="7F61DF89">
      <w:pPr>
        <w:wordWrap w:val="0"/>
        <w:adjustRightInd w:val="0"/>
        <w:snapToGrid w:val="0"/>
        <w:spacing w:line="360" w:lineRule="auto"/>
        <w:rPr>
          <w:rFonts w:hint="eastAsia" w:ascii="宋体" w:hAnsi="宋体" w:eastAsia="宋体" w:cs="宋体"/>
          <w:b/>
          <w:bCs/>
          <w:color w:val="auto"/>
          <w:szCs w:val="21"/>
          <w:highlight w:val="none"/>
          <w:lang w:eastAsia="zh-CN"/>
        </w:rPr>
      </w:pPr>
      <w:r>
        <w:rPr>
          <w:rFonts w:hint="eastAsia" w:hAnsi="宋体" w:cs="宋体"/>
          <w:b/>
          <w:bCs/>
          <w:color w:val="auto"/>
          <w:szCs w:val="21"/>
          <w:highlight w:val="none"/>
        </w:rPr>
        <w:t>项目名称：</w:t>
      </w:r>
      <w:r>
        <w:rPr>
          <w:rFonts w:hint="eastAsia" w:ascii="Times New Roman" w:hAnsi="宋体" w:eastAsia="宋体" w:cs="宋体"/>
          <w:b/>
          <w:bCs/>
          <w:color w:val="auto"/>
          <w:szCs w:val="21"/>
          <w:highlight w:val="none"/>
          <w:lang w:val="en-US" w:eastAsia="zh-CN"/>
        </w:rPr>
        <w:t>2026-2028年员工食堂劳务外包、物资供应项目</w:t>
      </w:r>
      <w:r>
        <w:rPr>
          <w:rFonts w:hint="eastAsia" w:hAnsi="宋体" w:cs="宋体"/>
          <w:b/>
          <w:bCs/>
          <w:color w:val="auto"/>
          <w:szCs w:val="21"/>
          <w:highlight w:val="none"/>
          <w:u w:val="single"/>
          <w:lang w:val="en-US" w:eastAsia="zh-CN"/>
        </w:rPr>
        <w:t xml:space="preserve">     </w:t>
      </w:r>
      <w:r>
        <w:rPr>
          <w:rFonts w:hint="eastAsia" w:hAnsi="宋体" w:cs="宋体"/>
          <w:b/>
          <w:bCs/>
          <w:color w:val="auto"/>
          <w:szCs w:val="21"/>
          <w:highlight w:val="none"/>
          <w:u w:val="none"/>
          <w:lang w:val="en-US" w:eastAsia="zh-CN"/>
        </w:rPr>
        <w:t>标段</w:t>
      </w:r>
    </w:p>
    <w:p w14:paraId="7EA4F96F">
      <w:pPr>
        <w:bidi w:val="0"/>
        <w:spacing w:line="360" w:lineRule="auto"/>
        <w:ind w:firstLine="420" w:firstLineChars="200"/>
        <w:rPr>
          <w:rFonts w:hint="eastAsia" w:ascii="宋体" w:hAnsi="宋体" w:eastAsia="宋体" w:cs="Times New Roman"/>
          <w:b w:val="0"/>
          <w:bCs/>
          <w:color w:val="auto"/>
          <w:kern w:val="2"/>
          <w:sz w:val="21"/>
          <w:szCs w:val="21"/>
          <w:highlight w:val="none"/>
          <w:lang w:val="en-US" w:eastAsia="zh-CN" w:bidi="ar-SA"/>
        </w:rPr>
      </w:pPr>
      <w:r>
        <w:rPr>
          <w:rFonts w:hint="eastAsia" w:ascii="宋体" w:hAnsi="宋体" w:eastAsia="宋体" w:cs="Times New Roman"/>
          <w:b w:val="0"/>
          <w:bCs/>
          <w:color w:val="auto"/>
          <w:kern w:val="2"/>
          <w:sz w:val="21"/>
          <w:szCs w:val="21"/>
          <w:highlight w:val="none"/>
          <w:lang w:val="en-US" w:eastAsia="zh-CN" w:bidi="ar-SA"/>
        </w:rPr>
        <w:t>投标人应根据本项目用户需求书要求及技术部分详细评分标准中相关内容编写。格式由投标人自行确 定。</w:t>
      </w:r>
    </w:p>
    <w:p w14:paraId="40FA753B">
      <w:pPr>
        <w:bidi w:val="0"/>
        <w:spacing w:line="360" w:lineRule="auto"/>
        <w:ind w:firstLine="422" w:firstLineChars="200"/>
        <w:rPr>
          <w:color w:val="auto"/>
          <w:highlight w:val="none"/>
        </w:rPr>
      </w:pPr>
      <w:r>
        <w:rPr>
          <w:rFonts w:hint="eastAsia" w:ascii="宋体" w:hAnsi="宋体" w:eastAsia="宋体" w:cs="Times New Roman"/>
          <w:b/>
          <w:color w:val="auto"/>
          <w:kern w:val="2"/>
          <w:sz w:val="21"/>
          <w:szCs w:val="21"/>
          <w:highlight w:val="none"/>
          <w:lang w:val="en-US" w:eastAsia="zh-CN" w:bidi="ar-SA"/>
        </w:rPr>
        <w:t>注：</w:t>
      </w:r>
      <w:r>
        <w:rPr>
          <w:rFonts w:hint="eastAsia" w:ascii="宋体" w:hAnsi="宋体" w:eastAsia="宋体" w:cs="Times New Roman"/>
          <w:bCs/>
          <w:color w:val="auto"/>
          <w:kern w:val="2"/>
          <w:sz w:val="21"/>
          <w:szCs w:val="21"/>
          <w:highlight w:val="none"/>
          <w:lang w:val="en-US" w:eastAsia="zh-CN" w:bidi="ar-SA"/>
        </w:rPr>
        <w:t>投标人必须将各项内容填写在投标文件各自相对应的目录中，未按要求填写的，相应责任由投标人自行承担。</w:t>
      </w:r>
      <w:r>
        <w:rPr>
          <w:color w:val="auto"/>
          <w:highlight w:val="none"/>
        </w:rPr>
        <w:br w:type="page"/>
      </w:r>
    </w:p>
    <w:p w14:paraId="76E1B3FF">
      <w:pPr>
        <w:spacing w:before="37"/>
        <w:jc w:val="center"/>
        <w:outlineLvl w:val="1"/>
        <w:rPr>
          <w:rFonts w:hint="eastAsia" w:ascii="Times New Roman" w:hAnsi="宋体" w:eastAsia="宋体" w:cs="宋体"/>
          <w:b/>
          <w:color w:val="auto"/>
          <w:sz w:val="28"/>
          <w:szCs w:val="28"/>
          <w:highlight w:val="none"/>
          <w:lang w:val="en-US" w:eastAsia="zh-CN"/>
        </w:rPr>
      </w:pPr>
      <w:r>
        <w:rPr>
          <w:rFonts w:hint="eastAsia" w:ascii="Times New Roman" w:hAnsi="宋体" w:eastAsia="宋体" w:cs="宋体"/>
          <w:b/>
          <w:color w:val="auto"/>
          <w:sz w:val="28"/>
          <w:szCs w:val="28"/>
          <w:highlight w:val="none"/>
          <w:lang w:val="en-US" w:eastAsia="zh-CN"/>
        </w:rPr>
        <w:t>十七、投标人认为需提供的其它技术评审资料</w:t>
      </w:r>
    </w:p>
    <w:p w14:paraId="420119F2">
      <w:pPr>
        <w:spacing w:before="37"/>
        <w:jc w:val="center"/>
        <w:outlineLvl w:val="1"/>
        <w:rPr>
          <w:rFonts w:hint="eastAsia" w:ascii="Times New Roman" w:hAnsi="宋体" w:eastAsia="宋体" w:cs="宋体"/>
          <w:b/>
          <w:color w:val="auto"/>
          <w:sz w:val="28"/>
          <w:szCs w:val="28"/>
          <w:highlight w:val="none"/>
          <w:lang w:val="en-US" w:eastAsia="zh-CN"/>
        </w:rPr>
      </w:pPr>
    </w:p>
    <w:p w14:paraId="535BCD16">
      <w:pPr>
        <w:rPr>
          <w:highlight w:val="none"/>
        </w:rPr>
      </w:pPr>
    </w:p>
    <w:sectPr>
      <w:footerReference r:id="rId4" w:type="default"/>
      <w:pgSz w:w="11906" w:h="16838"/>
      <w:pgMar w:top="1440" w:right="1080" w:bottom="1440" w:left="1080" w:header="851" w:footer="992" w:gutter="0"/>
      <w:pgBorders>
        <w:top w:val="none" w:sz="0" w:space="0"/>
        <w:left w:val="none" w:sz="0" w:space="0"/>
        <w:bottom w:val="none" w:sz="0" w:space="0"/>
        <w:right w:val="none" w:sz="0" w:space="0"/>
      </w:pgBorders>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29E3CA3-67A5-4469-9730-73D071E3C22C}"/>
  </w:font>
  <w:font w:name="黑体">
    <w:panose1 w:val="02010609060101010101"/>
    <w:charset w:val="86"/>
    <w:family w:val="auto"/>
    <w:pitch w:val="default"/>
    <w:sig w:usb0="800002BF" w:usb1="38CF7CFA" w:usb2="00000016" w:usb3="00000000" w:csb0="00040001" w:csb1="00000000"/>
    <w:embedRegular r:id="rId2" w:fontKey="{B8E9AC13-41CC-4CC5-8138-FAC819B43D8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175E2585-9446-45A1-B59B-B81558B5E74F}"/>
  </w:font>
  <w:font w:name="MS Sans Serif">
    <w:altName w:val="Arial"/>
    <w:panose1 w:val="020B0500000000000000"/>
    <w:charset w:val="00"/>
    <w:family w:val="swiss"/>
    <w:pitch w:val="default"/>
    <w:sig w:usb0="00000000" w:usb1="00000000" w:usb2="00000000" w:usb3="00000000" w:csb0="00000001"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仿宋_GB2312">
    <w:panose1 w:val="02010609030101010101"/>
    <w:charset w:val="86"/>
    <w:family w:val="auto"/>
    <w:pitch w:val="default"/>
    <w:sig w:usb0="00000001" w:usb1="080E0000" w:usb2="00000000" w:usb3="00000000" w:csb0="00040000" w:csb1="00000000"/>
    <w:embedRegular r:id="rId4" w:fontKey="{AD1486C5-6F2E-40A3-A77A-8AE3D83BEB6B}"/>
  </w:font>
  <w:font w:name="Cambria">
    <w:panose1 w:val="02040503050406030204"/>
    <w:charset w:val="00"/>
    <w:family w:val="roman"/>
    <w:pitch w:val="default"/>
    <w:sig w:usb0="E00006FF" w:usb1="420024FF" w:usb2="02000000" w:usb3="00000000" w:csb0="2000019F" w:csb1="00000000"/>
  </w:font>
  <w:font w:name="Calisto MT">
    <w:altName w:val="Segoe Print"/>
    <w:panose1 w:val="02040603050505030304"/>
    <w:charset w:val="00"/>
    <w:family w:val="roman"/>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Arial Unicode MS">
    <w:altName w:val="宋体"/>
    <w:panose1 w:val="020B0604020202020204"/>
    <w:charset w:val="86"/>
    <w:family w:val="roman"/>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ˎ̥">
    <w:altName w:val="Times New Roman"/>
    <w:panose1 w:val="00000000000000000000"/>
    <w:charset w:val="00"/>
    <w:family w:val="roman"/>
    <w:pitch w:val="default"/>
    <w:sig w:usb0="00000000" w:usb1="00000000" w:usb2="00000000" w:usb3="00000000" w:csb0="00040001" w:csb1="00000000"/>
  </w:font>
  <w:font w:name="FuturaA Bk BT">
    <w:altName w:val="Times New Roman"/>
    <w:panose1 w:val="00000000000000000000"/>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Invensys Andale">
    <w:altName w:val="Franklin Gothic Medium"/>
    <w:panose1 w:val="00000000000000000000"/>
    <w:charset w:val="00"/>
    <w:family w:val="swiss"/>
    <w:pitch w:val="default"/>
    <w:sig w:usb0="00000000" w:usb1="00000000" w:usb2="00000000" w:usb3="00000000" w:csb0="00000001" w:csb1="00000000"/>
  </w:font>
  <w:font w:name="Franklin Gothic Medium">
    <w:panose1 w:val="020B0603020102020204"/>
    <w:charset w:val="00"/>
    <w:family w:val="auto"/>
    <w:pitch w:val="default"/>
    <w:sig w:usb0="00000287" w:usb1="00000000" w:usb2="00000000" w:usb3="00000000" w:csb0="2000009F" w:csb1="DFD70000"/>
  </w:font>
  <w:font w:name="Helvetica">
    <w:altName w:val="Arial"/>
    <w:panose1 w:val="020B0604020202020204"/>
    <w:charset w:val="00"/>
    <w:family w:val="swiss"/>
    <w:pitch w:val="default"/>
    <w:sig w:usb0="00000000" w:usb1="00000000" w:usb2="00000000" w:usb3="00000000" w:csb0="00000001" w:csb1="00000000"/>
    <w:embedRegular r:id="rId5" w:fontKey="{441B2D27-D61B-4C0B-9D30-170B5BE29B8F}"/>
  </w:font>
  <w:font w:name="Arial Black">
    <w:panose1 w:val="020B0A04020102020204"/>
    <w:charset w:val="00"/>
    <w:family w:val="swiss"/>
    <w:pitch w:val="default"/>
    <w:sig w:usb0="A00002AF" w:usb1="400078FB" w:usb2="00000000" w:usb3="00000000" w:csb0="6000009F" w:csb1="DFD70000"/>
  </w:font>
  <w:font w:name="Arial Narrow">
    <w:altName w:val="Arial"/>
    <w:panose1 w:val="020B0606020202030204"/>
    <w:charset w:val="00"/>
    <w:family w:val="swiss"/>
    <w:pitch w:val="default"/>
    <w:sig w:usb0="00000000" w:usb1="00000000" w:usb2="00000000" w:usb3="00000000" w:csb0="2000009F" w:csb1="DFD70000"/>
  </w:font>
  <w:font w:name="MS UI Gothic">
    <w:panose1 w:val="020B0600070205080204"/>
    <w:charset w:val="80"/>
    <w:family w:val="swiss"/>
    <w:pitch w:val="default"/>
    <w:sig w:usb0="E00002FF" w:usb1="6AC7FDFB" w:usb2="08000012" w:usb3="00000000" w:csb0="4002009F" w:csb1="DFD70000"/>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embedRegular r:id="rId6" w:fontKey="{9793253B-DA51-4620-809F-E12BCC1AE24A}"/>
  </w:font>
  <w:font w:name="华文彩云">
    <w:altName w:val="微软雅黑"/>
    <w:panose1 w:val="02010800040101010101"/>
    <w:charset w:val="86"/>
    <w:family w:val="auto"/>
    <w:pitch w:val="default"/>
    <w:sig w:usb0="00000000" w:usb1="00000000" w:usb2="00000000" w:usb3="00000000" w:csb0="00040000" w:csb1="00000000"/>
  </w:font>
  <w:font w:name="Swis721 BlkOul BT">
    <w:altName w:val="Segoe Print"/>
    <w:panose1 w:val="00000000000000000000"/>
    <w:charset w:val="00"/>
    <w:family w:val="decorative"/>
    <w:pitch w:val="default"/>
    <w:sig w:usb0="00000000" w:usb1="00000000" w:usb2="00000000" w:usb3="00000000" w:csb0="0000001B" w:csb1="00000000"/>
  </w:font>
  <w:font w:name="Sim Sun">
    <w:altName w:val="宋体"/>
    <w:panose1 w:val="00000000000000000000"/>
    <w:charset w:val="86"/>
    <w:family w:val="auto"/>
    <w:pitch w:val="default"/>
    <w:sig w:usb0="00000000" w:usb1="00000000" w:usb2="00000010" w:usb3="00000000" w:csb0="00040000" w:csb1="00000000"/>
  </w:font>
  <w:font w:name="Lucida Grande">
    <w:altName w:val="Times New Roman"/>
    <w:panose1 w:val="00000000000000000000"/>
    <w:charset w:val="00"/>
    <w:family w:val="roman"/>
    <w:pitch w:val="default"/>
    <w:sig w:usb0="00000000" w:usb1="00000000" w:usb2="00000000" w:usb3="00000000" w:csb0="00000001"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Courier">
    <w:altName w:val="Courier New"/>
    <w:panose1 w:val="02070409020205020404"/>
    <w:charset w:val="00"/>
    <w:family w:val="modern"/>
    <w:pitch w:val="default"/>
    <w:sig w:usb0="00000000" w:usb1="00000000" w:usb2="00000000" w:usb3="00000000" w:csb0="00000001" w:csb1="00000000"/>
  </w:font>
  <w:font w:name="_GB2312">
    <w:altName w:val="Times New Roman"/>
    <w:panose1 w:val="00000000000000000000"/>
    <w:charset w:val="00"/>
    <w:family w:val="roman"/>
    <w:pitch w:val="default"/>
    <w:sig w:usb0="00000000" w:usb1="00000000" w:usb2="00000000" w:usb3="00000000" w:csb0="00040001" w:csb1="00000000"/>
  </w:font>
  <w:font w:name="Wingdings 2">
    <w:panose1 w:val="05020102010507070707"/>
    <w:charset w:val="02"/>
    <w:family w:val="roman"/>
    <w:pitch w:val="default"/>
    <w:sig w:usb0="00000000" w:usb1="00000000" w:usb2="00000000" w:usb3="00000000" w:csb0="80000000" w:csb1="00000000"/>
    <w:embedRegular r:id="rId7" w:fontKey="{5EB2585E-5DA7-4A75-933F-7630AFCFECE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77A18">
    <w:pPr>
      <w:pStyle w:val="4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E8BE4A">
                          <w:pPr>
                            <w:pStyle w:val="4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3E8BE4A">
                    <w:pPr>
                      <w:pStyle w:val="40"/>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26E04">
    <w:pPr>
      <w:pStyle w:val="4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9B040E"/>
    <w:multiLevelType w:val="singleLevel"/>
    <w:tmpl w:val="B79B040E"/>
    <w:lvl w:ilvl="0" w:tentative="0">
      <w:start w:val="6"/>
      <w:numFmt w:val="decimal"/>
      <w:lvlText w:val="%1."/>
      <w:lvlJc w:val="left"/>
      <w:pPr>
        <w:tabs>
          <w:tab w:val="left" w:pos="312"/>
        </w:tabs>
      </w:pPr>
    </w:lvl>
  </w:abstractNum>
  <w:abstractNum w:abstractNumId="1">
    <w:nsid w:val="00000001"/>
    <w:multiLevelType w:val="singleLevel"/>
    <w:tmpl w:val="00000001"/>
    <w:lvl w:ilvl="0" w:tentative="0">
      <w:start w:val="2"/>
      <w:numFmt w:val="chineseCounting"/>
      <w:pStyle w:val="136"/>
      <w:suff w:val="nothing"/>
      <w:lvlText w:val="%1、"/>
      <w:lvlJc w:val="left"/>
    </w:lvl>
  </w:abstractNum>
  <w:abstractNum w:abstractNumId="2">
    <w:nsid w:val="1F385935"/>
    <w:multiLevelType w:val="multilevel"/>
    <w:tmpl w:val="1F385935"/>
    <w:lvl w:ilvl="0" w:tentative="0">
      <w:start w:val="1"/>
      <w:numFmt w:val="bullet"/>
      <w:pStyle w:val="885"/>
      <w:lvlText w:val=""/>
      <w:lvlJc w:val="left"/>
      <w:pPr>
        <w:tabs>
          <w:tab w:val="left" w:pos="2896"/>
        </w:tabs>
        <w:ind w:left="2896" w:hanging="420"/>
      </w:pPr>
      <w:rPr>
        <w:rFonts w:hint="default" w:ascii="Wingdings" w:hAnsi="Wingdings"/>
      </w:rPr>
    </w:lvl>
    <w:lvl w:ilvl="1" w:tentative="0">
      <w:start w:val="1"/>
      <w:numFmt w:val="bullet"/>
      <w:lvlText w:val=""/>
      <w:lvlJc w:val="left"/>
      <w:pPr>
        <w:tabs>
          <w:tab w:val="left" w:pos="3316"/>
        </w:tabs>
        <w:ind w:left="3316" w:hanging="420"/>
      </w:pPr>
      <w:rPr>
        <w:rFonts w:hint="default" w:ascii="Wingdings" w:hAnsi="Wingdings"/>
      </w:rPr>
    </w:lvl>
    <w:lvl w:ilvl="2" w:tentative="0">
      <w:start w:val="1"/>
      <w:numFmt w:val="bullet"/>
      <w:lvlText w:val=""/>
      <w:lvlJc w:val="left"/>
      <w:pPr>
        <w:tabs>
          <w:tab w:val="left" w:pos="3736"/>
        </w:tabs>
        <w:ind w:left="3736" w:hanging="420"/>
      </w:pPr>
      <w:rPr>
        <w:rFonts w:hint="default" w:ascii="Wingdings" w:hAnsi="Wingdings"/>
      </w:rPr>
    </w:lvl>
    <w:lvl w:ilvl="3" w:tentative="0">
      <w:start w:val="1"/>
      <w:numFmt w:val="bullet"/>
      <w:lvlText w:val=""/>
      <w:lvlJc w:val="left"/>
      <w:pPr>
        <w:tabs>
          <w:tab w:val="left" w:pos="4156"/>
        </w:tabs>
        <w:ind w:left="4156" w:hanging="420"/>
      </w:pPr>
      <w:rPr>
        <w:rFonts w:hint="default" w:ascii="Wingdings" w:hAnsi="Wingdings"/>
      </w:rPr>
    </w:lvl>
    <w:lvl w:ilvl="4" w:tentative="0">
      <w:start w:val="1"/>
      <w:numFmt w:val="bullet"/>
      <w:lvlText w:val=""/>
      <w:lvlJc w:val="left"/>
      <w:pPr>
        <w:tabs>
          <w:tab w:val="left" w:pos="4576"/>
        </w:tabs>
        <w:ind w:left="4576" w:hanging="420"/>
      </w:pPr>
      <w:rPr>
        <w:rFonts w:hint="default" w:ascii="Wingdings" w:hAnsi="Wingdings"/>
      </w:rPr>
    </w:lvl>
    <w:lvl w:ilvl="5" w:tentative="0">
      <w:start w:val="1"/>
      <w:numFmt w:val="bullet"/>
      <w:lvlText w:val=""/>
      <w:lvlJc w:val="left"/>
      <w:pPr>
        <w:tabs>
          <w:tab w:val="left" w:pos="4996"/>
        </w:tabs>
        <w:ind w:left="4996" w:hanging="420"/>
      </w:pPr>
      <w:rPr>
        <w:rFonts w:hint="default" w:ascii="Wingdings" w:hAnsi="Wingdings"/>
      </w:rPr>
    </w:lvl>
    <w:lvl w:ilvl="6" w:tentative="0">
      <w:start w:val="1"/>
      <w:numFmt w:val="bullet"/>
      <w:lvlText w:val=""/>
      <w:lvlJc w:val="left"/>
      <w:pPr>
        <w:tabs>
          <w:tab w:val="left" w:pos="5416"/>
        </w:tabs>
        <w:ind w:left="5416" w:hanging="420"/>
      </w:pPr>
      <w:rPr>
        <w:rFonts w:hint="default" w:ascii="Wingdings" w:hAnsi="Wingdings"/>
      </w:rPr>
    </w:lvl>
    <w:lvl w:ilvl="7" w:tentative="0">
      <w:start w:val="1"/>
      <w:numFmt w:val="bullet"/>
      <w:lvlText w:val=""/>
      <w:lvlJc w:val="left"/>
      <w:pPr>
        <w:tabs>
          <w:tab w:val="left" w:pos="5836"/>
        </w:tabs>
        <w:ind w:left="5836" w:hanging="420"/>
      </w:pPr>
      <w:rPr>
        <w:rFonts w:hint="default" w:ascii="Wingdings" w:hAnsi="Wingdings"/>
      </w:rPr>
    </w:lvl>
    <w:lvl w:ilvl="8" w:tentative="0">
      <w:start w:val="1"/>
      <w:numFmt w:val="bullet"/>
      <w:lvlText w:val=""/>
      <w:lvlJc w:val="left"/>
      <w:pPr>
        <w:tabs>
          <w:tab w:val="left" w:pos="6256"/>
        </w:tabs>
        <w:ind w:left="6256" w:hanging="420"/>
      </w:pPr>
      <w:rPr>
        <w:rFonts w:hint="default" w:ascii="Wingdings" w:hAnsi="Wingdings"/>
      </w:rPr>
    </w:lvl>
  </w:abstractNum>
  <w:abstractNum w:abstractNumId="3">
    <w:nsid w:val="298B64A2"/>
    <w:multiLevelType w:val="multilevel"/>
    <w:tmpl w:val="298B64A2"/>
    <w:lvl w:ilvl="0" w:tentative="0">
      <w:start w:val="1"/>
      <w:numFmt w:val="bullet"/>
      <w:pStyle w:val="805"/>
      <w:lvlText w:val=""/>
      <w:lvlJc w:val="left"/>
      <w:pPr>
        <w:tabs>
          <w:tab w:val="left" w:pos="2297"/>
        </w:tabs>
        <w:ind w:left="2297" w:hanging="420"/>
      </w:pPr>
      <w:rPr>
        <w:rFonts w:hint="default" w:ascii="Wingdings" w:hAnsi="Wingdings"/>
      </w:rPr>
    </w:lvl>
    <w:lvl w:ilvl="1" w:tentative="0">
      <w:start w:val="1"/>
      <w:numFmt w:val="bullet"/>
      <w:lvlText w:val=""/>
      <w:lvlJc w:val="left"/>
      <w:pPr>
        <w:tabs>
          <w:tab w:val="left" w:pos="2717"/>
        </w:tabs>
        <w:ind w:left="2717" w:hanging="420"/>
      </w:pPr>
      <w:rPr>
        <w:rFonts w:hint="default" w:ascii="Wingdings" w:hAnsi="Wingdings"/>
      </w:rPr>
    </w:lvl>
    <w:lvl w:ilvl="2" w:tentative="0">
      <w:start w:val="1"/>
      <w:numFmt w:val="bullet"/>
      <w:lvlText w:val=""/>
      <w:lvlJc w:val="left"/>
      <w:pPr>
        <w:tabs>
          <w:tab w:val="left" w:pos="3137"/>
        </w:tabs>
        <w:ind w:left="3137" w:hanging="420"/>
      </w:pPr>
      <w:rPr>
        <w:rFonts w:hint="default" w:ascii="Wingdings" w:hAnsi="Wingdings"/>
      </w:rPr>
    </w:lvl>
    <w:lvl w:ilvl="3" w:tentative="0">
      <w:start w:val="1"/>
      <w:numFmt w:val="bullet"/>
      <w:lvlText w:val=""/>
      <w:lvlJc w:val="left"/>
      <w:pPr>
        <w:tabs>
          <w:tab w:val="left" w:pos="3557"/>
        </w:tabs>
        <w:ind w:left="3557" w:hanging="420"/>
      </w:pPr>
      <w:rPr>
        <w:rFonts w:hint="default" w:ascii="Wingdings" w:hAnsi="Wingdings"/>
      </w:rPr>
    </w:lvl>
    <w:lvl w:ilvl="4" w:tentative="0">
      <w:start w:val="1"/>
      <w:numFmt w:val="bullet"/>
      <w:lvlText w:val=""/>
      <w:lvlJc w:val="left"/>
      <w:pPr>
        <w:tabs>
          <w:tab w:val="left" w:pos="3977"/>
        </w:tabs>
        <w:ind w:left="3977" w:hanging="420"/>
      </w:pPr>
      <w:rPr>
        <w:rFonts w:hint="default" w:ascii="Wingdings" w:hAnsi="Wingdings"/>
      </w:rPr>
    </w:lvl>
    <w:lvl w:ilvl="5" w:tentative="0">
      <w:start w:val="1"/>
      <w:numFmt w:val="bullet"/>
      <w:lvlText w:val=""/>
      <w:lvlJc w:val="left"/>
      <w:pPr>
        <w:tabs>
          <w:tab w:val="left" w:pos="4397"/>
        </w:tabs>
        <w:ind w:left="4397" w:hanging="420"/>
      </w:pPr>
      <w:rPr>
        <w:rFonts w:hint="default" w:ascii="Wingdings" w:hAnsi="Wingdings"/>
      </w:rPr>
    </w:lvl>
    <w:lvl w:ilvl="6" w:tentative="0">
      <w:start w:val="1"/>
      <w:numFmt w:val="bullet"/>
      <w:lvlText w:val=""/>
      <w:lvlJc w:val="left"/>
      <w:pPr>
        <w:tabs>
          <w:tab w:val="left" w:pos="4817"/>
        </w:tabs>
        <w:ind w:left="4817" w:hanging="420"/>
      </w:pPr>
      <w:rPr>
        <w:rFonts w:hint="default" w:ascii="Wingdings" w:hAnsi="Wingdings"/>
      </w:rPr>
    </w:lvl>
    <w:lvl w:ilvl="7" w:tentative="0">
      <w:start w:val="1"/>
      <w:numFmt w:val="bullet"/>
      <w:lvlText w:val=""/>
      <w:lvlJc w:val="left"/>
      <w:pPr>
        <w:tabs>
          <w:tab w:val="left" w:pos="5237"/>
        </w:tabs>
        <w:ind w:left="5237" w:hanging="420"/>
      </w:pPr>
      <w:rPr>
        <w:rFonts w:hint="default" w:ascii="Wingdings" w:hAnsi="Wingdings"/>
      </w:rPr>
    </w:lvl>
    <w:lvl w:ilvl="8" w:tentative="0">
      <w:start w:val="1"/>
      <w:numFmt w:val="bullet"/>
      <w:lvlText w:val=""/>
      <w:lvlJc w:val="left"/>
      <w:pPr>
        <w:tabs>
          <w:tab w:val="left" w:pos="5657"/>
        </w:tabs>
        <w:ind w:left="5657" w:hanging="420"/>
      </w:pPr>
      <w:rPr>
        <w:rFonts w:hint="default" w:ascii="Wingdings" w:hAnsi="Wingdings"/>
      </w:rPr>
    </w:lvl>
  </w:abstractNum>
  <w:abstractNum w:abstractNumId="4">
    <w:nsid w:val="2C5917C3"/>
    <w:multiLevelType w:val="multilevel"/>
    <w:tmpl w:val="2C5917C3"/>
    <w:lvl w:ilvl="0" w:tentative="0">
      <w:start w:val="1"/>
      <w:numFmt w:val="none"/>
      <w:pStyle w:val="1232"/>
      <w:suff w:val="nothing"/>
      <w:lvlText w:val="%1——"/>
      <w:lvlJc w:val="left"/>
      <w:pPr>
        <w:ind w:left="833" w:hanging="408"/>
      </w:pPr>
      <w:rPr>
        <w:rFonts w:hint="eastAsia"/>
      </w:rPr>
    </w:lvl>
    <w:lvl w:ilvl="1" w:tentative="0">
      <w:start w:val="1"/>
      <w:numFmt w:val="bullet"/>
      <w:pStyle w:val="1130"/>
      <w:lvlText w:val=""/>
      <w:lvlJc w:val="left"/>
      <w:pPr>
        <w:tabs>
          <w:tab w:val="left" w:pos="760"/>
        </w:tabs>
        <w:ind w:left="1264" w:hanging="413"/>
      </w:pPr>
      <w:rPr>
        <w:rFonts w:hint="default" w:ascii="Symbol" w:hAnsi="Symbol"/>
        <w:color w:val="auto"/>
      </w:rPr>
    </w:lvl>
    <w:lvl w:ilvl="2" w:tentative="0">
      <w:start w:val="1"/>
      <w:numFmt w:val="bullet"/>
      <w:pStyle w:val="752"/>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5">
    <w:nsid w:val="34805B96"/>
    <w:multiLevelType w:val="singleLevel"/>
    <w:tmpl w:val="34805B96"/>
    <w:lvl w:ilvl="0" w:tentative="0">
      <w:start w:val="0"/>
      <w:numFmt w:val="bullet"/>
      <w:pStyle w:val="912"/>
      <w:lvlText w:val=""/>
      <w:lvlJc w:val="left"/>
      <w:pPr>
        <w:tabs>
          <w:tab w:val="left" w:pos="644"/>
        </w:tabs>
        <w:ind w:left="0" w:firstLine="284"/>
      </w:pPr>
      <w:rPr>
        <w:rFonts w:hint="default" w:ascii="Symbol" w:hAnsi="Symbol"/>
      </w:rPr>
    </w:lvl>
  </w:abstractNum>
  <w:abstractNum w:abstractNumId="6">
    <w:nsid w:val="42C00ED7"/>
    <w:multiLevelType w:val="multilevel"/>
    <w:tmpl w:val="42C00ED7"/>
    <w:lvl w:ilvl="0" w:tentative="0">
      <w:start w:val="1"/>
      <w:numFmt w:val="lowerLetter"/>
      <w:lvlText w:val="%1."/>
      <w:lvlJc w:val="left"/>
      <w:pPr>
        <w:tabs>
          <w:tab w:val="left" w:pos="600"/>
        </w:tabs>
        <w:ind w:left="600" w:hanging="30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44C50F90"/>
    <w:multiLevelType w:val="multilevel"/>
    <w:tmpl w:val="44C50F90"/>
    <w:lvl w:ilvl="0" w:tentative="0">
      <w:start w:val="1"/>
      <w:numFmt w:val="lowerLetter"/>
      <w:pStyle w:val="770"/>
      <w:lvlText w:val="%1)"/>
      <w:lvlJc w:val="left"/>
      <w:pPr>
        <w:tabs>
          <w:tab w:val="left" w:pos="839"/>
        </w:tabs>
        <w:ind w:left="839" w:hanging="419"/>
      </w:pPr>
      <w:rPr>
        <w:rFonts w:hint="eastAsia" w:ascii="宋体" w:hAnsi="宋体" w:eastAsia="宋体"/>
        <w:b w:val="0"/>
        <w:i w:val="0"/>
        <w:sz w:val="20"/>
        <w:szCs w:val="21"/>
      </w:rPr>
    </w:lvl>
    <w:lvl w:ilvl="1" w:tentative="0">
      <w:start w:val="1"/>
      <w:numFmt w:val="decimal"/>
      <w:pStyle w:val="1233"/>
      <w:lvlText w:val="%2)"/>
      <w:lvlJc w:val="left"/>
      <w:pPr>
        <w:tabs>
          <w:tab w:val="left" w:pos="1259"/>
        </w:tabs>
        <w:ind w:left="1259" w:hanging="420"/>
      </w:pPr>
      <w:rPr>
        <w:rFonts w:hint="eastAsia" w:ascii="宋体" w:hAnsi="宋体" w:eastAsia="宋体"/>
        <w:b w:val="0"/>
        <w:i w:val="0"/>
        <w:sz w:val="20"/>
      </w:rPr>
    </w:lvl>
    <w:lvl w:ilvl="2" w:tentative="0">
      <w:start w:val="1"/>
      <w:numFmt w:val="decimal"/>
      <w:pStyle w:val="1234"/>
      <w:lvlText w:val="(%3)"/>
      <w:lvlJc w:val="left"/>
      <w:pPr>
        <w:tabs>
          <w:tab w:val="left" w:pos="0"/>
        </w:tabs>
        <w:ind w:left="1678" w:hanging="419"/>
      </w:pPr>
      <w:rPr>
        <w:rFonts w:hint="eastAsia" w:ascii="宋体" w:hAnsi="宋体" w:eastAsia="宋体"/>
        <w:b w:val="0"/>
        <w:i w:val="0"/>
        <w:sz w:val="20"/>
        <w:szCs w:val="21"/>
      </w:rPr>
    </w:lvl>
    <w:lvl w:ilvl="3" w:tentative="0">
      <w:start w:val="1"/>
      <w:numFmt w:val="decimal"/>
      <w:lvlText w:val="%4."/>
      <w:lvlJc w:val="left"/>
      <w:pPr>
        <w:tabs>
          <w:tab w:val="left" w:pos="2098"/>
        </w:tabs>
        <w:ind w:left="2098" w:hanging="420"/>
      </w:pPr>
      <w:rPr>
        <w:rFonts w:hint="eastAsia"/>
      </w:rPr>
    </w:lvl>
    <w:lvl w:ilvl="4" w:tentative="0">
      <w:start w:val="1"/>
      <w:numFmt w:val="lowerLetter"/>
      <w:lvlText w:val="%5)"/>
      <w:lvlJc w:val="left"/>
      <w:pPr>
        <w:tabs>
          <w:tab w:val="left" w:pos="2517"/>
        </w:tabs>
        <w:ind w:left="2517" w:hanging="419"/>
      </w:pPr>
      <w:rPr>
        <w:rFonts w:hint="eastAsia"/>
      </w:rPr>
    </w:lvl>
    <w:lvl w:ilvl="5" w:tentative="0">
      <w:start w:val="1"/>
      <w:numFmt w:val="lowerRoman"/>
      <w:lvlText w:val="%6."/>
      <w:lvlJc w:val="right"/>
      <w:pPr>
        <w:tabs>
          <w:tab w:val="left" w:pos="2942"/>
        </w:tabs>
        <w:ind w:left="2937" w:hanging="420"/>
      </w:pPr>
      <w:rPr>
        <w:rFonts w:hint="eastAsia"/>
      </w:rPr>
    </w:lvl>
    <w:lvl w:ilvl="6" w:tentative="0">
      <w:start w:val="1"/>
      <w:numFmt w:val="decimal"/>
      <w:lvlText w:val="%7."/>
      <w:lvlJc w:val="left"/>
      <w:pPr>
        <w:tabs>
          <w:tab w:val="left" w:pos="3362"/>
        </w:tabs>
        <w:ind w:left="3356" w:hanging="414"/>
      </w:pPr>
      <w:rPr>
        <w:rFonts w:hint="eastAsia"/>
      </w:rPr>
    </w:lvl>
    <w:lvl w:ilvl="7" w:tentative="0">
      <w:start w:val="1"/>
      <w:numFmt w:val="lowerLetter"/>
      <w:lvlText w:val="%8)"/>
      <w:lvlJc w:val="left"/>
      <w:pPr>
        <w:tabs>
          <w:tab w:val="left" w:pos="3781"/>
        </w:tabs>
        <w:ind w:left="3776" w:hanging="414"/>
      </w:pPr>
      <w:rPr>
        <w:rFonts w:hint="eastAsia"/>
      </w:rPr>
    </w:lvl>
    <w:lvl w:ilvl="8" w:tentative="0">
      <w:start w:val="1"/>
      <w:numFmt w:val="lowerRoman"/>
      <w:lvlText w:val="%9."/>
      <w:lvlJc w:val="right"/>
      <w:pPr>
        <w:tabs>
          <w:tab w:val="left" w:pos="4201"/>
        </w:tabs>
        <w:ind w:left="4201" w:hanging="420"/>
      </w:pPr>
      <w:rPr>
        <w:rFonts w:hint="eastAsia"/>
      </w:rPr>
    </w:lvl>
  </w:abstractNum>
  <w:abstractNum w:abstractNumId="8">
    <w:nsid w:val="49310F0C"/>
    <w:multiLevelType w:val="multilevel"/>
    <w:tmpl w:val="49310F0C"/>
    <w:lvl w:ilvl="0" w:tentative="0">
      <w:start w:val="1"/>
      <w:numFmt w:val="bullet"/>
      <w:pStyle w:val="382"/>
      <w:lvlText w:val=""/>
      <w:lvlJc w:val="left"/>
      <w:pPr>
        <w:tabs>
          <w:tab w:val="left" w:pos="1134"/>
        </w:tabs>
        <w:ind w:left="1134" w:hanging="567"/>
      </w:pPr>
      <w:rPr>
        <w:rFonts w:hint="default" w:ascii="Wingdings" w:hAnsi="Wingdings"/>
      </w:rPr>
    </w:lvl>
    <w:lvl w:ilvl="1" w:tentative="0">
      <w:start w:val="1"/>
      <w:numFmt w:val="bullet"/>
      <w:lvlText w:val=""/>
      <w:lvlJc w:val="left"/>
      <w:pPr>
        <w:tabs>
          <w:tab w:val="left" w:pos="2100"/>
        </w:tabs>
        <w:ind w:left="2100" w:hanging="420"/>
      </w:pPr>
      <w:rPr>
        <w:rFonts w:hint="default" w:ascii="Wingdings" w:hAnsi="Wingdings"/>
      </w:rPr>
    </w:lvl>
    <w:lvl w:ilvl="2" w:tentative="0">
      <w:start w:val="1"/>
      <w:numFmt w:val="bullet"/>
      <w:lvlText w:val=""/>
      <w:lvlJc w:val="left"/>
      <w:pPr>
        <w:tabs>
          <w:tab w:val="left" w:pos="2520"/>
        </w:tabs>
        <w:ind w:left="2520" w:hanging="420"/>
      </w:pPr>
      <w:rPr>
        <w:rFonts w:hint="default" w:ascii="Wingdings" w:hAnsi="Wingdings"/>
      </w:rPr>
    </w:lvl>
    <w:lvl w:ilvl="3" w:tentative="0">
      <w:start w:val="1"/>
      <w:numFmt w:val="bullet"/>
      <w:lvlText w:val=""/>
      <w:lvlJc w:val="left"/>
      <w:pPr>
        <w:tabs>
          <w:tab w:val="left" w:pos="2940"/>
        </w:tabs>
        <w:ind w:left="2940" w:hanging="420"/>
      </w:pPr>
      <w:rPr>
        <w:rFonts w:hint="default" w:ascii="Wingdings" w:hAnsi="Wingdings"/>
      </w:rPr>
    </w:lvl>
    <w:lvl w:ilvl="4" w:tentative="0">
      <w:start w:val="1"/>
      <w:numFmt w:val="bullet"/>
      <w:lvlText w:val=""/>
      <w:lvlJc w:val="left"/>
      <w:pPr>
        <w:tabs>
          <w:tab w:val="left" w:pos="3360"/>
        </w:tabs>
        <w:ind w:left="3360" w:hanging="420"/>
      </w:pPr>
      <w:rPr>
        <w:rFonts w:hint="default" w:ascii="Wingdings" w:hAnsi="Wingdings"/>
      </w:rPr>
    </w:lvl>
    <w:lvl w:ilvl="5" w:tentative="0">
      <w:start w:val="1"/>
      <w:numFmt w:val="bullet"/>
      <w:lvlText w:val=""/>
      <w:lvlJc w:val="left"/>
      <w:pPr>
        <w:tabs>
          <w:tab w:val="left" w:pos="3780"/>
        </w:tabs>
        <w:ind w:left="3780" w:hanging="420"/>
      </w:pPr>
      <w:rPr>
        <w:rFonts w:hint="default" w:ascii="Wingdings" w:hAnsi="Wingdings"/>
      </w:rPr>
    </w:lvl>
    <w:lvl w:ilvl="6" w:tentative="0">
      <w:start w:val="1"/>
      <w:numFmt w:val="bullet"/>
      <w:lvlText w:val=""/>
      <w:lvlJc w:val="left"/>
      <w:pPr>
        <w:tabs>
          <w:tab w:val="left" w:pos="4200"/>
        </w:tabs>
        <w:ind w:left="4200" w:hanging="420"/>
      </w:pPr>
      <w:rPr>
        <w:rFonts w:hint="default" w:ascii="Wingdings" w:hAnsi="Wingdings"/>
      </w:rPr>
    </w:lvl>
    <w:lvl w:ilvl="7" w:tentative="0">
      <w:start w:val="1"/>
      <w:numFmt w:val="bullet"/>
      <w:lvlText w:val=""/>
      <w:lvlJc w:val="left"/>
      <w:pPr>
        <w:tabs>
          <w:tab w:val="left" w:pos="4620"/>
        </w:tabs>
        <w:ind w:left="4620" w:hanging="420"/>
      </w:pPr>
      <w:rPr>
        <w:rFonts w:hint="default" w:ascii="Wingdings" w:hAnsi="Wingdings"/>
      </w:rPr>
    </w:lvl>
    <w:lvl w:ilvl="8" w:tentative="0">
      <w:start w:val="1"/>
      <w:numFmt w:val="bullet"/>
      <w:lvlText w:val=""/>
      <w:lvlJc w:val="left"/>
      <w:pPr>
        <w:tabs>
          <w:tab w:val="left" w:pos="5040"/>
        </w:tabs>
        <w:ind w:left="5040" w:hanging="420"/>
      </w:pPr>
      <w:rPr>
        <w:rFonts w:hint="default" w:ascii="Wingdings" w:hAnsi="Wingdings"/>
      </w:rPr>
    </w:lvl>
  </w:abstractNum>
  <w:abstractNum w:abstractNumId="9">
    <w:nsid w:val="4B88F3B7"/>
    <w:multiLevelType w:val="singleLevel"/>
    <w:tmpl w:val="4B88F3B7"/>
    <w:lvl w:ilvl="0" w:tentative="0">
      <w:start w:val="2"/>
      <w:numFmt w:val="decimal"/>
      <w:suff w:val="nothing"/>
      <w:lvlText w:val="（%1）"/>
      <w:lvlJc w:val="left"/>
    </w:lvl>
  </w:abstractNum>
  <w:abstractNum w:abstractNumId="10">
    <w:nsid w:val="532D24A0"/>
    <w:multiLevelType w:val="multilevel"/>
    <w:tmpl w:val="532D24A0"/>
    <w:lvl w:ilvl="0" w:tentative="0">
      <w:start w:val="1"/>
      <w:numFmt w:val="bullet"/>
      <w:pStyle w:val="840"/>
      <w:lvlText w:val=""/>
      <w:lvlJc w:val="left"/>
      <w:pPr>
        <w:tabs>
          <w:tab w:val="left" w:pos="1687"/>
        </w:tabs>
        <w:ind w:left="16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11">
    <w:nsid w:val="5EFF1E7E"/>
    <w:multiLevelType w:val="multilevel"/>
    <w:tmpl w:val="5EFF1E7E"/>
    <w:lvl w:ilvl="0" w:tentative="0">
      <w:start w:val="1"/>
      <w:numFmt w:val="decimal"/>
      <w:pStyle w:val="806"/>
      <w:lvlText w:val="%1"/>
      <w:lvlJc w:val="left"/>
      <w:pPr>
        <w:tabs>
          <w:tab w:val="left" w:pos="425"/>
        </w:tabs>
        <w:ind w:left="425" w:hanging="425"/>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16"/>
        <w:szCs w:val="0"/>
        <w:u w:val="none" w:color="000000"/>
        <w:shd w:val="clear" w:color="000000" w:fill="000000"/>
        <w:vertAlign w:val="baseline"/>
      </w:r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8"/>
        </w:tabs>
        <w:ind w:left="1418"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12">
    <w:nsid w:val="60FAF929"/>
    <w:multiLevelType w:val="singleLevel"/>
    <w:tmpl w:val="60FAF929"/>
    <w:lvl w:ilvl="0" w:tentative="0">
      <w:start w:val="6"/>
      <w:numFmt w:val="decimal"/>
      <w:lvlText w:val="%1."/>
      <w:lvlJc w:val="left"/>
      <w:pPr>
        <w:tabs>
          <w:tab w:val="left" w:pos="312"/>
        </w:tabs>
      </w:pPr>
    </w:lvl>
  </w:abstractNum>
  <w:abstractNum w:abstractNumId="13">
    <w:nsid w:val="76E90DCF"/>
    <w:multiLevelType w:val="multilevel"/>
    <w:tmpl w:val="76E90DCF"/>
    <w:lvl w:ilvl="0" w:tentative="0">
      <w:start w:val="1"/>
      <w:numFmt w:val="bullet"/>
      <w:pStyle w:val="1155"/>
      <w:lvlText w:val=""/>
      <w:lvlJc w:val="left"/>
      <w:pPr>
        <w:tabs>
          <w:tab w:val="left" w:pos="1500"/>
        </w:tabs>
        <w:ind w:left="1500" w:hanging="420"/>
      </w:pPr>
      <w:rPr>
        <w:rFonts w:hint="default" w:ascii="Wingdings" w:hAnsi="Wingdings"/>
      </w:rPr>
    </w:lvl>
    <w:lvl w:ilvl="1" w:tentative="0">
      <w:start w:val="1"/>
      <w:numFmt w:val="bullet"/>
      <w:lvlText w:val=""/>
      <w:lvlJc w:val="left"/>
      <w:pPr>
        <w:tabs>
          <w:tab w:val="left" w:pos="1640"/>
        </w:tabs>
        <w:ind w:left="1640" w:hanging="420"/>
      </w:pPr>
      <w:rPr>
        <w:rFonts w:hint="default" w:ascii="Wingdings" w:hAnsi="Wingdings"/>
      </w:rPr>
    </w:lvl>
    <w:lvl w:ilvl="2" w:tentative="0">
      <w:start w:val="1"/>
      <w:numFmt w:val="bullet"/>
      <w:lvlText w:val=""/>
      <w:lvlJc w:val="left"/>
      <w:pPr>
        <w:tabs>
          <w:tab w:val="left" w:pos="2060"/>
        </w:tabs>
        <w:ind w:left="2060" w:hanging="420"/>
      </w:pPr>
      <w:rPr>
        <w:rFonts w:hint="default" w:ascii="Wingdings" w:hAnsi="Wingdings"/>
      </w:rPr>
    </w:lvl>
    <w:lvl w:ilvl="3" w:tentative="0">
      <w:start w:val="1"/>
      <w:numFmt w:val="bullet"/>
      <w:lvlText w:val=""/>
      <w:lvlJc w:val="left"/>
      <w:pPr>
        <w:tabs>
          <w:tab w:val="left" w:pos="2480"/>
        </w:tabs>
        <w:ind w:left="2480" w:hanging="420"/>
      </w:pPr>
      <w:rPr>
        <w:rFonts w:hint="default" w:ascii="Wingdings" w:hAnsi="Wingdings"/>
      </w:rPr>
    </w:lvl>
    <w:lvl w:ilvl="4" w:tentative="0">
      <w:start w:val="1"/>
      <w:numFmt w:val="bullet"/>
      <w:lvlText w:val=""/>
      <w:lvlJc w:val="left"/>
      <w:pPr>
        <w:tabs>
          <w:tab w:val="left" w:pos="2900"/>
        </w:tabs>
        <w:ind w:left="2900" w:hanging="420"/>
      </w:pPr>
      <w:rPr>
        <w:rFonts w:hint="default" w:ascii="Wingdings" w:hAnsi="Wingdings"/>
      </w:rPr>
    </w:lvl>
    <w:lvl w:ilvl="5" w:tentative="0">
      <w:start w:val="1"/>
      <w:numFmt w:val="bullet"/>
      <w:lvlText w:val=""/>
      <w:lvlJc w:val="left"/>
      <w:pPr>
        <w:tabs>
          <w:tab w:val="left" w:pos="3320"/>
        </w:tabs>
        <w:ind w:left="3320" w:hanging="420"/>
      </w:pPr>
      <w:rPr>
        <w:rFonts w:hint="default" w:ascii="Wingdings" w:hAnsi="Wingdings"/>
      </w:rPr>
    </w:lvl>
    <w:lvl w:ilvl="6" w:tentative="0">
      <w:start w:val="1"/>
      <w:numFmt w:val="bullet"/>
      <w:lvlText w:val=""/>
      <w:lvlJc w:val="left"/>
      <w:pPr>
        <w:tabs>
          <w:tab w:val="left" w:pos="3740"/>
        </w:tabs>
        <w:ind w:left="3740" w:hanging="420"/>
      </w:pPr>
      <w:rPr>
        <w:rFonts w:hint="default" w:ascii="Wingdings" w:hAnsi="Wingdings"/>
      </w:rPr>
    </w:lvl>
    <w:lvl w:ilvl="7" w:tentative="0">
      <w:start w:val="1"/>
      <w:numFmt w:val="bullet"/>
      <w:lvlText w:val=""/>
      <w:lvlJc w:val="left"/>
      <w:pPr>
        <w:tabs>
          <w:tab w:val="left" w:pos="4160"/>
        </w:tabs>
        <w:ind w:left="4160" w:hanging="420"/>
      </w:pPr>
      <w:rPr>
        <w:rFonts w:hint="default" w:ascii="Wingdings" w:hAnsi="Wingdings"/>
      </w:rPr>
    </w:lvl>
    <w:lvl w:ilvl="8" w:tentative="0">
      <w:start w:val="1"/>
      <w:numFmt w:val="bullet"/>
      <w:lvlText w:val=""/>
      <w:lvlJc w:val="left"/>
      <w:pPr>
        <w:tabs>
          <w:tab w:val="left" w:pos="4580"/>
        </w:tabs>
        <w:ind w:left="4580" w:hanging="420"/>
      </w:pPr>
      <w:rPr>
        <w:rFonts w:hint="default" w:ascii="Wingdings" w:hAnsi="Wingdings"/>
      </w:rPr>
    </w:lvl>
  </w:abstractNum>
  <w:abstractNum w:abstractNumId="14">
    <w:nsid w:val="7DC129B6"/>
    <w:multiLevelType w:val="multilevel"/>
    <w:tmpl w:val="7DC129B6"/>
    <w:lvl w:ilvl="0" w:tentative="0">
      <w:start w:val="1"/>
      <w:numFmt w:val="decimal"/>
      <w:lvlText w:val="%1"/>
      <w:lvlJc w:val="left"/>
      <w:pPr>
        <w:tabs>
          <w:tab w:val="left" w:pos="0"/>
        </w:tabs>
        <w:ind w:left="425" w:hanging="425"/>
      </w:pPr>
      <w:rPr>
        <w:rFonts w:hint="default"/>
      </w:rPr>
    </w:lvl>
    <w:lvl w:ilvl="1" w:tentative="0">
      <w:start w:val="1"/>
      <w:numFmt w:val="decimal"/>
      <w:pStyle w:val="1235"/>
      <w:lvlText w:val="%1.%2"/>
      <w:lvlJc w:val="left"/>
      <w:pPr>
        <w:tabs>
          <w:tab w:val="left" w:pos="0"/>
        </w:tabs>
        <w:ind w:left="0" w:firstLine="0"/>
      </w:pPr>
      <w:rPr>
        <w:rFonts w:hint="default"/>
      </w:rPr>
    </w:lvl>
    <w:lvl w:ilvl="2" w:tentative="0">
      <w:start w:val="1"/>
      <w:numFmt w:val="decimal"/>
      <w:lvlText w:val="%1.%2.%3"/>
      <w:lvlJc w:val="left"/>
      <w:pPr>
        <w:tabs>
          <w:tab w:val="left" w:pos="0"/>
        </w:tabs>
        <w:ind w:left="1418" w:hanging="1418"/>
      </w:pPr>
      <w:rPr>
        <w:rFonts w:hint="default"/>
      </w:rPr>
    </w:lvl>
    <w:lvl w:ilvl="3" w:tentative="0">
      <w:start w:val="1"/>
      <w:numFmt w:val="decimal"/>
      <w:lvlText w:val="%1.%2.%3.%4"/>
      <w:lvlJc w:val="left"/>
      <w:pPr>
        <w:tabs>
          <w:tab w:val="left" w:pos="0"/>
        </w:tabs>
        <w:ind w:left="1984" w:hanging="708"/>
      </w:pPr>
      <w:rPr>
        <w:rFonts w:hint="default"/>
      </w:rPr>
    </w:lvl>
    <w:lvl w:ilvl="4" w:tentative="0">
      <w:start w:val="1"/>
      <w:numFmt w:val="decimal"/>
      <w:lvlText w:val="%1.%2.%3.%4.%5"/>
      <w:lvlJc w:val="left"/>
      <w:pPr>
        <w:tabs>
          <w:tab w:val="left" w:pos="0"/>
        </w:tabs>
        <w:ind w:left="2551" w:hanging="850"/>
      </w:pPr>
      <w:rPr>
        <w:rFonts w:hint="default"/>
      </w:rPr>
    </w:lvl>
    <w:lvl w:ilvl="5" w:tentative="0">
      <w:start w:val="1"/>
      <w:numFmt w:val="decimal"/>
      <w:lvlText w:val="%1.%2.%3.%4.%5.%6"/>
      <w:lvlJc w:val="left"/>
      <w:pPr>
        <w:tabs>
          <w:tab w:val="left" w:pos="0"/>
        </w:tabs>
        <w:ind w:left="3260" w:hanging="1134"/>
      </w:pPr>
      <w:rPr>
        <w:rFonts w:hint="default"/>
      </w:rPr>
    </w:lvl>
    <w:lvl w:ilvl="6" w:tentative="0">
      <w:start w:val="1"/>
      <w:numFmt w:val="decimal"/>
      <w:lvlText w:val="%1.%2.%3.%4.%5.%6.%7"/>
      <w:lvlJc w:val="left"/>
      <w:pPr>
        <w:tabs>
          <w:tab w:val="left" w:pos="0"/>
        </w:tabs>
        <w:ind w:left="3827" w:hanging="1276"/>
      </w:pPr>
      <w:rPr>
        <w:rFonts w:hint="default"/>
      </w:rPr>
    </w:lvl>
    <w:lvl w:ilvl="7" w:tentative="0">
      <w:start w:val="1"/>
      <w:numFmt w:val="decimal"/>
      <w:lvlText w:val="%1.%2.%3.%4.%5.%6.%7.%8"/>
      <w:lvlJc w:val="left"/>
      <w:pPr>
        <w:tabs>
          <w:tab w:val="left" w:pos="0"/>
        </w:tabs>
        <w:ind w:left="4394" w:hanging="1418"/>
      </w:pPr>
      <w:rPr>
        <w:rFonts w:hint="default"/>
      </w:rPr>
    </w:lvl>
    <w:lvl w:ilvl="8" w:tentative="0">
      <w:start w:val="1"/>
      <w:numFmt w:val="decimal"/>
      <w:lvlText w:val="%1.%2.%3.%4.%5.%6.%7.%8.%9"/>
      <w:lvlJc w:val="left"/>
      <w:pPr>
        <w:tabs>
          <w:tab w:val="left" w:pos="0"/>
        </w:tabs>
        <w:ind w:left="5102" w:hanging="1700"/>
      </w:pPr>
      <w:rPr>
        <w:rFonts w:hint="default"/>
      </w:rPr>
    </w:lvl>
  </w:abstractNum>
  <w:num w:numId="1">
    <w:abstractNumId w:val="1"/>
  </w:num>
  <w:num w:numId="2">
    <w:abstractNumId w:val="8"/>
  </w:num>
  <w:num w:numId="3">
    <w:abstractNumId w:val="4"/>
  </w:num>
  <w:num w:numId="4">
    <w:abstractNumId w:val="7"/>
  </w:num>
  <w:num w:numId="5">
    <w:abstractNumId w:val="3"/>
  </w:num>
  <w:num w:numId="6">
    <w:abstractNumId w:val="11"/>
  </w:num>
  <w:num w:numId="7">
    <w:abstractNumId w:val="10"/>
  </w:num>
  <w:num w:numId="8">
    <w:abstractNumId w:val="2"/>
  </w:num>
  <w:num w:numId="9">
    <w:abstractNumId w:val="5"/>
  </w:num>
  <w:num w:numId="10">
    <w:abstractNumId w:val="13"/>
  </w:num>
  <w:num w:numId="11">
    <w:abstractNumId w:val="14"/>
  </w:num>
  <w:num w:numId="12">
    <w:abstractNumId w:val="6"/>
  </w:num>
  <w:num w:numId="13">
    <w:abstractNumId w:val="12"/>
  </w:num>
  <w:num w:numId="14">
    <w:abstractNumId w:val="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trackRevisions w:val="1"/>
  <w:documentProtection w:edit="trackedChanges"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lNDliOWQwZjYwNWE5ZDVlZjlkODM3NjUwM2UwNTgifQ=="/>
  </w:docVars>
  <w:rsids>
    <w:rsidRoot w:val="000812E4"/>
    <w:rsid w:val="00000AAF"/>
    <w:rsid w:val="00000F70"/>
    <w:rsid w:val="000022E1"/>
    <w:rsid w:val="00003096"/>
    <w:rsid w:val="00003681"/>
    <w:rsid w:val="00003C3C"/>
    <w:rsid w:val="000101CC"/>
    <w:rsid w:val="000110C4"/>
    <w:rsid w:val="00011612"/>
    <w:rsid w:val="00012241"/>
    <w:rsid w:val="0001391D"/>
    <w:rsid w:val="00014A63"/>
    <w:rsid w:val="00016DBC"/>
    <w:rsid w:val="00017B34"/>
    <w:rsid w:val="0002132F"/>
    <w:rsid w:val="00021944"/>
    <w:rsid w:val="00021A9A"/>
    <w:rsid w:val="00021BAC"/>
    <w:rsid w:val="00022C71"/>
    <w:rsid w:val="00024265"/>
    <w:rsid w:val="00025EF0"/>
    <w:rsid w:val="00026089"/>
    <w:rsid w:val="000266ED"/>
    <w:rsid w:val="00027C96"/>
    <w:rsid w:val="00030862"/>
    <w:rsid w:val="0003734E"/>
    <w:rsid w:val="000405DB"/>
    <w:rsid w:val="00040BAD"/>
    <w:rsid w:val="000426DB"/>
    <w:rsid w:val="000433B1"/>
    <w:rsid w:val="00043901"/>
    <w:rsid w:val="00045086"/>
    <w:rsid w:val="0004756B"/>
    <w:rsid w:val="00051AF6"/>
    <w:rsid w:val="00051F16"/>
    <w:rsid w:val="000534F5"/>
    <w:rsid w:val="00055B63"/>
    <w:rsid w:val="0005602B"/>
    <w:rsid w:val="000560EA"/>
    <w:rsid w:val="0006468A"/>
    <w:rsid w:val="0006562C"/>
    <w:rsid w:val="00071451"/>
    <w:rsid w:val="00072D82"/>
    <w:rsid w:val="00073B28"/>
    <w:rsid w:val="00075372"/>
    <w:rsid w:val="0008042D"/>
    <w:rsid w:val="000812E4"/>
    <w:rsid w:val="00081DC6"/>
    <w:rsid w:val="000829AA"/>
    <w:rsid w:val="000835BF"/>
    <w:rsid w:val="00083C9D"/>
    <w:rsid w:val="00086BC7"/>
    <w:rsid w:val="00091688"/>
    <w:rsid w:val="000962CE"/>
    <w:rsid w:val="00096E1A"/>
    <w:rsid w:val="000A13EA"/>
    <w:rsid w:val="000A1673"/>
    <w:rsid w:val="000A1814"/>
    <w:rsid w:val="000A1C83"/>
    <w:rsid w:val="000A3388"/>
    <w:rsid w:val="000A3C61"/>
    <w:rsid w:val="000A6168"/>
    <w:rsid w:val="000A6210"/>
    <w:rsid w:val="000A6CFA"/>
    <w:rsid w:val="000A71EC"/>
    <w:rsid w:val="000B0A46"/>
    <w:rsid w:val="000B0B4F"/>
    <w:rsid w:val="000B0FB9"/>
    <w:rsid w:val="000B2D74"/>
    <w:rsid w:val="000B3055"/>
    <w:rsid w:val="000B32A5"/>
    <w:rsid w:val="000B39DC"/>
    <w:rsid w:val="000B75E5"/>
    <w:rsid w:val="000B7B69"/>
    <w:rsid w:val="000C0209"/>
    <w:rsid w:val="000C1F8C"/>
    <w:rsid w:val="000C2FA5"/>
    <w:rsid w:val="000C4DD9"/>
    <w:rsid w:val="000C5370"/>
    <w:rsid w:val="000C6E3D"/>
    <w:rsid w:val="000C7087"/>
    <w:rsid w:val="000D08F2"/>
    <w:rsid w:val="000D4359"/>
    <w:rsid w:val="000D4A52"/>
    <w:rsid w:val="000D4E4D"/>
    <w:rsid w:val="000D557D"/>
    <w:rsid w:val="000D7576"/>
    <w:rsid w:val="000D777E"/>
    <w:rsid w:val="000D7BFF"/>
    <w:rsid w:val="000E071E"/>
    <w:rsid w:val="000E0DB7"/>
    <w:rsid w:val="000E4B21"/>
    <w:rsid w:val="000E5BFF"/>
    <w:rsid w:val="000E5DA2"/>
    <w:rsid w:val="000E761F"/>
    <w:rsid w:val="000F0CE8"/>
    <w:rsid w:val="000F0E7C"/>
    <w:rsid w:val="000F383F"/>
    <w:rsid w:val="000F3DB5"/>
    <w:rsid w:val="000F5EB8"/>
    <w:rsid w:val="000F6DEA"/>
    <w:rsid w:val="000F7655"/>
    <w:rsid w:val="000F7670"/>
    <w:rsid w:val="000F7EC8"/>
    <w:rsid w:val="00101707"/>
    <w:rsid w:val="00104E99"/>
    <w:rsid w:val="00106FC1"/>
    <w:rsid w:val="00107CE0"/>
    <w:rsid w:val="00111273"/>
    <w:rsid w:val="0011179B"/>
    <w:rsid w:val="00115476"/>
    <w:rsid w:val="00117DD7"/>
    <w:rsid w:val="00120027"/>
    <w:rsid w:val="001205E2"/>
    <w:rsid w:val="00124445"/>
    <w:rsid w:val="00125186"/>
    <w:rsid w:val="00125E93"/>
    <w:rsid w:val="00126602"/>
    <w:rsid w:val="00127754"/>
    <w:rsid w:val="00130D94"/>
    <w:rsid w:val="00131347"/>
    <w:rsid w:val="0013340D"/>
    <w:rsid w:val="00135CD1"/>
    <w:rsid w:val="00136C33"/>
    <w:rsid w:val="00136EB2"/>
    <w:rsid w:val="00137C68"/>
    <w:rsid w:val="001408EC"/>
    <w:rsid w:val="00145B1F"/>
    <w:rsid w:val="001467B6"/>
    <w:rsid w:val="00147087"/>
    <w:rsid w:val="00150C9D"/>
    <w:rsid w:val="00152AF2"/>
    <w:rsid w:val="00153BA2"/>
    <w:rsid w:val="00156A13"/>
    <w:rsid w:val="0016106D"/>
    <w:rsid w:val="00161F12"/>
    <w:rsid w:val="00162E82"/>
    <w:rsid w:val="0016460C"/>
    <w:rsid w:val="00164919"/>
    <w:rsid w:val="001653CB"/>
    <w:rsid w:val="0016713F"/>
    <w:rsid w:val="00167AC3"/>
    <w:rsid w:val="00172FEB"/>
    <w:rsid w:val="00176B9D"/>
    <w:rsid w:val="00177BB3"/>
    <w:rsid w:val="00180F32"/>
    <w:rsid w:val="0019361F"/>
    <w:rsid w:val="00193635"/>
    <w:rsid w:val="00195ACA"/>
    <w:rsid w:val="00195CAB"/>
    <w:rsid w:val="001960E2"/>
    <w:rsid w:val="00196551"/>
    <w:rsid w:val="001A1C7C"/>
    <w:rsid w:val="001A238B"/>
    <w:rsid w:val="001A2852"/>
    <w:rsid w:val="001A2959"/>
    <w:rsid w:val="001A3A09"/>
    <w:rsid w:val="001A69FC"/>
    <w:rsid w:val="001B0C16"/>
    <w:rsid w:val="001B16A1"/>
    <w:rsid w:val="001B31D4"/>
    <w:rsid w:val="001B549D"/>
    <w:rsid w:val="001C011F"/>
    <w:rsid w:val="001C2D13"/>
    <w:rsid w:val="001C37DB"/>
    <w:rsid w:val="001C4565"/>
    <w:rsid w:val="001C5895"/>
    <w:rsid w:val="001D17A4"/>
    <w:rsid w:val="001D18BE"/>
    <w:rsid w:val="001D2035"/>
    <w:rsid w:val="001D246B"/>
    <w:rsid w:val="001D2E93"/>
    <w:rsid w:val="001D2EF0"/>
    <w:rsid w:val="001D6E82"/>
    <w:rsid w:val="001E10FA"/>
    <w:rsid w:val="001E2396"/>
    <w:rsid w:val="001E5157"/>
    <w:rsid w:val="001E6D87"/>
    <w:rsid w:val="001F03BB"/>
    <w:rsid w:val="001F2B65"/>
    <w:rsid w:val="001F3A29"/>
    <w:rsid w:val="001F4DC3"/>
    <w:rsid w:val="001F747F"/>
    <w:rsid w:val="001F79E3"/>
    <w:rsid w:val="001F7BBE"/>
    <w:rsid w:val="00201785"/>
    <w:rsid w:val="00202032"/>
    <w:rsid w:val="00203E1A"/>
    <w:rsid w:val="00205052"/>
    <w:rsid w:val="002060BC"/>
    <w:rsid w:val="0020652D"/>
    <w:rsid w:val="00213C4C"/>
    <w:rsid w:val="00217999"/>
    <w:rsid w:val="00220207"/>
    <w:rsid w:val="00220668"/>
    <w:rsid w:val="0022320C"/>
    <w:rsid w:val="00223528"/>
    <w:rsid w:val="0022598C"/>
    <w:rsid w:val="00225F7D"/>
    <w:rsid w:val="00226468"/>
    <w:rsid w:val="00227EF6"/>
    <w:rsid w:val="0023128A"/>
    <w:rsid w:val="0023167E"/>
    <w:rsid w:val="00231749"/>
    <w:rsid w:val="00234220"/>
    <w:rsid w:val="00234D8F"/>
    <w:rsid w:val="00236EE0"/>
    <w:rsid w:val="00237804"/>
    <w:rsid w:val="00241A49"/>
    <w:rsid w:val="00241A4E"/>
    <w:rsid w:val="00241FD2"/>
    <w:rsid w:val="00242F9C"/>
    <w:rsid w:val="00243714"/>
    <w:rsid w:val="002459DB"/>
    <w:rsid w:val="0025208A"/>
    <w:rsid w:val="002545D1"/>
    <w:rsid w:val="0025488F"/>
    <w:rsid w:val="00255608"/>
    <w:rsid w:val="002556D6"/>
    <w:rsid w:val="002560D2"/>
    <w:rsid w:val="00256C99"/>
    <w:rsid w:val="0025780B"/>
    <w:rsid w:val="00260093"/>
    <w:rsid w:val="002613D2"/>
    <w:rsid w:val="00261AEB"/>
    <w:rsid w:val="002647A8"/>
    <w:rsid w:val="002657F2"/>
    <w:rsid w:val="002664D6"/>
    <w:rsid w:val="00266C9F"/>
    <w:rsid w:val="00267E5F"/>
    <w:rsid w:val="00270CCF"/>
    <w:rsid w:val="00271339"/>
    <w:rsid w:val="00272B5E"/>
    <w:rsid w:val="0027383A"/>
    <w:rsid w:val="00274AEB"/>
    <w:rsid w:val="00275B89"/>
    <w:rsid w:val="00277757"/>
    <w:rsid w:val="0028077F"/>
    <w:rsid w:val="002812EA"/>
    <w:rsid w:val="00281312"/>
    <w:rsid w:val="00282288"/>
    <w:rsid w:val="00282759"/>
    <w:rsid w:val="00282949"/>
    <w:rsid w:val="002836D4"/>
    <w:rsid w:val="0028388B"/>
    <w:rsid w:val="002839A5"/>
    <w:rsid w:val="00284853"/>
    <w:rsid w:val="00285506"/>
    <w:rsid w:val="00286B96"/>
    <w:rsid w:val="00287461"/>
    <w:rsid w:val="00287DD2"/>
    <w:rsid w:val="002905AB"/>
    <w:rsid w:val="00291778"/>
    <w:rsid w:val="00291B7B"/>
    <w:rsid w:val="0029429E"/>
    <w:rsid w:val="0029712C"/>
    <w:rsid w:val="002A06EA"/>
    <w:rsid w:val="002A3C02"/>
    <w:rsid w:val="002A54C2"/>
    <w:rsid w:val="002A7E96"/>
    <w:rsid w:val="002B1454"/>
    <w:rsid w:val="002B3B5A"/>
    <w:rsid w:val="002B7DC8"/>
    <w:rsid w:val="002C0258"/>
    <w:rsid w:val="002C3FDD"/>
    <w:rsid w:val="002C7F6B"/>
    <w:rsid w:val="002D109B"/>
    <w:rsid w:val="002D140A"/>
    <w:rsid w:val="002D1579"/>
    <w:rsid w:val="002D181D"/>
    <w:rsid w:val="002D3961"/>
    <w:rsid w:val="002D4E6B"/>
    <w:rsid w:val="002D56FA"/>
    <w:rsid w:val="002D582D"/>
    <w:rsid w:val="002D63C7"/>
    <w:rsid w:val="002D647B"/>
    <w:rsid w:val="002D6A78"/>
    <w:rsid w:val="002D7D85"/>
    <w:rsid w:val="002D7EA3"/>
    <w:rsid w:val="002E03DF"/>
    <w:rsid w:val="002E2B6A"/>
    <w:rsid w:val="002E2F4F"/>
    <w:rsid w:val="002E41AD"/>
    <w:rsid w:val="002E5F31"/>
    <w:rsid w:val="002E68E3"/>
    <w:rsid w:val="002F2C9E"/>
    <w:rsid w:val="002F3415"/>
    <w:rsid w:val="002F4C6A"/>
    <w:rsid w:val="002F6509"/>
    <w:rsid w:val="002F6B89"/>
    <w:rsid w:val="002F7FE5"/>
    <w:rsid w:val="00302638"/>
    <w:rsid w:val="00302C29"/>
    <w:rsid w:val="00304AEC"/>
    <w:rsid w:val="00304BCF"/>
    <w:rsid w:val="00304CB9"/>
    <w:rsid w:val="00304DFA"/>
    <w:rsid w:val="0030653F"/>
    <w:rsid w:val="003118CB"/>
    <w:rsid w:val="0031249D"/>
    <w:rsid w:val="00312DDC"/>
    <w:rsid w:val="003151C3"/>
    <w:rsid w:val="003155F9"/>
    <w:rsid w:val="003156B0"/>
    <w:rsid w:val="003161D1"/>
    <w:rsid w:val="00316B68"/>
    <w:rsid w:val="003177B5"/>
    <w:rsid w:val="00325AE2"/>
    <w:rsid w:val="003275CD"/>
    <w:rsid w:val="0033253A"/>
    <w:rsid w:val="00332A37"/>
    <w:rsid w:val="00333A5E"/>
    <w:rsid w:val="003400FD"/>
    <w:rsid w:val="00341640"/>
    <w:rsid w:val="0034243B"/>
    <w:rsid w:val="00342440"/>
    <w:rsid w:val="00344567"/>
    <w:rsid w:val="003456C3"/>
    <w:rsid w:val="00345D2C"/>
    <w:rsid w:val="00347D7A"/>
    <w:rsid w:val="00350685"/>
    <w:rsid w:val="0035075E"/>
    <w:rsid w:val="00350EC3"/>
    <w:rsid w:val="003515B8"/>
    <w:rsid w:val="003520B1"/>
    <w:rsid w:val="003543BD"/>
    <w:rsid w:val="003552BB"/>
    <w:rsid w:val="0035568A"/>
    <w:rsid w:val="00355C0A"/>
    <w:rsid w:val="00355F5F"/>
    <w:rsid w:val="00357B24"/>
    <w:rsid w:val="00360AB3"/>
    <w:rsid w:val="0036173C"/>
    <w:rsid w:val="00362233"/>
    <w:rsid w:val="003624A0"/>
    <w:rsid w:val="00362D38"/>
    <w:rsid w:val="00363113"/>
    <w:rsid w:val="00365CB3"/>
    <w:rsid w:val="003668B4"/>
    <w:rsid w:val="00367BE2"/>
    <w:rsid w:val="00367CDF"/>
    <w:rsid w:val="00375045"/>
    <w:rsid w:val="003752C7"/>
    <w:rsid w:val="00375A59"/>
    <w:rsid w:val="00375BCD"/>
    <w:rsid w:val="00375FD8"/>
    <w:rsid w:val="00376FAF"/>
    <w:rsid w:val="00384C41"/>
    <w:rsid w:val="00384FA5"/>
    <w:rsid w:val="00386715"/>
    <w:rsid w:val="00387000"/>
    <w:rsid w:val="0038780A"/>
    <w:rsid w:val="00390690"/>
    <w:rsid w:val="003918D8"/>
    <w:rsid w:val="0039254D"/>
    <w:rsid w:val="00392A0E"/>
    <w:rsid w:val="0039528F"/>
    <w:rsid w:val="00396BD2"/>
    <w:rsid w:val="00396F86"/>
    <w:rsid w:val="00397A75"/>
    <w:rsid w:val="00397D5A"/>
    <w:rsid w:val="003A25EC"/>
    <w:rsid w:val="003A2C16"/>
    <w:rsid w:val="003A3A2E"/>
    <w:rsid w:val="003A3B88"/>
    <w:rsid w:val="003A3DEF"/>
    <w:rsid w:val="003A4216"/>
    <w:rsid w:val="003A5C82"/>
    <w:rsid w:val="003A69D5"/>
    <w:rsid w:val="003B3CDC"/>
    <w:rsid w:val="003B4B2B"/>
    <w:rsid w:val="003B6162"/>
    <w:rsid w:val="003B7D04"/>
    <w:rsid w:val="003C084D"/>
    <w:rsid w:val="003C2C9B"/>
    <w:rsid w:val="003C4E5A"/>
    <w:rsid w:val="003C52AC"/>
    <w:rsid w:val="003C7CDD"/>
    <w:rsid w:val="003D0F5D"/>
    <w:rsid w:val="003D0FB2"/>
    <w:rsid w:val="003D432F"/>
    <w:rsid w:val="003D48A7"/>
    <w:rsid w:val="003E30D5"/>
    <w:rsid w:val="003E3400"/>
    <w:rsid w:val="003E37E3"/>
    <w:rsid w:val="003E54A3"/>
    <w:rsid w:val="003E665B"/>
    <w:rsid w:val="003E7425"/>
    <w:rsid w:val="003F1470"/>
    <w:rsid w:val="003F1999"/>
    <w:rsid w:val="003F1AE9"/>
    <w:rsid w:val="003F2B9B"/>
    <w:rsid w:val="003F2FD8"/>
    <w:rsid w:val="003F332B"/>
    <w:rsid w:val="003F3433"/>
    <w:rsid w:val="003F3441"/>
    <w:rsid w:val="003F54FD"/>
    <w:rsid w:val="003F5E33"/>
    <w:rsid w:val="003F6F19"/>
    <w:rsid w:val="003F72F1"/>
    <w:rsid w:val="004023CA"/>
    <w:rsid w:val="00402B73"/>
    <w:rsid w:val="00402BD5"/>
    <w:rsid w:val="00402C9C"/>
    <w:rsid w:val="00411361"/>
    <w:rsid w:val="00411E8F"/>
    <w:rsid w:val="00414057"/>
    <w:rsid w:val="0041463D"/>
    <w:rsid w:val="00414AD4"/>
    <w:rsid w:val="004156C6"/>
    <w:rsid w:val="00416F2C"/>
    <w:rsid w:val="00417D42"/>
    <w:rsid w:val="004201BE"/>
    <w:rsid w:val="00421207"/>
    <w:rsid w:val="00421389"/>
    <w:rsid w:val="0042275C"/>
    <w:rsid w:val="004231CF"/>
    <w:rsid w:val="0042533E"/>
    <w:rsid w:val="00426507"/>
    <w:rsid w:val="00427A52"/>
    <w:rsid w:val="0043048E"/>
    <w:rsid w:val="0043506D"/>
    <w:rsid w:val="0043586B"/>
    <w:rsid w:val="00436918"/>
    <w:rsid w:val="004412A7"/>
    <w:rsid w:val="00442749"/>
    <w:rsid w:val="00443B17"/>
    <w:rsid w:val="00444DF8"/>
    <w:rsid w:val="00450313"/>
    <w:rsid w:val="00450A1A"/>
    <w:rsid w:val="004521DB"/>
    <w:rsid w:val="00453829"/>
    <w:rsid w:val="004550E0"/>
    <w:rsid w:val="00455106"/>
    <w:rsid w:val="00455B59"/>
    <w:rsid w:val="0045725A"/>
    <w:rsid w:val="0046049F"/>
    <w:rsid w:val="004606B9"/>
    <w:rsid w:val="00460BE1"/>
    <w:rsid w:val="004620E7"/>
    <w:rsid w:val="00462BCE"/>
    <w:rsid w:val="00463832"/>
    <w:rsid w:val="0046439B"/>
    <w:rsid w:val="004664E3"/>
    <w:rsid w:val="0046661C"/>
    <w:rsid w:val="00467C6A"/>
    <w:rsid w:val="00470EBB"/>
    <w:rsid w:val="00471926"/>
    <w:rsid w:val="00472A5F"/>
    <w:rsid w:val="00472CB3"/>
    <w:rsid w:val="00472E9E"/>
    <w:rsid w:val="00475B2E"/>
    <w:rsid w:val="0048128B"/>
    <w:rsid w:val="00483820"/>
    <w:rsid w:val="00484170"/>
    <w:rsid w:val="00487AF0"/>
    <w:rsid w:val="004906FB"/>
    <w:rsid w:val="00492FE1"/>
    <w:rsid w:val="0049540C"/>
    <w:rsid w:val="00495A87"/>
    <w:rsid w:val="004966C6"/>
    <w:rsid w:val="00496C00"/>
    <w:rsid w:val="00496CBC"/>
    <w:rsid w:val="00497544"/>
    <w:rsid w:val="004A1F4E"/>
    <w:rsid w:val="004A2BF9"/>
    <w:rsid w:val="004A48D8"/>
    <w:rsid w:val="004A5FF2"/>
    <w:rsid w:val="004B0533"/>
    <w:rsid w:val="004B3F74"/>
    <w:rsid w:val="004B484E"/>
    <w:rsid w:val="004B52A2"/>
    <w:rsid w:val="004B7577"/>
    <w:rsid w:val="004C3D4A"/>
    <w:rsid w:val="004C46D3"/>
    <w:rsid w:val="004C4C81"/>
    <w:rsid w:val="004D05A9"/>
    <w:rsid w:val="004D05FE"/>
    <w:rsid w:val="004D0663"/>
    <w:rsid w:val="004D19C8"/>
    <w:rsid w:val="004D3C0E"/>
    <w:rsid w:val="004D4F29"/>
    <w:rsid w:val="004D5A29"/>
    <w:rsid w:val="004D7203"/>
    <w:rsid w:val="004D7821"/>
    <w:rsid w:val="004E3642"/>
    <w:rsid w:val="004E67E6"/>
    <w:rsid w:val="004E78F9"/>
    <w:rsid w:val="004F20FE"/>
    <w:rsid w:val="004F5021"/>
    <w:rsid w:val="004F5D95"/>
    <w:rsid w:val="004F611B"/>
    <w:rsid w:val="005002F2"/>
    <w:rsid w:val="0050072A"/>
    <w:rsid w:val="00501E25"/>
    <w:rsid w:val="00504733"/>
    <w:rsid w:val="00504803"/>
    <w:rsid w:val="00504E43"/>
    <w:rsid w:val="00506708"/>
    <w:rsid w:val="00506C73"/>
    <w:rsid w:val="0051227F"/>
    <w:rsid w:val="00512901"/>
    <w:rsid w:val="00512EE5"/>
    <w:rsid w:val="0051348C"/>
    <w:rsid w:val="00513924"/>
    <w:rsid w:val="00514BFE"/>
    <w:rsid w:val="00514F63"/>
    <w:rsid w:val="00515962"/>
    <w:rsid w:val="00517F7B"/>
    <w:rsid w:val="00520D25"/>
    <w:rsid w:val="00521325"/>
    <w:rsid w:val="00522100"/>
    <w:rsid w:val="00522A47"/>
    <w:rsid w:val="0052356B"/>
    <w:rsid w:val="00525752"/>
    <w:rsid w:val="00527787"/>
    <w:rsid w:val="00530338"/>
    <w:rsid w:val="005317E8"/>
    <w:rsid w:val="0053247B"/>
    <w:rsid w:val="005324A0"/>
    <w:rsid w:val="00534246"/>
    <w:rsid w:val="00534CF1"/>
    <w:rsid w:val="00536E30"/>
    <w:rsid w:val="00536EC4"/>
    <w:rsid w:val="00540F76"/>
    <w:rsid w:val="00544E41"/>
    <w:rsid w:val="00545A17"/>
    <w:rsid w:val="005505D4"/>
    <w:rsid w:val="00551A79"/>
    <w:rsid w:val="005557B4"/>
    <w:rsid w:val="00556C6F"/>
    <w:rsid w:val="0056065C"/>
    <w:rsid w:val="00561F9C"/>
    <w:rsid w:val="0056288D"/>
    <w:rsid w:val="00563BC9"/>
    <w:rsid w:val="00565EAE"/>
    <w:rsid w:val="00566AF3"/>
    <w:rsid w:val="00567779"/>
    <w:rsid w:val="0057103A"/>
    <w:rsid w:val="00572CEC"/>
    <w:rsid w:val="005756DD"/>
    <w:rsid w:val="0057610E"/>
    <w:rsid w:val="00577076"/>
    <w:rsid w:val="0058106E"/>
    <w:rsid w:val="005825C6"/>
    <w:rsid w:val="00584568"/>
    <w:rsid w:val="00585DF4"/>
    <w:rsid w:val="00590B5D"/>
    <w:rsid w:val="00590E50"/>
    <w:rsid w:val="005929BB"/>
    <w:rsid w:val="005A0823"/>
    <w:rsid w:val="005A0FE7"/>
    <w:rsid w:val="005A1A48"/>
    <w:rsid w:val="005A2D78"/>
    <w:rsid w:val="005A30F9"/>
    <w:rsid w:val="005A40BC"/>
    <w:rsid w:val="005B0087"/>
    <w:rsid w:val="005B0503"/>
    <w:rsid w:val="005B2A83"/>
    <w:rsid w:val="005B65C8"/>
    <w:rsid w:val="005B74EC"/>
    <w:rsid w:val="005B7834"/>
    <w:rsid w:val="005C1E62"/>
    <w:rsid w:val="005C3467"/>
    <w:rsid w:val="005C3A8F"/>
    <w:rsid w:val="005C44B9"/>
    <w:rsid w:val="005C4A53"/>
    <w:rsid w:val="005C6975"/>
    <w:rsid w:val="005D1322"/>
    <w:rsid w:val="005D1956"/>
    <w:rsid w:val="005D1F3B"/>
    <w:rsid w:val="005D2294"/>
    <w:rsid w:val="005D26A0"/>
    <w:rsid w:val="005D2DD6"/>
    <w:rsid w:val="005D4506"/>
    <w:rsid w:val="005D4D95"/>
    <w:rsid w:val="005D5749"/>
    <w:rsid w:val="005D6ADB"/>
    <w:rsid w:val="005E2CE0"/>
    <w:rsid w:val="005E38B6"/>
    <w:rsid w:val="005E569F"/>
    <w:rsid w:val="005E5B11"/>
    <w:rsid w:val="005F4926"/>
    <w:rsid w:val="005F502D"/>
    <w:rsid w:val="005F5358"/>
    <w:rsid w:val="005F615C"/>
    <w:rsid w:val="0060082B"/>
    <w:rsid w:val="00602DD3"/>
    <w:rsid w:val="00603B62"/>
    <w:rsid w:val="006056B0"/>
    <w:rsid w:val="00606C2C"/>
    <w:rsid w:val="00607F22"/>
    <w:rsid w:val="00611FB4"/>
    <w:rsid w:val="0061332C"/>
    <w:rsid w:val="00613D40"/>
    <w:rsid w:val="00613DE6"/>
    <w:rsid w:val="00615354"/>
    <w:rsid w:val="00615D29"/>
    <w:rsid w:val="00616933"/>
    <w:rsid w:val="00617296"/>
    <w:rsid w:val="00617E8F"/>
    <w:rsid w:val="006215CB"/>
    <w:rsid w:val="00623291"/>
    <w:rsid w:val="00623F80"/>
    <w:rsid w:val="00625472"/>
    <w:rsid w:val="00625571"/>
    <w:rsid w:val="006255F7"/>
    <w:rsid w:val="00625BBA"/>
    <w:rsid w:val="00626641"/>
    <w:rsid w:val="00630AF9"/>
    <w:rsid w:val="00630BD2"/>
    <w:rsid w:val="006324D6"/>
    <w:rsid w:val="00633C0E"/>
    <w:rsid w:val="00635255"/>
    <w:rsid w:val="00636ADF"/>
    <w:rsid w:val="0064003B"/>
    <w:rsid w:val="0064246F"/>
    <w:rsid w:val="00642E8D"/>
    <w:rsid w:val="00644DA0"/>
    <w:rsid w:val="00645500"/>
    <w:rsid w:val="00646BE0"/>
    <w:rsid w:val="0065125C"/>
    <w:rsid w:val="00651768"/>
    <w:rsid w:val="006531D5"/>
    <w:rsid w:val="00657313"/>
    <w:rsid w:val="006614CA"/>
    <w:rsid w:val="00666E6B"/>
    <w:rsid w:val="00670DEC"/>
    <w:rsid w:val="0067238A"/>
    <w:rsid w:val="006836AB"/>
    <w:rsid w:val="006842CA"/>
    <w:rsid w:val="0068490D"/>
    <w:rsid w:val="0068571D"/>
    <w:rsid w:val="00685834"/>
    <w:rsid w:val="00687B38"/>
    <w:rsid w:val="006904B5"/>
    <w:rsid w:val="00690862"/>
    <w:rsid w:val="006927CE"/>
    <w:rsid w:val="00693050"/>
    <w:rsid w:val="00693195"/>
    <w:rsid w:val="006939DE"/>
    <w:rsid w:val="0069403C"/>
    <w:rsid w:val="00694BB7"/>
    <w:rsid w:val="00694D7B"/>
    <w:rsid w:val="006972AB"/>
    <w:rsid w:val="00697631"/>
    <w:rsid w:val="006A0360"/>
    <w:rsid w:val="006A0C3F"/>
    <w:rsid w:val="006A14F7"/>
    <w:rsid w:val="006A3FD0"/>
    <w:rsid w:val="006A3FE9"/>
    <w:rsid w:val="006A4222"/>
    <w:rsid w:val="006A4C1C"/>
    <w:rsid w:val="006A5F64"/>
    <w:rsid w:val="006A727B"/>
    <w:rsid w:val="006A7E9C"/>
    <w:rsid w:val="006B2A26"/>
    <w:rsid w:val="006B4F02"/>
    <w:rsid w:val="006B51F5"/>
    <w:rsid w:val="006B5A64"/>
    <w:rsid w:val="006B6374"/>
    <w:rsid w:val="006C19B9"/>
    <w:rsid w:val="006C1D5D"/>
    <w:rsid w:val="006C20C2"/>
    <w:rsid w:val="006C3389"/>
    <w:rsid w:val="006C3F82"/>
    <w:rsid w:val="006C6DD4"/>
    <w:rsid w:val="006D104E"/>
    <w:rsid w:val="006D14AF"/>
    <w:rsid w:val="006D583D"/>
    <w:rsid w:val="006D723F"/>
    <w:rsid w:val="006E3CEE"/>
    <w:rsid w:val="006E69FD"/>
    <w:rsid w:val="006E7A4A"/>
    <w:rsid w:val="006E7D80"/>
    <w:rsid w:val="006F0016"/>
    <w:rsid w:val="006F0C68"/>
    <w:rsid w:val="006F2852"/>
    <w:rsid w:val="006F2C7B"/>
    <w:rsid w:val="006F35BE"/>
    <w:rsid w:val="006F76A8"/>
    <w:rsid w:val="00702B3E"/>
    <w:rsid w:val="007034FB"/>
    <w:rsid w:val="00703B7B"/>
    <w:rsid w:val="00703DA6"/>
    <w:rsid w:val="00704B43"/>
    <w:rsid w:val="00704CD7"/>
    <w:rsid w:val="007116BC"/>
    <w:rsid w:val="007121DB"/>
    <w:rsid w:val="007151B4"/>
    <w:rsid w:val="00716D2B"/>
    <w:rsid w:val="007173F7"/>
    <w:rsid w:val="00720873"/>
    <w:rsid w:val="0072133C"/>
    <w:rsid w:val="00721D0C"/>
    <w:rsid w:val="007232D9"/>
    <w:rsid w:val="007248E8"/>
    <w:rsid w:val="00727075"/>
    <w:rsid w:val="00727E72"/>
    <w:rsid w:val="00730152"/>
    <w:rsid w:val="00731C76"/>
    <w:rsid w:val="00731DFD"/>
    <w:rsid w:val="00735662"/>
    <w:rsid w:val="00736CAC"/>
    <w:rsid w:val="00740D20"/>
    <w:rsid w:val="0074103D"/>
    <w:rsid w:val="0074196D"/>
    <w:rsid w:val="00743E77"/>
    <w:rsid w:val="0074413A"/>
    <w:rsid w:val="0074496D"/>
    <w:rsid w:val="00746965"/>
    <w:rsid w:val="007478BB"/>
    <w:rsid w:val="007501B3"/>
    <w:rsid w:val="00751626"/>
    <w:rsid w:val="00751A0D"/>
    <w:rsid w:val="00753685"/>
    <w:rsid w:val="0075404D"/>
    <w:rsid w:val="007557FB"/>
    <w:rsid w:val="00756719"/>
    <w:rsid w:val="007573AB"/>
    <w:rsid w:val="007634AB"/>
    <w:rsid w:val="00763829"/>
    <w:rsid w:val="00764048"/>
    <w:rsid w:val="007640DA"/>
    <w:rsid w:val="00765369"/>
    <w:rsid w:val="00767C62"/>
    <w:rsid w:val="00770CB0"/>
    <w:rsid w:val="007724CC"/>
    <w:rsid w:val="007740AC"/>
    <w:rsid w:val="00775611"/>
    <w:rsid w:val="00775B71"/>
    <w:rsid w:val="00776DD2"/>
    <w:rsid w:val="00784824"/>
    <w:rsid w:val="00785C0F"/>
    <w:rsid w:val="0078743F"/>
    <w:rsid w:val="0079195D"/>
    <w:rsid w:val="007922B3"/>
    <w:rsid w:val="007954CA"/>
    <w:rsid w:val="00795EEC"/>
    <w:rsid w:val="007A264B"/>
    <w:rsid w:val="007A2DE7"/>
    <w:rsid w:val="007A4AE5"/>
    <w:rsid w:val="007A59C4"/>
    <w:rsid w:val="007A5C27"/>
    <w:rsid w:val="007A6C5E"/>
    <w:rsid w:val="007A758C"/>
    <w:rsid w:val="007B41DE"/>
    <w:rsid w:val="007C1437"/>
    <w:rsid w:val="007C31A8"/>
    <w:rsid w:val="007C3EF8"/>
    <w:rsid w:val="007C5533"/>
    <w:rsid w:val="007C5704"/>
    <w:rsid w:val="007C653C"/>
    <w:rsid w:val="007C66F6"/>
    <w:rsid w:val="007C739A"/>
    <w:rsid w:val="007D3210"/>
    <w:rsid w:val="007D3521"/>
    <w:rsid w:val="007D398B"/>
    <w:rsid w:val="007D3F73"/>
    <w:rsid w:val="007D42DD"/>
    <w:rsid w:val="007D4C04"/>
    <w:rsid w:val="007D4DCE"/>
    <w:rsid w:val="007D527E"/>
    <w:rsid w:val="007D7F06"/>
    <w:rsid w:val="007E01F3"/>
    <w:rsid w:val="007E15D6"/>
    <w:rsid w:val="007E1EF9"/>
    <w:rsid w:val="007E2184"/>
    <w:rsid w:val="007E3FB7"/>
    <w:rsid w:val="007E5343"/>
    <w:rsid w:val="007E5779"/>
    <w:rsid w:val="007E7BDF"/>
    <w:rsid w:val="007E7CF5"/>
    <w:rsid w:val="007F08B8"/>
    <w:rsid w:val="007F13B3"/>
    <w:rsid w:val="007F2234"/>
    <w:rsid w:val="007F2391"/>
    <w:rsid w:val="007F5CA1"/>
    <w:rsid w:val="007F5F60"/>
    <w:rsid w:val="008000DD"/>
    <w:rsid w:val="008003C4"/>
    <w:rsid w:val="00801E64"/>
    <w:rsid w:val="0080356A"/>
    <w:rsid w:val="00804E42"/>
    <w:rsid w:val="0080506C"/>
    <w:rsid w:val="0080645B"/>
    <w:rsid w:val="008115F6"/>
    <w:rsid w:val="008138FE"/>
    <w:rsid w:val="008145C0"/>
    <w:rsid w:val="00815441"/>
    <w:rsid w:val="00815638"/>
    <w:rsid w:val="00820306"/>
    <w:rsid w:val="00820E2A"/>
    <w:rsid w:val="0082159F"/>
    <w:rsid w:val="0082263D"/>
    <w:rsid w:val="00822F83"/>
    <w:rsid w:val="00825A0C"/>
    <w:rsid w:val="008270B5"/>
    <w:rsid w:val="008279E6"/>
    <w:rsid w:val="00831D82"/>
    <w:rsid w:val="00837165"/>
    <w:rsid w:val="0084159B"/>
    <w:rsid w:val="00841BA2"/>
    <w:rsid w:val="008452C6"/>
    <w:rsid w:val="0084617E"/>
    <w:rsid w:val="00846DA3"/>
    <w:rsid w:val="0085045F"/>
    <w:rsid w:val="00855014"/>
    <w:rsid w:val="00856675"/>
    <w:rsid w:val="00856C22"/>
    <w:rsid w:val="0085764A"/>
    <w:rsid w:val="0085765A"/>
    <w:rsid w:val="008577EB"/>
    <w:rsid w:val="00857B19"/>
    <w:rsid w:val="008603AB"/>
    <w:rsid w:val="00861E70"/>
    <w:rsid w:val="008631DC"/>
    <w:rsid w:val="0086371F"/>
    <w:rsid w:val="008651E4"/>
    <w:rsid w:val="00866029"/>
    <w:rsid w:val="0086706F"/>
    <w:rsid w:val="00870BBF"/>
    <w:rsid w:val="0087144E"/>
    <w:rsid w:val="00872590"/>
    <w:rsid w:val="0087409B"/>
    <w:rsid w:val="00874FA1"/>
    <w:rsid w:val="008772BD"/>
    <w:rsid w:val="00877320"/>
    <w:rsid w:val="0088042C"/>
    <w:rsid w:val="00881067"/>
    <w:rsid w:val="00883946"/>
    <w:rsid w:val="00885482"/>
    <w:rsid w:val="008868A2"/>
    <w:rsid w:val="00891CF4"/>
    <w:rsid w:val="00892386"/>
    <w:rsid w:val="00892521"/>
    <w:rsid w:val="0089360F"/>
    <w:rsid w:val="0089400E"/>
    <w:rsid w:val="00894F6A"/>
    <w:rsid w:val="008958DA"/>
    <w:rsid w:val="00895997"/>
    <w:rsid w:val="00896F44"/>
    <w:rsid w:val="00897C4C"/>
    <w:rsid w:val="00897CA8"/>
    <w:rsid w:val="008A172B"/>
    <w:rsid w:val="008A4D0A"/>
    <w:rsid w:val="008A6BF0"/>
    <w:rsid w:val="008A7C3C"/>
    <w:rsid w:val="008A7E02"/>
    <w:rsid w:val="008B0BF1"/>
    <w:rsid w:val="008B11A1"/>
    <w:rsid w:val="008B2825"/>
    <w:rsid w:val="008B40C0"/>
    <w:rsid w:val="008B52C8"/>
    <w:rsid w:val="008C0B95"/>
    <w:rsid w:val="008C0F5B"/>
    <w:rsid w:val="008C104E"/>
    <w:rsid w:val="008C1D28"/>
    <w:rsid w:val="008C224D"/>
    <w:rsid w:val="008C2584"/>
    <w:rsid w:val="008C4372"/>
    <w:rsid w:val="008C45FD"/>
    <w:rsid w:val="008C5CE7"/>
    <w:rsid w:val="008D1A10"/>
    <w:rsid w:val="008D25F9"/>
    <w:rsid w:val="008D2ECD"/>
    <w:rsid w:val="008D3668"/>
    <w:rsid w:val="008D3942"/>
    <w:rsid w:val="008D3D34"/>
    <w:rsid w:val="008D51A6"/>
    <w:rsid w:val="008D6E09"/>
    <w:rsid w:val="008E3B9B"/>
    <w:rsid w:val="008E516C"/>
    <w:rsid w:val="008E633E"/>
    <w:rsid w:val="008E720C"/>
    <w:rsid w:val="008F070C"/>
    <w:rsid w:val="008F165D"/>
    <w:rsid w:val="008F418C"/>
    <w:rsid w:val="008F436E"/>
    <w:rsid w:val="008F5F4A"/>
    <w:rsid w:val="00900A91"/>
    <w:rsid w:val="0090109E"/>
    <w:rsid w:val="00902380"/>
    <w:rsid w:val="0090275C"/>
    <w:rsid w:val="009049ED"/>
    <w:rsid w:val="00906AC4"/>
    <w:rsid w:val="00907E26"/>
    <w:rsid w:val="00911248"/>
    <w:rsid w:val="0091131C"/>
    <w:rsid w:val="00911C7D"/>
    <w:rsid w:val="009148DB"/>
    <w:rsid w:val="00914DDF"/>
    <w:rsid w:val="00915314"/>
    <w:rsid w:val="009227EB"/>
    <w:rsid w:val="009242A3"/>
    <w:rsid w:val="009257D6"/>
    <w:rsid w:val="00925DF8"/>
    <w:rsid w:val="0092624C"/>
    <w:rsid w:val="00926445"/>
    <w:rsid w:val="00926B1F"/>
    <w:rsid w:val="0092708A"/>
    <w:rsid w:val="00927C84"/>
    <w:rsid w:val="0093203D"/>
    <w:rsid w:val="00932516"/>
    <w:rsid w:val="00933889"/>
    <w:rsid w:val="0093555D"/>
    <w:rsid w:val="00935FDA"/>
    <w:rsid w:val="009362B4"/>
    <w:rsid w:val="00937A8C"/>
    <w:rsid w:val="00937BB5"/>
    <w:rsid w:val="009438FC"/>
    <w:rsid w:val="009442E3"/>
    <w:rsid w:val="00944FD1"/>
    <w:rsid w:val="00946355"/>
    <w:rsid w:val="009477E7"/>
    <w:rsid w:val="00950052"/>
    <w:rsid w:val="00950C06"/>
    <w:rsid w:val="00951716"/>
    <w:rsid w:val="00954427"/>
    <w:rsid w:val="00954C70"/>
    <w:rsid w:val="0096090D"/>
    <w:rsid w:val="00962065"/>
    <w:rsid w:val="009661FD"/>
    <w:rsid w:val="00966F0C"/>
    <w:rsid w:val="00972036"/>
    <w:rsid w:val="009724B3"/>
    <w:rsid w:val="00974950"/>
    <w:rsid w:val="00981041"/>
    <w:rsid w:val="00985161"/>
    <w:rsid w:val="00995C6D"/>
    <w:rsid w:val="009969F1"/>
    <w:rsid w:val="009970DF"/>
    <w:rsid w:val="009A25E6"/>
    <w:rsid w:val="009A2AC4"/>
    <w:rsid w:val="009A35B5"/>
    <w:rsid w:val="009A3612"/>
    <w:rsid w:val="009A399B"/>
    <w:rsid w:val="009B03C3"/>
    <w:rsid w:val="009B1330"/>
    <w:rsid w:val="009B150A"/>
    <w:rsid w:val="009B27DC"/>
    <w:rsid w:val="009B323F"/>
    <w:rsid w:val="009B41CC"/>
    <w:rsid w:val="009B4FAC"/>
    <w:rsid w:val="009B5E74"/>
    <w:rsid w:val="009C0102"/>
    <w:rsid w:val="009C658E"/>
    <w:rsid w:val="009D1140"/>
    <w:rsid w:val="009D3968"/>
    <w:rsid w:val="009D4BA3"/>
    <w:rsid w:val="009D6484"/>
    <w:rsid w:val="009D738A"/>
    <w:rsid w:val="009D7944"/>
    <w:rsid w:val="009E0846"/>
    <w:rsid w:val="009E17CD"/>
    <w:rsid w:val="009E4333"/>
    <w:rsid w:val="009E4F7C"/>
    <w:rsid w:val="009E715E"/>
    <w:rsid w:val="009E7726"/>
    <w:rsid w:val="009F1786"/>
    <w:rsid w:val="009F1850"/>
    <w:rsid w:val="009F2029"/>
    <w:rsid w:val="009F24E8"/>
    <w:rsid w:val="009F38E6"/>
    <w:rsid w:val="009F5F0C"/>
    <w:rsid w:val="00A00AEF"/>
    <w:rsid w:val="00A00BD7"/>
    <w:rsid w:val="00A01F11"/>
    <w:rsid w:val="00A03A39"/>
    <w:rsid w:val="00A07BFF"/>
    <w:rsid w:val="00A10033"/>
    <w:rsid w:val="00A100C3"/>
    <w:rsid w:val="00A154B4"/>
    <w:rsid w:val="00A1656E"/>
    <w:rsid w:val="00A17546"/>
    <w:rsid w:val="00A17BA5"/>
    <w:rsid w:val="00A17FF1"/>
    <w:rsid w:val="00A21F82"/>
    <w:rsid w:val="00A24372"/>
    <w:rsid w:val="00A24B17"/>
    <w:rsid w:val="00A2565D"/>
    <w:rsid w:val="00A25689"/>
    <w:rsid w:val="00A256BC"/>
    <w:rsid w:val="00A310EA"/>
    <w:rsid w:val="00A31FD7"/>
    <w:rsid w:val="00A327EF"/>
    <w:rsid w:val="00A33879"/>
    <w:rsid w:val="00A349D6"/>
    <w:rsid w:val="00A35E61"/>
    <w:rsid w:val="00A362C3"/>
    <w:rsid w:val="00A376C8"/>
    <w:rsid w:val="00A41A78"/>
    <w:rsid w:val="00A425BC"/>
    <w:rsid w:val="00A44A0C"/>
    <w:rsid w:val="00A44A83"/>
    <w:rsid w:val="00A44FBB"/>
    <w:rsid w:val="00A472B3"/>
    <w:rsid w:val="00A47B59"/>
    <w:rsid w:val="00A50AA4"/>
    <w:rsid w:val="00A523CA"/>
    <w:rsid w:val="00A545C7"/>
    <w:rsid w:val="00A547C7"/>
    <w:rsid w:val="00A573A4"/>
    <w:rsid w:val="00A57EB2"/>
    <w:rsid w:val="00A60383"/>
    <w:rsid w:val="00A606B1"/>
    <w:rsid w:val="00A61F84"/>
    <w:rsid w:val="00A623CF"/>
    <w:rsid w:val="00A627AC"/>
    <w:rsid w:val="00A629E0"/>
    <w:rsid w:val="00A62E39"/>
    <w:rsid w:val="00A642F3"/>
    <w:rsid w:val="00A6551D"/>
    <w:rsid w:val="00A65BD3"/>
    <w:rsid w:val="00A7123B"/>
    <w:rsid w:val="00A71A9D"/>
    <w:rsid w:val="00A75307"/>
    <w:rsid w:val="00A7564F"/>
    <w:rsid w:val="00A770F6"/>
    <w:rsid w:val="00A81F22"/>
    <w:rsid w:val="00A83A94"/>
    <w:rsid w:val="00A91294"/>
    <w:rsid w:val="00A9185E"/>
    <w:rsid w:val="00A91FF4"/>
    <w:rsid w:val="00A92603"/>
    <w:rsid w:val="00A94984"/>
    <w:rsid w:val="00A95224"/>
    <w:rsid w:val="00A95F1D"/>
    <w:rsid w:val="00A96FDD"/>
    <w:rsid w:val="00A975C6"/>
    <w:rsid w:val="00AA1109"/>
    <w:rsid w:val="00AA28FB"/>
    <w:rsid w:val="00AA367B"/>
    <w:rsid w:val="00AA4417"/>
    <w:rsid w:val="00AA56E2"/>
    <w:rsid w:val="00AA6384"/>
    <w:rsid w:val="00AB0CD7"/>
    <w:rsid w:val="00AB234E"/>
    <w:rsid w:val="00AB2F1E"/>
    <w:rsid w:val="00AB4F3B"/>
    <w:rsid w:val="00AB5042"/>
    <w:rsid w:val="00AB50DF"/>
    <w:rsid w:val="00AB564A"/>
    <w:rsid w:val="00AB7468"/>
    <w:rsid w:val="00AB7A48"/>
    <w:rsid w:val="00AC1A58"/>
    <w:rsid w:val="00AC1CCB"/>
    <w:rsid w:val="00AC3B0D"/>
    <w:rsid w:val="00AC66D1"/>
    <w:rsid w:val="00AC754A"/>
    <w:rsid w:val="00AC7D58"/>
    <w:rsid w:val="00AD09CD"/>
    <w:rsid w:val="00AD0B8C"/>
    <w:rsid w:val="00AD21A6"/>
    <w:rsid w:val="00AD22AB"/>
    <w:rsid w:val="00AD2D35"/>
    <w:rsid w:val="00AD4F65"/>
    <w:rsid w:val="00AD666D"/>
    <w:rsid w:val="00AE22F5"/>
    <w:rsid w:val="00AE4613"/>
    <w:rsid w:val="00AE7BD8"/>
    <w:rsid w:val="00AF01E6"/>
    <w:rsid w:val="00AF0ED2"/>
    <w:rsid w:val="00AF17B9"/>
    <w:rsid w:val="00AF5055"/>
    <w:rsid w:val="00AF7770"/>
    <w:rsid w:val="00B00E09"/>
    <w:rsid w:val="00B00E3C"/>
    <w:rsid w:val="00B00E5F"/>
    <w:rsid w:val="00B0111D"/>
    <w:rsid w:val="00B015D4"/>
    <w:rsid w:val="00B0242D"/>
    <w:rsid w:val="00B02616"/>
    <w:rsid w:val="00B04CC2"/>
    <w:rsid w:val="00B05B01"/>
    <w:rsid w:val="00B05E8D"/>
    <w:rsid w:val="00B0624F"/>
    <w:rsid w:val="00B071FD"/>
    <w:rsid w:val="00B12B4B"/>
    <w:rsid w:val="00B12F51"/>
    <w:rsid w:val="00B13669"/>
    <w:rsid w:val="00B15E65"/>
    <w:rsid w:val="00B1638F"/>
    <w:rsid w:val="00B206E1"/>
    <w:rsid w:val="00B20BB6"/>
    <w:rsid w:val="00B2121C"/>
    <w:rsid w:val="00B2264B"/>
    <w:rsid w:val="00B2397C"/>
    <w:rsid w:val="00B25BAB"/>
    <w:rsid w:val="00B261B3"/>
    <w:rsid w:val="00B304C3"/>
    <w:rsid w:val="00B315ED"/>
    <w:rsid w:val="00B323CA"/>
    <w:rsid w:val="00B42C80"/>
    <w:rsid w:val="00B4353F"/>
    <w:rsid w:val="00B508B9"/>
    <w:rsid w:val="00B51672"/>
    <w:rsid w:val="00B518D8"/>
    <w:rsid w:val="00B54357"/>
    <w:rsid w:val="00B54855"/>
    <w:rsid w:val="00B54C59"/>
    <w:rsid w:val="00B55343"/>
    <w:rsid w:val="00B55497"/>
    <w:rsid w:val="00B55E5A"/>
    <w:rsid w:val="00B57EEB"/>
    <w:rsid w:val="00B600A4"/>
    <w:rsid w:val="00B6606E"/>
    <w:rsid w:val="00B66512"/>
    <w:rsid w:val="00B669D4"/>
    <w:rsid w:val="00B71A8D"/>
    <w:rsid w:val="00B7481F"/>
    <w:rsid w:val="00B76C30"/>
    <w:rsid w:val="00B77520"/>
    <w:rsid w:val="00B80EFD"/>
    <w:rsid w:val="00B82358"/>
    <w:rsid w:val="00B86934"/>
    <w:rsid w:val="00B8760C"/>
    <w:rsid w:val="00B91EF4"/>
    <w:rsid w:val="00B9207B"/>
    <w:rsid w:val="00B93996"/>
    <w:rsid w:val="00B95E1C"/>
    <w:rsid w:val="00BA000C"/>
    <w:rsid w:val="00BA0A2B"/>
    <w:rsid w:val="00BA1609"/>
    <w:rsid w:val="00BA1FAD"/>
    <w:rsid w:val="00BA24FA"/>
    <w:rsid w:val="00BA54D0"/>
    <w:rsid w:val="00BA7F0E"/>
    <w:rsid w:val="00BB06CF"/>
    <w:rsid w:val="00BB0C83"/>
    <w:rsid w:val="00BB0E5C"/>
    <w:rsid w:val="00BB28B3"/>
    <w:rsid w:val="00BB2F4F"/>
    <w:rsid w:val="00BB57D3"/>
    <w:rsid w:val="00BB5DDF"/>
    <w:rsid w:val="00BB798F"/>
    <w:rsid w:val="00BC3ACF"/>
    <w:rsid w:val="00BC3B26"/>
    <w:rsid w:val="00BC5CDA"/>
    <w:rsid w:val="00BC66B1"/>
    <w:rsid w:val="00BD44DE"/>
    <w:rsid w:val="00BD482F"/>
    <w:rsid w:val="00BD598C"/>
    <w:rsid w:val="00BD5CB6"/>
    <w:rsid w:val="00BD7853"/>
    <w:rsid w:val="00BE12D2"/>
    <w:rsid w:val="00BE538D"/>
    <w:rsid w:val="00BE5B2E"/>
    <w:rsid w:val="00BE7E3D"/>
    <w:rsid w:val="00BE7FC6"/>
    <w:rsid w:val="00BF07B4"/>
    <w:rsid w:val="00BF2ED4"/>
    <w:rsid w:val="00BF4624"/>
    <w:rsid w:val="00C002C4"/>
    <w:rsid w:val="00C027A5"/>
    <w:rsid w:val="00C02A93"/>
    <w:rsid w:val="00C0636D"/>
    <w:rsid w:val="00C06655"/>
    <w:rsid w:val="00C107BF"/>
    <w:rsid w:val="00C1254D"/>
    <w:rsid w:val="00C13337"/>
    <w:rsid w:val="00C14824"/>
    <w:rsid w:val="00C15DDF"/>
    <w:rsid w:val="00C17643"/>
    <w:rsid w:val="00C17F40"/>
    <w:rsid w:val="00C201E1"/>
    <w:rsid w:val="00C22C78"/>
    <w:rsid w:val="00C237B0"/>
    <w:rsid w:val="00C253CB"/>
    <w:rsid w:val="00C26653"/>
    <w:rsid w:val="00C276C5"/>
    <w:rsid w:val="00C3180B"/>
    <w:rsid w:val="00C33205"/>
    <w:rsid w:val="00C34E4D"/>
    <w:rsid w:val="00C35836"/>
    <w:rsid w:val="00C373BF"/>
    <w:rsid w:val="00C3745F"/>
    <w:rsid w:val="00C37F4C"/>
    <w:rsid w:val="00C4036F"/>
    <w:rsid w:val="00C41B37"/>
    <w:rsid w:val="00C41D54"/>
    <w:rsid w:val="00C4379B"/>
    <w:rsid w:val="00C46280"/>
    <w:rsid w:val="00C47E06"/>
    <w:rsid w:val="00C52E60"/>
    <w:rsid w:val="00C52FA3"/>
    <w:rsid w:val="00C55942"/>
    <w:rsid w:val="00C643FD"/>
    <w:rsid w:val="00C649B0"/>
    <w:rsid w:val="00C7022C"/>
    <w:rsid w:val="00C720B1"/>
    <w:rsid w:val="00C74418"/>
    <w:rsid w:val="00C767DD"/>
    <w:rsid w:val="00C822AE"/>
    <w:rsid w:val="00C870C2"/>
    <w:rsid w:val="00C8774B"/>
    <w:rsid w:val="00C91AAE"/>
    <w:rsid w:val="00C95A42"/>
    <w:rsid w:val="00C95FE2"/>
    <w:rsid w:val="00C9698D"/>
    <w:rsid w:val="00C96E4D"/>
    <w:rsid w:val="00C97830"/>
    <w:rsid w:val="00CA0A83"/>
    <w:rsid w:val="00CA18CF"/>
    <w:rsid w:val="00CA190F"/>
    <w:rsid w:val="00CA2CF3"/>
    <w:rsid w:val="00CA38A1"/>
    <w:rsid w:val="00CA41C2"/>
    <w:rsid w:val="00CA43A9"/>
    <w:rsid w:val="00CA4494"/>
    <w:rsid w:val="00CA5351"/>
    <w:rsid w:val="00CA65FE"/>
    <w:rsid w:val="00CB0CD1"/>
    <w:rsid w:val="00CB19DF"/>
    <w:rsid w:val="00CB3479"/>
    <w:rsid w:val="00CB4CB3"/>
    <w:rsid w:val="00CB5A74"/>
    <w:rsid w:val="00CB69D1"/>
    <w:rsid w:val="00CB7EE6"/>
    <w:rsid w:val="00CB7FEF"/>
    <w:rsid w:val="00CC1E1E"/>
    <w:rsid w:val="00CC251F"/>
    <w:rsid w:val="00CC3097"/>
    <w:rsid w:val="00CC30E0"/>
    <w:rsid w:val="00CC7221"/>
    <w:rsid w:val="00CD0FFF"/>
    <w:rsid w:val="00CD1304"/>
    <w:rsid w:val="00CD2C39"/>
    <w:rsid w:val="00CD5E81"/>
    <w:rsid w:val="00CD60E5"/>
    <w:rsid w:val="00CD67AD"/>
    <w:rsid w:val="00CE6299"/>
    <w:rsid w:val="00CF0238"/>
    <w:rsid w:val="00CF1FF8"/>
    <w:rsid w:val="00CF3BAE"/>
    <w:rsid w:val="00CF52CF"/>
    <w:rsid w:val="00CF6C99"/>
    <w:rsid w:val="00D01629"/>
    <w:rsid w:val="00D026CA"/>
    <w:rsid w:val="00D02B26"/>
    <w:rsid w:val="00D04043"/>
    <w:rsid w:val="00D05235"/>
    <w:rsid w:val="00D0599B"/>
    <w:rsid w:val="00D060AD"/>
    <w:rsid w:val="00D06CBC"/>
    <w:rsid w:val="00D07C6C"/>
    <w:rsid w:val="00D10231"/>
    <w:rsid w:val="00D10D4F"/>
    <w:rsid w:val="00D10F00"/>
    <w:rsid w:val="00D10FDE"/>
    <w:rsid w:val="00D1217B"/>
    <w:rsid w:val="00D122CA"/>
    <w:rsid w:val="00D13D3B"/>
    <w:rsid w:val="00D16FD9"/>
    <w:rsid w:val="00D22A75"/>
    <w:rsid w:val="00D243B9"/>
    <w:rsid w:val="00D24FEA"/>
    <w:rsid w:val="00D268F7"/>
    <w:rsid w:val="00D2704E"/>
    <w:rsid w:val="00D276E9"/>
    <w:rsid w:val="00D32427"/>
    <w:rsid w:val="00D3376A"/>
    <w:rsid w:val="00D34B90"/>
    <w:rsid w:val="00D35488"/>
    <w:rsid w:val="00D35ED4"/>
    <w:rsid w:val="00D403D2"/>
    <w:rsid w:val="00D404EE"/>
    <w:rsid w:val="00D4116A"/>
    <w:rsid w:val="00D448FF"/>
    <w:rsid w:val="00D4662A"/>
    <w:rsid w:val="00D514D5"/>
    <w:rsid w:val="00D5167C"/>
    <w:rsid w:val="00D51859"/>
    <w:rsid w:val="00D51FFD"/>
    <w:rsid w:val="00D52472"/>
    <w:rsid w:val="00D543E7"/>
    <w:rsid w:val="00D56837"/>
    <w:rsid w:val="00D60062"/>
    <w:rsid w:val="00D605A9"/>
    <w:rsid w:val="00D618A1"/>
    <w:rsid w:val="00D62281"/>
    <w:rsid w:val="00D649A4"/>
    <w:rsid w:val="00D67FFE"/>
    <w:rsid w:val="00D703C3"/>
    <w:rsid w:val="00D71F2A"/>
    <w:rsid w:val="00D7590B"/>
    <w:rsid w:val="00D7751E"/>
    <w:rsid w:val="00D807BD"/>
    <w:rsid w:val="00D80944"/>
    <w:rsid w:val="00D81A57"/>
    <w:rsid w:val="00D83972"/>
    <w:rsid w:val="00D842D6"/>
    <w:rsid w:val="00D8513D"/>
    <w:rsid w:val="00D90430"/>
    <w:rsid w:val="00D944F7"/>
    <w:rsid w:val="00D96BBB"/>
    <w:rsid w:val="00DA3608"/>
    <w:rsid w:val="00DA4581"/>
    <w:rsid w:val="00DA4FAC"/>
    <w:rsid w:val="00DA673A"/>
    <w:rsid w:val="00DA7908"/>
    <w:rsid w:val="00DB02C9"/>
    <w:rsid w:val="00DB1C11"/>
    <w:rsid w:val="00DB2390"/>
    <w:rsid w:val="00DB2972"/>
    <w:rsid w:val="00DB2CA5"/>
    <w:rsid w:val="00DB2F20"/>
    <w:rsid w:val="00DB45EE"/>
    <w:rsid w:val="00DB5C5B"/>
    <w:rsid w:val="00DB680F"/>
    <w:rsid w:val="00DB7515"/>
    <w:rsid w:val="00DC5898"/>
    <w:rsid w:val="00DD003E"/>
    <w:rsid w:val="00DD1742"/>
    <w:rsid w:val="00DD4CDD"/>
    <w:rsid w:val="00DD4E48"/>
    <w:rsid w:val="00DD77AA"/>
    <w:rsid w:val="00DE21F0"/>
    <w:rsid w:val="00DE304D"/>
    <w:rsid w:val="00DF12AD"/>
    <w:rsid w:val="00DF18FB"/>
    <w:rsid w:val="00DF1BD5"/>
    <w:rsid w:val="00DF323C"/>
    <w:rsid w:val="00E00D07"/>
    <w:rsid w:val="00E053C8"/>
    <w:rsid w:val="00E07756"/>
    <w:rsid w:val="00E105C1"/>
    <w:rsid w:val="00E13B27"/>
    <w:rsid w:val="00E14797"/>
    <w:rsid w:val="00E150C0"/>
    <w:rsid w:val="00E15E94"/>
    <w:rsid w:val="00E17C48"/>
    <w:rsid w:val="00E20345"/>
    <w:rsid w:val="00E20BAE"/>
    <w:rsid w:val="00E26203"/>
    <w:rsid w:val="00E265F1"/>
    <w:rsid w:val="00E26A1A"/>
    <w:rsid w:val="00E27C9D"/>
    <w:rsid w:val="00E31D8A"/>
    <w:rsid w:val="00E32132"/>
    <w:rsid w:val="00E3263B"/>
    <w:rsid w:val="00E345BE"/>
    <w:rsid w:val="00E34F35"/>
    <w:rsid w:val="00E3709A"/>
    <w:rsid w:val="00E42987"/>
    <w:rsid w:val="00E42E00"/>
    <w:rsid w:val="00E42F41"/>
    <w:rsid w:val="00E4384B"/>
    <w:rsid w:val="00E459D9"/>
    <w:rsid w:val="00E46203"/>
    <w:rsid w:val="00E46E78"/>
    <w:rsid w:val="00E508FD"/>
    <w:rsid w:val="00E50F0B"/>
    <w:rsid w:val="00E5321A"/>
    <w:rsid w:val="00E53B22"/>
    <w:rsid w:val="00E53CA5"/>
    <w:rsid w:val="00E57296"/>
    <w:rsid w:val="00E572C4"/>
    <w:rsid w:val="00E637E3"/>
    <w:rsid w:val="00E6481A"/>
    <w:rsid w:val="00E657A3"/>
    <w:rsid w:val="00E665BD"/>
    <w:rsid w:val="00E6695D"/>
    <w:rsid w:val="00E677CD"/>
    <w:rsid w:val="00E76256"/>
    <w:rsid w:val="00E76FDB"/>
    <w:rsid w:val="00E77B2B"/>
    <w:rsid w:val="00E805F2"/>
    <w:rsid w:val="00E82E91"/>
    <w:rsid w:val="00E838E3"/>
    <w:rsid w:val="00E84AB4"/>
    <w:rsid w:val="00E85E36"/>
    <w:rsid w:val="00E878A6"/>
    <w:rsid w:val="00E87C31"/>
    <w:rsid w:val="00E9004B"/>
    <w:rsid w:val="00E92A2C"/>
    <w:rsid w:val="00E931A7"/>
    <w:rsid w:val="00E94A06"/>
    <w:rsid w:val="00E95011"/>
    <w:rsid w:val="00E95A33"/>
    <w:rsid w:val="00E962F3"/>
    <w:rsid w:val="00E96B19"/>
    <w:rsid w:val="00E97BD4"/>
    <w:rsid w:val="00EA008E"/>
    <w:rsid w:val="00EA0D1B"/>
    <w:rsid w:val="00EA16E7"/>
    <w:rsid w:val="00EA197F"/>
    <w:rsid w:val="00EA3D19"/>
    <w:rsid w:val="00EA6353"/>
    <w:rsid w:val="00EA6ACF"/>
    <w:rsid w:val="00EA7F94"/>
    <w:rsid w:val="00EB0799"/>
    <w:rsid w:val="00EB188F"/>
    <w:rsid w:val="00EB1D67"/>
    <w:rsid w:val="00EB4E32"/>
    <w:rsid w:val="00EB5449"/>
    <w:rsid w:val="00EB557B"/>
    <w:rsid w:val="00EB5756"/>
    <w:rsid w:val="00EB5E4D"/>
    <w:rsid w:val="00EC138C"/>
    <w:rsid w:val="00EC16D7"/>
    <w:rsid w:val="00ED0B16"/>
    <w:rsid w:val="00ED1606"/>
    <w:rsid w:val="00ED204F"/>
    <w:rsid w:val="00ED7775"/>
    <w:rsid w:val="00EE0202"/>
    <w:rsid w:val="00EE16AC"/>
    <w:rsid w:val="00EE1A6D"/>
    <w:rsid w:val="00EE1BA2"/>
    <w:rsid w:val="00EE1D7C"/>
    <w:rsid w:val="00EE36F6"/>
    <w:rsid w:val="00EE3805"/>
    <w:rsid w:val="00EF1F98"/>
    <w:rsid w:val="00EF35BC"/>
    <w:rsid w:val="00EF3E70"/>
    <w:rsid w:val="00EF49C9"/>
    <w:rsid w:val="00EF4E25"/>
    <w:rsid w:val="00EF51AD"/>
    <w:rsid w:val="00EF565B"/>
    <w:rsid w:val="00EF6AF0"/>
    <w:rsid w:val="00EF7454"/>
    <w:rsid w:val="00F0082F"/>
    <w:rsid w:val="00F00B96"/>
    <w:rsid w:val="00F00D38"/>
    <w:rsid w:val="00F023F7"/>
    <w:rsid w:val="00F02B13"/>
    <w:rsid w:val="00F03CC8"/>
    <w:rsid w:val="00F0424C"/>
    <w:rsid w:val="00F0677C"/>
    <w:rsid w:val="00F068E4"/>
    <w:rsid w:val="00F0724E"/>
    <w:rsid w:val="00F11EB6"/>
    <w:rsid w:val="00F15908"/>
    <w:rsid w:val="00F15F15"/>
    <w:rsid w:val="00F16B29"/>
    <w:rsid w:val="00F210AD"/>
    <w:rsid w:val="00F227DA"/>
    <w:rsid w:val="00F22EBA"/>
    <w:rsid w:val="00F244CC"/>
    <w:rsid w:val="00F269EB"/>
    <w:rsid w:val="00F26C28"/>
    <w:rsid w:val="00F30393"/>
    <w:rsid w:val="00F36184"/>
    <w:rsid w:val="00F37305"/>
    <w:rsid w:val="00F37476"/>
    <w:rsid w:val="00F40D00"/>
    <w:rsid w:val="00F42B63"/>
    <w:rsid w:val="00F472EF"/>
    <w:rsid w:val="00F47EBE"/>
    <w:rsid w:val="00F51B96"/>
    <w:rsid w:val="00F5209C"/>
    <w:rsid w:val="00F52C96"/>
    <w:rsid w:val="00F54638"/>
    <w:rsid w:val="00F54783"/>
    <w:rsid w:val="00F55055"/>
    <w:rsid w:val="00F5573D"/>
    <w:rsid w:val="00F6102C"/>
    <w:rsid w:val="00F64268"/>
    <w:rsid w:val="00F647C9"/>
    <w:rsid w:val="00F6548A"/>
    <w:rsid w:val="00F66F9A"/>
    <w:rsid w:val="00F7142A"/>
    <w:rsid w:val="00F73150"/>
    <w:rsid w:val="00F75471"/>
    <w:rsid w:val="00F75926"/>
    <w:rsid w:val="00F82238"/>
    <w:rsid w:val="00F857B4"/>
    <w:rsid w:val="00F857B9"/>
    <w:rsid w:val="00F860AB"/>
    <w:rsid w:val="00F86927"/>
    <w:rsid w:val="00F86F14"/>
    <w:rsid w:val="00F87F3C"/>
    <w:rsid w:val="00F95AE1"/>
    <w:rsid w:val="00F95C57"/>
    <w:rsid w:val="00F97C40"/>
    <w:rsid w:val="00FA1945"/>
    <w:rsid w:val="00FA26A4"/>
    <w:rsid w:val="00FA373B"/>
    <w:rsid w:val="00FA38EB"/>
    <w:rsid w:val="00FA46DD"/>
    <w:rsid w:val="00FA6A78"/>
    <w:rsid w:val="00FB00B1"/>
    <w:rsid w:val="00FB0F61"/>
    <w:rsid w:val="00FB142F"/>
    <w:rsid w:val="00FB224B"/>
    <w:rsid w:val="00FB41B9"/>
    <w:rsid w:val="00FB726D"/>
    <w:rsid w:val="00FC0932"/>
    <w:rsid w:val="00FC208B"/>
    <w:rsid w:val="00FC2785"/>
    <w:rsid w:val="00FC2B6C"/>
    <w:rsid w:val="00FC67A4"/>
    <w:rsid w:val="00FC7B7B"/>
    <w:rsid w:val="00FD225E"/>
    <w:rsid w:val="00FD2D03"/>
    <w:rsid w:val="00FD3F50"/>
    <w:rsid w:val="00FD4292"/>
    <w:rsid w:val="00FD78FE"/>
    <w:rsid w:val="00FE050C"/>
    <w:rsid w:val="00FE499E"/>
    <w:rsid w:val="00FE51AF"/>
    <w:rsid w:val="00FE6023"/>
    <w:rsid w:val="00FE65D1"/>
    <w:rsid w:val="00FE6B2D"/>
    <w:rsid w:val="00FE6C02"/>
    <w:rsid w:val="00FE6F9D"/>
    <w:rsid w:val="00FF178C"/>
    <w:rsid w:val="00FF1A47"/>
    <w:rsid w:val="00FF3058"/>
    <w:rsid w:val="00FF49B4"/>
    <w:rsid w:val="00FF52D8"/>
    <w:rsid w:val="01064C3E"/>
    <w:rsid w:val="01135199"/>
    <w:rsid w:val="01514E47"/>
    <w:rsid w:val="018F65F8"/>
    <w:rsid w:val="01FC45AB"/>
    <w:rsid w:val="02296D76"/>
    <w:rsid w:val="022A4CFA"/>
    <w:rsid w:val="02375F66"/>
    <w:rsid w:val="02C62B1C"/>
    <w:rsid w:val="02D93A98"/>
    <w:rsid w:val="03310013"/>
    <w:rsid w:val="03315E6F"/>
    <w:rsid w:val="033A51ED"/>
    <w:rsid w:val="034B543C"/>
    <w:rsid w:val="034E6452"/>
    <w:rsid w:val="03542DB4"/>
    <w:rsid w:val="035957EF"/>
    <w:rsid w:val="03786440"/>
    <w:rsid w:val="0385668B"/>
    <w:rsid w:val="039444C8"/>
    <w:rsid w:val="03C8021C"/>
    <w:rsid w:val="03D57FD3"/>
    <w:rsid w:val="03FC5DE4"/>
    <w:rsid w:val="04022CF4"/>
    <w:rsid w:val="040903E2"/>
    <w:rsid w:val="043013E0"/>
    <w:rsid w:val="043B3AD0"/>
    <w:rsid w:val="0453474B"/>
    <w:rsid w:val="045C62D8"/>
    <w:rsid w:val="046606CE"/>
    <w:rsid w:val="04725E21"/>
    <w:rsid w:val="04755349"/>
    <w:rsid w:val="04CD419E"/>
    <w:rsid w:val="04E600BC"/>
    <w:rsid w:val="04FB74DF"/>
    <w:rsid w:val="05122788"/>
    <w:rsid w:val="05240974"/>
    <w:rsid w:val="052878D5"/>
    <w:rsid w:val="053B774B"/>
    <w:rsid w:val="053D6980"/>
    <w:rsid w:val="0544686A"/>
    <w:rsid w:val="057B128C"/>
    <w:rsid w:val="05932B49"/>
    <w:rsid w:val="05B31F16"/>
    <w:rsid w:val="05DF5715"/>
    <w:rsid w:val="06947F95"/>
    <w:rsid w:val="06A80768"/>
    <w:rsid w:val="06B44E0E"/>
    <w:rsid w:val="06B956E0"/>
    <w:rsid w:val="06C51AED"/>
    <w:rsid w:val="06DC788F"/>
    <w:rsid w:val="072E61D2"/>
    <w:rsid w:val="07345168"/>
    <w:rsid w:val="074A3B33"/>
    <w:rsid w:val="0760234D"/>
    <w:rsid w:val="07683487"/>
    <w:rsid w:val="078523E2"/>
    <w:rsid w:val="07CD3E5B"/>
    <w:rsid w:val="07D848B6"/>
    <w:rsid w:val="07F77D37"/>
    <w:rsid w:val="08344E44"/>
    <w:rsid w:val="083F5ECB"/>
    <w:rsid w:val="08752E31"/>
    <w:rsid w:val="088309BE"/>
    <w:rsid w:val="08B35707"/>
    <w:rsid w:val="08B678BB"/>
    <w:rsid w:val="08B84B03"/>
    <w:rsid w:val="08FF2ADA"/>
    <w:rsid w:val="090F0357"/>
    <w:rsid w:val="09204B8B"/>
    <w:rsid w:val="092803B7"/>
    <w:rsid w:val="092D2F3E"/>
    <w:rsid w:val="09660FF7"/>
    <w:rsid w:val="09783D33"/>
    <w:rsid w:val="09BF42BB"/>
    <w:rsid w:val="0A0B17A3"/>
    <w:rsid w:val="0A474C82"/>
    <w:rsid w:val="0A525E35"/>
    <w:rsid w:val="0A5A06EC"/>
    <w:rsid w:val="0A8735B1"/>
    <w:rsid w:val="0A930C6D"/>
    <w:rsid w:val="0AB25304"/>
    <w:rsid w:val="0ACA0AB6"/>
    <w:rsid w:val="0AD007F3"/>
    <w:rsid w:val="0ADB316A"/>
    <w:rsid w:val="0AF95070"/>
    <w:rsid w:val="0B0F225E"/>
    <w:rsid w:val="0B154AF2"/>
    <w:rsid w:val="0B2C17A1"/>
    <w:rsid w:val="0B58593E"/>
    <w:rsid w:val="0B634F0A"/>
    <w:rsid w:val="0B782B88"/>
    <w:rsid w:val="0BB53770"/>
    <w:rsid w:val="0C3A7D58"/>
    <w:rsid w:val="0CC17274"/>
    <w:rsid w:val="0CDD1929"/>
    <w:rsid w:val="0D4E2AC5"/>
    <w:rsid w:val="0D5075F5"/>
    <w:rsid w:val="0D5811D5"/>
    <w:rsid w:val="0D770B24"/>
    <w:rsid w:val="0D786CD8"/>
    <w:rsid w:val="0D8E5957"/>
    <w:rsid w:val="0D976F41"/>
    <w:rsid w:val="0DDA2E6D"/>
    <w:rsid w:val="0E575E21"/>
    <w:rsid w:val="0EAE7A39"/>
    <w:rsid w:val="0EDE4BF3"/>
    <w:rsid w:val="0EE16F91"/>
    <w:rsid w:val="0EE839D6"/>
    <w:rsid w:val="0EEF48C8"/>
    <w:rsid w:val="0EF24390"/>
    <w:rsid w:val="0F064C92"/>
    <w:rsid w:val="0F3E6A42"/>
    <w:rsid w:val="0F7A2414"/>
    <w:rsid w:val="0F7A7DE6"/>
    <w:rsid w:val="0F817487"/>
    <w:rsid w:val="0FAD3722"/>
    <w:rsid w:val="0FBF1A46"/>
    <w:rsid w:val="100920B1"/>
    <w:rsid w:val="101B15D9"/>
    <w:rsid w:val="10211D87"/>
    <w:rsid w:val="105D3B61"/>
    <w:rsid w:val="105F6317"/>
    <w:rsid w:val="107615E8"/>
    <w:rsid w:val="10CD30DE"/>
    <w:rsid w:val="10D51B4E"/>
    <w:rsid w:val="10D531AB"/>
    <w:rsid w:val="10D97201"/>
    <w:rsid w:val="110C0637"/>
    <w:rsid w:val="118E6D12"/>
    <w:rsid w:val="11937186"/>
    <w:rsid w:val="11C6025A"/>
    <w:rsid w:val="123D6357"/>
    <w:rsid w:val="12462065"/>
    <w:rsid w:val="12A762DD"/>
    <w:rsid w:val="12B104CF"/>
    <w:rsid w:val="12C21CB9"/>
    <w:rsid w:val="12C6794B"/>
    <w:rsid w:val="12CA2458"/>
    <w:rsid w:val="12F1447A"/>
    <w:rsid w:val="13093F07"/>
    <w:rsid w:val="1329679A"/>
    <w:rsid w:val="136A69FC"/>
    <w:rsid w:val="137A493A"/>
    <w:rsid w:val="13880AC9"/>
    <w:rsid w:val="13A03B1D"/>
    <w:rsid w:val="13BD52C5"/>
    <w:rsid w:val="13C133CE"/>
    <w:rsid w:val="141A2ADF"/>
    <w:rsid w:val="141C2AFB"/>
    <w:rsid w:val="142456FB"/>
    <w:rsid w:val="143218C6"/>
    <w:rsid w:val="14580BAC"/>
    <w:rsid w:val="14720828"/>
    <w:rsid w:val="14770391"/>
    <w:rsid w:val="14C41E07"/>
    <w:rsid w:val="14F556FD"/>
    <w:rsid w:val="14F60C65"/>
    <w:rsid w:val="14FA5E28"/>
    <w:rsid w:val="15361C7A"/>
    <w:rsid w:val="154B0A80"/>
    <w:rsid w:val="15591F94"/>
    <w:rsid w:val="155A72F3"/>
    <w:rsid w:val="15A72150"/>
    <w:rsid w:val="15AF6F5A"/>
    <w:rsid w:val="15C057C1"/>
    <w:rsid w:val="16136495"/>
    <w:rsid w:val="16157745"/>
    <w:rsid w:val="162238AB"/>
    <w:rsid w:val="16335F28"/>
    <w:rsid w:val="165A11A2"/>
    <w:rsid w:val="167B184C"/>
    <w:rsid w:val="16832BBD"/>
    <w:rsid w:val="16997B0C"/>
    <w:rsid w:val="16E96798"/>
    <w:rsid w:val="17016603"/>
    <w:rsid w:val="172766C2"/>
    <w:rsid w:val="173638DF"/>
    <w:rsid w:val="175E0F34"/>
    <w:rsid w:val="176F01C3"/>
    <w:rsid w:val="17A0779F"/>
    <w:rsid w:val="17DB7288"/>
    <w:rsid w:val="17EA592D"/>
    <w:rsid w:val="17F23B35"/>
    <w:rsid w:val="18106581"/>
    <w:rsid w:val="183E5404"/>
    <w:rsid w:val="18430366"/>
    <w:rsid w:val="187802C9"/>
    <w:rsid w:val="18871757"/>
    <w:rsid w:val="188D67FA"/>
    <w:rsid w:val="18926EA5"/>
    <w:rsid w:val="18B96FBF"/>
    <w:rsid w:val="18E02028"/>
    <w:rsid w:val="190F1184"/>
    <w:rsid w:val="193C5E60"/>
    <w:rsid w:val="19B820F4"/>
    <w:rsid w:val="19DD0836"/>
    <w:rsid w:val="19E464D6"/>
    <w:rsid w:val="1A115971"/>
    <w:rsid w:val="1A227E1D"/>
    <w:rsid w:val="1A316FEF"/>
    <w:rsid w:val="1A4373D5"/>
    <w:rsid w:val="1A6E3C74"/>
    <w:rsid w:val="1A8D4613"/>
    <w:rsid w:val="1A9776FB"/>
    <w:rsid w:val="1AAE123C"/>
    <w:rsid w:val="1ACC3022"/>
    <w:rsid w:val="1AD338B5"/>
    <w:rsid w:val="1ADF10FC"/>
    <w:rsid w:val="1AF2676E"/>
    <w:rsid w:val="1B5A7552"/>
    <w:rsid w:val="1BB266FE"/>
    <w:rsid w:val="1BCE65E9"/>
    <w:rsid w:val="1BF21EC0"/>
    <w:rsid w:val="1C4534C0"/>
    <w:rsid w:val="1C526663"/>
    <w:rsid w:val="1C5D5307"/>
    <w:rsid w:val="1C7848C2"/>
    <w:rsid w:val="1CAE20F2"/>
    <w:rsid w:val="1CC24EC4"/>
    <w:rsid w:val="1CCA679A"/>
    <w:rsid w:val="1CD469BA"/>
    <w:rsid w:val="1D004ACA"/>
    <w:rsid w:val="1D4806BC"/>
    <w:rsid w:val="1D6C348C"/>
    <w:rsid w:val="1D72500D"/>
    <w:rsid w:val="1E1F79FD"/>
    <w:rsid w:val="1E6A51C3"/>
    <w:rsid w:val="1ECB3234"/>
    <w:rsid w:val="1F03656B"/>
    <w:rsid w:val="1F043C0A"/>
    <w:rsid w:val="1F320362"/>
    <w:rsid w:val="1F950286"/>
    <w:rsid w:val="1FAC4F42"/>
    <w:rsid w:val="1FB525B4"/>
    <w:rsid w:val="1FC36C9B"/>
    <w:rsid w:val="1FE950BE"/>
    <w:rsid w:val="1FF06E2E"/>
    <w:rsid w:val="1FF335A5"/>
    <w:rsid w:val="20014E6C"/>
    <w:rsid w:val="20015151"/>
    <w:rsid w:val="205A00B2"/>
    <w:rsid w:val="20651585"/>
    <w:rsid w:val="206655AB"/>
    <w:rsid w:val="2099122F"/>
    <w:rsid w:val="20B11042"/>
    <w:rsid w:val="20B80F45"/>
    <w:rsid w:val="20BC5FF7"/>
    <w:rsid w:val="20FB2DCE"/>
    <w:rsid w:val="215B41C9"/>
    <w:rsid w:val="217D645B"/>
    <w:rsid w:val="219247F3"/>
    <w:rsid w:val="21D86085"/>
    <w:rsid w:val="21E32762"/>
    <w:rsid w:val="21F42FAB"/>
    <w:rsid w:val="2210347D"/>
    <w:rsid w:val="2220010D"/>
    <w:rsid w:val="222A2A7E"/>
    <w:rsid w:val="222B243E"/>
    <w:rsid w:val="223B07F0"/>
    <w:rsid w:val="22A30143"/>
    <w:rsid w:val="22AB4844"/>
    <w:rsid w:val="22B11285"/>
    <w:rsid w:val="22C2314B"/>
    <w:rsid w:val="22C56648"/>
    <w:rsid w:val="22CA1B70"/>
    <w:rsid w:val="22E26142"/>
    <w:rsid w:val="23030608"/>
    <w:rsid w:val="230C3B8F"/>
    <w:rsid w:val="23425BAE"/>
    <w:rsid w:val="23430E9B"/>
    <w:rsid w:val="23801823"/>
    <w:rsid w:val="241F3C0A"/>
    <w:rsid w:val="24BC2757"/>
    <w:rsid w:val="24F955EF"/>
    <w:rsid w:val="25024CC6"/>
    <w:rsid w:val="25055E1C"/>
    <w:rsid w:val="25856AF2"/>
    <w:rsid w:val="25AB4F81"/>
    <w:rsid w:val="25B35A2B"/>
    <w:rsid w:val="25C82369"/>
    <w:rsid w:val="25EE16C9"/>
    <w:rsid w:val="260C3C88"/>
    <w:rsid w:val="260F3F68"/>
    <w:rsid w:val="261E6D67"/>
    <w:rsid w:val="26247AFA"/>
    <w:rsid w:val="269404CF"/>
    <w:rsid w:val="26E67CE5"/>
    <w:rsid w:val="271132F3"/>
    <w:rsid w:val="271908BA"/>
    <w:rsid w:val="272D21CE"/>
    <w:rsid w:val="274F0899"/>
    <w:rsid w:val="275325D3"/>
    <w:rsid w:val="27A40F3F"/>
    <w:rsid w:val="27B40AA4"/>
    <w:rsid w:val="27C50568"/>
    <w:rsid w:val="27CD02D3"/>
    <w:rsid w:val="27DD1037"/>
    <w:rsid w:val="284622EE"/>
    <w:rsid w:val="284F6272"/>
    <w:rsid w:val="28546F4E"/>
    <w:rsid w:val="285E0D94"/>
    <w:rsid w:val="2875456B"/>
    <w:rsid w:val="28941932"/>
    <w:rsid w:val="291C6C94"/>
    <w:rsid w:val="2944442E"/>
    <w:rsid w:val="295D5F15"/>
    <w:rsid w:val="29604CE1"/>
    <w:rsid w:val="296371A1"/>
    <w:rsid w:val="296A3234"/>
    <w:rsid w:val="29874AC2"/>
    <w:rsid w:val="299A6286"/>
    <w:rsid w:val="29A053DC"/>
    <w:rsid w:val="29B80744"/>
    <w:rsid w:val="29EF3B80"/>
    <w:rsid w:val="2A3F15DC"/>
    <w:rsid w:val="2A494365"/>
    <w:rsid w:val="2A4D5475"/>
    <w:rsid w:val="2A5109EF"/>
    <w:rsid w:val="2A586EEC"/>
    <w:rsid w:val="2A817C0C"/>
    <w:rsid w:val="2A976071"/>
    <w:rsid w:val="2AAE6230"/>
    <w:rsid w:val="2AC11AAE"/>
    <w:rsid w:val="2B536421"/>
    <w:rsid w:val="2B640A98"/>
    <w:rsid w:val="2B92236E"/>
    <w:rsid w:val="2C297732"/>
    <w:rsid w:val="2C7F41FC"/>
    <w:rsid w:val="2CAD5655"/>
    <w:rsid w:val="2CF0667B"/>
    <w:rsid w:val="2CF55CFC"/>
    <w:rsid w:val="2CF63B3C"/>
    <w:rsid w:val="2D363ACE"/>
    <w:rsid w:val="2D4A6205"/>
    <w:rsid w:val="2D6776EA"/>
    <w:rsid w:val="2D967D41"/>
    <w:rsid w:val="2DA01F38"/>
    <w:rsid w:val="2DC65565"/>
    <w:rsid w:val="2DF81442"/>
    <w:rsid w:val="2E1A076D"/>
    <w:rsid w:val="2E364CBF"/>
    <w:rsid w:val="2E50117F"/>
    <w:rsid w:val="2E52698D"/>
    <w:rsid w:val="2E67296D"/>
    <w:rsid w:val="2EB035D6"/>
    <w:rsid w:val="2EE31FF3"/>
    <w:rsid w:val="2EEE0998"/>
    <w:rsid w:val="2EFD0579"/>
    <w:rsid w:val="2F0401BB"/>
    <w:rsid w:val="2F283EAA"/>
    <w:rsid w:val="2FBF16EA"/>
    <w:rsid w:val="2FDF26AE"/>
    <w:rsid w:val="3015575C"/>
    <w:rsid w:val="304A588E"/>
    <w:rsid w:val="306345FD"/>
    <w:rsid w:val="30893E07"/>
    <w:rsid w:val="309263B4"/>
    <w:rsid w:val="30B70B85"/>
    <w:rsid w:val="30DA7210"/>
    <w:rsid w:val="30F420C6"/>
    <w:rsid w:val="31140B8A"/>
    <w:rsid w:val="314657DC"/>
    <w:rsid w:val="314702EA"/>
    <w:rsid w:val="31C528D7"/>
    <w:rsid w:val="32230959"/>
    <w:rsid w:val="32537490"/>
    <w:rsid w:val="32707B6E"/>
    <w:rsid w:val="3304730D"/>
    <w:rsid w:val="33080A00"/>
    <w:rsid w:val="3389568E"/>
    <w:rsid w:val="33914CBD"/>
    <w:rsid w:val="33990175"/>
    <w:rsid w:val="33E81E5A"/>
    <w:rsid w:val="34180991"/>
    <w:rsid w:val="345F514A"/>
    <w:rsid w:val="347D3C89"/>
    <w:rsid w:val="34CB1EA8"/>
    <w:rsid w:val="34D66D82"/>
    <w:rsid w:val="34FF3B4E"/>
    <w:rsid w:val="35885CAA"/>
    <w:rsid w:val="35AF3FC9"/>
    <w:rsid w:val="35DF0EE6"/>
    <w:rsid w:val="36127D4D"/>
    <w:rsid w:val="36332A86"/>
    <w:rsid w:val="363539C9"/>
    <w:rsid w:val="36354A0F"/>
    <w:rsid w:val="36714388"/>
    <w:rsid w:val="36774923"/>
    <w:rsid w:val="36927D93"/>
    <w:rsid w:val="36BE50F4"/>
    <w:rsid w:val="36CE3589"/>
    <w:rsid w:val="36F65FC0"/>
    <w:rsid w:val="371E221C"/>
    <w:rsid w:val="374645B5"/>
    <w:rsid w:val="3764263A"/>
    <w:rsid w:val="37817BB0"/>
    <w:rsid w:val="37823DFC"/>
    <w:rsid w:val="3791692E"/>
    <w:rsid w:val="37AD0D0E"/>
    <w:rsid w:val="37AF63EA"/>
    <w:rsid w:val="37C656D6"/>
    <w:rsid w:val="3873101D"/>
    <w:rsid w:val="389F332A"/>
    <w:rsid w:val="38A64B9C"/>
    <w:rsid w:val="38B21E9E"/>
    <w:rsid w:val="3908403B"/>
    <w:rsid w:val="393B7CF1"/>
    <w:rsid w:val="3945673A"/>
    <w:rsid w:val="394D53EB"/>
    <w:rsid w:val="396C52DB"/>
    <w:rsid w:val="39B435DE"/>
    <w:rsid w:val="39B70940"/>
    <w:rsid w:val="39D55651"/>
    <w:rsid w:val="39DE1D44"/>
    <w:rsid w:val="39F85ABE"/>
    <w:rsid w:val="3A045513"/>
    <w:rsid w:val="3A0E0140"/>
    <w:rsid w:val="3A185FD8"/>
    <w:rsid w:val="3A3A508B"/>
    <w:rsid w:val="3A48560A"/>
    <w:rsid w:val="3A5C0EAC"/>
    <w:rsid w:val="3A7B370C"/>
    <w:rsid w:val="3A8D67DF"/>
    <w:rsid w:val="3A995BDD"/>
    <w:rsid w:val="3B593B4E"/>
    <w:rsid w:val="3B5E5937"/>
    <w:rsid w:val="3B640056"/>
    <w:rsid w:val="3B8E19CD"/>
    <w:rsid w:val="3B9A1C8B"/>
    <w:rsid w:val="3B9C5D81"/>
    <w:rsid w:val="3BC36985"/>
    <w:rsid w:val="3BF23494"/>
    <w:rsid w:val="3C47498F"/>
    <w:rsid w:val="3C6F3516"/>
    <w:rsid w:val="3C7B5E77"/>
    <w:rsid w:val="3C8C50EB"/>
    <w:rsid w:val="3CD90124"/>
    <w:rsid w:val="3CD9217F"/>
    <w:rsid w:val="3CE0073A"/>
    <w:rsid w:val="3D03220B"/>
    <w:rsid w:val="3D123589"/>
    <w:rsid w:val="3D1E0379"/>
    <w:rsid w:val="3D69400B"/>
    <w:rsid w:val="3DB82A73"/>
    <w:rsid w:val="3DC15625"/>
    <w:rsid w:val="3DE00969"/>
    <w:rsid w:val="3DEF4E8A"/>
    <w:rsid w:val="3E4F5935"/>
    <w:rsid w:val="3E8331E8"/>
    <w:rsid w:val="3ED93346"/>
    <w:rsid w:val="3EF54430"/>
    <w:rsid w:val="3F0D670E"/>
    <w:rsid w:val="3F395C5F"/>
    <w:rsid w:val="3F67457A"/>
    <w:rsid w:val="3F97289B"/>
    <w:rsid w:val="3FAC0006"/>
    <w:rsid w:val="3FAF240E"/>
    <w:rsid w:val="3FCA255A"/>
    <w:rsid w:val="3FCC6AD3"/>
    <w:rsid w:val="3FD214AB"/>
    <w:rsid w:val="3FD75D24"/>
    <w:rsid w:val="3FE860C6"/>
    <w:rsid w:val="3FE9631B"/>
    <w:rsid w:val="400C5122"/>
    <w:rsid w:val="400E7067"/>
    <w:rsid w:val="407973F2"/>
    <w:rsid w:val="408B13D5"/>
    <w:rsid w:val="408B4B24"/>
    <w:rsid w:val="40AC04E0"/>
    <w:rsid w:val="40AC4B93"/>
    <w:rsid w:val="40DD1661"/>
    <w:rsid w:val="40E84B79"/>
    <w:rsid w:val="40FF07E3"/>
    <w:rsid w:val="410339CA"/>
    <w:rsid w:val="410D0DFE"/>
    <w:rsid w:val="41261DC0"/>
    <w:rsid w:val="41664FC6"/>
    <w:rsid w:val="41966EA2"/>
    <w:rsid w:val="41A8726C"/>
    <w:rsid w:val="41C007E7"/>
    <w:rsid w:val="4250131F"/>
    <w:rsid w:val="42557976"/>
    <w:rsid w:val="429B5DF7"/>
    <w:rsid w:val="42A64924"/>
    <w:rsid w:val="42D7607D"/>
    <w:rsid w:val="42E105D1"/>
    <w:rsid w:val="42FE5D19"/>
    <w:rsid w:val="43136F88"/>
    <w:rsid w:val="4331095F"/>
    <w:rsid w:val="43386557"/>
    <w:rsid w:val="437C6AB4"/>
    <w:rsid w:val="43927EED"/>
    <w:rsid w:val="439B4DE6"/>
    <w:rsid w:val="43FD1BB4"/>
    <w:rsid w:val="4404683C"/>
    <w:rsid w:val="442C7C59"/>
    <w:rsid w:val="444838D0"/>
    <w:rsid w:val="446352F2"/>
    <w:rsid w:val="446C62A8"/>
    <w:rsid w:val="44842596"/>
    <w:rsid w:val="44DD13BA"/>
    <w:rsid w:val="44DF052E"/>
    <w:rsid w:val="4512549B"/>
    <w:rsid w:val="45191BF7"/>
    <w:rsid w:val="45332F74"/>
    <w:rsid w:val="45685F44"/>
    <w:rsid w:val="457171EB"/>
    <w:rsid w:val="4590612D"/>
    <w:rsid w:val="45BA59E0"/>
    <w:rsid w:val="461B6DA9"/>
    <w:rsid w:val="463D7F75"/>
    <w:rsid w:val="467707A5"/>
    <w:rsid w:val="46855668"/>
    <w:rsid w:val="46BE0774"/>
    <w:rsid w:val="46ED22CA"/>
    <w:rsid w:val="471B6FA7"/>
    <w:rsid w:val="474357DC"/>
    <w:rsid w:val="475C411F"/>
    <w:rsid w:val="47C307BC"/>
    <w:rsid w:val="47C36A0E"/>
    <w:rsid w:val="47C65743"/>
    <w:rsid w:val="47D36297"/>
    <w:rsid w:val="47DF4DAA"/>
    <w:rsid w:val="480A4B3F"/>
    <w:rsid w:val="48315726"/>
    <w:rsid w:val="48600287"/>
    <w:rsid w:val="48747EFA"/>
    <w:rsid w:val="487A309F"/>
    <w:rsid w:val="48A613C5"/>
    <w:rsid w:val="48A6462D"/>
    <w:rsid w:val="48D31818"/>
    <w:rsid w:val="48EE7C9A"/>
    <w:rsid w:val="490C3889"/>
    <w:rsid w:val="491F3AD0"/>
    <w:rsid w:val="492E2FBA"/>
    <w:rsid w:val="493A54AC"/>
    <w:rsid w:val="493A7038"/>
    <w:rsid w:val="49440A9B"/>
    <w:rsid w:val="49673DE6"/>
    <w:rsid w:val="49852670"/>
    <w:rsid w:val="498535F3"/>
    <w:rsid w:val="49EE5828"/>
    <w:rsid w:val="4A0C12B4"/>
    <w:rsid w:val="4A3B6D2F"/>
    <w:rsid w:val="4A68376A"/>
    <w:rsid w:val="4A72164F"/>
    <w:rsid w:val="4A780584"/>
    <w:rsid w:val="4A8A736F"/>
    <w:rsid w:val="4A9F0D2E"/>
    <w:rsid w:val="4B864AC1"/>
    <w:rsid w:val="4B8A1D1C"/>
    <w:rsid w:val="4B8F4F47"/>
    <w:rsid w:val="4BA60042"/>
    <w:rsid w:val="4BC37D22"/>
    <w:rsid w:val="4BCC2004"/>
    <w:rsid w:val="4BFF5B3B"/>
    <w:rsid w:val="4C237A7B"/>
    <w:rsid w:val="4C720679"/>
    <w:rsid w:val="4C927CD7"/>
    <w:rsid w:val="4CAC52FA"/>
    <w:rsid w:val="4CF634B1"/>
    <w:rsid w:val="4CF751D0"/>
    <w:rsid w:val="4D236F66"/>
    <w:rsid w:val="4D3F5550"/>
    <w:rsid w:val="4D624F2A"/>
    <w:rsid w:val="4D8473FB"/>
    <w:rsid w:val="4D871483"/>
    <w:rsid w:val="4D9C4BBA"/>
    <w:rsid w:val="4DE17BEE"/>
    <w:rsid w:val="4DE65C14"/>
    <w:rsid w:val="4DF536BA"/>
    <w:rsid w:val="4E3E7C8C"/>
    <w:rsid w:val="4E451F2B"/>
    <w:rsid w:val="4E604FB7"/>
    <w:rsid w:val="4F450352"/>
    <w:rsid w:val="4F6B0F1D"/>
    <w:rsid w:val="4F813436"/>
    <w:rsid w:val="4FB15659"/>
    <w:rsid w:val="4FB70C06"/>
    <w:rsid w:val="4FC25C77"/>
    <w:rsid w:val="4FD41305"/>
    <w:rsid w:val="501F4D9E"/>
    <w:rsid w:val="50271D66"/>
    <w:rsid w:val="50550238"/>
    <w:rsid w:val="505508C7"/>
    <w:rsid w:val="50555FCA"/>
    <w:rsid w:val="50AA2BF8"/>
    <w:rsid w:val="50AD2316"/>
    <w:rsid w:val="50C404AC"/>
    <w:rsid w:val="50E023DF"/>
    <w:rsid w:val="50ED6E18"/>
    <w:rsid w:val="51094E7C"/>
    <w:rsid w:val="510B41AC"/>
    <w:rsid w:val="51304AB3"/>
    <w:rsid w:val="513102F9"/>
    <w:rsid w:val="51351627"/>
    <w:rsid w:val="514F7CC7"/>
    <w:rsid w:val="51524645"/>
    <w:rsid w:val="51867B55"/>
    <w:rsid w:val="519B27EC"/>
    <w:rsid w:val="519D67AC"/>
    <w:rsid w:val="51B90929"/>
    <w:rsid w:val="51BE541D"/>
    <w:rsid w:val="51CD4B2D"/>
    <w:rsid w:val="52582856"/>
    <w:rsid w:val="529357A1"/>
    <w:rsid w:val="52AA0819"/>
    <w:rsid w:val="52B8294B"/>
    <w:rsid w:val="52C13B4A"/>
    <w:rsid w:val="52F33509"/>
    <w:rsid w:val="5311092D"/>
    <w:rsid w:val="5316175A"/>
    <w:rsid w:val="531D5979"/>
    <w:rsid w:val="534E0BF2"/>
    <w:rsid w:val="535A6478"/>
    <w:rsid w:val="537D7FE3"/>
    <w:rsid w:val="538C4158"/>
    <w:rsid w:val="53911318"/>
    <w:rsid w:val="53A53D67"/>
    <w:rsid w:val="53B17824"/>
    <w:rsid w:val="53CF6092"/>
    <w:rsid w:val="53D77AC9"/>
    <w:rsid w:val="53DF4E20"/>
    <w:rsid w:val="54043E50"/>
    <w:rsid w:val="54677DFC"/>
    <w:rsid w:val="547E02CA"/>
    <w:rsid w:val="54E84DAA"/>
    <w:rsid w:val="555800FC"/>
    <w:rsid w:val="55682443"/>
    <w:rsid w:val="55717AA9"/>
    <w:rsid w:val="55725CF7"/>
    <w:rsid w:val="557824C6"/>
    <w:rsid w:val="557D2A49"/>
    <w:rsid w:val="559A32D4"/>
    <w:rsid w:val="55A20471"/>
    <w:rsid w:val="55DE3FE9"/>
    <w:rsid w:val="55DF543F"/>
    <w:rsid w:val="56362899"/>
    <w:rsid w:val="564B16AA"/>
    <w:rsid w:val="56A02D18"/>
    <w:rsid w:val="56D23C13"/>
    <w:rsid w:val="56D976B4"/>
    <w:rsid w:val="574D6DFD"/>
    <w:rsid w:val="575A1E2A"/>
    <w:rsid w:val="576975C8"/>
    <w:rsid w:val="576A4258"/>
    <w:rsid w:val="576F118C"/>
    <w:rsid w:val="57E91B79"/>
    <w:rsid w:val="580236B0"/>
    <w:rsid w:val="58103A1D"/>
    <w:rsid w:val="581B55AB"/>
    <w:rsid w:val="58702B5F"/>
    <w:rsid w:val="587B56EC"/>
    <w:rsid w:val="587D0513"/>
    <w:rsid w:val="588145EA"/>
    <w:rsid w:val="58910375"/>
    <w:rsid w:val="58927621"/>
    <w:rsid w:val="58A73B83"/>
    <w:rsid w:val="58B95A84"/>
    <w:rsid w:val="58F5279F"/>
    <w:rsid w:val="59022B40"/>
    <w:rsid w:val="59030B22"/>
    <w:rsid w:val="591D1E28"/>
    <w:rsid w:val="593A7C41"/>
    <w:rsid w:val="593D3EFA"/>
    <w:rsid w:val="595666A3"/>
    <w:rsid w:val="59827B2D"/>
    <w:rsid w:val="598F4AC5"/>
    <w:rsid w:val="59943D66"/>
    <w:rsid w:val="59BB11BD"/>
    <w:rsid w:val="59C676F6"/>
    <w:rsid w:val="59E003A7"/>
    <w:rsid w:val="59E03F84"/>
    <w:rsid w:val="59F36F88"/>
    <w:rsid w:val="5A4E3AD2"/>
    <w:rsid w:val="5A56726E"/>
    <w:rsid w:val="5A9E3D30"/>
    <w:rsid w:val="5AAC5678"/>
    <w:rsid w:val="5ACD036B"/>
    <w:rsid w:val="5AD22E26"/>
    <w:rsid w:val="5B024087"/>
    <w:rsid w:val="5B092687"/>
    <w:rsid w:val="5B0D5DE5"/>
    <w:rsid w:val="5B286E5C"/>
    <w:rsid w:val="5B2F4344"/>
    <w:rsid w:val="5B352320"/>
    <w:rsid w:val="5B713818"/>
    <w:rsid w:val="5B9F6DA6"/>
    <w:rsid w:val="5BC82196"/>
    <w:rsid w:val="5BF20FC8"/>
    <w:rsid w:val="5C180C7F"/>
    <w:rsid w:val="5C1F025F"/>
    <w:rsid w:val="5C322F32"/>
    <w:rsid w:val="5C901AE4"/>
    <w:rsid w:val="5CA8431F"/>
    <w:rsid w:val="5CAA5B38"/>
    <w:rsid w:val="5D231DB7"/>
    <w:rsid w:val="5D532A5E"/>
    <w:rsid w:val="5D7A14C5"/>
    <w:rsid w:val="5D850596"/>
    <w:rsid w:val="5DB420CA"/>
    <w:rsid w:val="5E016339"/>
    <w:rsid w:val="5E5739D4"/>
    <w:rsid w:val="5E5D6E1D"/>
    <w:rsid w:val="5E6071EA"/>
    <w:rsid w:val="5E7E5B10"/>
    <w:rsid w:val="5F23068E"/>
    <w:rsid w:val="5F95307B"/>
    <w:rsid w:val="5F9938E7"/>
    <w:rsid w:val="5FFC3EF2"/>
    <w:rsid w:val="605F4298"/>
    <w:rsid w:val="60794CC3"/>
    <w:rsid w:val="60B3541A"/>
    <w:rsid w:val="60B364DA"/>
    <w:rsid w:val="60D14BE6"/>
    <w:rsid w:val="611A32BF"/>
    <w:rsid w:val="612E7718"/>
    <w:rsid w:val="6150089D"/>
    <w:rsid w:val="61511EDF"/>
    <w:rsid w:val="61902AA4"/>
    <w:rsid w:val="619C7E9C"/>
    <w:rsid w:val="61A76F6D"/>
    <w:rsid w:val="61DA0784"/>
    <w:rsid w:val="61DB1700"/>
    <w:rsid w:val="61FB1E8E"/>
    <w:rsid w:val="6208309C"/>
    <w:rsid w:val="624556F9"/>
    <w:rsid w:val="62551FA5"/>
    <w:rsid w:val="62D93AF5"/>
    <w:rsid w:val="62DA219F"/>
    <w:rsid w:val="62EC29D7"/>
    <w:rsid w:val="62F976C7"/>
    <w:rsid w:val="62FC4226"/>
    <w:rsid w:val="63102565"/>
    <w:rsid w:val="63427E1C"/>
    <w:rsid w:val="63862972"/>
    <w:rsid w:val="63B22EF2"/>
    <w:rsid w:val="63C93177"/>
    <w:rsid w:val="63CB4828"/>
    <w:rsid w:val="63E74D4D"/>
    <w:rsid w:val="63E92F01"/>
    <w:rsid w:val="642234C3"/>
    <w:rsid w:val="643F0D73"/>
    <w:rsid w:val="64562516"/>
    <w:rsid w:val="645E569D"/>
    <w:rsid w:val="64844AD2"/>
    <w:rsid w:val="64892A04"/>
    <w:rsid w:val="64E2694D"/>
    <w:rsid w:val="64EC2212"/>
    <w:rsid w:val="65067046"/>
    <w:rsid w:val="650F6997"/>
    <w:rsid w:val="65293EFC"/>
    <w:rsid w:val="656E121B"/>
    <w:rsid w:val="657209EB"/>
    <w:rsid w:val="658206A1"/>
    <w:rsid w:val="65A24703"/>
    <w:rsid w:val="65B85B4E"/>
    <w:rsid w:val="65BA6903"/>
    <w:rsid w:val="65DD2C5F"/>
    <w:rsid w:val="662E111E"/>
    <w:rsid w:val="66337E5B"/>
    <w:rsid w:val="665F1CD5"/>
    <w:rsid w:val="66612892"/>
    <w:rsid w:val="667D0992"/>
    <w:rsid w:val="66A14DE6"/>
    <w:rsid w:val="66D21781"/>
    <w:rsid w:val="66E022D0"/>
    <w:rsid w:val="674A0958"/>
    <w:rsid w:val="67676ED5"/>
    <w:rsid w:val="67841B88"/>
    <w:rsid w:val="67895BA2"/>
    <w:rsid w:val="678D0B6C"/>
    <w:rsid w:val="679151AA"/>
    <w:rsid w:val="67A56C08"/>
    <w:rsid w:val="67A927F6"/>
    <w:rsid w:val="67FF2CF3"/>
    <w:rsid w:val="684F1F9E"/>
    <w:rsid w:val="68731DAB"/>
    <w:rsid w:val="687F4FE4"/>
    <w:rsid w:val="68842338"/>
    <w:rsid w:val="689620AA"/>
    <w:rsid w:val="68A43DD0"/>
    <w:rsid w:val="68AF48C2"/>
    <w:rsid w:val="68FC5484"/>
    <w:rsid w:val="69143AF1"/>
    <w:rsid w:val="691F73AF"/>
    <w:rsid w:val="6958641A"/>
    <w:rsid w:val="69E37643"/>
    <w:rsid w:val="6A215A77"/>
    <w:rsid w:val="6A2D2535"/>
    <w:rsid w:val="6A32349A"/>
    <w:rsid w:val="6A3B5CC8"/>
    <w:rsid w:val="6A3C4A5D"/>
    <w:rsid w:val="6A421022"/>
    <w:rsid w:val="6A5A4B58"/>
    <w:rsid w:val="6A6410FD"/>
    <w:rsid w:val="6A766D7E"/>
    <w:rsid w:val="6A8D751D"/>
    <w:rsid w:val="6AAE27AE"/>
    <w:rsid w:val="6AB26EA7"/>
    <w:rsid w:val="6AB41AF4"/>
    <w:rsid w:val="6ADD4AB5"/>
    <w:rsid w:val="6B080F0F"/>
    <w:rsid w:val="6B186FE6"/>
    <w:rsid w:val="6B3959F5"/>
    <w:rsid w:val="6B5A7319"/>
    <w:rsid w:val="6B770D1D"/>
    <w:rsid w:val="6B821356"/>
    <w:rsid w:val="6B9B3608"/>
    <w:rsid w:val="6BB60D0E"/>
    <w:rsid w:val="6BD050D2"/>
    <w:rsid w:val="6BDC5564"/>
    <w:rsid w:val="6BF155EA"/>
    <w:rsid w:val="6C037203"/>
    <w:rsid w:val="6C697734"/>
    <w:rsid w:val="6C714D92"/>
    <w:rsid w:val="6CA47CF5"/>
    <w:rsid w:val="6CBA2AEC"/>
    <w:rsid w:val="6CC14A1B"/>
    <w:rsid w:val="6CE41F4E"/>
    <w:rsid w:val="6CE768E6"/>
    <w:rsid w:val="6D257CC6"/>
    <w:rsid w:val="6D3E5D77"/>
    <w:rsid w:val="6D6E2139"/>
    <w:rsid w:val="6D937F64"/>
    <w:rsid w:val="6DA70636"/>
    <w:rsid w:val="6DB05BFE"/>
    <w:rsid w:val="6DBD275F"/>
    <w:rsid w:val="6E3A4B90"/>
    <w:rsid w:val="6E494CC8"/>
    <w:rsid w:val="6E7A612A"/>
    <w:rsid w:val="6E7F07BC"/>
    <w:rsid w:val="6E8F2483"/>
    <w:rsid w:val="6EB063B1"/>
    <w:rsid w:val="6EB73331"/>
    <w:rsid w:val="6EC66318"/>
    <w:rsid w:val="6ECE54C2"/>
    <w:rsid w:val="6ED04903"/>
    <w:rsid w:val="6EFF24EA"/>
    <w:rsid w:val="6F421595"/>
    <w:rsid w:val="6F4A74A4"/>
    <w:rsid w:val="6F5C5EF2"/>
    <w:rsid w:val="6FBF34B5"/>
    <w:rsid w:val="6FDE65FC"/>
    <w:rsid w:val="70297AC4"/>
    <w:rsid w:val="70453800"/>
    <w:rsid w:val="704A0F3A"/>
    <w:rsid w:val="70AF1E86"/>
    <w:rsid w:val="70B61B5E"/>
    <w:rsid w:val="70B81BA8"/>
    <w:rsid w:val="70C1145F"/>
    <w:rsid w:val="70CB230C"/>
    <w:rsid w:val="71453949"/>
    <w:rsid w:val="714C7301"/>
    <w:rsid w:val="719973E9"/>
    <w:rsid w:val="719D323C"/>
    <w:rsid w:val="71A04AA8"/>
    <w:rsid w:val="71AB08AF"/>
    <w:rsid w:val="71C20FC9"/>
    <w:rsid w:val="71F14DC5"/>
    <w:rsid w:val="7204053A"/>
    <w:rsid w:val="722964A7"/>
    <w:rsid w:val="7235658B"/>
    <w:rsid w:val="725E6A2A"/>
    <w:rsid w:val="729055BB"/>
    <w:rsid w:val="729D0AB4"/>
    <w:rsid w:val="729D341C"/>
    <w:rsid w:val="72B054AB"/>
    <w:rsid w:val="72B33C84"/>
    <w:rsid w:val="72CF505F"/>
    <w:rsid w:val="73262D27"/>
    <w:rsid w:val="7332018A"/>
    <w:rsid w:val="7354438F"/>
    <w:rsid w:val="735F726A"/>
    <w:rsid w:val="73BD3A7A"/>
    <w:rsid w:val="73CF7C8C"/>
    <w:rsid w:val="74653B94"/>
    <w:rsid w:val="747F58E7"/>
    <w:rsid w:val="74BA06CD"/>
    <w:rsid w:val="74BC597D"/>
    <w:rsid w:val="74C4779E"/>
    <w:rsid w:val="7547295E"/>
    <w:rsid w:val="7557203D"/>
    <w:rsid w:val="75811B46"/>
    <w:rsid w:val="75C95703"/>
    <w:rsid w:val="75DD44BC"/>
    <w:rsid w:val="762C5D3C"/>
    <w:rsid w:val="763155F6"/>
    <w:rsid w:val="76324EB9"/>
    <w:rsid w:val="76551C9D"/>
    <w:rsid w:val="76677F73"/>
    <w:rsid w:val="767840E2"/>
    <w:rsid w:val="76A806B3"/>
    <w:rsid w:val="76BC5033"/>
    <w:rsid w:val="770172F3"/>
    <w:rsid w:val="77093988"/>
    <w:rsid w:val="77100A78"/>
    <w:rsid w:val="771D38C5"/>
    <w:rsid w:val="77495D38"/>
    <w:rsid w:val="776720E0"/>
    <w:rsid w:val="776D152D"/>
    <w:rsid w:val="77835557"/>
    <w:rsid w:val="77963707"/>
    <w:rsid w:val="77964615"/>
    <w:rsid w:val="77D45F4A"/>
    <w:rsid w:val="77F812DC"/>
    <w:rsid w:val="77FF0498"/>
    <w:rsid w:val="781C63F2"/>
    <w:rsid w:val="782D3AB7"/>
    <w:rsid w:val="782E6041"/>
    <w:rsid w:val="78AF230E"/>
    <w:rsid w:val="78B4083F"/>
    <w:rsid w:val="794123F7"/>
    <w:rsid w:val="795E73A6"/>
    <w:rsid w:val="797715D3"/>
    <w:rsid w:val="79876FEC"/>
    <w:rsid w:val="798A03F3"/>
    <w:rsid w:val="79D55477"/>
    <w:rsid w:val="79E52231"/>
    <w:rsid w:val="7A09738A"/>
    <w:rsid w:val="7A1171B3"/>
    <w:rsid w:val="7A344A7E"/>
    <w:rsid w:val="7A4B701C"/>
    <w:rsid w:val="7A4F68CA"/>
    <w:rsid w:val="7A5443DF"/>
    <w:rsid w:val="7AE27470"/>
    <w:rsid w:val="7B030791"/>
    <w:rsid w:val="7B090F95"/>
    <w:rsid w:val="7B100AD9"/>
    <w:rsid w:val="7B184918"/>
    <w:rsid w:val="7B1B72F0"/>
    <w:rsid w:val="7B425C0B"/>
    <w:rsid w:val="7B615FC1"/>
    <w:rsid w:val="7B867CD0"/>
    <w:rsid w:val="7B8A79B4"/>
    <w:rsid w:val="7B8B2DC3"/>
    <w:rsid w:val="7B9228B5"/>
    <w:rsid w:val="7BA31605"/>
    <w:rsid w:val="7BAC637B"/>
    <w:rsid w:val="7BD247CD"/>
    <w:rsid w:val="7BD7173D"/>
    <w:rsid w:val="7BDC1BFA"/>
    <w:rsid w:val="7BF47678"/>
    <w:rsid w:val="7C0A6A61"/>
    <w:rsid w:val="7C4925A9"/>
    <w:rsid w:val="7CA129B3"/>
    <w:rsid w:val="7CB21BAC"/>
    <w:rsid w:val="7CB52BA1"/>
    <w:rsid w:val="7CCD6249"/>
    <w:rsid w:val="7CD74ABE"/>
    <w:rsid w:val="7CEC3C16"/>
    <w:rsid w:val="7CF924D0"/>
    <w:rsid w:val="7D023ED1"/>
    <w:rsid w:val="7D08162E"/>
    <w:rsid w:val="7D384197"/>
    <w:rsid w:val="7D3E79C1"/>
    <w:rsid w:val="7D653BC1"/>
    <w:rsid w:val="7D787BE3"/>
    <w:rsid w:val="7D8801AD"/>
    <w:rsid w:val="7DBB7264"/>
    <w:rsid w:val="7DC1538C"/>
    <w:rsid w:val="7DFC3B04"/>
    <w:rsid w:val="7ECC6E4E"/>
    <w:rsid w:val="7EDD3C89"/>
    <w:rsid w:val="7EE20C20"/>
    <w:rsid w:val="7EE562A2"/>
    <w:rsid w:val="7EE84089"/>
    <w:rsid w:val="7EEC4F35"/>
    <w:rsid w:val="7F071BB5"/>
    <w:rsid w:val="7F452D63"/>
    <w:rsid w:val="7F795344"/>
    <w:rsid w:val="7F93403D"/>
    <w:rsid w:val="7F9F6BE1"/>
    <w:rsid w:val="7FBF08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qFormat="1" w:unhideWhenUsed="0" w:uiPriority="0" w:semiHidden="0" w:name="toa heading"/>
    <w:lsdException w:qFormat="1" w:unhideWhenUsed="0" w:uiPriority="0" w:semiHidden="0" w:name="List"/>
    <w:lsdException w:qFormat="1"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qFormat="1" w:uiPriority="0" w:semiHidden="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qFormat="1" w:unhideWhenUsed="0" w:uiPriority="0" w:semiHidden="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iPriority="0" w:semiHidden="0" w:name="Table Grid"/>
    <w:lsdException w:qFormat="1" w:unhideWhenUsed="0" w:uiPriority="0" w:semiHidden="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82"/>
    <w:autoRedefine/>
    <w:qFormat/>
    <w:uiPriority w:val="9"/>
    <w:pPr>
      <w:keepNext/>
      <w:widowControl/>
      <w:tabs>
        <w:tab w:val="left" w:pos="885"/>
      </w:tabs>
      <w:ind w:left="885" w:hanging="885"/>
      <w:outlineLvl w:val="0"/>
    </w:pPr>
    <w:rPr>
      <w:rFonts w:ascii="黑体" w:eastAsia="黑体"/>
      <w:sz w:val="52"/>
    </w:rPr>
  </w:style>
  <w:style w:type="paragraph" w:styleId="4">
    <w:name w:val="heading 2"/>
    <w:basedOn w:val="1"/>
    <w:next w:val="1"/>
    <w:link w:val="83"/>
    <w:autoRedefine/>
    <w:qFormat/>
    <w:uiPriority w:val="9"/>
    <w:pPr>
      <w:keepNext/>
      <w:keepLines/>
      <w:widowControl/>
      <w:spacing w:before="260" w:after="260" w:line="413" w:lineRule="auto"/>
      <w:jc w:val="center"/>
      <w:outlineLvl w:val="1"/>
    </w:pPr>
    <w:rPr>
      <w:rFonts w:ascii="Arial" w:hAnsi="Arial" w:eastAsia="黑体"/>
      <w:b/>
      <w:kern w:val="0"/>
      <w:sz w:val="44"/>
    </w:rPr>
  </w:style>
  <w:style w:type="paragraph" w:styleId="5">
    <w:name w:val="heading 3"/>
    <w:basedOn w:val="1"/>
    <w:next w:val="6"/>
    <w:link w:val="89"/>
    <w:autoRedefine/>
    <w:qFormat/>
    <w:uiPriority w:val="9"/>
    <w:pPr>
      <w:keepNext/>
      <w:keepLines/>
      <w:widowControl/>
      <w:spacing w:before="120" w:after="120" w:line="360" w:lineRule="auto"/>
      <w:jc w:val="center"/>
      <w:outlineLvl w:val="2"/>
    </w:pPr>
    <w:rPr>
      <w:b/>
      <w:kern w:val="0"/>
      <w:sz w:val="32"/>
    </w:rPr>
  </w:style>
  <w:style w:type="paragraph" w:styleId="7">
    <w:name w:val="heading 4"/>
    <w:basedOn w:val="1"/>
    <w:next w:val="1"/>
    <w:link w:val="90"/>
    <w:autoRedefine/>
    <w:qFormat/>
    <w:uiPriority w:val="0"/>
    <w:pPr>
      <w:keepNext/>
      <w:keepLines/>
      <w:widowControl/>
      <w:spacing w:before="120" w:after="120" w:line="360" w:lineRule="auto"/>
      <w:jc w:val="center"/>
      <w:outlineLvl w:val="3"/>
    </w:pPr>
    <w:rPr>
      <w:rFonts w:ascii="Arial" w:hAnsi="Arial" w:eastAsia="黑体"/>
      <w:sz w:val="28"/>
      <w:szCs w:val="24"/>
    </w:rPr>
  </w:style>
  <w:style w:type="paragraph" w:styleId="8">
    <w:name w:val="heading 5"/>
    <w:basedOn w:val="1"/>
    <w:next w:val="1"/>
    <w:link w:val="91"/>
    <w:autoRedefine/>
    <w:qFormat/>
    <w:uiPriority w:val="0"/>
    <w:pPr>
      <w:keepNext/>
      <w:keepLines/>
      <w:widowControl/>
      <w:spacing w:before="120" w:after="120" w:line="360" w:lineRule="auto"/>
      <w:ind w:firstLine="499"/>
      <w:jc w:val="left"/>
      <w:outlineLvl w:val="4"/>
    </w:pPr>
    <w:rPr>
      <w:rFonts w:ascii="宋体" w:hAnsi="宋体"/>
      <w:b/>
      <w:kern w:val="0"/>
      <w:sz w:val="24"/>
    </w:rPr>
  </w:style>
  <w:style w:type="paragraph" w:styleId="9">
    <w:name w:val="heading 6"/>
    <w:basedOn w:val="1"/>
    <w:next w:val="6"/>
    <w:link w:val="92"/>
    <w:autoRedefine/>
    <w:qFormat/>
    <w:uiPriority w:val="0"/>
    <w:pPr>
      <w:keepNext/>
      <w:tabs>
        <w:tab w:val="left" w:pos="1152"/>
      </w:tabs>
      <w:spacing w:before="240" w:after="64" w:line="320" w:lineRule="auto"/>
      <w:ind w:left="1152" w:hanging="1152"/>
      <w:outlineLvl w:val="5"/>
    </w:pPr>
    <w:rPr>
      <w:rFonts w:ascii="Arial" w:hAnsi="Arial" w:eastAsia="黑体"/>
      <w:b/>
      <w:sz w:val="24"/>
      <w:szCs w:val="24"/>
    </w:rPr>
  </w:style>
  <w:style w:type="paragraph" w:styleId="10">
    <w:name w:val="heading 7"/>
    <w:basedOn w:val="1"/>
    <w:next w:val="6"/>
    <w:link w:val="93"/>
    <w:autoRedefine/>
    <w:qFormat/>
    <w:uiPriority w:val="0"/>
    <w:pPr>
      <w:keepNext/>
      <w:keepLines/>
      <w:spacing w:before="240" w:after="64" w:line="320" w:lineRule="auto"/>
      <w:outlineLvl w:val="6"/>
    </w:pPr>
    <w:rPr>
      <w:b/>
      <w:sz w:val="24"/>
    </w:rPr>
  </w:style>
  <w:style w:type="paragraph" w:styleId="11">
    <w:name w:val="heading 8"/>
    <w:basedOn w:val="1"/>
    <w:next w:val="6"/>
    <w:link w:val="94"/>
    <w:autoRedefine/>
    <w:qFormat/>
    <w:uiPriority w:val="0"/>
    <w:pPr>
      <w:keepNext/>
      <w:keepLines/>
      <w:spacing w:before="240" w:after="64" w:line="320" w:lineRule="auto"/>
      <w:outlineLvl w:val="7"/>
    </w:pPr>
    <w:rPr>
      <w:rFonts w:ascii="Arial" w:hAnsi="Arial" w:eastAsia="黑体"/>
      <w:sz w:val="24"/>
    </w:rPr>
  </w:style>
  <w:style w:type="paragraph" w:styleId="12">
    <w:name w:val="heading 9"/>
    <w:basedOn w:val="1"/>
    <w:next w:val="6"/>
    <w:link w:val="95"/>
    <w:autoRedefine/>
    <w:qFormat/>
    <w:uiPriority w:val="0"/>
    <w:pPr>
      <w:keepNext/>
      <w:keepLines/>
      <w:spacing w:before="240" w:after="64" w:line="320" w:lineRule="auto"/>
      <w:outlineLvl w:val="8"/>
    </w:pPr>
    <w:rPr>
      <w:rFonts w:ascii="Arial" w:hAnsi="Arial" w:eastAsia="黑体"/>
    </w:rPr>
  </w:style>
  <w:style w:type="character" w:default="1" w:styleId="70">
    <w:name w:val="Default Paragraph Font"/>
    <w:autoRedefine/>
    <w:semiHidden/>
    <w:unhideWhenUsed/>
    <w:qFormat/>
    <w:uiPriority w:val="1"/>
  </w:style>
  <w:style w:type="table" w:default="1" w:styleId="64">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link w:val="98"/>
    <w:autoRedefine/>
    <w:qFormat/>
    <w:uiPriority w:val="99"/>
    <w:pPr>
      <w:spacing w:after="120"/>
    </w:pPr>
  </w:style>
  <w:style w:type="paragraph" w:styleId="6">
    <w:name w:val="Normal Indent"/>
    <w:basedOn w:val="1"/>
    <w:link w:val="88"/>
    <w:autoRedefine/>
    <w:qFormat/>
    <w:uiPriority w:val="0"/>
    <w:pPr>
      <w:widowControl/>
      <w:ind w:firstLine="420"/>
      <w:jc w:val="left"/>
    </w:pPr>
    <w:rPr>
      <w:kern w:val="0"/>
      <w:sz w:val="20"/>
    </w:rPr>
  </w:style>
  <w:style w:type="paragraph" w:styleId="13">
    <w:name w:val="List 3"/>
    <w:basedOn w:val="1"/>
    <w:autoRedefine/>
    <w:qFormat/>
    <w:uiPriority w:val="0"/>
    <w:pPr>
      <w:widowControl/>
      <w:spacing w:before="120" w:after="120"/>
      <w:ind w:left="1843" w:hanging="283"/>
      <w:jc w:val="left"/>
    </w:pPr>
    <w:rPr>
      <w:rFonts w:ascii="Arial" w:hAnsi="Arial"/>
      <w:kern w:val="0"/>
      <w:sz w:val="24"/>
      <w:lang w:val="en-GB" w:eastAsia="en-US" w:bidi="en-US"/>
    </w:rPr>
  </w:style>
  <w:style w:type="paragraph" w:styleId="14">
    <w:name w:val="toc 7"/>
    <w:basedOn w:val="1"/>
    <w:next w:val="1"/>
    <w:autoRedefine/>
    <w:qFormat/>
    <w:uiPriority w:val="0"/>
    <w:pPr>
      <w:ind w:left="1260"/>
      <w:jc w:val="left"/>
    </w:pPr>
    <w:rPr>
      <w:rFonts w:hint="eastAsia"/>
      <w:sz w:val="18"/>
    </w:rPr>
  </w:style>
  <w:style w:type="paragraph" w:styleId="15">
    <w:name w:val="Note Heading"/>
    <w:basedOn w:val="1"/>
    <w:next w:val="1"/>
    <w:link w:val="396"/>
    <w:autoRedefine/>
    <w:qFormat/>
    <w:uiPriority w:val="0"/>
    <w:pPr>
      <w:jc w:val="center"/>
    </w:pPr>
    <w:rPr>
      <w:kern w:val="0"/>
      <w:sz w:val="20"/>
    </w:rPr>
  </w:style>
  <w:style w:type="paragraph" w:styleId="16">
    <w:name w:val="index 8"/>
    <w:basedOn w:val="1"/>
    <w:next w:val="1"/>
    <w:autoRedefine/>
    <w:qFormat/>
    <w:uiPriority w:val="0"/>
    <w:pPr>
      <w:ind w:left="2940"/>
    </w:pPr>
    <w:rPr>
      <w:rFonts w:hint="eastAsia"/>
    </w:rPr>
  </w:style>
  <w:style w:type="paragraph" w:styleId="17">
    <w:name w:val="caption"/>
    <w:basedOn w:val="1"/>
    <w:next w:val="1"/>
    <w:link w:val="398"/>
    <w:autoRedefine/>
    <w:qFormat/>
    <w:uiPriority w:val="0"/>
    <w:pPr>
      <w:spacing w:before="152" w:after="160"/>
    </w:pPr>
    <w:rPr>
      <w:rFonts w:hint="eastAsia" w:ascii="Arial" w:hAnsi="Arial" w:eastAsia="黑体"/>
      <w:sz w:val="20"/>
    </w:rPr>
  </w:style>
  <w:style w:type="paragraph" w:styleId="18">
    <w:name w:val="index 5"/>
    <w:basedOn w:val="1"/>
    <w:next w:val="1"/>
    <w:autoRedefine/>
    <w:qFormat/>
    <w:uiPriority w:val="0"/>
    <w:pPr>
      <w:ind w:left="1680"/>
    </w:pPr>
    <w:rPr>
      <w:rFonts w:hint="eastAsia"/>
    </w:rPr>
  </w:style>
  <w:style w:type="paragraph" w:styleId="19">
    <w:name w:val="List Bullet"/>
    <w:basedOn w:val="1"/>
    <w:autoRedefine/>
    <w:qFormat/>
    <w:uiPriority w:val="0"/>
    <w:pPr>
      <w:ind w:left="100" w:leftChars="200" w:hanging="200" w:hangingChars="200"/>
    </w:pPr>
    <w:rPr>
      <w:rFonts w:hint="eastAsia"/>
    </w:rPr>
  </w:style>
  <w:style w:type="paragraph" w:styleId="20">
    <w:name w:val="Document Map"/>
    <w:basedOn w:val="1"/>
    <w:link w:val="96"/>
    <w:autoRedefine/>
    <w:qFormat/>
    <w:uiPriority w:val="99"/>
    <w:pPr>
      <w:shd w:val="clear" w:color="auto" w:fill="000080"/>
    </w:pPr>
  </w:style>
  <w:style w:type="paragraph" w:styleId="21">
    <w:name w:val="toa heading"/>
    <w:basedOn w:val="1"/>
    <w:next w:val="1"/>
    <w:autoRedefine/>
    <w:qFormat/>
    <w:uiPriority w:val="0"/>
    <w:pPr>
      <w:spacing w:before="120"/>
    </w:pPr>
    <w:rPr>
      <w:rFonts w:hint="eastAsia" w:ascii="Arial" w:hAnsi="Arial"/>
    </w:rPr>
  </w:style>
  <w:style w:type="paragraph" w:styleId="22">
    <w:name w:val="annotation text"/>
    <w:basedOn w:val="1"/>
    <w:link w:val="379"/>
    <w:autoRedefine/>
    <w:qFormat/>
    <w:uiPriority w:val="99"/>
    <w:pPr>
      <w:jc w:val="left"/>
    </w:pPr>
    <w:rPr>
      <w:szCs w:val="24"/>
    </w:rPr>
  </w:style>
  <w:style w:type="paragraph" w:styleId="23">
    <w:name w:val="index 6"/>
    <w:basedOn w:val="1"/>
    <w:next w:val="1"/>
    <w:autoRedefine/>
    <w:qFormat/>
    <w:uiPriority w:val="0"/>
    <w:pPr>
      <w:ind w:left="2100"/>
    </w:pPr>
    <w:rPr>
      <w:rFonts w:hint="eastAsia"/>
    </w:rPr>
  </w:style>
  <w:style w:type="paragraph" w:styleId="24">
    <w:name w:val="Body Text 3"/>
    <w:basedOn w:val="1"/>
    <w:link w:val="97"/>
    <w:autoRedefine/>
    <w:qFormat/>
    <w:uiPriority w:val="0"/>
    <w:pPr>
      <w:widowControl/>
      <w:jc w:val="left"/>
    </w:pPr>
    <w:rPr>
      <w:b/>
      <w:bCs/>
      <w:color w:val="FF0000"/>
      <w:kern w:val="0"/>
      <w:sz w:val="24"/>
    </w:rPr>
  </w:style>
  <w:style w:type="paragraph" w:styleId="25">
    <w:name w:val="Body Text Indent"/>
    <w:basedOn w:val="1"/>
    <w:next w:val="26"/>
    <w:link w:val="84"/>
    <w:autoRedefine/>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rPr>
  </w:style>
  <w:style w:type="paragraph" w:styleId="26">
    <w:name w:val="annotation subject"/>
    <w:basedOn w:val="22"/>
    <w:next w:val="1"/>
    <w:link w:val="86"/>
    <w:autoRedefine/>
    <w:qFormat/>
    <w:uiPriority w:val="99"/>
    <w:rPr>
      <w:b/>
      <w:bCs/>
    </w:rPr>
  </w:style>
  <w:style w:type="paragraph" w:styleId="27">
    <w:name w:val="List 2"/>
    <w:autoRedefine/>
    <w:qFormat/>
    <w:uiPriority w:val="0"/>
    <w:pPr>
      <w:spacing w:line="400" w:lineRule="exact"/>
      <w:jc w:val="center"/>
    </w:pPr>
    <w:rPr>
      <w:rFonts w:ascii="Arial" w:hAnsi="Arial" w:eastAsia="宋体" w:cs="Times New Roman"/>
      <w:sz w:val="24"/>
      <w:lang w:val="en-US" w:eastAsia="zh-CN" w:bidi="ar-SA"/>
    </w:rPr>
  </w:style>
  <w:style w:type="paragraph" w:styleId="28">
    <w:name w:val="Block Text"/>
    <w:basedOn w:val="1"/>
    <w:autoRedefine/>
    <w:qFormat/>
    <w:uiPriority w:val="0"/>
    <w:pPr>
      <w:widowControl/>
      <w:ind w:left="9" w:leftChars="4" w:right="121" w:rightChars="55" w:firstLine="1"/>
      <w:jc w:val="left"/>
    </w:pPr>
    <w:rPr>
      <w:rFonts w:ascii="Arial" w:hAnsi="Arial" w:eastAsia="PMingLiU"/>
      <w:bCs/>
      <w:kern w:val="0"/>
      <w:sz w:val="18"/>
      <w:szCs w:val="18"/>
      <w:lang w:eastAsia="en-US" w:bidi="en-US"/>
    </w:rPr>
  </w:style>
  <w:style w:type="paragraph" w:styleId="29">
    <w:name w:val="List Bullet 2"/>
    <w:basedOn w:val="1"/>
    <w:autoRedefine/>
    <w:qFormat/>
    <w:uiPriority w:val="0"/>
    <w:pPr>
      <w:tabs>
        <w:tab w:val="left" w:pos="780"/>
      </w:tabs>
      <w:ind w:left="780" w:leftChars="200" w:hanging="360" w:hangingChars="200"/>
    </w:pPr>
    <w:rPr>
      <w:szCs w:val="24"/>
    </w:rPr>
  </w:style>
  <w:style w:type="paragraph" w:styleId="30">
    <w:name w:val="index 4"/>
    <w:basedOn w:val="1"/>
    <w:next w:val="1"/>
    <w:autoRedefine/>
    <w:qFormat/>
    <w:uiPriority w:val="0"/>
    <w:pPr>
      <w:ind w:left="1260"/>
    </w:pPr>
    <w:rPr>
      <w:rFonts w:hint="eastAsia"/>
    </w:rPr>
  </w:style>
  <w:style w:type="paragraph" w:styleId="31">
    <w:name w:val="toc 5"/>
    <w:basedOn w:val="1"/>
    <w:next w:val="1"/>
    <w:autoRedefine/>
    <w:qFormat/>
    <w:uiPriority w:val="0"/>
    <w:pPr>
      <w:ind w:left="840"/>
      <w:jc w:val="left"/>
    </w:pPr>
    <w:rPr>
      <w:rFonts w:hint="eastAsia"/>
      <w:sz w:val="18"/>
    </w:rPr>
  </w:style>
  <w:style w:type="paragraph" w:styleId="32">
    <w:name w:val="toc 3"/>
    <w:basedOn w:val="1"/>
    <w:next w:val="1"/>
    <w:autoRedefine/>
    <w:qFormat/>
    <w:uiPriority w:val="0"/>
    <w:pPr>
      <w:ind w:left="420"/>
      <w:jc w:val="left"/>
    </w:pPr>
    <w:rPr>
      <w:i/>
      <w:iCs/>
      <w:sz w:val="20"/>
    </w:rPr>
  </w:style>
  <w:style w:type="paragraph" w:styleId="33">
    <w:name w:val="Plain Text"/>
    <w:basedOn w:val="1"/>
    <w:link w:val="99"/>
    <w:autoRedefine/>
    <w:qFormat/>
    <w:uiPriority w:val="0"/>
    <w:rPr>
      <w:rFonts w:ascii="宋体" w:hAnsi="Courier New"/>
    </w:rPr>
  </w:style>
  <w:style w:type="paragraph" w:styleId="34">
    <w:name w:val="toc 8"/>
    <w:basedOn w:val="1"/>
    <w:next w:val="1"/>
    <w:autoRedefine/>
    <w:qFormat/>
    <w:uiPriority w:val="0"/>
    <w:pPr>
      <w:ind w:left="1470"/>
      <w:jc w:val="left"/>
    </w:pPr>
    <w:rPr>
      <w:rFonts w:hint="eastAsia"/>
      <w:sz w:val="18"/>
    </w:rPr>
  </w:style>
  <w:style w:type="paragraph" w:styleId="35">
    <w:name w:val="index 3"/>
    <w:basedOn w:val="1"/>
    <w:next w:val="1"/>
    <w:autoRedefine/>
    <w:qFormat/>
    <w:uiPriority w:val="0"/>
    <w:pPr>
      <w:ind w:left="840"/>
    </w:pPr>
    <w:rPr>
      <w:rFonts w:hint="eastAsia"/>
    </w:rPr>
  </w:style>
  <w:style w:type="paragraph" w:styleId="36">
    <w:name w:val="Date"/>
    <w:basedOn w:val="1"/>
    <w:next w:val="1"/>
    <w:link w:val="100"/>
    <w:autoRedefine/>
    <w:qFormat/>
    <w:uiPriority w:val="0"/>
    <w:pPr>
      <w:ind w:left="100" w:leftChars="2500"/>
    </w:pPr>
    <w:rPr>
      <w:kern w:val="0"/>
      <w:sz w:val="24"/>
    </w:rPr>
  </w:style>
  <w:style w:type="paragraph" w:styleId="37">
    <w:name w:val="Body Text Indent 2"/>
    <w:basedOn w:val="1"/>
    <w:link w:val="101"/>
    <w:autoRedefine/>
    <w:qFormat/>
    <w:uiPriority w:val="99"/>
    <w:pPr>
      <w:tabs>
        <w:tab w:val="left" w:pos="360"/>
      </w:tabs>
      <w:spacing w:line="400" w:lineRule="exact"/>
      <w:ind w:left="1" w:firstLine="480" w:firstLineChars="200"/>
    </w:pPr>
    <w:rPr>
      <w:sz w:val="24"/>
      <w:szCs w:val="24"/>
    </w:rPr>
  </w:style>
  <w:style w:type="paragraph" w:styleId="38">
    <w:name w:val="endnote text"/>
    <w:basedOn w:val="1"/>
    <w:link w:val="407"/>
    <w:autoRedefine/>
    <w:qFormat/>
    <w:uiPriority w:val="0"/>
    <w:pPr>
      <w:snapToGrid w:val="0"/>
      <w:jc w:val="left"/>
    </w:pPr>
    <w:rPr>
      <w:kern w:val="0"/>
      <w:sz w:val="20"/>
    </w:rPr>
  </w:style>
  <w:style w:type="paragraph" w:styleId="39">
    <w:name w:val="Balloon Text"/>
    <w:basedOn w:val="1"/>
    <w:link w:val="102"/>
    <w:autoRedefine/>
    <w:qFormat/>
    <w:uiPriority w:val="99"/>
    <w:rPr>
      <w:sz w:val="18"/>
      <w:szCs w:val="18"/>
    </w:rPr>
  </w:style>
  <w:style w:type="paragraph" w:styleId="40">
    <w:name w:val="footer"/>
    <w:basedOn w:val="1"/>
    <w:link w:val="103"/>
    <w:autoRedefine/>
    <w:qFormat/>
    <w:uiPriority w:val="99"/>
    <w:pPr>
      <w:widowControl/>
      <w:tabs>
        <w:tab w:val="center" w:pos="4153"/>
        <w:tab w:val="right" w:pos="8306"/>
      </w:tabs>
      <w:snapToGrid w:val="0"/>
      <w:jc w:val="center"/>
    </w:pPr>
    <w:rPr>
      <w:kern w:val="0"/>
      <w:sz w:val="18"/>
    </w:rPr>
  </w:style>
  <w:style w:type="paragraph" w:styleId="41">
    <w:name w:val="header"/>
    <w:basedOn w:val="1"/>
    <w:link w:val="104"/>
    <w:autoRedefine/>
    <w:qFormat/>
    <w:uiPriority w:val="99"/>
    <w:pPr>
      <w:widowControl/>
      <w:pBdr>
        <w:bottom w:val="single" w:color="auto" w:sz="6" w:space="1"/>
      </w:pBdr>
      <w:tabs>
        <w:tab w:val="center" w:pos="4153"/>
        <w:tab w:val="right" w:pos="8306"/>
      </w:tabs>
      <w:snapToGrid w:val="0"/>
      <w:jc w:val="center"/>
    </w:pPr>
    <w:rPr>
      <w:sz w:val="18"/>
      <w:szCs w:val="24"/>
    </w:rPr>
  </w:style>
  <w:style w:type="paragraph" w:styleId="42">
    <w:name w:val="toc 1"/>
    <w:basedOn w:val="1"/>
    <w:next w:val="1"/>
    <w:autoRedefine/>
    <w:qFormat/>
    <w:uiPriority w:val="39"/>
    <w:pPr>
      <w:spacing w:before="120" w:after="120"/>
      <w:jc w:val="left"/>
    </w:pPr>
    <w:rPr>
      <w:b/>
      <w:bCs/>
      <w:caps/>
    </w:rPr>
  </w:style>
  <w:style w:type="paragraph" w:styleId="43">
    <w:name w:val="toc 4"/>
    <w:basedOn w:val="1"/>
    <w:next w:val="1"/>
    <w:autoRedefine/>
    <w:qFormat/>
    <w:uiPriority w:val="0"/>
    <w:pPr>
      <w:ind w:left="630"/>
      <w:jc w:val="left"/>
    </w:pPr>
    <w:rPr>
      <w:rFonts w:hint="eastAsia"/>
      <w:sz w:val="18"/>
    </w:rPr>
  </w:style>
  <w:style w:type="paragraph" w:styleId="44">
    <w:name w:val="index heading"/>
    <w:basedOn w:val="1"/>
    <w:next w:val="45"/>
    <w:autoRedefine/>
    <w:qFormat/>
    <w:uiPriority w:val="0"/>
    <w:rPr>
      <w:szCs w:val="24"/>
    </w:rPr>
  </w:style>
  <w:style w:type="paragraph" w:styleId="45">
    <w:name w:val="index 1"/>
    <w:basedOn w:val="1"/>
    <w:next w:val="1"/>
    <w:autoRedefine/>
    <w:qFormat/>
    <w:uiPriority w:val="0"/>
    <w:pPr>
      <w:spacing w:line="320" w:lineRule="exact"/>
    </w:pPr>
    <w:rPr>
      <w:rFonts w:ascii="仿宋_GB2312" w:hAnsi="宋体" w:eastAsia="仿宋_GB2312"/>
      <w:color w:val="000000"/>
      <w:szCs w:val="21"/>
    </w:rPr>
  </w:style>
  <w:style w:type="paragraph" w:styleId="46">
    <w:name w:val="Subtitle"/>
    <w:basedOn w:val="1"/>
    <w:next w:val="1"/>
    <w:link w:val="105"/>
    <w:autoRedefine/>
    <w:qFormat/>
    <w:uiPriority w:val="0"/>
    <w:pPr>
      <w:spacing w:before="240" w:after="60" w:line="312" w:lineRule="auto"/>
      <w:jc w:val="left"/>
      <w:outlineLvl w:val="1"/>
    </w:pPr>
    <w:rPr>
      <w:rFonts w:ascii="仿宋_GB2312" w:hAnsi="Cambria" w:eastAsia="仿宋_GB2312"/>
      <w:b/>
      <w:bCs/>
      <w:kern w:val="28"/>
      <w:sz w:val="32"/>
      <w:szCs w:val="32"/>
    </w:rPr>
  </w:style>
  <w:style w:type="paragraph" w:styleId="47">
    <w:name w:val="List"/>
    <w:basedOn w:val="1"/>
    <w:autoRedefine/>
    <w:qFormat/>
    <w:uiPriority w:val="0"/>
    <w:pPr>
      <w:ind w:left="200" w:hanging="200" w:hangingChars="200"/>
    </w:pPr>
    <w:rPr>
      <w:rFonts w:hint="eastAsia"/>
    </w:rPr>
  </w:style>
  <w:style w:type="paragraph" w:styleId="48">
    <w:name w:val="footnote text"/>
    <w:basedOn w:val="1"/>
    <w:link w:val="106"/>
    <w:autoRedefine/>
    <w:qFormat/>
    <w:uiPriority w:val="0"/>
    <w:pPr>
      <w:tabs>
        <w:tab w:val="left" w:pos="560"/>
        <w:tab w:val="center" w:pos="8400"/>
      </w:tabs>
      <w:jc w:val="left"/>
    </w:pPr>
    <w:rPr>
      <w:sz w:val="18"/>
    </w:rPr>
  </w:style>
  <w:style w:type="paragraph" w:styleId="49">
    <w:name w:val="toc 6"/>
    <w:basedOn w:val="1"/>
    <w:next w:val="1"/>
    <w:autoRedefine/>
    <w:qFormat/>
    <w:uiPriority w:val="0"/>
    <w:pPr>
      <w:ind w:left="1050"/>
      <w:jc w:val="left"/>
    </w:pPr>
    <w:rPr>
      <w:rFonts w:hint="eastAsia"/>
      <w:sz w:val="18"/>
    </w:rPr>
  </w:style>
  <w:style w:type="paragraph" w:styleId="50">
    <w:name w:val="List 5"/>
    <w:basedOn w:val="1"/>
    <w:autoRedefine/>
    <w:qFormat/>
    <w:uiPriority w:val="0"/>
    <w:pPr>
      <w:tabs>
        <w:tab w:val="left" w:pos="780"/>
      </w:tabs>
      <w:ind w:left="780" w:leftChars="200" w:hanging="360" w:hangingChars="200"/>
    </w:pPr>
    <w:rPr>
      <w:rFonts w:hint="eastAsia"/>
    </w:rPr>
  </w:style>
  <w:style w:type="paragraph" w:styleId="51">
    <w:name w:val="Body Text Indent 3"/>
    <w:basedOn w:val="1"/>
    <w:link w:val="107"/>
    <w:autoRedefine/>
    <w:qFormat/>
    <w:uiPriority w:val="0"/>
    <w:pPr>
      <w:spacing w:after="120"/>
      <w:ind w:left="420" w:leftChars="200"/>
    </w:pPr>
    <w:rPr>
      <w:sz w:val="16"/>
      <w:szCs w:val="16"/>
    </w:rPr>
  </w:style>
  <w:style w:type="paragraph" w:styleId="52">
    <w:name w:val="index 7"/>
    <w:basedOn w:val="1"/>
    <w:next w:val="1"/>
    <w:autoRedefine/>
    <w:qFormat/>
    <w:uiPriority w:val="0"/>
    <w:pPr>
      <w:ind w:left="2520"/>
    </w:pPr>
    <w:rPr>
      <w:rFonts w:hint="eastAsia"/>
    </w:rPr>
  </w:style>
  <w:style w:type="paragraph" w:styleId="53">
    <w:name w:val="index 9"/>
    <w:basedOn w:val="1"/>
    <w:next w:val="1"/>
    <w:autoRedefine/>
    <w:qFormat/>
    <w:uiPriority w:val="0"/>
    <w:pPr>
      <w:ind w:left="3360"/>
    </w:pPr>
    <w:rPr>
      <w:rFonts w:hint="eastAsia"/>
    </w:rPr>
  </w:style>
  <w:style w:type="paragraph" w:styleId="54">
    <w:name w:val="table of figures"/>
    <w:basedOn w:val="1"/>
    <w:next w:val="1"/>
    <w:autoRedefine/>
    <w:qFormat/>
    <w:uiPriority w:val="0"/>
    <w:pPr>
      <w:widowControl/>
      <w:tabs>
        <w:tab w:val="right" w:leader="dot" w:pos="9072"/>
      </w:tabs>
      <w:spacing w:before="120"/>
      <w:ind w:left="480" w:hanging="480"/>
      <w:jc w:val="left"/>
    </w:pPr>
    <w:rPr>
      <w:rFonts w:ascii="Arial" w:hAnsi="Arial"/>
      <w:i/>
      <w:kern w:val="0"/>
      <w:sz w:val="20"/>
      <w:lang w:val="en-GB" w:eastAsia="en-US" w:bidi="en-US"/>
    </w:rPr>
  </w:style>
  <w:style w:type="paragraph" w:styleId="55">
    <w:name w:val="toc 2"/>
    <w:basedOn w:val="1"/>
    <w:next w:val="1"/>
    <w:autoRedefine/>
    <w:qFormat/>
    <w:uiPriority w:val="0"/>
    <w:pPr>
      <w:ind w:left="210"/>
      <w:jc w:val="left"/>
    </w:pPr>
    <w:rPr>
      <w:smallCaps/>
    </w:rPr>
  </w:style>
  <w:style w:type="paragraph" w:styleId="56">
    <w:name w:val="toc 9"/>
    <w:basedOn w:val="1"/>
    <w:next w:val="1"/>
    <w:autoRedefine/>
    <w:qFormat/>
    <w:uiPriority w:val="0"/>
    <w:pPr>
      <w:ind w:left="1680"/>
      <w:jc w:val="left"/>
    </w:pPr>
    <w:rPr>
      <w:rFonts w:hint="eastAsia"/>
      <w:sz w:val="18"/>
    </w:rPr>
  </w:style>
  <w:style w:type="paragraph" w:styleId="57">
    <w:name w:val="Body Text 2"/>
    <w:basedOn w:val="1"/>
    <w:link w:val="108"/>
    <w:autoRedefine/>
    <w:qFormat/>
    <w:uiPriority w:val="0"/>
    <w:pPr>
      <w:widowControl/>
    </w:pPr>
    <w:rPr>
      <w:rFonts w:ascii="宋体" w:hAnsi="宋体"/>
      <w:b/>
      <w:bCs/>
      <w:color w:val="FF0000"/>
      <w:kern w:val="0"/>
      <w:sz w:val="28"/>
    </w:rPr>
  </w:style>
  <w:style w:type="paragraph" w:styleId="58">
    <w:name w:val="HTML Preformatted"/>
    <w:basedOn w:val="1"/>
    <w:link w:val="416"/>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0"/>
    </w:rPr>
  </w:style>
  <w:style w:type="paragraph" w:styleId="59">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paragraph" w:styleId="60">
    <w:name w:val="index 2"/>
    <w:basedOn w:val="1"/>
    <w:next w:val="1"/>
    <w:autoRedefine/>
    <w:qFormat/>
    <w:uiPriority w:val="0"/>
    <w:pPr>
      <w:ind w:left="420"/>
    </w:pPr>
    <w:rPr>
      <w:rFonts w:hint="eastAsia"/>
    </w:rPr>
  </w:style>
  <w:style w:type="paragraph" w:styleId="61">
    <w:name w:val="Title"/>
    <w:basedOn w:val="1"/>
    <w:next w:val="1"/>
    <w:link w:val="109"/>
    <w:autoRedefine/>
    <w:qFormat/>
    <w:uiPriority w:val="0"/>
    <w:pPr>
      <w:spacing w:before="120" w:after="60"/>
      <w:jc w:val="center"/>
    </w:pPr>
    <w:rPr>
      <w:rFonts w:ascii="Arial" w:hAnsi="Arial"/>
      <w:b/>
      <w:sz w:val="44"/>
      <w:szCs w:val="24"/>
    </w:rPr>
  </w:style>
  <w:style w:type="paragraph" w:styleId="62">
    <w:name w:val="Body Text First Indent"/>
    <w:basedOn w:val="2"/>
    <w:link w:val="110"/>
    <w:autoRedefine/>
    <w:qFormat/>
    <w:uiPriority w:val="0"/>
    <w:pPr>
      <w:ind w:firstLine="420"/>
    </w:pPr>
  </w:style>
  <w:style w:type="paragraph" w:styleId="63">
    <w:name w:val="Body Text First Indent 2"/>
    <w:basedOn w:val="25"/>
    <w:next w:val="6"/>
    <w:link w:val="87"/>
    <w:autoRedefine/>
    <w:unhideWhenUsed/>
    <w:qFormat/>
    <w:uiPriority w:val="0"/>
  </w:style>
  <w:style w:type="table" w:styleId="65">
    <w:name w:val="Table Grid"/>
    <w:basedOn w:val="64"/>
    <w:autoRedefine/>
    <w:unhideWhenUsed/>
    <w:qFormat/>
    <w:uiPriority w:val="0"/>
    <w:pPr>
      <w:widowControl w:val="0"/>
      <w:jc w:val="both"/>
    </w:pPr>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6">
    <w:name w:val="Table Theme"/>
    <w:basedOn w:val="6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7">
    <w:name w:val="Table Elegant"/>
    <w:basedOn w:val="64"/>
    <w:autoRedefine/>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68">
    <w:name w:val="Table List 5"/>
    <w:basedOn w:val="64"/>
    <w:autoRedefine/>
    <w:unhideWhenUsed/>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blStylePr w:type="firstRow">
      <w:rPr>
        <w:b/>
        <w:bCs/>
      </w:rPr>
      <w:tblPr/>
      <w:tcPr>
        <w:tcBorders>
          <w:top w:val="nil"/>
          <w:left w:val="nil"/>
          <w:bottom w:val="single" w:color="000000" w:sz="12" w:space="0"/>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69">
    <w:name w:val="Light Shading Accent 3"/>
    <w:basedOn w:val="64"/>
    <w:autoRedefine/>
    <w:unhideWhenUsed/>
    <w:qFormat/>
    <w:uiPriority w:val="60"/>
    <w:rPr>
      <w:rFonts w:ascii="Calibri" w:hAnsi="Calibri"/>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l2br w:val="nil"/>
          <w:tr2bl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E6EED5"/>
      </w:tcPr>
    </w:tblStylePr>
    <w:tblStylePr w:type="band1Horz">
      <w:tblPr/>
      <w:tcPr>
        <w:tcBorders>
          <w:top w:val="nil"/>
          <w:left w:val="nil"/>
          <w:bottom w:val="nil"/>
          <w:right w:val="nil"/>
          <w:insideH w:val="nil"/>
          <w:insideV w:val="nil"/>
          <w:tl2br w:val="nil"/>
          <w:tr2bl w:val="nil"/>
        </w:tcBorders>
        <w:shd w:val="clear" w:color="auto" w:fill="E6EED5"/>
      </w:tcPr>
    </w:tblStylePr>
  </w:style>
  <w:style w:type="character" w:styleId="71">
    <w:name w:val="Strong"/>
    <w:basedOn w:val="70"/>
    <w:autoRedefine/>
    <w:qFormat/>
    <w:uiPriority w:val="0"/>
    <w:rPr>
      <w:b/>
      <w:bCs/>
    </w:rPr>
  </w:style>
  <w:style w:type="character" w:styleId="72">
    <w:name w:val="endnote reference"/>
    <w:autoRedefine/>
    <w:qFormat/>
    <w:uiPriority w:val="0"/>
    <w:rPr>
      <w:vertAlign w:val="superscript"/>
    </w:rPr>
  </w:style>
  <w:style w:type="character" w:styleId="73">
    <w:name w:val="page number"/>
    <w:autoRedefine/>
    <w:qFormat/>
    <w:uiPriority w:val="0"/>
    <w:rPr>
      <w:rFonts w:eastAsia="宋体"/>
      <w:kern w:val="2"/>
      <w:sz w:val="24"/>
      <w:szCs w:val="24"/>
      <w:lang w:val="en-US" w:eastAsia="zh-CN" w:bidi="ar-SA"/>
    </w:rPr>
  </w:style>
  <w:style w:type="character" w:styleId="74">
    <w:name w:val="FollowedHyperlink"/>
    <w:autoRedefine/>
    <w:qFormat/>
    <w:uiPriority w:val="99"/>
    <w:rPr>
      <w:rFonts w:eastAsia="宋体"/>
      <w:color w:val="000000"/>
      <w:kern w:val="2"/>
      <w:sz w:val="24"/>
      <w:szCs w:val="24"/>
      <w:u w:val="none"/>
      <w:lang w:val="en-US" w:eastAsia="zh-CN" w:bidi="ar-SA"/>
    </w:rPr>
  </w:style>
  <w:style w:type="character" w:styleId="75">
    <w:name w:val="Emphasis"/>
    <w:autoRedefine/>
    <w:qFormat/>
    <w:uiPriority w:val="0"/>
    <w:rPr>
      <w:i/>
      <w:iCs/>
    </w:rPr>
  </w:style>
  <w:style w:type="character" w:styleId="76">
    <w:name w:val="line number"/>
    <w:autoRedefine/>
    <w:qFormat/>
    <w:uiPriority w:val="0"/>
  </w:style>
  <w:style w:type="character" w:styleId="77">
    <w:name w:val="Hyperlink"/>
    <w:autoRedefine/>
    <w:qFormat/>
    <w:uiPriority w:val="99"/>
    <w:rPr>
      <w:rFonts w:eastAsia="宋体"/>
      <w:color w:val="333333"/>
      <w:kern w:val="2"/>
      <w:sz w:val="24"/>
      <w:szCs w:val="24"/>
      <w:u w:val="none"/>
      <w:lang w:val="en-US" w:eastAsia="zh-CN" w:bidi="ar-SA"/>
    </w:rPr>
  </w:style>
  <w:style w:type="character" w:styleId="78">
    <w:name w:val="annotation reference"/>
    <w:autoRedefine/>
    <w:qFormat/>
    <w:uiPriority w:val="0"/>
    <w:rPr>
      <w:rFonts w:eastAsia="宋体"/>
      <w:kern w:val="2"/>
      <w:sz w:val="21"/>
      <w:szCs w:val="21"/>
      <w:lang w:val="en-US" w:eastAsia="zh-CN" w:bidi="ar-SA"/>
    </w:rPr>
  </w:style>
  <w:style w:type="character" w:styleId="79">
    <w:name w:val="footnote reference"/>
    <w:autoRedefine/>
    <w:qFormat/>
    <w:uiPriority w:val="0"/>
    <w:rPr>
      <w:vertAlign w:val="superscript"/>
    </w:rPr>
  </w:style>
  <w:style w:type="paragraph" w:customStyle="1" w:styleId="80">
    <w:name w:val="Default"/>
    <w:link w:val="590"/>
    <w:autoRedefine/>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styleId="81">
    <w:name w:val="List Paragraph"/>
    <w:basedOn w:val="1"/>
    <w:autoRedefine/>
    <w:qFormat/>
    <w:uiPriority w:val="34"/>
    <w:pPr>
      <w:ind w:firstLine="420" w:firstLineChars="200"/>
    </w:pPr>
  </w:style>
  <w:style w:type="character" w:customStyle="1" w:styleId="82">
    <w:name w:val="标题 1 Char"/>
    <w:link w:val="3"/>
    <w:autoRedefine/>
    <w:qFormat/>
    <w:uiPriority w:val="9"/>
    <w:rPr>
      <w:rFonts w:ascii="黑体" w:hAnsi="Arial" w:eastAsia="黑体"/>
      <w:b/>
      <w:kern w:val="2"/>
      <w:sz w:val="52"/>
      <w:szCs w:val="24"/>
    </w:rPr>
  </w:style>
  <w:style w:type="character" w:customStyle="1" w:styleId="83">
    <w:name w:val="标题 2 Char"/>
    <w:link w:val="4"/>
    <w:autoRedefine/>
    <w:qFormat/>
    <w:uiPriority w:val="9"/>
    <w:rPr>
      <w:rFonts w:ascii="Arial" w:hAnsi="Arial" w:eastAsia="黑体"/>
      <w:b/>
      <w:sz w:val="44"/>
    </w:rPr>
  </w:style>
  <w:style w:type="character" w:customStyle="1" w:styleId="84">
    <w:name w:val="正文文本缩进 Char"/>
    <w:link w:val="25"/>
    <w:autoRedefine/>
    <w:qFormat/>
    <w:uiPriority w:val="0"/>
    <w:rPr>
      <w:rFonts w:ascii="宋体" w:hAnsi="MS Sans Serif"/>
      <w:spacing w:val="12"/>
      <w:sz w:val="24"/>
    </w:rPr>
  </w:style>
  <w:style w:type="character" w:customStyle="1" w:styleId="85">
    <w:name w:val="批注文字 Char2"/>
    <w:basedOn w:val="70"/>
    <w:autoRedefine/>
    <w:qFormat/>
    <w:uiPriority w:val="99"/>
    <w:rPr>
      <w:szCs w:val="24"/>
    </w:rPr>
  </w:style>
  <w:style w:type="character" w:customStyle="1" w:styleId="86">
    <w:name w:val="批注主题 Char"/>
    <w:link w:val="26"/>
    <w:autoRedefine/>
    <w:qFormat/>
    <w:uiPriority w:val="99"/>
    <w:rPr>
      <w:b/>
      <w:bCs/>
      <w:kern w:val="2"/>
      <w:sz w:val="21"/>
      <w:szCs w:val="24"/>
    </w:rPr>
  </w:style>
  <w:style w:type="character" w:customStyle="1" w:styleId="87">
    <w:name w:val="正文首行缩进 2 Char"/>
    <w:link w:val="63"/>
    <w:autoRedefine/>
    <w:qFormat/>
    <w:uiPriority w:val="0"/>
    <w:rPr>
      <w:rFonts w:ascii="宋体" w:hAnsi="MS Sans Serif"/>
      <w:spacing w:val="12"/>
      <w:sz w:val="24"/>
    </w:rPr>
  </w:style>
  <w:style w:type="character" w:customStyle="1" w:styleId="88">
    <w:name w:val="正文缩进 Char"/>
    <w:link w:val="6"/>
    <w:autoRedefine/>
    <w:qFormat/>
    <w:uiPriority w:val="0"/>
  </w:style>
  <w:style w:type="character" w:customStyle="1" w:styleId="89">
    <w:name w:val="标题 3 Char"/>
    <w:link w:val="5"/>
    <w:autoRedefine/>
    <w:qFormat/>
    <w:uiPriority w:val="9"/>
    <w:rPr>
      <w:b/>
      <w:sz w:val="32"/>
    </w:rPr>
  </w:style>
  <w:style w:type="character" w:customStyle="1" w:styleId="90">
    <w:name w:val="标题 4 Char"/>
    <w:link w:val="7"/>
    <w:autoRedefine/>
    <w:qFormat/>
    <w:uiPriority w:val="0"/>
    <w:rPr>
      <w:rFonts w:ascii="Arial" w:hAnsi="Arial" w:eastAsia="黑体"/>
      <w:kern w:val="2"/>
      <w:sz w:val="28"/>
      <w:szCs w:val="24"/>
    </w:rPr>
  </w:style>
  <w:style w:type="character" w:customStyle="1" w:styleId="91">
    <w:name w:val="标题 5 Char"/>
    <w:link w:val="8"/>
    <w:autoRedefine/>
    <w:qFormat/>
    <w:uiPriority w:val="0"/>
    <w:rPr>
      <w:rFonts w:ascii="宋体" w:hAnsi="宋体"/>
      <w:b/>
      <w:sz w:val="24"/>
    </w:rPr>
  </w:style>
  <w:style w:type="character" w:customStyle="1" w:styleId="92">
    <w:name w:val="标题 6 Char"/>
    <w:link w:val="9"/>
    <w:autoRedefine/>
    <w:qFormat/>
    <w:uiPriority w:val="0"/>
    <w:rPr>
      <w:rFonts w:ascii="Arial" w:hAnsi="Arial" w:eastAsia="黑体"/>
      <w:b/>
      <w:kern w:val="2"/>
      <w:sz w:val="24"/>
      <w:szCs w:val="24"/>
    </w:rPr>
  </w:style>
  <w:style w:type="character" w:customStyle="1" w:styleId="93">
    <w:name w:val="标题 7 Char"/>
    <w:link w:val="10"/>
    <w:autoRedefine/>
    <w:qFormat/>
    <w:uiPriority w:val="0"/>
    <w:rPr>
      <w:b/>
      <w:kern w:val="2"/>
      <w:sz w:val="24"/>
    </w:rPr>
  </w:style>
  <w:style w:type="character" w:customStyle="1" w:styleId="94">
    <w:name w:val="标题 8 Char"/>
    <w:link w:val="11"/>
    <w:autoRedefine/>
    <w:qFormat/>
    <w:uiPriority w:val="0"/>
    <w:rPr>
      <w:rFonts w:ascii="Arial" w:hAnsi="Arial" w:eastAsia="黑体"/>
      <w:kern w:val="2"/>
      <w:sz w:val="24"/>
    </w:rPr>
  </w:style>
  <w:style w:type="character" w:customStyle="1" w:styleId="95">
    <w:name w:val="标题 9 Char"/>
    <w:link w:val="12"/>
    <w:autoRedefine/>
    <w:qFormat/>
    <w:uiPriority w:val="0"/>
    <w:rPr>
      <w:rFonts w:ascii="Arial" w:hAnsi="Arial" w:eastAsia="黑体"/>
      <w:kern w:val="2"/>
      <w:sz w:val="21"/>
    </w:rPr>
  </w:style>
  <w:style w:type="character" w:customStyle="1" w:styleId="96">
    <w:name w:val="文档结构图 Char"/>
    <w:link w:val="20"/>
    <w:autoRedefine/>
    <w:qFormat/>
    <w:uiPriority w:val="99"/>
    <w:rPr>
      <w:kern w:val="2"/>
      <w:sz w:val="21"/>
      <w:shd w:val="clear" w:color="auto" w:fill="000080"/>
    </w:rPr>
  </w:style>
  <w:style w:type="character" w:customStyle="1" w:styleId="97">
    <w:name w:val="正文文本 3 Char"/>
    <w:link w:val="24"/>
    <w:autoRedefine/>
    <w:qFormat/>
    <w:uiPriority w:val="0"/>
    <w:rPr>
      <w:b/>
      <w:bCs/>
      <w:color w:val="FF0000"/>
      <w:sz w:val="24"/>
    </w:rPr>
  </w:style>
  <w:style w:type="character" w:customStyle="1" w:styleId="98">
    <w:name w:val="正文文本 Char1"/>
    <w:link w:val="2"/>
    <w:autoRedefine/>
    <w:qFormat/>
    <w:uiPriority w:val="0"/>
    <w:rPr>
      <w:kern w:val="2"/>
      <w:sz w:val="21"/>
    </w:rPr>
  </w:style>
  <w:style w:type="character" w:customStyle="1" w:styleId="99">
    <w:name w:val="纯文本 Char"/>
    <w:link w:val="33"/>
    <w:autoRedefine/>
    <w:qFormat/>
    <w:uiPriority w:val="0"/>
    <w:rPr>
      <w:rFonts w:ascii="宋体" w:hAnsi="Courier New"/>
      <w:kern w:val="2"/>
      <w:sz w:val="21"/>
    </w:rPr>
  </w:style>
  <w:style w:type="character" w:customStyle="1" w:styleId="100">
    <w:name w:val="日期 Char"/>
    <w:link w:val="36"/>
    <w:autoRedefine/>
    <w:qFormat/>
    <w:uiPriority w:val="0"/>
    <w:rPr>
      <w:sz w:val="24"/>
    </w:rPr>
  </w:style>
  <w:style w:type="character" w:customStyle="1" w:styleId="101">
    <w:name w:val="正文文本缩进 2 Char"/>
    <w:link w:val="37"/>
    <w:autoRedefine/>
    <w:qFormat/>
    <w:uiPriority w:val="99"/>
    <w:rPr>
      <w:kern w:val="2"/>
      <w:sz w:val="24"/>
      <w:szCs w:val="24"/>
    </w:rPr>
  </w:style>
  <w:style w:type="character" w:customStyle="1" w:styleId="102">
    <w:name w:val="批注框文本 Char"/>
    <w:link w:val="39"/>
    <w:autoRedefine/>
    <w:qFormat/>
    <w:uiPriority w:val="99"/>
    <w:rPr>
      <w:kern w:val="2"/>
      <w:sz w:val="18"/>
      <w:szCs w:val="18"/>
    </w:rPr>
  </w:style>
  <w:style w:type="character" w:customStyle="1" w:styleId="103">
    <w:name w:val="页脚 Char2"/>
    <w:link w:val="40"/>
    <w:autoRedefine/>
    <w:qFormat/>
    <w:uiPriority w:val="99"/>
    <w:rPr>
      <w:sz w:val="18"/>
    </w:rPr>
  </w:style>
  <w:style w:type="character" w:customStyle="1" w:styleId="104">
    <w:name w:val="页眉 Char"/>
    <w:link w:val="41"/>
    <w:autoRedefine/>
    <w:qFormat/>
    <w:uiPriority w:val="99"/>
    <w:rPr>
      <w:kern w:val="2"/>
      <w:sz w:val="18"/>
      <w:szCs w:val="24"/>
    </w:rPr>
  </w:style>
  <w:style w:type="character" w:customStyle="1" w:styleId="105">
    <w:name w:val="副标题 Char"/>
    <w:link w:val="46"/>
    <w:autoRedefine/>
    <w:qFormat/>
    <w:uiPriority w:val="0"/>
    <w:rPr>
      <w:rFonts w:ascii="仿宋_GB2312" w:hAnsi="Cambria" w:eastAsia="仿宋_GB2312"/>
      <w:b/>
      <w:bCs/>
      <w:kern w:val="28"/>
      <w:sz w:val="32"/>
      <w:szCs w:val="32"/>
    </w:rPr>
  </w:style>
  <w:style w:type="character" w:customStyle="1" w:styleId="106">
    <w:name w:val="脚注文本 Char"/>
    <w:link w:val="48"/>
    <w:autoRedefine/>
    <w:qFormat/>
    <w:uiPriority w:val="0"/>
    <w:rPr>
      <w:kern w:val="2"/>
      <w:sz w:val="18"/>
    </w:rPr>
  </w:style>
  <w:style w:type="character" w:customStyle="1" w:styleId="107">
    <w:name w:val="正文文本缩进 3 Char"/>
    <w:link w:val="51"/>
    <w:autoRedefine/>
    <w:qFormat/>
    <w:uiPriority w:val="0"/>
    <w:rPr>
      <w:kern w:val="2"/>
      <w:sz w:val="16"/>
      <w:szCs w:val="16"/>
    </w:rPr>
  </w:style>
  <w:style w:type="character" w:customStyle="1" w:styleId="108">
    <w:name w:val="正文文本 2 Char"/>
    <w:link w:val="57"/>
    <w:autoRedefine/>
    <w:qFormat/>
    <w:uiPriority w:val="0"/>
    <w:rPr>
      <w:rFonts w:ascii="宋体" w:hAnsi="宋体"/>
      <w:b/>
      <w:bCs/>
      <w:color w:val="FF0000"/>
      <w:sz w:val="28"/>
    </w:rPr>
  </w:style>
  <w:style w:type="character" w:customStyle="1" w:styleId="109">
    <w:name w:val="标题 Char"/>
    <w:link w:val="61"/>
    <w:autoRedefine/>
    <w:qFormat/>
    <w:uiPriority w:val="0"/>
    <w:rPr>
      <w:rFonts w:ascii="Arial" w:hAnsi="Arial"/>
      <w:b/>
      <w:kern w:val="2"/>
      <w:sz w:val="44"/>
      <w:szCs w:val="24"/>
    </w:rPr>
  </w:style>
  <w:style w:type="character" w:customStyle="1" w:styleId="110">
    <w:name w:val="正文首行缩进 Char"/>
    <w:link w:val="62"/>
    <w:autoRedefine/>
    <w:qFormat/>
    <w:uiPriority w:val="0"/>
    <w:rPr>
      <w:kern w:val="2"/>
      <w:sz w:val="21"/>
    </w:rPr>
  </w:style>
  <w:style w:type="paragraph" w:customStyle="1" w:styleId="111">
    <w:name w:val="Table Paragraph"/>
    <w:basedOn w:val="1"/>
    <w:autoRedefine/>
    <w:qFormat/>
    <w:uiPriority w:val="1"/>
    <w:pPr>
      <w:jc w:val="left"/>
    </w:pPr>
    <w:rPr>
      <w:rFonts w:ascii="宋体" w:hAnsi="宋体" w:cs="宋体"/>
      <w:kern w:val="0"/>
      <w:sz w:val="22"/>
      <w:szCs w:val="22"/>
      <w:lang w:eastAsia="en-US"/>
    </w:rPr>
  </w:style>
  <w:style w:type="paragraph" w:customStyle="1" w:styleId="112">
    <w:name w:val="样式2"/>
    <w:basedOn w:val="1"/>
    <w:link w:val="500"/>
    <w:autoRedefine/>
    <w:qFormat/>
    <w:uiPriority w:val="0"/>
    <w:pPr>
      <w:pBdr>
        <w:bottom w:val="thickThinSmallGap" w:color="auto" w:sz="12" w:space="1"/>
      </w:pBdr>
    </w:pPr>
    <w:rPr>
      <w:szCs w:val="24"/>
    </w:rPr>
  </w:style>
  <w:style w:type="paragraph" w:customStyle="1" w:styleId="113">
    <w:name w:val="样式1"/>
    <w:basedOn w:val="1"/>
    <w:autoRedefine/>
    <w:qFormat/>
    <w:uiPriority w:val="0"/>
    <w:pPr>
      <w:tabs>
        <w:tab w:val="left" w:pos="760"/>
      </w:tabs>
      <w:spacing w:line="360" w:lineRule="auto"/>
      <w:jc w:val="left"/>
    </w:pPr>
    <w:rPr>
      <w:rFonts w:ascii="黑体" w:hAnsi="黑体" w:eastAsia="黑体"/>
      <w:b/>
      <w:sz w:val="32"/>
      <w:szCs w:val="22"/>
    </w:rPr>
  </w:style>
  <w:style w:type="character" w:customStyle="1" w:styleId="114">
    <w:name w:val="t31"/>
    <w:autoRedefine/>
    <w:qFormat/>
    <w:uiPriority w:val="0"/>
    <w:rPr>
      <w:rFonts w:hint="default"/>
      <w:color w:val="000000"/>
    </w:rPr>
  </w:style>
  <w:style w:type="character" w:customStyle="1" w:styleId="115">
    <w:name w:val="Char Char1"/>
    <w:link w:val="116"/>
    <w:autoRedefine/>
    <w:qFormat/>
    <w:uiPriority w:val="0"/>
    <w:rPr>
      <w:b/>
      <w:kern w:val="2"/>
      <w:sz w:val="28"/>
    </w:rPr>
  </w:style>
  <w:style w:type="paragraph" w:customStyle="1" w:styleId="116">
    <w:name w:val="批注主题1"/>
    <w:basedOn w:val="22"/>
    <w:next w:val="22"/>
    <w:link w:val="115"/>
    <w:autoRedefine/>
    <w:qFormat/>
    <w:uiPriority w:val="0"/>
    <w:pPr>
      <w:tabs>
        <w:tab w:val="left" w:pos="560"/>
        <w:tab w:val="center" w:pos="8400"/>
      </w:tabs>
    </w:pPr>
    <w:rPr>
      <w:b/>
      <w:sz w:val="28"/>
      <w:szCs w:val="20"/>
    </w:rPr>
  </w:style>
  <w:style w:type="character" w:customStyle="1" w:styleId="117">
    <w:name w:val="font81"/>
    <w:autoRedefine/>
    <w:qFormat/>
    <w:uiPriority w:val="0"/>
    <w:rPr>
      <w:rFonts w:hint="default" w:ascii="Times New Roman" w:hAnsi="Times New Roman" w:cs="Times New Roman"/>
      <w:color w:val="000000"/>
      <w:sz w:val="18"/>
      <w:szCs w:val="18"/>
      <w:u w:val="none"/>
    </w:rPr>
  </w:style>
  <w:style w:type="character" w:customStyle="1" w:styleId="118">
    <w:name w:val="ind:txt Char"/>
    <w:autoRedefine/>
    <w:qFormat/>
    <w:uiPriority w:val="0"/>
    <w:rPr>
      <w:rFonts w:eastAsia="宋体"/>
      <w:kern w:val="2"/>
      <w:sz w:val="21"/>
      <w:lang w:val="en-US" w:eastAsia="zh-CN" w:bidi="ar-SA"/>
    </w:rPr>
  </w:style>
  <w:style w:type="character" w:customStyle="1" w:styleId="119">
    <w:name w:val="默认段落字体1"/>
    <w:autoRedefine/>
    <w:qFormat/>
    <w:uiPriority w:val="0"/>
    <w:rPr>
      <w:rFonts w:hint="default"/>
    </w:rPr>
  </w:style>
  <w:style w:type="character" w:customStyle="1" w:styleId="120">
    <w:name w:val="font21"/>
    <w:basedOn w:val="70"/>
    <w:autoRedefine/>
    <w:qFormat/>
    <w:uiPriority w:val="0"/>
    <w:rPr>
      <w:rFonts w:hint="eastAsia" w:ascii="宋体" w:hAnsi="宋体" w:eastAsia="宋体" w:cs="宋体"/>
      <w:color w:val="000000"/>
      <w:kern w:val="2"/>
      <w:sz w:val="21"/>
      <w:szCs w:val="21"/>
      <w:u w:val="single"/>
      <w:lang w:val="en-US" w:eastAsia="zh-CN" w:bidi="ar-SA"/>
    </w:rPr>
  </w:style>
  <w:style w:type="character" w:customStyle="1" w:styleId="121">
    <w:name w:val="标题 4 Char Char"/>
    <w:autoRedefine/>
    <w:qFormat/>
    <w:uiPriority w:val="0"/>
    <w:rPr>
      <w:rFonts w:ascii="Arial" w:hAnsi="Arial" w:eastAsia="黑体"/>
      <w:kern w:val="2"/>
      <w:sz w:val="28"/>
      <w:szCs w:val="24"/>
      <w:lang w:val="en-US" w:eastAsia="zh-CN" w:bidi="ar-SA"/>
    </w:rPr>
  </w:style>
  <w:style w:type="character" w:customStyle="1" w:styleId="122">
    <w:name w:val="正文文字缩进 2 Char Char"/>
    <w:link w:val="123"/>
    <w:autoRedefine/>
    <w:qFormat/>
    <w:uiPriority w:val="0"/>
    <w:rPr>
      <w:rFonts w:ascii="宋体"/>
      <w:color w:val="000000"/>
      <w:sz w:val="21"/>
    </w:rPr>
  </w:style>
  <w:style w:type="paragraph" w:customStyle="1" w:styleId="123">
    <w:name w:val="正文文本缩进 21"/>
    <w:basedOn w:val="1"/>
    <w:link w:val="122"/>
    <w:autoRedefine/>
    <w:qFormat/>
    <w:uiPriority w:val="0"/>
    <w:pPr>
      <w:ind w:left="1021"/>
    </w:pPr>
    <w:rPr>
      <w:rFonts w:ascii="宋体"/>
      <w:color w:val="000000"/>
      <w:kern w:val="0"/>
    </w:rPr>
  </w:style>
  <w:style w:type="character" w:customStyle="1" w:styleId="124">
    <w:name w:val="style11"/>
    <w:autoRedefine/>
    <w:qFormat/>
    <w:uiPriority w:val="0"/>
    <w:rPr>
      <w:rFonts w:hint="default"/>
      <w:b/>
      <w:color w:val="FFFFFF"/>
    </w:rPr>
  </w:style>
  <w:style w:type="character" w:customStyle="1" w:styleId="125">
    <w:name w:val="11111正式正文 Char Char"/>
    <w:link w:val="126"/>
    <w:autoRedefine/>
    <w:qFormat/>
    <w:uiPriority w:val="0"/>
    <w:rPr>
      <w:rFonts w:ascii="宋体" w:hAnsi="宋体" w:eastAsia="Times New Roman"/>
      <w:kern w:val="2"/>
      <w:sz w:val="26"/>
      <w:szCs w:val="28"/>
      <w:lang w:val="en-US" w:eastAsia="zh-CN" w:bidi="ar-SA"/>
    </w:rPr>
  </w:style>
  <w:style w:type="paragraph" w:customStyle="1" w:styleId="126">
    <w:name w:val="11111正式正文"/>
    <w:link w:val="125"/>
    <w:autoRedefine/>
    <w:qFormat/>
    <w:uiPriority w:val="0"/>
    <w:pPr>
      <w:spacing w:line="520" w:lineRule="exact"/>
      <w:ind w:firstLine="200" w:firstLineChars="200"/>
    </w:pPr>
    <w:rPr>
      <w:rFonts w:ascii="宋体" w:hAnsi="宋体" w:eastAsia="Times New Roman" w:cs="Times New Roman"/>
      <w:kern w:val="2"/>
      <w:sz w:val="26"/>
      <w:szCs w:val="28"/>
      <w:lang w:val="en-US" w:eastAsia="zh-CN" w:bidi="ar-SA"/>
    </w:rPr>
  </w:style>
  <w:style w:type="character" w:customStyle="1" w:styleId="127">
    <w:name w:val="current2"/>
    <w:autoRedefine/>
    <w:qFormat/>
    <w:uiPriority w:val="0"/>
    <w:rPr>
      <w:rFonts w:eastAsia="宋体"/>
      <w:b/>
      <w:color w:val="FF0084"/>
      <w:kern w:val="2"/>
      <w:sz w:val="24"/>
      <w:szCs w:val="24"/>
      <w:lang w:val="en-US" w:eastAsia="zh-CN" w:bidi="ar-SA"/>
    </w:rPr>
  </w:style>
  <w:style w:type="character" w:customStyle="1" w:styleId="128">
    <w:name w:val="current5"/>
    <w:autoRedefine/>
    <w:qFormat/>
    <w:uiPriority w:val="0"/>
    <w:rPr>
      <w:rFonts w:eastAsia="宋体"/>
      <w:b/>
      <w:color w:val="FFFFFF"/>
      <w:kern w:val="2"/>
      <w:sz w:val="24"/>
      <w:szCs w:val="24"/>
      <w:bdr w:val="single" w:color="FF5A00" w:sz="12" w:space="0"/>
      <w:shd w:val="clear" w:color="auto" w:fill="FF6C16"/>
      <w:lang w:val="en-US" w:eastAsia="zh-CN" w:bidi="ar-SA"/>
    </w:rPr>
  </w:style>
  <w:style w:type="character" w:customStyle="1" w:styleId="129">
    <w:name w:val="批注文字 Char1"/>
    <w:autoRedefine/>
    <w:qFormat/>
    <w:uiPriority w:val="0"/>
    <w:rPr>
      <w:kern w:val="2"/>
      <w:sz w:val="21"/>
    </w:rPr>
  </w:style>
  <w:style w:type="character" w:customStyle="1" w:styleId="130">
    <w:name w:val="公文正文 Char Char"/>
    <w:link w:val="131"/>
    <w:autoRedefine/>
    <w:qFormat/>
    <w:uiPriority w:val="0"/>
    <w:rPr>
      <w:rFonts w:ascii="仿宋_GB2312" w:hAnsi="Calisto MT" w:eastAsia="仿宋_GB2312"/>
      <w:color w:val="000000"/>
      <w:sz w:val="32"/>
      <w:lang w:val="en-US" w:eastAsia="zh-CN" w:bidi="ar-SA"/>
    </w:rPr>
  </w:style>
  <w:style w:type="paragraph" w:customStyle="1" w:styleId="131">
    <w:name w:val="公文正文"/>
    <w:link w:val="130"/>
    <w:autoRedefine/>
    <w:qFormat/>
    <w:uiPriority w:val="0"/>
    <w:pPr>
      <w:widowControl w:val="0"/>
      <w:spacing w:line="360" w:lineRule="auto"/>
      <w:ind w:firstLine="629"/>
      <w:jc w:val="both"/>
    </w:pPr>
    <w:rPr>
      <w:rFonts w:ascii="仿宋_GB2312" w:hAnsi="Calisto MT" w:eastAsia="仿宋_GB2312" w:cs="Times New Roman"/>
      <w:color w:val="000000"/>
      <w:sz w:val="32"/>
      <w:lang w:val="en-US" w:eastAsia="zh-CN" w:bidi="ar-SA"/>
    </w:rPr>
  </w:style>
  <w:style w:type="character" w:customStyle="1" w:styleId="132">
    <w:name w:val="页脚 Char1"/>
    <w:autoRedefine/>
    <w:qFormat/>
    <w:uiPriority w:val="0"/>
    <w:rPr>
      <w:kern w:val="2"/>
      <w:sz w:val="18"/>
      <w:szCs w:val="18"/>
    </w:rPr>
  </w:style>
  <w:style w:type="character" w:customStyle="1" w:styleId="133">
    <w:name w:val="样式 标题 2标题 1.1第一层条第二层论文标题 1Para2Title1H2h22l2list + ch...1 Char Char"/>
    <w:link w:val="134"/>
    <w:autoRedefine/>
    <w:qFormat/>
    <w:uiPriority w:val="0"/>
    <w:rPr>
      <w:rFonts w:ascii="Arial" w:hAnsi="Arial" w:cs="宋体"/>
      <w:b/>
      <w:color w:val="000000"/>
      <w:kern w:val="2"/>
      <w:sz w:val="24"/>
      <w:szCs w:val="24"/>
    </w:rPr>
  </w:style>
  <w:style w:type="paragraph" w:customStyle="1" w:styleId="134">
    <w:name w:val="样式 标题 2标题 1.1第一层条第二层论文标题 1Para2Title1H2h22l2list + ch...1"/>
    <w:basedOn w:val="4"/>
    <w:link w:val="133"/>
    <w:autoRedefine/>
    <w:qFormat/>
    <w:uiPriority w:val="0"/>
    <w:pPr>
      <w:widowControl w:val="0"/>
      <w:tabs>
        <w:tab w:val="left" w:pos="840"/>
      </w:tabs>
      <w:adjustRightInd w:val="0"/>
      <w:spacing w:before="0" w:after="0" w:line="360" w:lineRule="auto"/>
      <w:ind w:right="50" w:rightChars="50"/>
      <w:jc w:val="both"/>
      <w:textAlignment w:val="baseline"/>
    </w:pPr>
    <w:rPr>
      <w:rFonts w:eastAsia="宋体"/>
      <w:color w:val="000000"/>
      <w:kern w:val="2"/>
      <w:sz w:val="24"/>
      <w:szCs w:val="24"/>
    </w:rPr>
  </w:style>
  <w:style w:type="character" w:customStyle="1" w:styleId="135">
    <w:name w:val="标题 1 1 Char"/>
    <w:link w:val="136"/>
    <w:autoRedefine/>
    <w:qFormat/>
    <w:uiPriority w:val="0"/>
    <w:rPr>
      <w:b/>
      <w:kern w:val="2"/>
      <w:sz w:val="24"/>
    </w:rPr>
  </w:style>
  <w:style w:type="paragraph" w:customStyle="1" w:styleId="136">
    <w:name w:val="标题 11"/>
    <w:basedOn w:val="1"/>
    <w:next w:val="1"/>
    <w:link w:val="135"/>
    <w:autoRedefine/>
    <w:qFormat/>
    <w:uiPriority w:val="0"/>
    <w:pPr>
      <w:numPr>
        <w:ilvl w:val="0"/>
        <w:numId w:val="1"/>
      </w:numPr>
      <w:tabs>
        <w:tab w:val="left" w:pos="470"/>
      </w:tabs>
      <w:spacing w:before="240"/>
      <w:outlineLvl w:val="0"/>
    </w:pPr>
    <w:rPr>
      <w:b/>
      <w:sz w:val="24"/>
    </w:rPr>
  </w:style>
  <w:style w:type="character" w:customStyle="1" w:styleId="137">
    <w:name w:val="标题 1.1 Char"/>
    <w:link w:val="138"/>
    <w:autoRedefine/>
    <w:qFormat/>
    <w:uiPriority w:val="0"/>
    <w:rPr>
      <w:rFonts w:ascii="宋体" w:hAnsi="宋体"/>
      <w:b/>
      <w:snapToGrid w:val="0"/>
      <w:sz w:val="28"/>
    </w:rPr>
  </w:style>
  <w:style w:type="paragraph" w:customStyle="1" w:styleId="138">
    <w:name w:val="标题 21"/>
    <w:basedOn w:val="1"/>
    <w:next w:val="139"/>
    <w:link w:val="137"/>
    <w:autoRedefine/>
    <w:qFormat/>
    <w:uiPriority w:val="0"/>
    <w:pPr>
      <w:spacing w:before="240" w:line="300" w:lineRule="auto"/>
      <w:outlineLvl w:val="1"/>
    </w:pPr>
    <w:rPr>
      <w:rFonts w:ascii="宋体" w:hAnsi="宋体"/>
      <w:b/>
      <w:snapToGrid w:val="0"/>
      <w:kern w:val="0"/>
      <w:sz w:val="28"/>
    </w:rPr>
  </w:style>
  <w:style w:type="paragraph" w:customStyle="1" w:styleId="139">
    <w:name w:val="正文缩进1"/>
    <w:basedOn w:val="1"/>
    <w:autoRedefine/>
    <w:qFormat/>
    <w:uiPriority w:val="0"/>
    <w:pPr>
      <w:tabs>
        <w:tab w:val="left" w:pos="720"/>
      </w:tabs>
      <w:ind w:left="624" w:hanging="624"/>
      <w:textAlignment w:val="baseline"/>
    </w:pPr>
    <w:rPr>
      <w:rFonts w:hint="eastAsia" w:ascii="宋体"/>
    </w:rPr>
  </w:style>
  <w:style w:type="character" w:customStyle="1" w:styleId="140">
    <w:name w:val="列表框1 Char Char"/>
    <w:link w:val="141"/>
    <w:autoRedefine/>
    <w:qFormat/>
    <w:uiPriority w:val="0"/>
    <w:rPr>
      <w:rFonts w:ascii="Arial" w:hAnsi="Arial" w:eastAsia="楷体_GB2312" w:cs="Arial"/>
      <w:spacing w:val="10"/>
      <w:kern w:val="2"/>
      <w:sz w:val="21"/>
      <w:szCs w:val="24"/>
    </w:rPr>
  </w:style>
  <w:style w:type="paragraph" w:customStyle="1" w:styleId="141">
    <w:name w:val="列表框1"/>
    <w:basedOn w:val="142"/>
    <w:next w:val="142"/>
    <w:link w:val="140"/>
    <w:autoRedefine/>
    <w:qFormat/>
    <w:uiPriority w:val="0"/>
    <w:pPr>
      <w:tabs>
        <w:tab w:val="left" w:pos="360"/>
        <w:tab w:val="left" w:pos="420"/>
        <w:tab w:val="left" w:pos="795"/>
        <w:tab w:val="left" w:pos="965"/>
        <w:tab w:val="left" w:pos="1628"/>
        <w:tab w:val="left" w:pos="2086"/>
      </w:tabs>
      <w:snapToGrid w:val="0"/>
      <w:ind w:left="1637" w:leftChars="500" w:hanging="437" w:hangingChars="190"/>
    </w:pPr>
  </w:style>
  <w:style w:type="paragraph" w:customStyle="1" w:styleId="142">
    <w:name w:val="应答文本"/>
    <w:basedOn w:val="1"/>
    <w:link w:val="143"/>
    <w:autoRedefine/>
    <w:qFormat/>
    <w:uiPriority w:val="0"/>
    <w:pPr>
      <w:adjustRightInd w:val="0"/>
      <w:spacing w:afterLines="50" w:line="320" w:lineRule="exact"/>
      <w:ind w:left="720" w:leftChars="300" w:firstLine="460" w:firstLineChars="200"/>
    </w:pPr>
    <w:rPr>
      <w:rFonts w:ascii="Arial" w:hAnsi="Arial" w:eastAsia="楷体_GB2312"/>
      <w:spacing w:val="10"/>
      <w:szCs w:val="24"/>
    </w:rPr>
  </w:style>
  <w:style w:type="character" w:customStyle="1" w:styleId="143">
    <w:name w:val="应答文本 Char Char"/>
    <w:link w:val="142"/>
    <w:autoRedefine/>
    <w:qFormat/>
    <w:uiPriority w:val="0"/>
    <w:rPr>
      <w:rFonts w:ascii="Arial" w:hAnsi="Arial" w:eastAsia="楷体_GB2312" w:cs="宋体"/>
      <w:spacing w:val="10"/>
      <w:kern w:val="2"/>
      <w:sz w:val="21"/>
      <w:szCs w:val="24"/>
    </w:rPr>
  </w:style>
  <w:style w:type="character" w:customStyle="1" w:styleId="144">
    <w:name w:val="标题 4 Char Char Char Char"/>
    <w:link w:val="145"/>
    <w:autoRedefine/>
    <w:qFormat/>
    <w:uiPriority w:val="0"/>
    <w:rPr>
      <w:snapToGrid w:val="0"/>
      <w:color w:val="000000"/>
      <w:sz w:val="24"/>
    </w:rPr>
  </w:style>
  <w:style w:type="paragraph" w:customStyle="1" w:styleId="145">
    <w:name w:val="标题 41"/>
    <w:basedOn w:val="1"/>
    <w:next w:val="139"/>
    <w:link w:val="144"/>
    <w:autoRedefine/>
    <w:qFormat/>
    <w:uiPriority w:val="0"/>
    <w:pPr>
      <w:tabs>
        <w:tab w:val="left" w:pos="1021"/>
        <w:tab w:val="left" w:pos="1175"/>
      </w:tabs>
      <w:ind w:left="2" w:firstLine="2"/>
      <w:outlineLvl w:val="3"/>
    </w:pPr>
    <w:rPr>
      <w:snapToGrid w:val="0"/>
      <w:color w:val="000000"/>
      <w:kern w:val="0"/>
      <w:sz w:val="24"/>
    </w:rPr>
  </w:style>
  <w:style w:type="character" w:customStyle="1" w:styleId="146">
    <w:name w:val="正文文字缩进 Char Char"/>
    <w:link w:val="147"/>
    <w:autoRedefine/>
    <w:qFormat/>
    <w:uiPriority w:val="0"/>
    <w:rPr>
      <w:rFonts w:ascii="宋体"/>
      <w:color w:val="000000"/>
      <w:sz w:val="21"/>
    </w:rPr>
  </w:style>
  <w:style w:type="paragraph" w:customStyle="1" w:styleId="147">
    <w:name w:val="正文文本缩进1"/>
    <w:basedOn w:val="1"/>
    <w:link w:val="146"/>
    <w:autoRedefine/>
    <w:qFormat/>
    <w:uiPriority w:val="0"/>
    <w:pPr>
      <w:ind w:left="851"/>
    </w:pPr>
    <w:rPr>
      <w:rFonts w:ascii="宋体"/>
      <w:color w:val="000000"/>
      <w:kern w:val="0"/>
    </w:rPr>
  </w:style>
  <w:style w:type="character" w:customStyle="1" w:styleId="148">
    <w:name w:val="Footer-Even Char Char"/>
    <w:autoRedefine/>
    <w:qFormat/>
    <w:uiPriority w:val="0"/>
    <w:rPr>
      <w:rFonts w:eastAsia="宋体"/>
      <w:kern w:val="2"/>
      <w:sz w:val="18"/>
      <w:szCs w:val="18"/>
      <w:lang w:val="en-US" w:eastAsia="zh-CN" w:bidi="ar-SA"/>
    </w:rPr>
  </w:style>
  <w:style w:type="character" w:customStyle="1" w:styleId="149">
    <w:name w:val="批注框文本 Char1"/>
    <w:autoRedefine/>
    <w:qFormat/>
    <w:uiPriority w:val="99"/>
    <w:rPr>
      <w:kern w:val="2"/>
      <w:sz w:val="18"/>
      <w:szCs w:val="18"/>
    </w:rPr>
  </w:style>
  <w:style w:type="character" w:customStyle="1" w:styleId="150">
    <w:name w:val="Char Char141"/>
    <w:autoRedefine/>
    <w:qFormat/>
    <w:uiPriority w:val="0"/>
    <w:rPr>
      <w:rFonts w:hint="eastAsia" w:ascii="Arial" w:hAnsi="Arial" w:eastAsia="黑体"/>
      <w:snapToGrid w:val="0"/>
      <w:color w:val="000000"/>
      <w:sz w:val="24"/>
      <w:lang w:val="en-US" w:eastAsia="zh-CN"/>
    </w:rPr>
  </w:style>
  <w:style w:type="character" w:customStyle="1" w:styleId="151">
    <w:name w:val="font71"/>
    <w:autoRedefine/>
    <w:qFormat/>
    <w:uiPriority w:val="0"/>
    <w:rPr>
      <w:rFonts w:hint="eastAsia" w:ascii="宋体" w:hAnsi="宋体" w:eastAsia="宋体" w:cs="宋体"/>
      <w:color w:val="000000"/>
      <w:sz w:val="18"/>
      <w:szCs w:val="18"/>
      <w:u w:val="none"/>
    </w:rPr>
  </w:style>
  <w:style w:type="character" w:customStyle="1" w:styleId="152">
    <w:name w:val="text12st_hs1"/>
    <w:autoRedefine/>
    <w:qFormat/>
    <w:uiPriority w:val="0"/>
    <w:rPr>
      <w:rFonts w:hint="default"/>
      <w:color w:val="000000"/>
      <w:sz w:val="19"/>
    </w:rPr>
  </w:style>
  <w:style w:type="character" w:customStyle="1" w:styleId="153">
    <w:name w:val="Char Char18"/>
    <w:autoRedefine/>
    <w:qFormat/>
    <w:uiPriority w:val="0"/>
    <w:rPr>
      <w:rFonts w:ascii="Times New Roman" w:hAnsi="Times New Roman" w:eastAsia="宋体" w:cs="Times New Roman"/>
      <w:szCs w:val="20"/>
    </w:rPr>
  </w:style>
  <w:style w:type="character" w:customStyle="1" w:styleId="154">
    <w:name w:val="纯文本 Char2"/>
    <w:autoRedefine/>
    <w:qFormat/>
    <w:uiPriority w:val="99"/>
    <w:rPr>
      <w:rFonts w:ascii="宋体" w:hAnsi="Courier New" w:cs="Courier New"/>
      <w:kern w:val="2"/>
      <w:sz w:val="21"/>
      <w:szCs w:val="21"/>
    </w:rPr>
  </w:style>
  <w:style w:type="character" w:customStyle="1" w:styleId="155">
    <w:name w:val="t101"/>
    <w:autoRedefine/>
    <w:qFormat/>
    <w:uiPriority w:val="0"/>
    <w:rPr>
      <w:rFonts w:hint="default"/>
    </w:rPr>
  </w:style>
  <w:style w:type="character" w:customStyle="1" w:styleId="156">
    <w:name w:val="普通文字 Char2"/>
    <w:autoRedefine/>
    <w:qFormat/>
    <w:uiPriority w:val="0"/>
    <w:rPr>
      <w:rFonts w:ascii="宋体" w:hAnsi="Courier New" w:eastAsia="宋体"/>
      <w:kern w:val="2"/>
      <w:sz w:val="21"/>
      <w:lang w:val="en-US" w:eastAsia="zh-CN" w:bidi="ar-SA"/>
    </w:rPr>
  </w:style>
  <w:style w:type="character" w:customStyle="1" w:styleId="157">
    <w:name w:val="style131"/>
    <w:autoRedefine/>
    <w:qFormat/>
    <w:uiPriority w:val="0"/>
    <w:rPr>
      <w:rFonts w:eastAsia="宋体"/>
      <w:kern w:val="2"/>
      <w:sz w:val="24"/>
      <w:szCs w:val="24"/>
      <w:lang w:val="en-US" w:eastAsia="zh-CN" w:bidi="ar-SA"/>
    </w:rPr>
  </w:style>
  <w:style w:type="character" w:customStyle="1" w:styleId="158">
    <w:name w:val="even Char Char"/>
    <w:autoRedefine/>
    <w:qFormat/>
    <w:uiPriority w:val="0"/>
    <w:rPr>
      <w:rFonts w:eastAsia="宋体"/>
      <w:kern w:val="2"/>
      <w:sz w:val="18"/>
      <w:szCs w:val="24"/>
      <w:lang w:val="en-US" w:eastAsia="zh-CN" w:bidi="ar-SA"/>
    </w:rPr>
  </w:style>
  <w:style w:type="character" w:customStyle="1" w:styleId="159">
    <w:name w:val="纯文本 Char1"/>
    <w:autoRedefine/>
    <w:qFormat/>
    <w:uiPriority w:val="0"/>
    <w:rPr>
      <w:rFonts w:ascii="宋体" w:hAnsi="Courier New"/>
    </w:rPr>
  </w:style>
  <w:style w:type="character" w:customStyle="1" w:styleId="160">
    <w:name w:val="7 sub-style Char"/>
    <w:link w:val="161"/>
    <w:autoRedefine/>
    <w:qFormat/>
    <w:uiPriority w:val="0"/>
    <w:rPr>
      <w:b/>
      <w:kern w:val="2"/>
      <w:sz w:val="24"/>
    </w:rPr>
  </w:style>
  <w:style w:type="paragraph" w:customStyle="1" w:styleId="161">
    <w:name w:val="标题 71"/>
    <w:basedOn w:val="1"/>
    <w:next w:val="139"/>
    <w:link w:val="160"/>
    <w:autoRedefine/>
    <w:qFormat/>
    <w:uiPriority w:val="0"/>
    <w:pPr>
      <w:keepNext/>
      <w:tabs>
        <w:tab w:val="left" w:pos="1296"/>
      </w:tabs>
      <w:spacing w:before="240" w:after="64" w:line="320" w:lineRule="auto"/>
      <w:outlineLvl w:val="6"/>
    </w:pPr>
    <w:rPr>
      <w:b/>
      <w:sz w:val="24"/>
    </w:rPr>
  </w:style>
  <w:style w:type="character" w:customStyle="1" w:styleId="162">
    <w:name w:val="正文（首行缩进两字） Char"/>
    <w:autoRedefine/>
    <w:qFormat/>
    <w:uiPriority w:val="0"/>
    <w:rPr>
      <w:rFonts w:hint="eastAsia" w:ascii="宋体" w:eastAsia="宋体"/>
      <w:snapToGrid w:val="0"/>
      <w:color w:val="000000"/>
      <w:sz w:val="21"/>
      <w:lang w:val="en-US" w:eastAsia="zh-CN"/>
    </w:rPr>
  </w:style>
  <w:style w:type="character" w:customStyle="1" w:styleId="163">
    <w:name w:val="批注文字 Char"/>
    <w:autoRedefine/>
    <w:qFormat/>
    <w:uiPriority w:val="99"/>
    <w:rPr>
      <w:kern w:val="2"/>
      <w:sz w:val="21"/>
      <w:szCs w:val="24"/>
    </w:rPr>
  </w:style>
  <w:style w:type="character" w:customStyle="1" w:styleId="164">
    <w:name w:val="副标题 Char2"/>
    <w:autoRedefine/>
    <w:qFormat/>
    <w:uiPriority w:val="0"/>
    <w:rPr>
      <w:rFonts w:ascii="Cambria" w:hAnsi="Cambria" w:cs="Times New Roman"/>
      <w:b/>
      <w:bCs/>
      <w:kern w:val="28"/>
      <w:sz w:val="32"/>
      <w:szCs w:val="32"/>
    </w:rPr>
  </w:style>
  <w:style w:type="character" w:customStyle="1" w:styleId="165">
    <w:name w:val="页眉 Char1"/>
    <w:autoRedefine/>
    <w:qFormat/>
    <w:uiPriority w:val="0"/>
    <w:rPr>
      <w:kern w:val="2"/>
      <w:sz w:val="18"/>
      <w:szCs w:val="18"/>
    </w:rPr>
  </w:style>
  <w:style w:type="character" w:customStyle="1" w:styleId="166">
    <w:name w:val="Char Char Char Char Char"/>
    <w:autoRedefine/>
    <w:qFormat/>
    <w:uiPriority w:val="0"/>
    <w:rPr>
      <w:rFonts w:ascii="宋体"/>
      <w:snapToGrid/>
      <w:sz w:val="24"/>
    </w:rPr>
  </w:style>
  <w:style w:type="character" w:customStyle="1" w:styleId="167">
    <w:name w:val="标题 Char1"/>
    <w:autoRedefine/>
    <w:qFormat/>
    <w:uiPriority w:val="0"/>
    <w:rPr>
      <w:rFonts w:ascii="Cambria" w:hAnsi="Cambria" w:cs="Times New Roman"/>
      <w:b/>
      <w:bCs/>
      <w:kern w:val="2"/>
      <w:sz w:val="32"/>
      <w:szCs w:val="32"/>
    </w:rPr>
  </w:style>
  <w:style w:type="character" w:customStyle="1" w:styleId="168">
    <w:name w:val="font31"/>
    <w:basedOn w:val="70"/>
    <w:autoRedefine/>
    <w:qFormat/>
    <w:uiPriority w:val="0"/>
    <w:rPr>
      <w:rFonts w:hint="default" w:ascii="Times New Roman" w:hAnsi="Times New Roman" w:eastAsia="宋体" w:cs="Times New Roman"/>
      <w:color w:val="000000"/>
      <w:kern w:val="2"/>
      <w:sz w:val="20"/>
      <w:szCs w:val="20"/>
      <w:u w:val="none"/>
      <w:lang w:val="en-US" w:eastAsia="zh-CN" w:bidi="ar-SA"/>
    </w:rPr>
  </w:style>
  <w:style w:type="character" w:customStyle="1" w:styleId="169">
    <w:name w:val="Char Char17"/>
    <w:autoRedefine/>
    <w:qFormat/>
    <w:uiPriority w:val="99"/>
    <w:rPr>
      <w:rFonts w:hint="eastAsia" w:ascii="宋体" w:eastAsia="宋体"/>
      <w:b/>
      <w:snapToGrid w:val="0"/>
      <w:color w:val="000000"/>
      <w:sz w:val="28"/>
      <w:lang w:val="en-US" w:eastAsia="zh-CN"/>
    </w:rPr>
  </w:style>
  <w:style w:type="character" w:customStyle="1" w:styleId="170">
    <w:name w:val="font51"/>
    <w:basedOn w:val="70"/>
    <w:autoRedefine/>
    <w:qFormat/>
    <w:uiPriority w:val="0"/>
    <w:rPr>
      <w:rFonts w:hint="eastAsia" w:ascii="宋体" w:hAnsi="宋体" w:eastAsia="宋体" w:cs="宋体"/>
      <w:b/>
      <w:color w:val="000000"/>
      <w:kern w:val="2"/>
      <w:sz w:val="21"/>
      <w:szCs w:val="21"/>
      <w:u w:val="none"/>
      <w:lang w:val="en-US" w:eastAsia="zh-CN" w:bidi="ar-SA"/>
    </w:rPr>
  </w:style>
  <w:style w:type="character" w:customStyle="1" w:styleId="171">
    <w:name w:val="样式 标题 4Para4CDR_Lev 4Title3h44 dashddash + (符号) 宋体 加粗 Char Char"/>
    <w:link w:val="172"/>
    <w:autoRedefine/>
    <w:qFormat/>
    <w:uiPriority w:val="0"/>
    <w:rPr>
      <w:rFonts w:ascii="Arial" w:hAnsi="Arial" w:eastAsia="黑体"/>
      <w:snapToGrid w:val="0"/>
      <w:kern w:val="2"/>
      <w:sz w:val="28"/>
      <w:szCs w:val="24"/>
    </w:rPr>
  </w:style>
  <w:style w:type="paragraph" w:customStyle="1" w:styleId="172">
    <w:name w:val="样式 标题 4Para4CDR_Lev 4Title3h44 dashddash + (符号) 宋体 加粗"/>
    <w:basedOn w:val="7"/>
    <w:link w:val="171"/>
    <w:autoRedefine/>
    <w:qFormat/>
    <w:uiPriority w:val="0"/>
    <w:pPr>
      <w:keepNext w:val="0"/>
      <w:keepLines w:val="0"/>
      <w:widowControl w:val="0"/>
      <w:tabs>
        <w:tab w:val="left" w:pos="907"/>
      </w:tabs>
      <w:autoSpaceDE w:val="0"/>
      <w:autoSpaceDN w:val="0"/>
      <w:adjustRightInd w:val="0"/>
      <w:snapToGrid w:val="0"/>
      <w:spacing w:before="0" w:after="0"/>
      <w:ind w:left="1644" w:hanging="1644"/>
      <w:jc w:val="both"/>
      <w:textAlignment w:val="baseline"/>
    </w:pPr>
    <w:rPr>
      <w:snapToGrid w:val="0"/>
    </w:rPr>
  </w:style>
  <w:style w:type="character" w:customStyle="1" w:styleId="173">
    <w:name w:val="font01"/>
    <w:autoRedefine/>
    <w:qFormat/>
    <w:uiPriority w:val="0"/>
    <w:rPr>
      <w:rFonts w:hint="default" w:ascii="Times New Roman" w:hAnsi="Times New Roman" w:eastAsia="宋体" w:cs="Times New Roman"/>
      <w:color w:val="000000"/>
      <w:kern w:val="2"/>
      <w:sz w:val="20"/>
      <w:szCs w:val="20"/>
      <w:u w:val="none"/>
      <w:lang w:val="en-US" w:eastAsia="zh-CN" w:bidi="ar-SA"/>
    </w:rPr>
  </w:style>
  <w:style w:type="character" w:customStyle="1" w:styleId="174">
    <w:name w:val="unnamed11"/>
    <w:autoRedefine/>
    <w:qFormat/>
    <w:uiPriority w:val="0"/>
    <w:rPr>
      <w:color w:val="000000"/>
      <w:sz w:val="18"/>
      <w:szCs w:val="18"/>
    </w:rPr>
  </w:style>
  <w:style w:type="character" w:customStyle="1" w:styleId="175">
    <w:name w:val="列表编号3 Char"/>
    <w:link w:val="176"/>
    <w:autoRedefine/>
    <w:qFormat/>
    <w:uiPriority w:val="0"/>
    <w:rPr>
      <w:rFonts w:ascii="宋体" w:hAnsi="宋体"/>
      <w:snapToGrid w:val="0"/>
      <w:sz w:val="24"/>
    </w:rPr>
  </w:style>
  <w:style w:type="paragraph" w:customStyle="1" w:styleId="176">
    <w:name w:val="标题 31"/>
    <w:basedOn w:val="1"/>
    <w:next w:val="139"/>
    <w:link w:val="175"/>
    <w:autoRedefine/>
    <w:qFormat/>
    <w:uiPriority w:val="0"/>
    <w:pPr>
      <w:spacing w:before="60" w:line="300" w:lineRule="auto"/>
      <w:outlineLvl w:val="2"/>
    </w:pPr>
    <w:rPr>
      <w:rFonts w:ascii="宋体" w:hAnsi="宋体"/>
      <w:snapToGrid w:val="0"/>
      <w:kern w:val="0"/>
      <w:sz w:val="24"/>
    </w:rPr>
  </w:style>
  <w:style w:type="character" w:customStyle="1" w:styleId="177">
    <w:name w:val="current1"/>
    <w:autoRedefine/>
    <w:qFormat/>
    <w:uiPriority w:val="0"/>
    <w:rPr>
      <w:rFonts w:hint="eastAsia" w:ascii="宋体" w:hAnsi="宋体" w:eastAsia="宋体" w:cs="宋体"/>
      <w:b/>
      <w:color w:val="FF6500"/>
      <w:kern w:val="2"/>
      <w:sz w:val="18"/>
      <w:szCs w:val="18"/>
      <w:bdr w:val="single" w:color="FF6500" w:sz="6" w:space="0"/>
      <w:shd w:val="clear" w:color="auto" w:fill="FFBE94"/>
      <w:lang w:val="en-US" w:eastAsia="zh-CN" w:bidi="ar-SA"/>
    </w:rPr>
  </w:style>
  <w:style w:type="character" w:customStyle="1" w:styleId="178">
    <w:name w:val="apple-converted-space"/>
    <w:autoRedefine/>
    <w:qFormat/>
    <w:uiPriority w:val="0"/>
  </w:style>
  <w:style w:type="character" w:customStyle="1" w:styleId="179">
    <w:name w:val="current4"/>
    <w:autoRedefine/>
    <w:qFormat/>
    <w:uiPriority w:val="0"/>
    <w:rPr>
      <w:rFonts w:eastAsia="宋体"/>
      <w:b/>
      <w:color w:val="FFFFFF"/>
      <w:kern w:val="2"/>
      <w:sz w:val="24"/>
      <w:szCs w:val="24"/>
      <w:bdr w:val="single" w:color="FFFFFF" w:sz="6" w:space="0"/>
      <w:shd w:val="clear" w:color="auto" w:fill="606060"/>
      <w:lang w:val="en-US" w:eastAsia="zh-CN" w:bidi="ar-SA"/>
    </w:rPr>
  </w:style>
  <w:style w:type="character" w:customStyle="1" w:styleId="180">
    <w:name w:val="cjHD正文 Char"/>
    <w:link w:val="181"/>
    <w:autoRedefine/>
    <w:qFormat/>
    <w:uiPriority w:val="0"/>
    <w:rPr>
      <w:rFonts w:ascii="宋体" w:hAnsi="宋体"/>
      <w:sz w:val="24"/>
      <w:szCs w:val="28"/>
    </w:rPr>
  </w:style>
  <w:style w:type="paragraph" w:customStyle="1" w:styleId="181">
    <w:name w:val="cjHD正文"/>
    <w:basedOn w:val="1"/>
    <w:link w:val="180"/>
    <w:autoRedefine/>
    <w:qFormat/>
    <w:uiPriority w:val="0"/>
    <w:pPr>
      <w:widowControl/>
      <w:spacing w:line="360" w:lineRule="auto"/>
      <w:ind w:firstLine="200" w:firstLineChars="200"/>
      <w:jc w:val="left"/>
    </w:pPr>
    <w:rPr>
      <w:rFonts w:ascii="宋体" w:hAnsi="宋体"/>
      <w:kern w:val="0"/>
      <w:sz w:val="24"/>
      <w:szCs w:val="28"/>
    </w:rPr>
  </w:style>
  <w:style w:type="character" w:customStyle="1" w:styleId="182">
    <w:name w:val="正文文本 Char"/>
    <w:autoRedefine/>
    <w:qFormat/>
    <w:uiPriority w:val="0"/>
    <w:rPr>
      <w:kern w:val="2"/>
      <w:sz w:val="21"/>
      <w:szCs w:val="24"/>
    </w:rPr>
  </w:style>
  <w:style w:type="character" w:customStyle="1" w:styleId="183">
    <w:name w:val="正文（首行缩进两字） Char Char"/>
    <w:autoRedefine/>
    <w:qFormat/>
    <w:uiPriority w:val="0"/>
    <w:rPr>
      <w:rFonts w:hint="eastAsia" w:ascii="宋体" w:eastAsia="宋体"/>
      <w:snapToGrid w:val="0"/>
      <w:color w:val="000000"/>
      <w:sz w:val="21"/>
      <w:lang w:val="en-US" w:eastAsia="zh-CN"/>
    </w:rPr>
  </w:style>
  <w:style w:type="character" w:customStyle="1" w:styleId="184">
    <w:name w:val="style5"/>
    <w:autoRedefine/>
    <w:qFormat/>
    <w:uiPriority w:val="0"/>
    <w:rPr>
      <w:rFonts w:hint="default"/>
    </w:rPr>
  </w:style>
  <w:style w:type="character" w:customStyle="1" w:styleId="185">
    <w:name w:val="正文文字缩进 3 Char Char"/>
    <w:link w:val="186"/>
    <w:autoRedefine/>
    <w:qFormat/>
    <w:uiPriority w:val="0"/>
    <w:rPr>
      <w:rFonts w:ascii="宋体"/>
      <w:color w:val="000000"/>
      <w:sz w:val="21"/>
    </w:rPr>
  </w:style>
  <w:style w:type="paragraph" w:customStyle="1" w:styleId="186">
    <w:name w:val="正文文本缩进 31"/>
    <w:basedOn w:val="1"/>
    <w:link w:val="185"/>
    <w:autoRedefine/>
    <w:qFormat/>
    <w:uiPriority w:val="0"/>
    <w:pPr>
      <w:ind w:left="851"/>
    </w:pPr>
    <w:rPr>
      <w:rFonts w:ascii="宋体"/>
      <w:color w:val="000000"/>
      <w:kern w:val="0"/>
    </w:rPr>
  </w:style>
  <w:style w:type="character" w:customStyle="1" w:styleId="187">
    <w:name w:val="6 style Char"/>
    <w:link w:val="188"/>
    <w:autoRedefine/>
    <w:qFormat/>
    <w:uiPriority w:val="0"/>
    <w:rPr>
      <w:rFonts w:ascii="Arial" w:hAnsi="Arial" w:eastAsia="黑体"/>
      <w:b/>
      <w:kern w:val="2"/>
      <w:sz w:val="24"/>
    </w:rPr>
  </w:style>
  <w:style w:type="paragraph" w:customStyle="1" w:styleId="188">
    <w:name w:val="标题 61"/>
    <w:basedOn w:val="1"/>
    <w:next w:val="139"/>
    <w:link w:val="187"/>
    <w:autoRedefine/>
    <w:qFormat/>
    <w:uiPriority w:val="0"/>
    <w:pPr>
      <w:keepNext/>
      <w:tabs>
        <w:tab w:val="left" w:pos="1152"/>
      </w:tabs>
      <w:spacing w:before="240" w:after="64" w:line="320" w:lineRule="auto"/>
      <w:outlineLvl w:val="5"/>
    </w:pPr>
    <w:rPr>
      <w:rFonts w:ascii="Arial" w:hAnsi="Arial" w:eastAsia="黑体"/>
      <w:b/>
      <w:sz w:val="24"/>
    </w:rPr>
  </w:style>
  <w:style w:type="character" w:customStyle="1" w:styleId="189">
    <w:name w:val="样式 样式 标题 2标题 1.1第一层条第二层论文标题 1Para2Title1H2h22l2list + ch...1 + 右...1 Char Char"/>
    <w:link w:val="190"/>
    <w:autoRedefine/>
    <w:qFormat/>
    <w:uiPriority w:val="0"/>
    <w:rPr>
      <w:rFonts w:ascii="Arial" w:hAnsi="Arial" w:cs="宋体"/>
      <w:b/>
      <w:color w:val="000000"/>
      <w:kern w:val="2"/>
      <w:sz w:val="24"/>
      <w:szCs w:val="24"/>
    </w:rPr>
  </w:style>
  <w:style w:type="paragraph" w:customStyle="1" w:styleId="190">
    <w:name w:val="样式 样式 标题 2标题 1.1第一层条第二层论文标题 1Para2Title1H2h22l2list + ch...1 + 右...1"/>
    <w:basedOn w:val="134"/>
    <w:link w:val="189"/>
    <w:autoRedefine/>
    <w:qFormat/>
    <w:uiPriority w:val="0"/>
    <w:pPr>
      <w:tabs>
        <w:tab w:val="left" w:pos="567"/>
        <w:tab w:val="clear" w:pos="840"/>
      </w:tabs>
      <w:spacing w:beforeLines="50" w:afterLines="50"/>
      <w:ind w:left="576"/>
    </w:pPr>
  </w:style>
  <w:style w:type="character" w:customStyle="1" w:styleId="191">
    <w:name w:val="fontstyle01"/>
    <w:autoRedefine/>
    <w:qFormat/>
    <w:uiPriority w:val="0"/>
    <w:rPr>
      <w:rFonts w:hint="eastAsia" w:ascii="宋体" w:hAnsi="宋体" w:eastAsia="宋体"/>
      <w:color w:val="000000"/>
      <w:sz w:val="22"/>
      <w:szCs w:val="22"/>
    </w:rPr>
  </w:style>
  <w:style w:type="character" w:customStyle="1" w:styleId="192">
    <w:name w:val="超链接1"/>
    <w:autoRedefine/>
    <w:qFormat/>
    <w:uiPriority w:val="0"/>
    <w:rPr>
      <w:rFonts w:hint="default"/>
      <w:color w:val="0000FF"/>
      <w:u w:val="single"/>
    </w:rPr>
  </w:style>
  <w:style w:type="character" w:customStyle="1" w:styleId="193">
    <w:name w:val="普通文字 Char Char"/>
    <w:autoRedefine/>
    <w:qFormat/>
    <w:uiPriority w:val="0"/>
    <w:rPr>
      <w:rFonts w:ascii="宋体" w:hAnsi="Courier New" w:eastAsia="宋体"/>
      <w:kern w:val="2"/>
      <w:sz w:val="21"/>
      <w:lang w:val="en-US" w:eastAsia="zh-CN" w:bidi="ar-SA"/>
    </w:rPr>
  </w:style>
  <w:style w:type="character" w:customStyle="1" w:styleId="194">
    <w:name w:val="Char Char Char Char Char Char"/>
    <w:autoRedefine/>
    <w:qFormat/>
    <w:uiPriority w:val="0"/>
    <w:rPr>
      <w:rFonts w:ascii="宋体" w:hAnsi="Courier New" w:eastAsia="宋体"/>
      <w:kern w:val="2"/>
      <w:sz w:val="21"/>
      <w:lang w:val="en-US" w:eastAsia="zh-CN" w:bidi="ar-SA"/>
    </w:rPr>
  </w:style>
  <w:style w:type="character" w:customStyle="1" w:styleId="195">
    <w:name w:val="标题 1 Char Char Char"/>
    <w:autoRedefine/>
    <w:qFormat/>
    <w:uiPriority w:val="0"/>
    <w:rPr>
      <w:rFonts w:eastAsia="宋体"/>
      <w:b/>
      <w:bCs/>
      <w:kern w:val="44"/>
      <w:sz w:val="44"/>
      <w:szCs w:val="44"/>
      <w:lang w:val="en-US" w:eastAsia="zh-CN" w:bidi="ar-SA"/>
    </w:rPr>
  </w:style>
  <w:style w:type="character" w:customStyle="1" w:styleId="196">
    <w:name w:val="Char Char16"/>
    <w:autoRedefine/>
    <w:qFormat/>
    <w:uiPriority w:val="99"/>
    <w:rPr>
      <w:rFonts w:hint="eastAsia" w:ascii="Arial" w:hAnsi="Arial" w:eastAsia="黑体"/>
      <w:b/>
      <w:snapToGrid w:val="0"/>
      <w:color w:val="000000"/>
      <w:sz w:val="24"/>
      <w:lang w:val="en-US" w:eastAsia="zh-CN"/>
    </w:rPr>
  </w:style>
  <w:style w:type="character" w:customStyle="1" w:styleId="197">
    <w:name w:val="样式 标题 1标题 1 111121314151111211311611212213217113... Char Char"/>
    <w:link w:val="198"/>
    <w:autoRedefine/>
    <w:qFormat/>
    <w:uiPriority w:val="0"/>
    <w:rPr>
      <w:rFonts w:ascii="宋体" w:hAnsi="宋体" w:eastAsia="黑体"/>
      <w:bCs/>
      <w:kern w:val="44"/>
      <w:sz w:val="48"/>
      <w:szCs w:val="32"/>
    </w:rPr>
  </w:style>
  <w:style w:type="paragraph" w:customStyle="1" w:styleId="198">
    <w:name w:val="样式 标题 1标题 1 111121314151111211311611212213217113..."/>
    <w:basedOn w:val="3"/>
    <w:link w:val="197"/>
    <w:autoRedefine/>
    <w:qFormat/>
    <w:uiPriority w:val="0"/>
    <w:pPr>
      <w:keepLines/>
      <w:widowControl w:val="0"/>
      <w:tabs>
        <w:tab w:val="left" w:pos="840"/>
        <w:tab w:val="clear" w:pos="885"/>
      </w:tabs>
      <w:adjustRightInd w:val="0"/>
      <w:spacing w:before="340" w:after="330" w:line="578" w:lineRule="atLeast"/>
      <w:ind w:left="2297" w:hanging="420"/>
      <w:jc w:val="both"/>
      <w:textAlignment w:val="baseline"/>
    </w:pPr>
    <w:rPr>
      <w:rFonts w:ascii="宋体" w:hAnsi="宋体"/>
      <w:bCs/>
      <w:kern w:val="44"/>
      <w:sz w:val="48"/>
      <w:szCs w:val="32"/>
    </w:rPr>
  </w:style>
  <w:style w:type="character" w:customStyle="1" w:styleId="199">
    <w:name w:val="样式 样式 样式 样式 标题 2标题 1.1第一层条第二层论文标题 1Para2Title1H2h22l2list + ch..... Char Char"/>
    <w:link w:val="200"/>
    <w:autoRedefine/>
    <w:qFormat/>
    <w:uiPriority w:val="0"/>
    <w:rPr>
      <w:rFonts w:ascii="宋体" w:hAnsi="宋体" w:cs="宋体"/>
      <w:b/>
      <w:color w:val="000000"/>
      <w:kern w:val="2"/>
      <w:sz w:val="21"/>
      <w:szCs w:val="28"/>
    </w:rPr>
  </w:style>
  <w:style w:type="paragraph" w:customStyle="1" w:styleId="200">
    <w:name w:val="样式 样式 样式 样式 标题 2标题 1.1第一层条第二层论文标题 1Para2Title1H2h22l2list + ch....."/>
    <w:basedOn w:val="201"/>
    <w:link w:val="199"/>
    <w:autoRedefine/>
    <w:qFormat/>
    <w:uiPriority w:val="0"/>
    <w:pPr>
      <w:tabs>
        <w:tab w:val="left" w:pos="965"/>
      </w:tabs>
      <w:spacing w:before="50" w:after="50"/>
      <w:ind w:left="1134" w:right="50" w:hanging="1134"/>
    </w:pPr>
    <w:rPr>
      <w:rFonts w:ascii="宋体" w:hAnsi="宋体"/>
      <w:sz w:val="21"/>
    </w:rPr>
  </w:style>
  <w:style w:type="paragraph" w:customStyle="1" w:styleId="201">
    <w:name w:val="样式 样式 样式 标题 2标题 1.1第一层条第二层论文标题 1Para2Title1H2h22l2list + ch...1 ..."/>
    <w:basedOn w:val="190"/>
    <w:link w:val="202"/>
    <w:autoRedefine/>
    <w:qFormat/>
    <w:uiPriority w:val="0"/>
    <w:pPr>
      <w:tabs>
        <w:tab w:val="left" w:pos="965"/>
        <w:tab w:val="clear" w:pos="567"/>
      </w:tabs>
      <w:spacing w:beforeLines="0" w:afterLines="0"/>
      <w:ind w:left="965" w:right="105" w:hanging="425"/>
    </w:pPr>
    <w:rPr>
      <w:sz w:val="28"/>
      <w:szCs w:val="28"/>
    </w:rPr>
  </w:style>
  <w:style w:type="character" w:customStyle="1" w:styleId="202">
    <w:name w:val="样式 样式 样式 标题 2标题 1.1第一层条第二层论文标题 1Para2Title1H2h22l2list + ch...1 ... Char Char"/>
    <w:link w:val="201"/>
    <w:autoRedefine/>
    <w:qFormat/>
    <w:uiPriority w:val="0"/>
    <w:rPr>
      <w:rFonts w:ascii="Arial" w:hAnsi="Arial" w:cs="宋体"/>
      <w:b/>
      <w:color w:val="000000"/>
      <w:kern w:val="2"/>
      <w:sz w:val="28"/>
      <w:szCs w:val="28"/>
    </w:rPr>
  </w:style>
  <w:style w:type="character" w:customStyle="1" w:styleId="203">
    <w:name w:val="标题 1 Char Char"/>
    <w:autoRedefine/>
    <w:qFormat/>
    <w:uiPriority w:val="0"/>
    <w:rPr>
      <w:rFonts w:ascii="黑体" w:hAnsi="Arial" w:eastAsia="黑体"/>
      <w:b/>
      <w:kern w:val="2"/>
      <w:sz w:val="52"/>
      <w:szCs w:val="24"/>
      <w:lang w:val="en-US" w:eastAsia="zh-CN" w:bidi="ar-SA"/>
    </w:rPr>
  </w:style>
  <w:style w:type="character" w:customStyle="1" w:styleId="204">
    <w:name w:val="Char Char11"/>
    <w:autoRedefine/>
    <w:qFormat/>
    <w:uiPriority w:val="99"/>
    <w:rPr>
      <w:rFonts w:ascii="宋体" w:hAnsi="Courier New" w:eastAsia="宋体"/>
      <w:kern w:val="2"/>
      <w:sz w:val="21"/>
      <w:szCs w:val="24"/>
      <w:lang w:val="en-US" w:eastAsia="zh-CN" w:bidi="ar-SA"/>
    </w:rPr>
  </w:style>
  <w:style w:type="character" w:customStyle="1" w:styleId="205">
    <w:name w:val="Char Char13"/>
    <w:autoRedefine/>
    <w:qFormat/>
    <w:uiPriority w:val="0"/>
    <w:rPr>
      <w:rFonts w:hint="eastAsia" w:ascii="Arial" w:hAnsi="Arial" w:eastAsia="黑体"/>
      <w:snapToGrid w:val="0"/>
      <w:color w:val="000000"/>
      <w:sz w:val="21"/>
      <w:lang w:val="en-US" w:eastAsia="zh-CN"/>
    </w:rPr>
  </w:style>
  <w:style w:type="character" w:customStyle="1" w:styleId="206">
    <w:name w:val="apple-style-span"/>
    <w:autoRedefine/>
    <w:qFormat/>
    <w:uiPriority w:val="0"/>
    <w:rPr>
      <w:rFonts w:hint="default"/>
    </w:rPr>
  </w:style>
  <w:style w:type="character" w:customStyle="1" w:styleId="207">
    <w:name w:val="纯文本 Char Char"/>
    <w:autoRedefine/>
    <w:qFormat/>
    <w:uiPriority w:val="0"/>
    <w:rPr>
      <w:rFonts w:ascii="宋体" w:hAnsi="Courier New" w:eastAsia="宋体"/>
      <w:kern w:val="2"/>
      <w:sz w:val="21"/>
      <w:lang w:val="en-US" w:eastAsia="zh-CN" w:bidi="ar-SA"/>
    </w:rPr>
  </w:style>
  <w:style w:type="character" w:customStyle="1" w:styleId="208">
    <w:name w:val="Char Char2"/>
    <w:link w:val="209"/>
    <w:autoRedefine/>
    <w:qFormat/>
    <w:uiPriority w:val="99"/>
    <w:rPr>
      <w:rFonts w:ascii="宋体"/>
      <w:color w:val="000000"/>
      <w:sz w:val="18"/>
    </w:rPr>
  </w:style>
  <w:style w:type="paragraph" w:customStyle="1" w:styleId="209">
    <w:name w:val="批注框文本1"/>
    <w:basedOn w:val="1"/>
    <w:link w:val="208"/>
    <w:autoRedefine/>
    <w:qFormat/>
    <w:uiPriority w:val="0"/>
    <w:rPr>
      <w:rFonts w:ascii="宋体"/>
      <w:color w:val="000000"/>
      <w:kern w:val="0"/>
      <w:sz w:val="18"/>
    </w:rPr>
  </w:style>
  <w:style w:type="character" w:customStyle="1" w:styleId="210">
    <w:name w:val="font111"/>
    <w:autoRedefine/>
    <w:qFormat/>
    <w:uiPriority w:val="0"/>
    <w:rPr>
      <w:rFonts w:ascii="仿宋_GB2312" w:eastAsia="仿宋_GB2312" w:cs="仿宋_GB2312"/>
      <w:b/>
      <w:color w:val="000000"/>
      <w:kern w:val="2"/>
      <w:sz w:val="32"/>
      <w:szCs w:val="32"/>
      <w:u w:val="none"/>
      <w:lang w:val="en-US" w:eastAsia="zh-CN" w:bidi="ar-SA"/>
    </w:rPr>
  </w:style>
  <w:style w:type="character" w:customStyle="1" w:styleId="211">
    <w:name w:val="正文文本缩进 2 Char1"/>
    <w:autoRedefine/>
    <w:qFormat/>
    <w:uiPriority w:val="99"/>
    <w:rPr>
      <w:kern w:val="2"/>
      <w:sz w:val="21"/>
    </w:rPr>
  </w:style>
  <w:style w:type="character" w:customStyle="1" w:styleId="212">
    <w:name w:val="font11"/>
    <w:basedOn w:val="70"/>
    <w:autoRedefine/>
    <w:qFormat/>
    <w:uiPriority w:val="0"/>
    <w:rPr>
      <w:rFonts w:hint="eastAsia" w:ascii="宋体" w:hAnsi="宋体" w:eastAsia="宋体" w:cs="宋体"/>
      <w:color w:val="000000"/>
      <w:kern w:val="2"/>
      <w:sz w:val="21"/>
      <w:szCs w:val="21"/>
      <w:u w:val="none"/>
      <w:lang w:val="en-US" w:eastAsia="zh-CN" w:bidi="ar-SA"/>
    </w:rPr>
  </w:style>
  <w:style w:type="character" w:customStyle="1" w:styleId="213">
    <w:name w:val="正文文字 2 Char Char"/>
    <w:link w:val="214"/>
    <w:autoRedefine/>
    <w:qFormat/>
    <w:uiPriority w:val="0"/>
    <w:rPr>
      <w:kern w:val="2"/>
      <w:sz w:val="24"/>
    </w:rPr>
  </w:style>
  <w:style w:type="paragraph" w:customStyle="1" w:styleId="214">
    <w:name w:val="正文文本 21"/>
    <w:basedOn w:val="1"/>
    <w:link w:val="213"/>
    <w:autoRedefine/>
    <w:qFormat/>
    <w:uiPriority w:val="0"/>
    <w:pPr>
      <w:tabs>
        <w:tab w:val="left" w:pos="560"/>
        <w:tab w:val="center" w:pos="8400"/>
      </w:tabs>
    </w:pPr>
    <w:rPr>
      <w:sz w:val="24"/>
    </w:rPr>
  </w:style>
  <w:style w:type="character" w:customStyle="1" w:styleId="215">
    <w:name w:val="已访问的超链接1"/>
    <w:autoRedefine/>
    <w:qFormat/>
    <w:uiPriority w:val="0"/>
    <w:rPr>
      <w:rFonts w:hint="default"/>
      <w:color w:val="800080"/>
      <w:u w:val="single"/>
    </w:rPr>
  </w:style>
  <w:style w:type="character" w:customStyle="1" w:styleId="216">
    <w:name w:val="页码1"/>
    <w:autoRedefine/>
    <w:qFormat/>
    <w:uiPriority w:val="0"/>
  </w:style>
  <w:style w:type="character" w:customStyle="1" w:styleId="217">
    <w:name w:val="5 sub-bullet Char"/>
    <w:link w:val="218"/>
    <w:autoRedefine/>
    <w:qFormat/>
    <w:uiPriority w:val="0"/>
    <w:rPr>
      <w:b/>
      <w:kern w:val="2"/>
      <w:sz w:val="24"/>
    </w:rPr>
  </w:style>
  <w:style w:type="paragraph" w:customStyle="1" w:styleId="218">
    <w:name w:val="标题 51"/>
    <w:basedOn w:val="1"/>
    <w:next w:val="139"/>
    <w:link w:val="217"/>
    <w:autoRedefine/>
    <w:qFormat/>
    <w:uiPriority w:val="0"/>
    <w:pPr>
      <w:keepNext/>
      <w:tabs>
        <w:tab w:val="left" w:pos="1008"/>
      </w:tabs>
      <w:spacing w:before="280" w:after="290" w:line="376" w:lineRule="auto"/>
      <w:outlineLvl w:val="4"/>
    </w:pPr>
    <w:rPr>
      <w:b/>
      <w:sz w:val="24"/>
    </w:rPr>
  </w:style>
  <w:style w:type="character" w:customStyle="1" w:styleId="219">
    <w:name w:val="副标题 Char1"/>
    <w:autoRedefine/>
    <w:qFormat/>
    <w:uiPriority w:val="0"/>
    <w:rPr>
      <w:rFonts w:ascii="Cambria" w:hAnsi="Cambria" w:cs="Times New Roman"/>
      <w:b/>
      <w:bCs/>
      <w:kern w:val="28"/>
      <w:sz w:val="32"/>
      <w:szCs w:val="32"/>
    </w:rPr>
  </w:style>
  <w:style w:type="character" w:customStyle="1" w:styleId="220">
    <w:name w:val="WW-WW8Num3z0"/>
    <w:autoRedefine/>
    <w:qFormat/>
    <w:uiPriority w:val="0"/>
    <w:rPr>
      <w:rFonts w:ascii="Wingdings" w:hAnsi="Wingdings"/>
    </w:rPr>
  </w:style>
  <w:style w:type="character" w:customStyle="1" w:styleId="221">
    <w:name w:val="页眉 Char Char"/>
    <w:autoRedefine/>
    <w:qFormat/>
    <w:uiPriority w:val="0"/>
    <w:rPr>
      <w:rFonts w:eastAsia="宋体"/>
      <w:kern w:val="2"/>
      <w:sz w:val="18"/>
      <w:szCs w:val="24"/>
      <w:lang w:val="en-US" w:eastAsia="zh-CN" w:bidi="ar-SA"/>
    </w:rPr>
  </w:style>
  <w:style w:type="character" w:customStyle="1" w:styleId="222">
    <w:name w:val="font61"/>
    <w:basedOn w:val="70"/>
    <w:autoRedefine/>
    <w:qFormat/>
    <w:uiPriority w:val="0"/>
    <w:rPr>
      <w:rFonts w:hint="eastAsia" w:ascii="宋体" w:hAnsi="宋体" w:eastAsia="宋体" w:cs="宋体"/>
      <w:color w:val="000000"/>
      <w:sz w:val="20"/>
      <w:szCs w:val="20"/>
      <w:u w:val="none"/>
    </w:rPr>
  </w:style>
  <w:style w:type="character" w:customStyle="1" w:styleId="223">
    <w:name w:val="正文文字 Char"/>
    <w:autoRedefine/>
    <w:qFormat/>
    <w:uiPriority w:val="0"/>
    <w:rPr>
      <w:rFonts w:hint="eastAsia" w:ascii="宋体" w:eastAsia="宋体"/>
      <w:snapToGrid w:val="0"/>
      <w:color w:val="000000"/>
      <w:sz w:val="28"/>
      <w:lang w:val="en-US" w:eastAsia="zh-CN"/>
    </w:rPr>
  </w:style>
  <w:style w:type="character" w:customStyle="1" w:styleId="224">
    <w:name w:val="日期 Char1"/>
    <w:autoRedefine/>
    <w:qFormat/>
    <w:uiPriority w:val="0"/>
    <w:rPr>
      <w:kern w:val="2"/>
      <w:sz w:val="21"/>
    </w:rPr>
  </w:style>
  <w:style w:type="character" w:customStyle="1" w:styleId="225">
    <w:name w:val="label"/>
    <w:autoRedefine/>
    <w:qFormat/>
    <w:uiPriority w:val="0"/>
    <w:rPr>
      <w:rFonts w:hint="default"/>
    </w:rPr>
  </w:style>
  <w:style w:type="character" w:customStyle="1" w:styleId="226">
    <w:name w:val="current3"/>
    <w:autoRedefine/>
    <w:qFormat/>
    <w:uiPriority w:val="0"/>
    <w:rPr>
      <w:rFonts w:eastAsia="宋体"/>
      <w:b/>
      <w:color w:val="FFFFFF"/>
      <w:kern w:val="2"/>
      <w:sz w:val="24"/>
      <w:szCs w:val="24"/>
      <w:shd w:val="clear" w:color="auto" w:fill="313131"/>
      <w:lang w:val="en-US" w:eastAsia="zh-CN" w:bidi="ar-SA"/>
    </w:rPr>
  </w:style>
  <w:style w:type="character" w:customStyle="1" w:styleId="227">
    <w:name w:val="无间隔 Char"/>
    <w:link w:val="228"/>
    <w:autoRedefine/>
    <w:qFormat/>
    <w:uiPriority w:val="0"/>
    <w:rPr>
      <w:rFonts w:ascii="Calibri" w:hAnsi="Calibri" w:eastAsia="Times New Roman"/>
      <w:sz w:val="22"/>
      <w:szCs w:val="22"/>
      <w:lang w:val="en-US" w:eastAsia="zh-CN" w:bidi="ar-SA"/>
    </w:rPr>
  </w:style>
  <w:style w:type="paragraph" w:customStyle="1" w:styleId="228">
    <w:name w:val="无间隔1"/>
    <w:link w:val="227"/>
    <w:autoRedefine/>
    <w:qFormat/>
    <w:uiPriority w:val="0"/>
    <w:rPr>
      <w:rFonts w:ascii="Calibri" w:hAnsi="Calibri" w:eastAsia="Times New Roman" w:cs="Times New Roman"/>
      <w:sz w:val="22"/>
      <w:szCs w:val="22"/>
      <w:lang w:val="en-US" w:eastAsia="zh-CN" w:bidi="ar-SA"/>
    </w:rPr>
  </w:style>
  <w:style w:type="character" w:customStyle="1" w:styleId="229">
    <w:name w:val="Char Char15"/>
    <w:autoRedefine/>
    <w:qFormat/>
    <w:uiPriority w:val="99"/>
    <w:rPr>
      <w:rFonts w:hint="eastAsia" w:ascii="宋体" w:eastAsia="宋体"/>
      <w:b/>
      <w:snapToGrid w:val="0"/>
      <w:color w:val="000000"/>
      <w:sz w:val="24"/>
      <w:lang w:val="en-US" w:eastAsia="zh-CN"/>
    </w:rPr>
  </w:style>
  <w:style w:type="character" w:customStyle="1" w:styleId="230">
    <w:name w:val="标题 Char Char"/>
    <w:autoRedefine/>
    <w:qFormat/>
    <w:uiPriority w:val="0"/>
    <w:rPr>
      <w:rFonts w:ascii="Arial" w:hAnsi="Arial" w:eastAsia="宋体"/>
      <w:b/>
      <w:kern w:val="2"/>
      <w:sz w:val="44"/>
      <w:szCs w:val="24"/>
      <w:lang w:val="en-US" w:eastAsia="zh-CN" w:bidi="ar-SA"/>
    </w:rPr>
  </w:style>
  <w:style w:type="character" w:customStyle="1" w:styleId="231">
    <w:name w:val="current"/>
    <w:autoRedefine/>
    <w:qFormat/>
    <w:uiPriority w:val="0"/>
    <w:rPr>
      <w:rFonts w:eastAsia="宋体"/>
      <w:b/>
      <w:color w:val="FFFFFF"/>
      <w:kern w:val="2"/>
      <w:sz w:val="24"/>
      <w:szCs w:val="24"/>
      <w:bdr w:val="single" w:color="000099" w:sz="6" w:space="0"/>
      <w:shd w:val="clear" w:color="auto" w:fill="000099"/>
      <w:lang w:val="en-US" w:eastAsia="zh-CN" w:bidi="ar-SA"/>
    </w:rPr>
  </w:style>
  <w:style w:type="character" w:customStyle="1" w:styleId="232">
    <w:name w:val="正文文字 Char Char"/>
    <w:link w:val="233"/>
    <w:autoRedefine/>
    <w:qFormat/>
    <w:uiPriority w:val="0"/>
    <w:rPr>
      <w:rFonts w:ascii="宋体"/>
      <w:color w:val="000000"/>
      <w:sz w:val="28"/>
    </w:rPr>
  </w:style>
  <w:style w:type="paragraph" w:customStyle="1" w:styleId="233">
    <w:name w:val="正文文本1"/>
    <w:basedOn w:val="1"/>
    <w:link w:val="232"/>
    <w:autoRedefine/>
    <w:qFormat/>
    <w:uiPriority w:val="0"/>
    <w:pPr>
      <w:spacing w:line="360" w:lineRule="auto"/>
    </w:pPr>
    <w:rPr>
      <w:rFonts w:ascii="宋体"/>
      <w:color w:val="000000"/>
      <w:kern w:val="0"/>
      <w:sz w:val="28"/>
    </w:rPr>
  </w:style>
  <w:style w:type="character" w:customStyle="1" w:styleId="234">
    <w:name w:val="Char Char Char"/>
    <w:autoRedefine/>
    <w:qFormat/>
    <w:uiPriority w:val="0"/>
    <w:rPr>
      <w:rFonts w:ascii="宋体" w:hAnsi="Courier New" w:eastAsia="宋体"/>
      <w:kern w:val="2"/>
      <w:sz w:val="21"/>
      <w:lang w:val="en-US" w:eastAsia="zh-CN"/>
    </w:rPr>
  </w:style>
  <w:style w:type="paragraph" w:customStyle="1" w:styleId="235">
    <w:name w:val="xl5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hint="eastAsia" w:ascii="宋体" w:hAnsi="宋体"/>
      <w:color w:val="000000"/>
      <w:sz w:val="18"/>
    </w:rPr>
  </w:style>
  <w:style w:type="paragraph" w:customStyle="1" w:styleId="236">
    <w:name w:val="三级目录"/>
    <w:basedOn w:val="237"/>
    <w:next w:val="239"/>
    <w:autoRedefine/>
    <w:qFormat/>
    <w:uiPriority w:val="0"/>
    <w:pPr>
      <w:keepNext/>
      <w:keepLines/>
      <w:spacing w:before="0"/>
      <w:jc w:val="left"/>
    </w:pPr>
    <w:rPr>
      <w:rFonts w:eastAsia="黑体"/>
      <w:b/>
      <w:kern w:val="2"/>
      <w:sz w:val="28"/>
    </w:rPr>
  </w:style>
  <w:style w:type="paragraph" w:customStyle="1" w:styleId="237">
    <w:name w:val="标题 33"/>
    <w:basedOn w:val="1"/>
    <w:next w:val="238"/>
    <w:autoRedefine/>
    <w:qFormat/>
    <w:uiPriority w:val="0"/>
    <w:pPr>
      <w:spacing w:before="60" w:line="300" w:lineRule="auto"/>
      <w:outlineLvl w:val="2"/>
    </w:pPr>
    <w:rPr>
      <w:rFonts w:hint="eastAsia" w:ascii="宋体" w:hAnsi="宋体"/>
      <w:snapToGrid w:val="0"/>
      <w:kern w:val="0"/>
      <w:sz w:val="24"/>
    </w:rPr>
  </w:style>
  <w:style w:type="paragraph" w:customStyle="1" w:styleId="238">
    <w:name w:val="正文缩进2"/>
    <w:basedOn w:val="1"/>
    <w:autoRedefine/>
    <w:qFormat/>
    <w:uiPriority w:val="0"/>
    <w:pPr>
      <w:tabs>
        <w:tab w:val="left" w:pos="720"/>
      </w:tabs>
      <w:ind w:left="624" w:hanging="624"/>
      <w:textAlignment w:val="baseline"/>
    </w:pPr>
    <w:rPr>
      <w:rFonts w:hint="eastAsia" w:ascii="宋体"/>
    </w:rPr>
  </w:style>
  <w:style w:type="paragraph" w:customStyle="1" w:styleId="239">
    <w:name w:val="正文文本缩进2"/>
    <w:basedOn w:val="1"/>
    <w:autoRedefine/>
    <w:qFormat/>
    <w:uiPriority w:val="0"/>
    <w:pPr>
      <w:ind w:left="851"/>
    </w:pPr>
    <w:rPr>
      <w:rFonts w:hint="eastAsia" w:ascii="宋体"/>
      <w:color w:val="000000"/>
      <w:kern w:val="0"/>
    </w:rPr>
  </w:style>
  <w:style w:type="paragraph" w:customStyle="1" w:styleId="240">
    <w:name w:val="日期1"/>
    <w:basedOn w:val="1"/>
    <w:next w:val="1"/>
    <w:autoRedefine/>
    <w:qFormat/>
    <w:uiPriority w:val="0"/>
    <w:pPr>
      <w:ind w:left="100" w:leftChars="2500"/>
    </w:pPr>
    <w:rPr>
      <w:szCs w:val="24"/>
    </w:rPr>
  </w:style>
  <w:style w:type="paragraph" w:customStyle="1" w:styleId="241">
    <w:name w:val="xl29"/>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textAlignment w:val="center"/>
    </w:pPr>
    <w:rPr>
      <w:rFonts w:hint="eastAsia" w:ascii="宋体" w:hAnsi="宋体"/>
      <w:color w:val="000000"/>
      <w:sz w:val="18"/>
    </w:rPr>
  </w:style>
  <w:style w:type="paragraph" w:customStyle="1" w:styleId="242">
    <w:name w:val="标题 12"/>
    <w:basedOn w:val="1"/>
    <w:next w:val="1"/>
    <w:autoRedefine/>
    <w:qFormat/>
    <w:uiPriority w:val="0"/>
    <w:pPr>
      <w:tabs>
        <w:tab w:val="left" w:pos="470"/>
      </w:tabs>
      <w:spacing w:before="240"/>
      <w:outlineLvl w:val="0"/>
    </w:pPr>
    <w:rPr>
      <w:b/>
      <w:sz w:val="24"/>
    </w:rPr>
  </w:style>
  <w:style w:type="paragraph" w:customStyle="1" w:styleId="243">
    <w:name w:val="_Style 46"/>
    <w:basedOn w:val="1"/>
    <w:autoRedefine/>
    <w:qFormat/>
    <w:uiPriority w:val="0"/>
    <w:rPr>
      <w:rFonts w:ascii="仿宋_GB2312" w:eastAsia="仿宋_GB2312"/>
      <w:b/>
      <w:sz w:val="32"/>
      <w:szCs w:val="32"/>
    </w:rPr>
  </w:style>
  <w:style w:type="paragraph" w:customStyle="1" w:styleId="244">
    <w:name w:val="_Style 11"/>
    <w:basedOn w:val="20"/>
    <w:autoRedefine/>
    <w:qFormat/>
    <w:uiPriority w:val="0"/>
  </w:style>
  <w:style w:type="paragraph" w:customStyle="1" w:styleId="245">
    <w:name w:val="正文文本2"/>
    <w:basedOn w:val="1"/>
    <w:autoRedefine/>
    <w:qFormat/>
    <w:uiPriority w:val="0"/>
    <w:pPr>
      <w:spacing w:line="360" w:lineRule="auto"/>
    </w:pPr>
    <w:rPr>
      <w:rFonts w:hint="eastAsia" w:ascii="宋体"/>
      <w:color w:val="000000"/>
      <w:kern w:val="0"/>
      <w:sz w:val="28"/>
    </w:rPr>
  </w:style>
  <w:style w:type="paragraph" w:customStyle="1" w:styleId="246">
    <w:name w:val="Char Char14"/>
    <w:basedOn w:val="1"/>
    <w:autoRedefine/>
    <w:qFormat/>
    <w:uiPriority w:val="0"/>
    <w:rPr>
      <w:szCs w:val="24"/>
    </w:rPr>
  </w:style>
  <w:style w:type="paragraph" w:customStyle="1" w:styleId="247">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宋体" w:hAnsi="宋体"/>
      <w:color w:val="000000"/>
      <w:sz w:val="18"/>
    </w:rPr>
  </w:style>
  <w:style w:type="paragraph" w:customStyle="1" w:styleId="248">
    <w:name w:val="需求书2"/>
    <w:basedOn w:val="1"/>
    <w:autoRedefine/>
    <w:qFormat/>
    <w:uiPriority w:val="0"/>
    <w:pPr>
      <w:tabs>
        <w:tab w:val="left" w:pos="560"/>
        <w:tab w:val="center" w:pos="8400"/>
      </w:tabs>
      <w:spacing w:line="280" w:lineRule="exact"/>
      <w:jc w:val="center"/>
      <w:textAlignment w:val="baseline"/>
    </w:pPr>
    <w:rPr>
      <w:rFonts w:hint="eastAsia" w:hAnsi="宋体"/>
    </w:rPr>
  </w:style>
  <w:style w:type="paragraph" w:customStyle="1" w:styleId="249">
    <w:name w:val="表格"/>
    <w:basedOn w:val="1"/>
    <w:autoRedefine/>
    <w:qFormat/>
    <w:uiPriority w:val="0"/>
    <w:pPr>
      <w:jc w:val="center"/>
    </w:pPr>
    <w:rPr>
      <w:rFonts w:ascii="华文细黑" w:hAnsi="华文细黑"/>
      <w:kern w:val="0"/>
    </w:rPr>
  </w:style>
  <w:style w:type="paragraph" w:customStyle="1" w:styleId="250">
    <w:name w:val="标题 34"/>
    <w:basedOn w:val="1"/>
    <w:autoRedefine/>
    <w:qFormat/>
    <w:uiPriority w:val="1"/>
    <w:pPr>
      <w:ind w:left="237" w:right="102"/>
      <w:jc w:val="left"/>
      <w:outlineLvl w:val="3"/>
    </w:pPr>
    <w:rPr>
      <w:rFonts w:ascii="宋体" w:hAnsi="宋体" w:cs="宋体"/>
      <w:kern w:val="0"/>
      <w:sz w:val="28"/>
      <w:szCs w:val="28"/>
      <w:lang w:eastAsia="en-US"/>
    </w:rPr>
  </w:style>
  <w:style w:type="paragraph" w:customStyle="1" w:styleId="251">
    <w:name w:val="xl33"/>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hint="eastAsia" w:ascii="宋体" w:hAnsi="宋体"/>
      <w:color w:val="000000"/>
      <w:sz w:val="18"/>
    </w:rPr>
  </w:style>
  <w:style w:type="paragraph" w:customStyle="1" w:styleId="252">
    <w:name w:val="xl45"/>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hint="eastAsia" w:ascii="宋体" w:hAnsi="宋体"/>
      <w:color w:val="000000"/>
      <w:sz w:val="20"/>
    </w:rPr>
  </w:style>
  <w:style w:type="paragraph" w:customStyle="1" w:styleId="253">
    <w:name w:val="列出段落1"/>
    <w:basedOn w:val="1"/>
    <w:autoRedefine/>
    <w:unhideWhenUsed/>
    <w:qFormat/>
    <w:uiPriority w:val="34"/>
    <w:pPr>
      <w:ind w:firstLine="420" w:firstLineChars="200"/>
    </w:pPr>
  </w:style>
  <w:style w:type="paragraph" w:customStyle="1" w:styleId="254">
    <w:name w:val="xl72"/>
    <w:basedOn w:val="1"/>
    <w:autoRedefine/>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hint="eastAsia" w:ascii="宋体" w:hAnsi="宋体"/>
    </w:rPr>
  </w:style>
  <w:style w:type="paragraph" w:customStyle="1" w:styleId="255">
    <w:name w:val="样式 居中 行距: 固定值 60 磅"/>
    <w:basedOn w:val="1"/>
    <w:autoRedefine/>
    <w:qFormat/>
    <w:uiPriority w:val="0"/>
    <w:pPr>
      <w:spacing w:line="360" w:lineRule="auto"/>
      <w:jc w:val="center"/>
    </w:pPr>
  </w:style>
  <w:style w:type="paragraph" w:customStyle="1" w:styleId="256">
    <w:name w:val="段落，小四，缩进"/>
    <w:basedOn w:val="239"/>
    <w:autoRedefine/>
    <w:qFormat/>
    <w:uiPriority w:val="0"/>
    <w:pPr>
      <w:ind w:left="0" w:firstLine="480" w:firstLineChars="200"/>
    </w:pPr>
    <w:rPr>
      <w:rFonts w:ascii="Times New Roman"/>
      <w:kern w:val="2"/>
      <w:sz w:val="24"/>
    </w:rPr>
  </w:style>
  <w:style w:type="paragraph" w:customStyle="1" w:styleId="257">
    <w:name w:val="目录文字"/>
    <w:basedOn w:val="1"/>
    <w:autoRedefine/>
    <w:qFormat/>
    <w:uiPriority w:val="0"/>
    <w:pPr>
      <w:widowControl/>
      <w:spacing w:line="480" w:lineRule="auto"/>
      <w:jc w:val="left"/>
    </w:pPr>
    <w:rPr>
      <w:rFonts w:ascii="宋体" w:hAnsi="宋体"/>
      <w:kern w:val="0"/>
      <w:sz w:val="24"/>
    </w:rPr>
  </w:style>
  <w:style w:type="paragraph" w:customStyle="1" w:styleId="258">
    <w:name w:val="xl77"/>
    <w:basedOn w:val="1"/>
    <w:autoRedefine/>
    <w:qFormat/>
    <w:uiPriority w:val="0"/>
    <w:pPr>
      <w:widowControl/>
      <w:pBdr>
        <w:left w:val="single" w:color="auto" w:sz="8" w:space="0"/>
        <w:right w:val="single" w:color="auto" w:sz="8" w:space="0"/>
      </w:pBdr>
      <w:spacing w:before="100" w:beforeAutospacing="1" w:after="100" w:afterAutospacing="1"/>
      <w:jc w:val="left"/>
    </w:pPr>
    <w:rPr>
      <w:rFonts w:hint="eastAsia" w:ascii="宋体" w:hAnsi="宋体"/>
      <w:sz w:val="24"/>
    </w:rPr>
  </w:style>
  <w:style w:type="paragraph" w:customStyle="1" w:styleId="259">
    <w:name w:val="正文文本 22"/>
    <w:basedOn w:val="1"/>
    <w:autoRedefine/>
    <w:qFormat/>
    <w:uiPriority w:val="0"/>
    <w:pPr>
      <w:tabs>
        <w:tab w:val="left" w:pos="560"/>
        <w:tab w:val="center" w:pos="8400"/>
      </w:tabs>
    </w:pPr>
    <w:rPr>
      <w:sz w:val="24"/>
    </w:rPr>
  </w:style>
  <w:style w:type="paragraph" w:customStyle="1" w:styleId="260">
    <w:name w:val="标题 42"/>
    <w:basedOn w:val="1"/>
    <w:next w:val="238"/>
    <w:autoRedefine/>
    <w:qFormat/>
    <w:uiPriority w:val="0"/>
    <w:pPr>
      <w:tabs>
        <w:tab w:val="left" w:pos="1021"/>
        <w:tab w:val="left" w:pos="1175"/>
      </w:tabs>
      <w:ind w:left="2" w:firstLine="2"/>
      <w:outlineLvl w:val="3"/>
    </w:pPr>
    <w:rPr>
      <w:snapToGrid w:val="0"/>
      <w:color w:val="000000"/>
      <w:kern w:val="0"/>
      <w:sz w:val="24"/>
    </w:rPr>
  </w:style>
  <w:style w:type="paragraph" w:customStyle="1" w:styleId="261">
    <w:name w:val="xl32"/>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hint="eastAsia" w:ascii="宋体" w:hAnsi="宋体"/>
      <w:color w:val="000000"/>
      <w:sz w:val="18"/>
    </w:rPr>
  </w:style>
  <w:style w:type="paragraph" w:customStyle="1" w:styleId="262">
    <w:name w:val="无间隔2"/>
    <w:autoRedefine/>
    <w:qFormat/>
    <w:uiPriority w:val="1"/>
    <w:rPr>
      <w:rFonts w:ascii="Calibri" w:hAnsi="Calibri" w:eastAsia="宋体" w:cs="Times New Roman"/>
      <w:sz w:val="22"/>
      <w:szCs w:val="22"/>
      <w:lang w:val="en-US" w:eastAsia="zh-CN" w:bidi="ar-SA"/>
    </w:rPr>
  </w:style>
  <w:style w:type="paragraph" w:customStyle="1" w:styleId="263">
    <w:name w:val="xl65"/>
    <w:basedOn w:val="1"/>
    <w:autoRedefine/>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hint="eastAsia" w:ascii="宋体" w:hAnsi="宋体"/>
    </w:rPr>
  </w:style>
  <w:style w:type="paragraph" w:customStyle="1" w:styleId="264">
    <w:name w:val="_Style 9"/>
    <w:basedOn w:val="1"/>
    <w:autoRedefine/>
    <w:qFormat/>
    <w:uiPriority w:val="0"/>
    <w:rPr>
      <w:rFonts w:ascii="宋体" w:cs="黑体"/>
      <w:kern w:val="0"/>
      <w:sz w:val="34"/>
    </w:rPr>
  </w:style>
  <w:style w:type="paragraph" w:customStyle="1" w:styleId="265">
    <w:name w:val="xl35"/>
    <w:basedOn w:val="1"/>
    <w:autoRedefine/>
    <w:qFormat/>
    <w:uiPriority w:val="0"/>
    <w:pPr>
      <w:widowControl/>
      <w:pBdr>
        <w:top w:val="single" w:color="auto" w:sz="4" w:space="0"/>
        <w:left w:val="single" w:color="auto" w:sz="8" w:space="0"/>
        <w:bottom w:val="single" w:color="auto" w:sz="4" w:space="0"/>
        <w:right w:val="single" w:color="auto" w:sz="4" w:space="0"/>
      </w:pBdr>
      <w:shd w:val="clear" w:color="auto" w:fill="FFFFFF"/>
      <w:spacing w:before="100" w:beforeAutospacing="1" w:after="100" w:afterAutospacing="1"/>
      <w:jc w:val="center"/>
      <w:textAlignment w:val="center"/>
    </w:pPr>
    <w:rPr>
      <w:rFonts w:hint="eastAsia"/>
      <w:color w:val="000000"/>
      <w:sz w:val="18"/>
    </w:rPr>
  </w:style>
  <w:style w:type="paragraph" w:customStyle="1" w:styleId="266">
    <w:name w:val="Char4"/>
    <w:basedOn w:val="1"/>
    <w:autoRedefine/>
    <w:qFormat/>
    <w:uiPriority w:val="99"/>
    <w:pPr>
      <w:tabs>
        <w:tab w:val="left" w:pos="360"/>
      </w:tabs>
      <w:ind w:left="360" w:hanging="360" w:hangingChars="200"/>
    </w:pPr>
    <w:rPr>
      <w:rFonts w:hint="eastAsia"/>
      <w:sz w:val="24"/>
    </w:rPr>
  </w:style>
  <w:style w:type="paragraph" w:customStyle="1" w:styleId="267">
    <w:name w:val="xl44"/>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textAlignment w:val="center"/>
    </w:pPr>
    <w:rPr>
      <w:rFonts w:hint="eastAsia" w:ascii="宋体" w:hAnsi="宋体"/>
      <w:color w:val="000000"/>
      <w:sz w:val="18"/>
    </w:rPr>
  </w:style>
  <w:style w:type="paragraph" w:customStyle="1" w:styleId="268">
    <w:name w:val="xl71"/>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hint="eastAsia" w:ascii="宋体" w:hAnsi="宋体"/>
    </w:rPr>
  </w:style>
  <w:style w:type="paragraph" w:customStyle="1" w:styleId="269">
    <w:name w:val="xl74"/>
    <w:basedOn w:val="1"/>
    <w:autoRedefine/>
    <w:qFormat/>
    <w:uiPriority w:val="0"/>
    <w:pPr>
      <w:widowControl/>
      <w:pBdr>
        <w:left w:val="single" w:color="auto" w:sz="8" w:space="0"/>
        <w:right w:val="single" w:color="auto" w:sz="8" w:space="0"/>
      </w:pBdr>
      <w:spacing w:before="100" w:beforeAutospacing="1" w:after="100" w:afterAutospacing="1"/>
      <w:jc w:val="center"/>
      <w:textAlignment w:val="center"/>
    </w:pPr>
    <w:rPr>
      <w:rFonts w:hint="eastAsia" w:ascii="宋体" w:hAnsi="宋体"/>
    </w:rPr>
  </w:style>
  <w:style w:type="paragraph" w:customStyle="1" w:styleId="270">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hint="eastAsia"/>
      <w:color w:val="000000"/>
      <w:sz w:val="18"/>
    </w:rPr>
  </w:style>
  <w:style w:type="paragraph" w:customStyle="1" w:styleId="271">
    <w:name w:val="标题 32"/>
    <w:basedOn w:val="1"/>
    <w:next w:val="1"/>
    <w:autoRedefine/>
    <w:qFormat/>
    <w:uiPriority w:val="0"/>
    <w:pPr>
      <w:spacing w:before="60" w:line="300" w:lineRule="auto"/>
      <w:outlineLvl w:val="2"/>
    </w:pPr>
    <w:rPr>
      <w:rFonts w:hint="eastAsia" w:ascii="宋体" w:hAnsi="宋体"/>
      <w:snapToGrid w:val="0"/>
      <w:kern w:val="0"/>
      <w:sz w:val="24"/>
    </w:rPr>
  </w:style>
  <w:style w:type="paragraph" w:customStyle="1" w:styleId="272">
    <w:name w:val="样式3"/>
    <w:basedOn w:val="1"/>
    <w:next w:val="1"/>
    <w:link w:val="499"/>
    <w:autoRedefine/>
    <w:qFormat/>
    <w:uiPriority w:val="0"/>
    <w:pPr>
      <w:spacing w:line="360" w:lineRule="auto"/>
      <w:ind w:firstLine="480"/>
      <w:jc w:val="left"/>
    </w:pPr>
    <w:rPr>
      <w:rFonts w:ascii="宋体"/>
      <w:sz w:val="24"/>
      <w:szCs w:val="22"/>
    </w:rPr>
  </w:style>
  <w:style w:type="paragraph" w:customStyle="1" w:styleId="273">
    <w:name w:val="xl4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int="eastAsia"/>
      <w:color w:val="000000"/>
      <w:sz w:val="20"/>
    </w:rPr>
  </w:style>
  <w:style w:type="paragraph" w:customStyle="1" w:styleId="274">
    <w:name w:val="xl25"/>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hint="eastAsia"/>
      <w:color w:val="000000"/>
      <w:sz w:val="18"/>
    </w:rPr>
  </w:style>
  <w:style w:type="paragraph" w:customStyle="1" w:styleId="275">
    <w:name w:val="样式 正文缩进 + 首行缩进:  2 字符 段前: 1 行 段后: 1 行"/>
    <w:basedOn w:val="238"/>
    <w:autoRedefine/>
    <w:qFormat/>
    <w:uiPriority w:val="0"/>
    <w:pPr>
      <w:tabs>
        <w:tab w:val="clear" w:pos="720"/>
      </w:tabs>
      <w:spacing w:beforeLines="100" w:afterLines="100" w:line="360" w:lineRule="auto"/>
      <w:ind w:left="0" w:firstLine="0"/>
      <w:textAlignment w:val="auto"/>
    </w:pPr>
    <w:rPr>
      <w:rFonts w:ascii="Times New Roman"/>
    </w:rPr>
  </w:style>
  <w:style w:type="paragraph" w:customStyle="1" w:styleId="276">
    <w:name w:val="xl69"/>
    <w:basedOn w:val="1"/>
    <w:autoRedefine/>
    <w:qFormat/>
    <w:uiPriority w:val="0"/>
    <w:pPr>
      <w:widowControl/>
      <w:pBdr>
        <w:bottom w:val="single" w:color="auto" w:sz="8" w:space="0"/>
        <w:right w:val="single" w:color="auto" w:sz="8" w:space="0"/>
      </w:pBdr>
      <w:spacing w:before="100" w:beforeAutospacing="1" w:after="100" w:afterAutospacing="1"/>
      <w:jc w:val="center"/>
      <w:textAlignment w:val="center"/>
    </w:pPr>
    <w:rPr>
      <w:rFonts w:hint="eastAsia" w:ascii="宋体" w:hAnsi="宋体"/>
    </w:rPr>
  </w:style>
  <w:style w:type="paragraph" w:customStyle="1" w:styleId="277">
    <w:name w:val="Char Char Char Char Char Char Char"/>
    <w:basedOn w:val="1"/>
    <w:autoRedefine/>
    <w:qFormat/>
    <w:uiPriority w:val="0"/>
    <w:pPr>
      <w:widowControl/>
      <w:snapToGrid w:val="0"/>
      <w:spacing w:line="360" w:lineRule="auto"/>
      <w:ind w:firstLine="200" w:firstLineChars="200"/>
      <w:jc w:val="left"/>
    </w:pPr>
    <w:rPr>
      <w:rFonts w:ascii="Calibri" w:hAnsi="Calibri"/>
      <w:kern w:val="0"/>
      <w:sz w:val="24"/>
      <w:lang w:eastAsia="en-US" w:bidi="en-US"/>
    </w:rPr>
  </w:style>
  <w:style w:type="paragraph" w:customStyle="1" w:styleId="278">
    <w:name w:val="xl3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hint="eastAsia"/>
      <w:color w:val="000000"/>
      <w:sz w:val="18"/>
    </w:rPr>
  </w:style>
  <w:style w:type="paragraph" w:customStyle="1" w:styleId="279">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宋体" w:hAnsi="宋体"/>
      <w:color w:val="000000"/>
      <w:sz w:val="20"/>
    </w:rPr>
  </w:style>
  <w:style w:type="paragraph" w:customStyle="1" w:styleId="280">
    <w:name w:val="content5"/>
    <w:basedOn w:val="1"/>
    <w:autoRedefine/>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281">
    <w:name w:val="Char Char1 Char Char Char Char Char Char Char Char Char Char"/>
    <w:basedOn w:val="1"/>
    <w:autoRedefine/>
    <w:qFormat/>
    <w:uiPriority w:val="0"/>
    <w:rPr>
      <w:sz w:val="24"/>
    </w:rPr>
  </w:style>
  <w:style w:type="paragraph" w:customStyle="1" w:styleId="282">
    <w:name w:val="Char1"/>
    <w:basedOn w:val="1"/>
    <w:autoRedefine/>
    <w:qFormat/>
    <w:uiPriority w:val="0"/>
    <w:pPr>
      <w:widowControl/>
      <w:spacing w:after="160" w:line="240" w:lineRule="exact"/>
      <w:jc w:val="left"/>
    </w:pPr>
  </w:style>
  <w:style w:type="paragraph" w:customStyle="1" w:styleId="283">
    <w:name w:val="12v"/>
    <w:basedOn w:val="1"/>
    <w:autoRedefine/>
    <w:qFormat/>
    <w:uiPriority w:val="0"/>
    <w:pPr>
      <w:widowControl/>
      <w:spacing w:before="100" w:beforeAutospacing="1" w:after="100" w:afterAutospacing="1"/>
      <w:jc w:val="left"/>
    </w:pPr>
    <w:rPr>
      <w:rFonts w:hint="eastAsia" w:hAnsi="宋体"/>
      <w:sz w:val="24"/>
    </w:rPr>
  </w:style>
  <w:style w:type="paragraph" w:customStyle="1" w:styleId="284">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hint="eastAsia" w:ascii="宋体" w:hAnsi="宋体"/>
      <w:color w:val="000000"/>
      <w:sz w:val="18"/>
    </w:rPr>
  </w:style>
  <w:style w:type="paragraph" w:customStyle="1" w:styleId="285">
    <w:name w:val="font8"/>
    <w:basedOn w:val="1"/>
    <w:autoRedefine/>
    <w:qFormat/>
    <w:uiPriority w:val="0"/>
    <w:pPr>
      <w:widowControl/>
      <w:spacing w:before="100" w:beforeAutospacing="1" w:after="100" w:afterAutospacing="1"/>
      <w:jc w:val="left"/>
    </w:pPr>
    <w:rPr>
      <w:rFonts w:hint="eastAsia"/>
      <w:color w:val="000000"/>
      <w:sz w:val="18"/>
    </w:rPr>
  </w:style>
  <w:style w:type="paragraph" w:customStyle="1" w:styleId="286">
    <w:name w:val="xl3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hint="eastAsia" w:ascii="宋体" w:hAnsi="宋体"/>
      <w:color w:val="000000"/>
      <w:sz w:val="18"/>
    </w:rPr>
  </w:style>
  <w:style w:type="paragraph" w:customStyle="1" w:styleId="287">
    <w:name w:val="段"/>
    <w:link w:val="463"/>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88">
    <w:name w:val="标题 62"/>
    <w:basedOn w:val="1"/>
    <w:next w:val="238"/>
    <w:autoRedefine/>
    <w:qFormat/>
    <w:uiPriority w:val="0"/>
    <w:pPr>
      <w:keepNext/>
      <w:tabs>
        <w:tab w:val="left" w:pos="1152"/>
      </w:tabs>
      <w:spacing w:before="240" w:after="64" w:line="320" w:lineRule="auto"/>
      <w:outlineLvl w:val="5"/>
    </w:pPr>
    <w:rPr>
      <w:rFonts w:hint="eastAsia" w:ascii="Arial" w:hAnsi="Arial" w:eastAsia="黑体"/>
      <w:b/>
      <w:sz w:val="24"/>
    </w:rPr>
  </w:style>
  <w:style w:type="paragraph" w:customStyle="1" w:styleId="289">
    <w:name w:val="修订1"/>
    <w:autoRedefine/>
    <w:semiHidden/>
    <w:qFormat/>
    <w:uiPriority w:val="99"/>
    <w:rPr>
      <w:rFonts w:ascii="Times New Roman" w:hAnsi="Times New Roman" w:eastAsia="宋体" w:cs="Times New Roman"/>
      <w:kern w:val="2"/>
      <w:sz w:val="21"/>
      <w:lang w:val="en-US" w:eastAsia="zh-CN" w:bidi="ar-SA"/>
    </w:rPr>
  </w:style>
  <w:style w:type="paragraph" w:customStyle="1" w:styleId="290">
    <w:name w:val="_Style 3"/>
    <w:basedOn w:val="3"/>
    <w:next w:val="1"/>
    <w:autoRedefine/>
    <w:qFormat/>
    <w:uiPriority w:val="39"/>
    <w:pPr>
      <w:keepLines/>
      <w:tabs>
        <w:tab w:val="clear" w:pos="885"/>
      </w:tabs>
      <w:spacing w:line="259" w:lineRule="auto"/>
      <w:ind w:left="0" w:firstLine="0"/>
      <w:jc w:val="left"/>
      <w:outlineLvl w:val="9"/>
    </w:pPr>
    <w:rPr>
      <w:rFonts w:ascii="Calibri Light" w:hAnsi="Calibri Light" w:eastAsia="宋体"/>
      <w:color w:val="2E74B5"/>
      <w:kern w:val="0"/>
      <w:sz w:val="32"/>
      <w:szCs w:val="32"/>
    </w:rPr>
  </w:style>
  <w:style w:type="paragraph" w:customStyle="1" w:styleId="291">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hint="eastAsia" w:ascii="Arial" w:hAnsi="Arial"/>
      <w:color w:val="000000"/>
      <w:sz w:val="18"/>
    </w:rPr>
  </w:style>
  <w:style w:type="paragraph" w:customStyle="1" w:styleId="292">
    <w:name w:val="xl70"/>
    <w:basedOn w:val="1"/>
    <w:autoRedefine/>
    <w:qFormat/>
    <w:uiPriority w:val="0"/>
    <w:pPr>
      <w:widowControl/>
      <w:pBdr>
        <w:bottom w:val="single" w:color="auto" w:sz="8" w:space="0"/>
        <w:right w:val="single" w:color="auto" w:sz="8" w:space="0"/>
      </w:pBdr>
      <w:spacing w:before="100" w:beforeAutospacing="1" w:after="100" w:afterAutospacing="1"/>
      <w:textAlignment w:val="center"/>
    </w:pPr>
    <w:rPr>
      <w:rFonts w:hint="eastAsia" w:ascii="宋体" w:hAnsi="宋体"/>
    </w:rPr>
  </w:style>
  <w:style w:type="paragraph" w:customStyle="1" w:styleId="293">
    <w:name w:val="_Style 2"/>
    <w:basedOn w:val="1"/>
    <w:autoRedefine/>
    <w:qFormat/>
    <w:uiPriority w:val="0"/>
    <w:rPr>
      <w:szCs w:val="24"/>
    </w:rPr>
  </w:style>
  <w:style w:type="paragraph" w:customStyle="1" w:styleId="294">
    <w:name w:val="样式1－1"/>
    <w:basedOn w:val="1"/>
    <w:autoRedefine/>
    <w:qFormat/>
    <w:uiPriority w:val="0"/>
    <w:pPr>
      <w:tabs>
        <w:tab w:val="left" w:pos="560"/>
        <w:tab w:val="center" w:pos="8400"/>
      </w:tabs>
      <w:spacing w:line="360" w:lineRule="atLeast"/>
      <w:textAlignment w:val="baseline"/>
    </w:pPr>
    <w:rPr>
      <w:rFonts w:hint="eastAsia"/>
      <w:sz w:val="28"/>
    </w:rPr>
  </w:style>
  <w:style w:type="paragraph" w:customStyle="1" w:styleId="295">
    <w:name w:val="Char Char17 Char Char"/>
    <w:basedOn w:val="20"/>
    <w:autoRedefine/>
    <w:qFormat/>
    <w:uiPriority w:val="0"/>
    <w:pPr>
      <w:widowControl/>
      <w:jc w:val="left"/>
    </w:pPr>
  </w:style>
  <w:style w:type="paragraph" w:customStyle="1" w:styleId="296">
    <w:name w:val="Char Char Char Char Char Char Char1"/>
    <w:basedOn w:val="1"/>
    <w:autoRedefine/>
    <w:qFormat/>
    <w:uiPriority w:val="0"/>
    <w:rPr>
      <w:rFonts w:hint="eastAsia" w:ascii="仿宋_GB2312" w:eastAsia="仿宋_GB2312"/>
      <w:b/>
      <w:sz w:val="32"/>
    </w:rPr>
  </w:style>
  <w:style w:type="paragraph" w:customStyle="1" w:styleId="297">
    <w:name w:val="样式 标题 2标题 1.1编号标题2 + 段前: 1 行 段后: 1 行"/>
    <w:basedOn w:val="298"/>
    <w:autoRedefine/>
    <w:qFormat/>
    <w:uiPriority w:val="0"/>
    <w:pPr>
      <w:spacing w:beforeLines="100" w:afterLines="100" w:line="360" w:lineRule="auto"/>
    </w:pPr>
    <w:rPr>
      <w:rFonts w:eastAsia="黑体"/>
      <w:b w:val="0"/>
    </w:rPr>
  </w:style>
  <w:style w:type="paragraph" w:customStyle="1" w:styleId="298">
    <w:name w:val="标题 22"/>
    <w:basedOn w:val="1"/>
    <w:next w:val="238"/>
    <w:autoRedefine/>
    <w:qFormat/>
    <w:uiPriority w:val="0"/>
    <w:pPr>
      <w:spacing w:before="240" w:line="300" w:lineRule="auto"/>
      <w:outlineLvl w:val="1"/>
    </w:pPr>
    <w:rPr>
      <w:rFonts w:hint="eastAsia" w:ascii="宋体" w:hAnsi="宋体"/>
      <w:b/>
      <w:snapToGrid w:val="0"/>
      <w:kern w:val="0"/>
      <w:sz w:val="28"/>
    </w:rPr>
  </w:style>
  <w:style w:type="paragraph" w:customStyle="1" w:styleId="299">
    <w:name w:val="xl4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hint="eastAsia"/>
      <w:color w:val="000000"/>
      <w:sz w:val="18"/>
    </w:rPr>
  </w:style>
  <w:style w:type="paragraph" w:customStyle="1" w:styleId="300">
    <w:name w:val="普通(网站)2"/>
    <w:basedOn w:val="1"/>
    <w:autoRedefine/>
    <w:qFormat/>
    <w:uiPriority w:val="0"/>
    <w:pPr>
      <w:widowControl/>
      <w:spacing w:before="100" w:beforeAutospacing="1" w:after="100" w:afterAutospacing="1"/>
      <w:jc w:val="left"/>
    </w:pPr>
    <w:rPr>
      <w:rFonts w:hint="eastAsia" w:hAnsi="宋体"/>
      <w:sz w:val="24"/>
    </w:rPr>
  </w:style>
  <w:style w:type="paragraph" w:customStyle="1" w:styleId="301">
    <w:name w:val="p0"/>
    <w:basedOn w:val="1"/>
    <w:link w:val="302"/>
    <w:autoRedefine/>
    <w:qFormat/>
    <w:uiPriority w:val="0"/>
    <w:pPr>
      <w:widowControl/>
      <w:spacing w:before="100" w:beforeAutospacing="1" w:after="100" w:afterAutospacing="1"/>
      <w:jc w:val="left"/>
    </w:pPr>
    <w:rPr>
      <w:rFonts w:hint="eastAsia" w:ascii="宋体" w:hAnsi="宋体"/>
      <w:sz w:val="24"/>
    </w:rPr>
  </w:style>
  <w:style w:type="character" w:customStyle="1" w:styleId="302">
    <w:name w:val="p0 Char"/>
    <w:link w:val="301"/>
    <w:autoRedefine/>
    <w:qFormat/>
    <w:uiPriority w:val="0"/>
    <w:rPr>
      <w:rFonts w:ascii="宋体" w:hAnsi="宋体"/>
      <w:kern w:val="2"/>
      <w:sz w:val="24"/>
    </w:rPr>
  </w:style>
  <w:style w:type="paragraph" w:customStyle="1" w:styleId="303">
    <w:name w:val="文档结构图1"/>
    <w:basedOn w:val="1"/>
    <w:autoRedefine/>
    <w:qFormat/>
    <w:uiPriority w:val="0"/>
    <w:pPr>
      <w:shd w:val="clear" w:color="auto" w:fill="000080"/>
    </w:pPr>
    <w:rPr>
      <w:szCs w:val="24"/>
    </w:rPr>
  </w:style>
  <w:style w:type="paragraph" w:customStyle="1" w:styleId="304">
    <w:name w:val="Char"/>
    <w:basedOn w:val="1"/>
    <w:autoRedefine/>
    <w:qFormat/>
    <w:uiPriority w:val="0"/>
    <w:rPr>
      <w:sz w:val="24"/>
    </w:rPr>
  </w:style>
  <w:style w:type="paragraph" w:customStyle="1" w:styleId="305">
    <w:name w:val="样式 行距: 1.5 倍行距"/>
    <w:basedOn w:val="1"/>
    <w:autoRedefine/>
    <w:qFormat/>
    <w:uiPriority w:val="0"/>
    <w:pPr>
      <w:spacing w:line="360" w:lineRule="auto"/>
    </w:pPr>
    <w:rPr>
      <w:rFonts w:cs="宋体"/>
    </w:rPr>
  </w:style>
  <w:style w:type="paragraph" w:customStyle="1" w:styleId="306">
    <w:name w:val="xl78"/>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hint="eastAsia" w:ascii="宋体" w:hAnsi="宋体"/>
      <w:sz w:val="24"/>
    </w:rPr>
  </w:style>
  <w:style w:type="paragraph" w:customStyle="1" w:styleId="307">
    <w:name w:val="xl50"/>
    <w:basedOn w:val="1"/>
    <w:autoRedefine/>
    <w:qFormat/>
    <w:uiPriority w:val="0"/>
    <w:pPr>
      <w:widowControl/>
      <w:pBdr>
        <w:top w:val="single" w:color="auto" w:sz="4" w:space="0"/>
        <w:left w:val="single" w:color="auto" w:sz="8" w:space="0"/>
        <w:right w:val="single" w:color="auto" w:sz="4" w:space="0"/>
      </w:pBdr>
      <w:spacing w:before="100" w:beforeAutospacing="1" w:after="100" w:afterAutospacing="1"/>
      <w:jc w:val="center"/>
      <w:textAlignment w:val="center"/>
    </w:pPr>
    <w:rPr>
      <w:rFonts w:hint="eastAsia"/>
      <w:color w:val="000000"/>
      <w:sz w:val="18"/>
    </w:rPr>
  </w:style>
  <w:style w:type="paragraph" w:customStyle="1" w:styleId="308">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hint="eastAsia"/>
      <w:color w:val="000000"/>
      <w:sz w:val="18"/>
    </w:rPr>
  </w:style>
  <w:style w:type="paragraph" w:customStyle="1" w:styleId="309">
    <w:name w:val="Char Char Char Char"/>
    <w:basedOn w:val="1"/>
    <w:autoRedefine/>
    <w:qFormat/>
    <w:uiPriority w:val="0"/>
  </w:style>
  <w:style w:type="paragraph" w:customStyle="1" w:styleId="310">
    <w:name w:val="末级"/>
    <w:basedOn w:val="1"/>
    <w:autoRedefine/>
    <w:qFormat/>
    <w:uiPriority w:val="0"/>
    <w:pPr>
      <w:tabs>
        <w:tab w:val="left" w:pos="1260"/>
      </w:tabs>
    </w:pPr>
    <w:rPr>
      <w:rFonts w:hint="eastAsia"/>
      <w:sz w:val="24"/>
    </w:rPr>
  </w:style>
  <w:style w:type="paragraph" w:customStyle="1" w:styleId="311">
    <w:name w:val="列出段落3"/>
    <w:basedOn w:val="1"/>
    <w:autoRedefine/>
    <w:unhideWhenUsed/>
    <w:qFormat/>
    <w:uiPriority w:val="99"/>
    <w:pPr>
      <w:ind w:firstLine="420" w:firstLineChars="200"/>
    </w:pPr>
    <w:rPr>
      <w:rFonts w:ascii="Calibri" w:hAnsi="Calibri"/>
      <w:szCs w:val="22"/>
    </w:rPr>
  </w:style>
  <w:style w:type="paragraph" w:customStyle="1" w:styleId="312">
    <w:name w:val="xl67"/>
    <w:basedOn w:val="1"/>
    <w:autoRedefine/>
    <w:qFormat/>
    <w:uiPriority w:val="0"/>
    <w:pPr>
      <w:widowControl/>
      <w:pBdr>
        <w:right w:val="single" w:color="auto" w:sz="8" w:space="0"/>
      </w:pBdr>
      <w:spacing w:before="100" w:beforeAutospacing="1" w:after="100" w:afterAutospacing="1"/>
      <w:jc w:val="center"/>
      <w:textAlignment w:val="center"/>
    </w:pPr>
    <w:rPr>
      <w:rFonts w:hint="eastAsia" w:ascii="宋体" w:hAnsi="宋体"/>
    </w:rPr>
  </w:style>
  <w:style w:type="paragraph" w:customStyle="1" w:styleId="313">
    <w:name w:val="列出段落11"/>
    <w:basedOn w:val="1"/>
    <w:autoRedefine/>
    <w:qFormat/>
    <w:uiPriority w:val="34"/>
    <w:pPr>
      <w:ind w:firstLine="420" w:firstLineChars="200"/>
    </w:pPr>
    <w:rPr>
      <w:rFonts w:ascii="Calibri" w:hAnsi="Calibri" w:cs="宋体"/>
      <w:szCs w:val="21"/>
    </w:rPr>
  </w:style>
  <w:style w:type="paragraph" w:customStyle="1" w:styleId="314">
    <w:name w:val="正文文本缩进 22"/>
    <w:basedOn w:val="1"/>
    <w:autoRedefine/>
    <w:qFormat/>
    <w:uiPriority w:val="0"/>
    <w:pPr>
      <w:ind w:left="1021"/>
    </w:pPr>
    <w:rPr>
      <w:rFonts w:hint="eastAsia" w:ascii="宋体"/>
      <w:color w:val="000000"/>
      <w:kern w:val="0"/>
    </w:rPr>
  </w:style>
  <w:style w:type="paragraph" w:customStyle="1" w:styleId="315">
    <w:name w:val="列出段落21"/>
    <w:basedOn w:val="1"/>
    <w:autoRedefine/>
    <w:unhideWhenUsed/>
    <w:qFormat/>
    <w:uiPriority w:val="99"/>
    <w:pPr>
      <w:ind w:firstLine="420" w:firstLineChars="200"/>
    </w:pPr>
    <w:rPr>
      <w:rFonts w:ascii="Calibri" w:hAnsi="Calibri"/>
      <w:szCs w:val="22"/>
    </w:rPr>
  </w:style>
  <w:style w:type="paragraph" w:customStyle="1" w:styleId="316">
    <w:name w:val="5正文"/>
    <w:autoRedefine/>
    <w:qFormat/>
    <w:uiPriority w:val="0"/>
    <w:pPr>
      <w:widowControl w:val="0"/>
      <w:adjustRightInd w:val="0"/>
      <w:snapToGrid w:val="0"/>
      <w:spacing w:line="500" w:lineRule="exact"/>
      <w:ind w:firstLine="200" w:firstLineChars="200"/>
    </w:pPr>
    <w:rPr>
      <w:rFonts w:ascii="宋体" w:hAnsi="Times New Roman" w:eastAsia="宋体" w:cs="Times New Roman"/>
      <w:sz w:val="24"/>
      <w:szCs w:val="24"/>
      <w:lang w:val="en-US" w:eastAsia="zh-CN" w:bidi="ar-SA"/>
    </w:rPr>
  </w:style>
  <w:style w:type="paragraph" w:customStyle="1" w:styleId="317">
    <w:name w:val="xl3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hint="eastAsia" w:ascii="宋体" w:hAnsi="宋体"/>
      <w:color w:val="000000"/>
      <w:sz w:val="18"/>
    </w:rPr>
  </w:style>
  <w:style w:type="paragraph" w:customStyle="1" w:styleId="318">
    <w:name w:val="Char2"/>
    <w:basedOn w:val="1"/>
    <w:autoRedefine/>
    <w:qFormat/>
    <w:uiPriority w:val="0"/>
    <w:rPr>
      <w:rFonts w:hint="eastAsia" w:ascii="仿宋_GB2312" w:eastAsia="仿宋_GB2312"/>
      <w:b/>
      <w:sz w:val="32"/>
    </w:rPr>
  </w:style>
  <w:style w:type="paragraph" w:customStyle="1" w:styleId="319">
    <w:name w:val="标题 52"/>
    <w:basedOn w:val="1"/>
    <w:next w:val="238"/>
    <w:autoRedefine/>
    <w:qFormat/>
    <w:uiPriority w:val="0"/>
    <w:pPr>
      <w:keepNext/>
      <w:tabs>
        <w:tab w:val="left" w:pos="1008"/>
      </w:tabs>
      <w:spacing w:before="280" w:after="290" w:line="376" w:lineRule="auto"/>
      <w:outlineLvl w:val="4"/>
    </w:pPr>
    <w:rPr>
      <w:b/>
      <w:sz w:val="24"/>
    </w:rPr>
  </w:style>
  <w:style w:type="paragraph" w:customStyle="1" w:styleId="320">
    <w:name w:val="xl39"/>
    <w:basedOn w:val="1"/>
    <w:autoRedefine/>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textAlignment w:val="center"/>
    </w:pPr>
    <w:rPr>
      <w:rFonts w:hint="eastAsia" w:ascii="宋体" w:hAnsi="宋体"/>
      <w:color w:val="000000"/>
      <w:sz w:val="18"/>
    </w:rPr>
  </w:style>
  <w:style w:type="paragraph" w:customStyle="1" w:styleId="321">
    <w:name w:val="普通(网站)1"/>
    <w:basedOn w:val="1"/>
    <w:autoRedefine/>
    <w:qFormat/>
    <w:uiPriority w:val="0"/>
    <w:pPr>
      <w:widowControl/>
      <w:jc w:val="left"/>
    </w:pPr>
    <w:rPr>
      <w:rFonts w:hint="eastAsia" w:ascii="宋体" w:hAnsi="宋体"/>
      <w:sz w:val="24"/>
      <w:szCs w:val="24"/>
    </w:rPr>
  </w:style>
  <w:style w:type="paragraph" w:customStyle="1" w:styleId="322">
    <w:name w:val="xl66"/>
    <w:basedOn w:val="1"/>
    <w:autoRedefine/>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hint="eastAsia" w:ascii="宋体" w:hAnsi="宋体"/>
    </w:rPr>
  </w:style>
  <w:style w:type="paragraph" w:customStyle="1" w:styleId="323">
    <w:name w:val="列出段落2"/>
    <w:basedOn w:val="1"/>
    <w:autoRedefine/>
    <w:qFormat/>
    <w:uiPriority w:val="0"/>
    <w:pPr>
      <w:ind w:firstLine="420" w:firstLineChars="200"/>
    </w:pPr>
    <w:rPr>
      <w:szCs w:val="24"/>
    </w:rPr>
  </w:style>
  <w:style w:type="paragraph" w:customStyle="1" w:styleId="324">
    <w:name w:val="列出段落4"/>
    <w:basedOn w:val="1"/>
    <w:autoRedefine/>
    <w:qFormat/>
    <w:uiPriority w:val="0"/>
    <w:pPr>
      <w:ind w:firstLine="420" w:firstLineChars="200"/>
    </w:pPr>
    <w:rPr>
      <w:rFonts w:hint="eastAsia"/>
    </w:rPr>
  </w:style>
  <w:style w:type="paragraph" w:customStyle="1" w:styleId="325">
    <w:name w:val="xl51"/>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hint="eastAsia" w:ascii="宋体" w:hAnsi="宋体"/>
      <w:color w:val="000000"/>
      <w:sz w:val="18"/>
    </w:rPr>
  </w:style>
  <w:style w:type="paragraph" w:customStyle="1" w:styleId="326">
    <w:name w:val="xl52"/>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hint="eastAsia"/>
      <w:color w:val="000000"/>
      <w:sz w:val="18"/>
    </w:rPr>
  </w:style>
  <w:style w:type="paragraph" w:customStyle="1" w:styleId="327">
    <w:name w:val="TOC 标题1"/>
    <w:basedOn w:val="3"/>
    <w:next w:val="1"/>
    <w:autoRedefine/>
    <w:qFormat/>
    <w:uiPriority w:val="39"/>
    <w:pPr>
      <w:keepLines/>
      <w:widowControl w:val="0"/>
      <w:tabs>
        <w:tab w:val="clear" w:pos="885"/>
      </w:tabs>
      <w:spacing w:before="340" w:after="330" w:line="578" w:lineRule="auto"/>
      <w:ind w:left="0" w:firstLine="0"/>
      <w:jc w:val="both"/>
      <w:outlineLvl w:val="9"/>
    </w:pPr>
    <w:rPr>
      <w:rFonts w:ascii="Times New Roman" w:hAnsi="Times New Roman" w:eastAsia="宋体"/>
      <w:bCs/>
      <w:kern w:val="44"/>
      <w:sz w:val="44"/>
      <w:szCs w:val="44"/>
    </w:rPr>
  </w:style>
  <w:style w:type="paragraph" w:customStyle="1" w:styleId="328">
    <w:name w:val="TOC 标题11"/>
    <w:basedOn w:val="3"/>
    <w:next w:val="1"/>
    <w:autoRedefine/>
    <w:qFormat/>
    <w:uiPriority w:val="0"/>
    <w:pPr>
      <w:keepLines/>
      <w:tabs>
        <w:tab w:val="clear" w:pos="885"/>
      </w:tabs>
      <w:spacing w:before="480" w:line="276" w:lineRule="auto"/>
      <w:ind w:left="0" w:firstLine="0"/>
      <w:jc w:val="left"/>
      <w:outlineLvl w:val="9"/>
    </w:pPr>
    <w:rPr>
      <w:rFonts w:ascii="Cambria" w:hAnsi="Cambria" w:eastAsia="宋体"/>
      <w:bCs/>
      <w:color w:val="365F91"/>
      <w:kern w:val="0"/>
      <w:sz w:val="28"/>
      <w:szCs w:val="28"/>
    </w:rPr>
  </w:style>
  <w:style w:type="paragraph" w:customStyle="1" w:styleId="329">
    <w:name w:val="font5"/>
    <w:basedOn w:val="1"/>
    <w:autoRedefine/>
    <w:qFormat/>
    <w:uiPriority w:val="0"/>
    <w:pPr>
      <w:widowControl/>
      <w:spacing w:before="100" w:beforeAutospacing="1" w:after="100" w:afterAutospacing="1"/>
      <w:jc w:val="left"/>
    </w:pPr>
    <w:rPr>
      <w:rFonts w:hint="eastAsia" w:ascii="宋体" w:hAnsi="宋体"/>
      <w:sz w:val="18"/>
    </w:rPr>
  </w:style>
  <w:style w:type="paragraph" w:customStyle="1" w:styleId="330">
    <w:name w:val="font7"/>
    <w:basedOn w:val="1"/>
    <w:autoRedefine/>
    <w:qFormat/>
    <w:uiPriority w:val="0"/>
    <w:pPr>
      <w:widowControl/>
      <w:spacing w:before="100" w:beforeAutospacing="1" w:after="100" w:afterAutospacing="1"/>
      <w:jc w:val="left"/>
    </w:pPr>
    <w:rPr>
      <w:rFonts w:hint="eastAsia" w:ascii="宋体" w:hAnsi="宋体"/>
      <w:color w:val="000000"/>
      <w:sz w:val="20"/>
    </w:rPr>
  </w:style>
  <w:style w:type="paragraph" w:customStyle="1" w:styleId="331">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color w:val="000000"/>
      <w:sz w:val="18"/>
    </w:rPr>
  </w:style>
  <w:style w:type="paragraph" w:customStyle="1" w:styleId="332">
    <w:name w:val="font6"/>
    <w:basedOn w:val="1"/>
    <w:autoRedefine/>
    <w:qFormat/>
    <w:uiPriority w:val="0"/>
    <w:pPr>
      <w:widowControl/>
      <w:spacing w:before="100" w:beforeAutospacing="1" w:after="100" w:afterAutospacing="1"/>
      <w:jc w:val="left"/>
    </w:pPr>
    <w:rPr>
      <w:rFonts w:hint="eastAsia" w:ascii="宋体" w:hAnsi="宋体"/>
      <w:color w:val="000000"/>
      <w:sz w:val="18"/>
    </w:rPr>
  </w:style>
  <w:style w:type="paragraph" w:customStyle="1" w:styleId="333">
    <w:name w:val="TOC 标题12"/>
    <w:basedOn w:val="3"/>
    <w:next w:val="1"/>
    <w:autoRedefine/>
    <w:qFormat/>
    <w:uiPriority w:val="39"/>
    <w:pPr>
      <w:keepLines/>
      <w:tabs>
        <w:tab w:val="clear" w:pos="885"/>
      </w:tabs>
      <w:spacing w:before="480" w:line="276" w:lineRule="auto"/>
      <w:ind w:left="0" w:firstLine="0"/>
      <w:jc w:val="left"/>
      <w:outlineLvl w:val="9"/>
    </w:pPr>
    <w:rPr>
      <w:rFonts w:ascii="Cambria" w:hAnsi="Cambria" w:eastAsia="宋体"/>
      <w:bCs/>
      <w:color w:val="365F91"/>
      <w:kern w:val="0"/>
      <w:sz w:val="28"/>
      <w:szCs w:val="28"/>
    </w:rPr>
  </w:style>
  <w:style w:type="paragraph" w:customStyle="1" w:styleId="334">
    <w:name w:val="普通文字 Char"/>
    <w:basedOn w:val="1"/>
    <w:next w:val="33"/>
    <w:autoRedefine/>
    <w:qFormat/>
    <w:uiPriority w:val="0"/>
    <w:rPr>
      <w:rFonts w:hint="eastAsia" w:hAnsi="Courier New"/>
    </w:rPr>
  </w:style>
  <w:style w:type="paragraph" w:customStyle="1" w:styleId="335">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color w:val="000000"/>
      <w:sz w:val="18"/>
    </w:rPr>
  </w:style>
  <w:style w:type="paragraph" w:customStyle="1" w:styleId="336">
    <w:name w:val="Char11"/>
    <w:basedOn w:val="1"/>
    <w:autoRedefine/>
    <w:qFormat/>
    <w:uiPriority w:val="99"/>
    <w:rPr>
      <w:rFonts w:hint="eastAsia" w:ascii="仿宋_GB2312" w:eastAsia="仿宋_GB2312"/>
      <w:b/>
      <w:sz w:val="32"/>
    </w:rPr>
  </w:style>
  <w:style w:type="paragraph" w:customStyle="1" w:styleId="337">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hint="eastAsia" w:ascii="宋体" w:hAnsi="宋体"/>
      <w:color w:val="000000"/>
      <w:sz w:val="18"/>
    </w:rPr>
  </w:style>
  <w:style w:type="paragraph" w:customStyle="1" w:styleId="338">
    <w:name w:val="样式 标题 3Char标题 3 Char + 左"/>
    <w:basedOn w:val="237"/>
    <w:autoRedefine/>
    <w:qFormat/>
    <w:uiPriority w:val="0"/>
    <w:pPr>
      <w:tabs>
        <w:tab w:val="left" w:pos="1200"/>
      </w:tabs>
      <w:spacing w:before="0"/>
      <w:jc w:val="left"/>
    </w:pPr>
    <w:rPr>
      <w:rFonts w:ascii="Arial" w:hAnsi="Arial"/>
      <w:color w:val="000000"/>
      <w:kern w:val="2"/>
    </w:rPr>
  </w:style>
  <w:style w:type="paragraph" w:customStyle="1" w:styleId="339">
    <w:name w:val="_Style 73"/>
    <w:basedOn w:val="1"/>
    <w:autoRedefine/>
    <w:semiHidden/>
    <w:qFormat/>
    <w:uiPriority w:val="0"/>
    <w:pPr>
      <w:adjustRightInd w:val="0"/>
      <w:spacing w:line="360" w:lineRule="auto"/>
    </w:pPr>
    <w:rPr>
      <w:sz w:val="24"/>
      <w:szCs w:val="24"/>
    </w:rPr>
  </w:style>
  <w:style w:type="paragraph" w:customStyle="1" w:styleId="340">
    <w:name w:val="standard"/>
    <w:basedOn w:val="1"/>
    <w:autoRedefine/>
    <w:qFormat/>
    <w:uiPriority w:val="0"/>
    <w:pPr>
      <w:widowControl/>
      <w:spacing w:before="100" w:after="100"/>
      <w:jc w:val="left"/>
    </w:pPr>
    <w:rPr>
      <w:rFonts w:ascii="Arial Unicode MS" w:hAnsi="Arial Unicode MS" w:eastAsia="Arial Unicode MS"/>
      <w:kern w:val="0"/>
      <w:sz w:val="24"/>
    </w:rPr>
  </w:style>
  <w:style w:type="paragraph" w:customStyle="1" w:styleId="341">
    <w:name w:val="xl73"/>
    <w:basedOn w:val="1"/>
    <w:autoRedefine/>
    <w:qFormat/>
    <w:uiPriority w:val="0"/>
    <w:pPr>
      <w:widowControl/>
      <w:pBdr>
        <w:top w:val="single" w:color="auto" w:sz="8" w:space="0"/>
        <w:bottom w:val="single" w:color="auto" w:sz="8" w:space="0"/>
      </w:pBdr>
      <w:spacing w:before="100" w:beforeAutospacing="1" w:after="100" w:afterAutospacing="1"/>
      <w:jc w:val="center"/>
      <w:textAlignment w:val="center"/>
    </w:pPr>
    <w:rPr>
      <w:rFonts w:hint="eastAsia" w:ascii="宋体" w:hAnsi="宋体"/>
    </w:rPr>
  </w:style>
  <w:style w:type="paragraph" w:customStyle="1" w:styleId="342">
    <w:name w:val="Char Char Char1 Char Char Char Char Char Char Char Char Char Char Char Char Char"/>
    <w:basedOn w:val="1"/>
    <w:autoRedefine/>
    <w:qFormat/>
    <w:uiPriority w:val="0"/>
    <w:rPr>
      <w:rFonts w:hint="eastAsia" w:ascii="Tahoma" w:hAnsi="Tahoma"/>
      <w:sz w:val="24"/>
    </w:rPr>
  </w:style>
  <w:style w:type="paragraph" w:customStyle="1" w:styleId="343">
    <w:name w:val="xl76"/>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hint="eastAsia" w:ascii="宋体" w:hAnsi="宋体"/>
      <w:sz w:val="20"/>
    </w:rPr>
  </w:style>
  <w:style w:type="paragraph" w:customStyle="1" w:styleId="344">
    <w:name w:val="Char Char Char1"/>
    <w:basedOn w:val="1"/>
    <w:autoRedefine/>
    <w:qFormat/>
    <w:uiPriority w:val="99"/>
    <w:rPr>
      <w:rFonts w:hint="eastAsia" w:ascii="仿宋_GB2312" w:eastAsia="仿宋_GB2312"/>
      <w:b/>
      <w:sz w:val="32"/>
    </w:rPr>
  </w:style>
  <w:style w:type="paragraph" w:customStyle="1" w:styleId="345">
    <w:name w:val="表格文字"/>
    <w:basedOn w:val="1"/>
    <w:autoRedefine/>
    <w:qFormat/>
    <w:uiPriority w:val="99"/>
    <w:rPr>
      <w:rFonts w:hint="eastAsia" w:ascii="Arial" w:hAnsi="Arial"/>
    </w:rPr>
  </w:style>
  <w:style w:type="paragraph" w:customStyle="1" w:styleId="346">
    <w:name w:val="font9"/>
    <w:basedOn w:val="1"/>
    <w:autoRedefine/>
    <w:qFormat/>
    <w:uiPriority w:val="0"/>
    <w:pPr>
      <w:widowControl/>
      <w:spacing w:before="100" w:beforeAutospacing="1" w:after="100" w:afterAutospacing="1"/>
      <w:jc w:val="left"/>
    </w:pPr>
    <w:rPr>
      <w:rFonts w:hint="eastAsia" w:ascii="Arial" w:hAnsi="Arial"/>
      <w:color w:val="000000"/>
      <w:sz w:val="18"/>
    </w:rPr>
  </w:style>
  <w:style w:type="paragraph" w:customStyle="1" w:styleId="347">
    <w:name w:val="索引标题1"/>
    <w:basedOn w:val="1"/>
    <w:next w:val="45"/>
    <w:autoRedefine/>
    <w:qFormat/>
    <w:uiPriority w:val="0"/>
    <w:rPr>
      <w:rFonts w:hint="eastAsia"/>
    </w:rPr>
  </w:style>
  <w:style w:type="paragraph" w:customStyle="1" w:styleId="348">
    <w:name w:val="1"/>
    <w:basedOn w:val="1"/>
    <w:autoRedefine/>
    <w:qFormat/>
    <w:uiPriority w:val="0"/>
    <w:pPr>
      <w:adjustRightInd w:val="0"/>
      <w:spacing w:line="360" w:lineRule="auto"/>
    </w:pPr>
    <w:rPr>
      <w:sz w:val="24"/>
      <w:szCs w:val="24"/>
    </w:rPr>
  </w:style>
  <w:style w:type="paragraph" w:customStyle="1" w:styleId="349">
    <w:name w:val="标题 72"/>
    <w:basedOn w:val="1"/>
    <w:next w:val="238"/>
    <w:autoRedefine/>
    <w:qFormat/>
    <w:uiPriority w:val="0"/>
    <w:pPr>
      <w:keepNext/>
      <w:tabs>
        <w:tab w:val="left" w:pos="1296"/>
      </w:tabs>
      <w:spacing w:before="240" w:after="64" w:line="320" w:lineRule="auto"/>
      <w:outlineLvl w:val="6"/>
    </w:pPr>
    <w:rPr>
      <w:b/>
      <w:sz w:val="24"/>
    </w:rPr>
  </w:style>
  <w:style w:type="paragraph" w:customStyle="1" w:styleId="350">
    <w:name w:val="xl68"/>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hint="eastAsia" w:ascii="宋体" w:hAnsi="宋体"/>
    </w:rPr>
  </w:style>
  <w:style w:type="paragraph" w:customStyle="1" w:styleId="351">
    <w:name w:val="_Style 31"/>
    <w:basedOn w:val="1"/>
    <w:autoRedefine/>
    <w:qFormat/>
    <w:uiPriority w:val="0"/>
    <w:pPr>
      <w:ind w:firstLine="400"/>
    </w:pPr>
    <w:rPr>
      <w:sz w:val="24"/>
      <w:szCs w:val="24"/>
    </w:rPr>
  </w:style>
  <w:style w:type="paragraph" w:customStyle="1" w:styleId="352">
    <w:name w:val="正文文本缩进 32"/>
    <w:basedOn w:val="1"/>
    <w:autoRedefine/>
    <w:qFormat/>
    <w:uiPriority w:val="0"/>
    <w:pPr>
      <w:ind w:left="851"/>
    </w:pPr>
    <w:rPr>
      <w:rFonts w:hint="eastAsia" w:ascii="宋体"/>
      <w:color w:val="000000"/>
      <w:kern w:val="0"/>
    </w:rPr>
  </w:style>
  <w:style w:type="paragraph" w:customStyle="1" w:styleId="353">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hint="eastAsia" w:ascii="宋体" w:hAnsi="宋体"/>
      <w:color w:val="000000"/>
      <w:sz w:val="18"/>
    </w:rPr>
  </w:style>
  <w:style w:type="paragraph" w:customStyle="1" w:styleId="354">
    <w:name w:val="Char Char Char Char Char Char Char Char Char Char Char Char Char Char Char Char"/>
    <w:basedOn w:val="1"/>
    <w:autoRedefine/>
    <w:qFormat/>
    <w:uiPriority w:val="0"/>
  </w:style>
  <w:style w:type="paragraph" w:customStyle="1" w:styleId="355">
    <w:name w:val="纯文本1"/>
    <w:basedOn w:val="1"/>
    <w:autoRedefine/>
    <w:qFormat/>
    <w:uiPriority w:val="0"/>
    <w:pPr>
      <w:adjustRightInd w:val="0"/>
      <w:spacing w:line="312" w:lineRule="atLeast"/>
      <w:textAlignment w:val="baseline"/>
    </w:pPr>
    <w:rPr>
      <w:rFonts w:ascii="宋体" w:hAnsi="Courier New"/>
      <w:kern w:val="0"/>
      <w:sz w:val="28"/>
    </w:rPr>
  </w:style>
  <w:style w:type="paragraph" w:customStyle="1" w:styleId="356">
    <w:name w:val="Char1 Char Char Char Char Char Char1 Char Char Char"/>
    <w:basedOn w:val="1"/>
    <w:autoRedefine/>
    <w:qFormat/>
    <w:uiPriority w:val="0"/>
    <w:pPr>
      <w:ind w:firstLine="200" w:firstLineChars="200"/>
    </w:pPr>
    <w:rPr>
      <w:rFonts w:hint="eastAsia" w:hAnsi="宋体"/>
      <w:sz w:val="24"/>
    </w:rPr>
  </w:style>
  <w:style w:type="paragraph" w:customStyle="1" w:styleId="357">
    <w:name w:val="xl75"/>
    <w:basedOn w:val="1"/>
    <w:autoRedefine/>
    <w:qFormat/>
    <w:uiPriority w:val="0"/>
    <w:pPr>
      <w:widowControl/>
      <w:pBdr>
        <w:left w:val="single" w:color="auto" w:sz="8" w:space="0"/>
        <w:right w:val="single" w:color="auto" w:sz="8" w:space="0"/>
      </w:pBdr>
      <w:spacing w:before="100" w:beforeAutospacing="1" w:after="100" w:afterAutospacing="1"/>
      <w:jc w:val="center"/>
      <w:textAlignment w:val="center"/>
    </w:pPr>
    <w:rPr>
      <w:rFonts w:hint="eastAsia" w:ascii="宋体" w:hAnsi="宋体"/>
      <w:sz w:val="20"/>
    </w:rPr>
  </w:style>
  <w:style w:type="paragraph" w:customStyle="1" w:styleId="358">
    <w:name w:val="章标题"/>
    <w:next w:val="287"/>
    <w:link w:val="462"/>
    <w:autoRedefine/>
    <w:qFormat/>
    <w:uiPriority w:val="99"/>
    <w:pPr>
      <w:spacing w:beforeLines="50" w:afterLines="50"/>
      <w:jc w:val="both"/>
      <w:outlineLvl w:val="1"/>
    </w:pPr>
    <w:rPr>
      <w:rFonts w:ascii="黑体" w:hAnsi="Times New Roman" w:eastAsia="黑体" w:cs="Times New Roman"/>
      <w:sz w:val="21"/>
      <w:lang w:val="en-US" w:eastAsia="zh-CN" w:bidi="ar-SA"/>
    </w:rPr>
  </w:style>
  <w:style w:type="paragraph" w:customStyle="1" w:styleId="359">
    <w:name w:val="xl4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int="eastAsia" w:ascii="宋体" w:hAnsi="宋体"/>
      <w:color w:val="000000"/>
      <w:sz w:val="20"/>
    </w:rPr>
  </w:style>
  <w:style w:type="paragraph" w:customStyle="1" w:styleId="360">
    <w:name w:val="正文缩进11"/>
    <w:basedOn w:val="1"/>
    <w:autoRedefine/>
    <w:qFormat/>
    <w:uiPriority w:val="0"/>
    <w:pPr>
      <w:tabs>
        <w:tab w:val="left" w:pos="720"/>
      </w:tabs>
      <w:ind w:left="624" w:hanging="624"/>
      <w:textAlignment w:val="baseline"/>
    </w:pPr>
    <w:rPr>
      <w:rFonts w:hint="eastAsia" w:ascii="宋体"/>
      <w:szCs w:val="22"/>
    </w:rPr>
  </w:style>
  <w:style w:type="paragraph" w:customStyle="1" w:styleId="361">
    <w:name w:val="右侧正文"/>
    <w:basedOn w:val="1"/>
    <w:autoRedefine/>
    <w:qFormat/>
    <w:uiPriority w:val="0"/>
    <w:pPr>
      <w:spacing w:line="360" w:lineRule="auto"/>
    </w:pPr>
    <w:rPr>
      <w:rFonts w:ascii="宋体" w:hAnsi="宋体"/>
      <w:sz w:val="24"/>
      <w:szCs w:val="28"/>
    </w:rPr>
  </w:style>
  <w:style w:type="paragraph" w:customStyle="1" w:styleId="362">
    <w:name w:val="xl42"/>
    <w:basedOn w:val="1"/>
    <w:autoRedefine/>
    <w:qFormat/>
    <w:uiPriority w:val="0"/>
    <w:pPr>
      <w:widowControl/>
      <w:pBdr>
        <w:top w:val="single" w:color="auto" w:sz="4" w:space="0"/>
        <w:left w:val="single" w:color="auto" w:sz="8" w:space="0"/>
        <w:bottom w:val="single" w:color="auto" w:sz="4" w:space="0"/>
        <w:right w:val="single" w:color="auto" w:sz="4" w:space="0"/>
      </w:pBdr>
      <w:shd w:val="clear" w:color="auto" w:fill="FFFFFF"/>
      <w:spacing w:before="100" w:beforeAutospacing="1" w:after="100" w:afterAutospacing="1"/>
      <w:jc w:val="center"/>
      <w:textAlignment w:val="center"/>
    </w:pPr>
    <w:rPr>
      <w:rFonts w:hint="eastAsia" w:ascii="宋体" w:hAnsi="宋体"/>
      <w:color w:val="000000"/>
      <w:sz w:val="18"/>
    </w:rPr>
  </w:style>
  <w:style w:type="paragraph" w:customStyle="1" w:styleId="363">
    <w:name w:val="Char Char1 Char Char Char Char Char Char Char Char Char Char Char Char"/>
    <w:basedOn w:val="1"/>
    <w:autoRedefine/>
    <w:semiHidden/>
    <w:qFormat/>
    <w:uiPriority w:val="0"/>
    <w:pPr>
      <w:adjustRightInd w:val="0"/>
      <w:spacing w:line="360" w:lineRule="auto"/>
    </w:pPr>
    <w:rPr>
      <w:kern w:val="0"/>
      <w:sz w:val="24"/>
    </w:rPr>
  </w:style>
  <w:style w:type="paragraph" w:customStyle="1" w:styleId="364">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宋体" w:hAnsi="宋体"/>
      <w:color w:val="000000"/>
      <w:sz w:val="18"/>
    </w:rPr>
  </w:style>
  <w:style w:type="paragraph" w:customStyle="1" w:styleId="365">
    <w:name w:val="标题 35"/>
    <w:basedOn w:val="1"/>
    <w:autoRedefine/>
    <w:qFormat/>
    <w:uiPriority w:val="1"/>
    <w:pPr>
      <w:ind w:left="237" w:right="102"/>
      <w:outlineLvl w:val="3"/>
    </w:pPr>
    <w:rPr>
      <w:rFonts w:ascii="宋体" w:hAnsi="宋体" w:cs="宋体"/>
      <w:kern w:val="0"/>
      <w:sz w:val="28"/>
      <w:szCs w:val="28"/>
      <w:lang w:eastAsia="en-US"/>
    </w:rPr>
  </w:style>
  <w:style w:type="paragraph" w:customStyle="1" w:styleId="366">
    <w:name w:val="修订2"/>
    <w:autoRedefine/>
    <w:unhideWhenUsed/>
    <w:qFormat/>
    <w:uiPriority w:val="99"/>
    <w:rPr>
      <w:rFonts w:ascii="Times New Roman" w:hAnsi="Times New Roman" w:eastAsia="宋体" w:cs="Times New Roman"/>
      <w:kern w:val="2"/>
      <w:sz w:val="21"/>
      <w:lang w:val="en-US" w:eastAsia="zh-CN" w:bidi="ar-SA"/>
    </w:rPr>
  </w:style>
  <w:style w:type="table" w:customStyle="1" w:styleId="367">
    <w:name w:val="Table Normal"/>
    <w:autoRedefine/>
    <w:unhideWhenUsed/>
    <w:qFormat/>
    <w:uiPriority w:val="2"/>
    <w:pPr>
      <w:widowControl w:val="0"/>
    </w:pPr>
    <w:rPr>
      <w:sz w:val="22"/>
      <w:szCs w:val="22"/>
      <w:lang w:eastAsia="en-US"/>
    </w:rPr>
    <w:tblPr>
      <w:tblCellMar>
        <w:top w:w="0" w:type="dxa"/>
        <w:left w:w="0" w:type="dxa"/>
        <w:bottom w:w="0" w:type="dxa"/>
        <w:right w:w="0" w:type="dxa"/>
      </w:tblCellMar>
    </w:tblPr>
  </w:style>
  <w:style w:type="paragraph" w:customStyle="1" w:styleId="368">
    <w:name w:val="Normal_1_4"/>
    <w:autoRedefine/>
    <w:qFormat/>
    <w:uiPriority w:val="0"/>
    <w:rPr>
      <w:rFonts w:ascii="Times New Roman" w:hAnsi="Times New Roman" w:eastAsia="Times New Roman" w:cs="Times New Roman"/>
      <w:sz w:val="24"/>
      <w:szCs w:val="24"/>
      <w:lang w:val="en-US" w:eastAsia="zh-CN" w:bidi="ar-SA"/>
    </w:rPr>
  </w:style>
  <w:style w:type="paragraph" w:customStyle="1" w:styleId="369">
    <w:name w:val="Normal_1_5"/>
    <w:autoRedefine/>
    <w:qFormat/>
    <w:uiPriority w:val="0"/>
    <w:rPr>
      <w:rFonts w:ascii="Times New Roman" w:hAnsi="Times New Roman" w:eastAsia="Times New Roman" w:cs="Times New Roman"/>
      <w:sz w:val="24"/>
      <w:szCs w:val="24"/>
      <w:lang w:val="en-US" w:eastAsia="zh-CN" w:bidi="ar-SA"/>
    </w:rPr>
  </w:style>
  <w:style w:type="paragraph" w:customStyle="1" w:styleId="370">
    <w:name w:val="Normal_0_2"/>
    <w:basedOn w:val="1"/>
    <w:autoRedefine/>
    <w:qFormat/>
    <w:uiPriority w:val="0"/>
    <w:pPr>
      <w:widowControl/>
      <w:jc w:val="left"/>
    </w:pPr>
    <w:rPr>
      <w:rFonts w:eastAsia="Times New Roman"/>
      <w:kern w:val="0"/>
      <w:sz w:val="24"/>
      <w:szCs w:val="24"/>
    </w:rPr>
  </w:style>
  <w:style w:type="paragraph" w:customStyle="1" w:styleId="371">
    <w:name w:val="Normal_0_1"/>
    <w:basedOn w:val="1"/>
    <w:autoRedefine/>
    <w:qFormat/>
    <w:uiPriority w:val="0"/>
    <w:pPr>
      <w:widowControl/>
      <w:jc w:val="left"/>
    </w:pPr>
    <w:rPr>
      <w:rFonts w:eastAsia="Times New Roman"/>
      <w:kern w:val="0"/>
      <w:sz w:val="24"/>
      <w:szCs w:val="24"/>
    </w:rPr>
  </w:style>
  <w:style w:type="character" w:customStyle="1" w:styleId="372">
    <w:name w:val="页脚 Char"/>
    <w:autoRedefine/>
    <w:qFormat/>
    <w:uiPriority w:val="99"/>
    <w:rPr>
      <w:rFonts w:ascii="Times New Roman" w:hAnsi="Times New Roman" w:eastAsia="宋体" w:cs="Times New Roman"/>
      <w:sz w:val="18"/>
      <w:szCs w:val="20"/>
    </w:rPr>
  </w:style>
  <w:style w:type="paragraph" w:customStyle="1" w:styleId="373">
    <w:name w:val="~body text"/>
    <w:basedOn w:val="1"/>
    <w:autoRedefine/>
    <w:qFormat/>
    <w:uiPriority w:val="0"/>
    <w:pPr>
      <w:widowControl/>
      <w:spacing w:before="240" w:after="60" w:line="360" w:lineRule="auto"/>
      <w:ind w:left="720" w:firstLine="200" w:firstLineChars="200"/>
      <w:jc w:val="left"/>
    </w:pPr>
    <w:rPr>
      <w:rFonts w:ascii="Arial" w:hAnsi="Arial" w:eastAsia="仿宋"/>
      <w:spacing w:val="-2"/>
      <w:kern w:val="28"/>
      <w:sz w:val="22"/>
      <w:lang w:val="en-GB" w:eastAsia="en-US"/>
    </w:rPr>
  </w:style>
  <w:style w:type="paragraph" w:customStyle="1" w:styleId="374">
    <w:name w:val="格式2"/>
    <w:basedOn w:val="4"/>
    <w:autoRedefine/>
    <w:qFormat/>
    <w:uiPriority w:val="0"/>
    <w:pPr>
      <w:widowControl w:val="0"/>
      <w:autoSpaceDE w:val="0"/>
      <w:autoSpaceDN w:val="0"/>
      <w:adjustRightInd w:val="0"/>
      <w:spacing w:line="416" w:lineRule="atLeast"/>
      <w:jc w:val="both"/>
      <w:textAlignment w:val="baseline"/>
    </w:pPr>
    <w:rPr>
      <w:rFonts w:ascii="黑体" w:hAnsi="Times New Roman"/>
      <w:sz w:val="30"/>
    </w:rPr>
  </w:style>
  <w:style w:type="character" w:styleId="375">
    <w:name w:val="Placeholder Text"/>
    <w:autoRedefine/>
    <w:semiHidden/>
    <w:qFormat/>
    <w:uiPriority w:val="99"/>
    <w:rPr>
      <w:color w:val="808080"/>
    </w:rPr>
  </w:style>
  <w:style w:type="paragraph" w:customStyle="1" w:styleId="376">
    <w:name w:val="msonormal"/>
    <w:basedOn w:val="1"/>
    <w:autoRedefine/>
    <w:qFormat/>
    <w:uiPriority w:val="0"/>
    <w:pPr>
      <w:widowControl/>
      <w:spacing w:before="100" w:beforeAutospacing="1" w:after="100" w:afterAutospacing="1"/>
      <w:jc w:val="left"/>
    </w:pPr>
    <w:rPr>
      <w:rFonts w:ascii="宋体" w:hAnsi="宋体" w:cs="宋体"/>
      <w:kern w:val="0"/>
      <w:sz w:val="24"/>
      <w:szCs w:val="24"/>
    </w:rPr>
  </w:style>
  <w:style w:type="table" w:customStyle="1" w:styleId="377">
    <w:name w:val="网格型1"/>
    <w:basedOn w:val="6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8">
    <w:name w:val="font41"/>
    <w:basedOn w:val="70"/>
    <w:autoRedefine/>
    <w:qFormat/>
    <w:uiPriority w:val="0"/>
    <w:rPr>
      <w:rFonts w:hint="eastAsia" w:ascii="宋体" w:hAnsi="宋体" w:eastAsia="宋体" w:cs="宋体"/>
      <w:color w:val="000000"/>
      <w:sz w:val="20"/>
      <w:szCs w:val="20"/>
      <w:u w:val="single"/>
    </w:rPr>
  </w:style>
  <w:style w:type="character" w:customStyle="1" w:styleId="379">
    <w:name w:val="批注文字 Char3"/>
    <w:link w:val="22"/>
    <w:autoRedefine/>
    <w:qFormat/>
    <w:uiPriority w:val="99"/>
    <w:rPr>
      <w:rFonts w:ascii="Tahoma" w:hAnsi="Tahoma"/>
      <w:kern w:val="2"/>
      <w:sz w:val="21"/>
      <w:szCs w:val="24"/>
    </w:rPr>
  </w:style>
  <w:style w:type="character" w:customStyle="1" w:styleId="380">
    <w:name w:val="标题 Char2"/>
    <w:basedOn w:val="70"/>
    <w:autoRedefine/>
    <w:qFormat/>
    <w:uiPriority w:val="0"/>
    <w:rPr>
      <w:rFonts w:ascii="Cambria" w:hAnsi="Cambria" w:eastAsia="宋体" w:cs="Times New Roman"/>
      <w:b/>
      <w:bCs/>
      <w:sz w:val="32"/>
      <w:szCs w:val="32"/>
    </w:rPr>
  </w:style>
  <w:style w:type="paragraph" w:customStyle="1" w:styleId="381">
    <w:name w:val="Blockquote"/>
    <w:basedOn w:val="1"/>
    <w:autoRedefine/>
    <w:qFormat/>
    <w:uiPriority w:val="0"/>
    <w:pPr>
      <w:autoSpaceDE w:val="0"/>
      <w:autoSpaceDN w:val="0"/>
      <w:adjustRightInd w:val="0"/>
      <w:spacing w:before="100" w:after="100"/>
      <w:ind w:left="360" w:right="360"/>
      <w:jc w:val="left"/>
    </w:pPr>
    <w:rPr>
      <w:kern w:val="0"/>
      <w:sz w:val="24"/>
    </w:rPr>
  </w:style>
  <w:style w:type="paragraph" w:customStyle="1" w:styleId="382">
    <w:name w:val="附录标识"/>
    <w:basedOn w:val="1"/>
    <w:next w:val="287"/>
    <w:autoRedefine/>
    <w:qFormat/>
    <w:uiPriority w:val="0"/>
    <w:pPr>
      <w:keepNext/>
      <w:widowControl/>
      <w:numPr>
        <w:ilvl w:val="0"/>
        <w:numId w:val="2"/>
      </w:numPr>
      <w:shd w:val="clear" w:color="FFFFFF" w:fill="FFFFFF"/>
      <w:tabs>
        <w:tab w:val="left" w:pos="360"/>
        <w:tab w:val="left" w:pos="6405"/>
      </w:tabs>
      <w:spacing w:before="640" w:after="280"/>
      <w:jc w:val="center"/>
      <w:outlineLvl w:val="0"/>
    </w:pPr>
    <w:rPr>
      <w:rFonts w:ascii="黑体" w:eastAsia="黑体"/>
      <w:kern w:val="0"/>
    </w:rPr>
  </w:style>
  <w:style w:type="character" w:customStyle="1" w:styleId="383">
    <w:name w:val="标题 3 字符"/>
    <w:basedOn w:val="70"/>
    <w:autoRedefine/>
    <w:qFormat/>
    <w:uiPriority w:val="9"/>
    <w:rPr>
      <w:rFonts w:ascii="Calibri" w:hAnsi="Calibri" w:eastAsia="宋体" w:cs="Times New Roman"/>
      <w:b/>
      <w:bCs/>
      <w:sz w:val="32"/>
      <w:szCs w:val="32"/>
    </w:rPr>
  </w:style>
  <w:style w:type="character" w:customStyle="1" w:styleId="384">
    <w:name w:val="标题 4 字符"/>
    <w:basedOn w:val="70"/>
    <w:autoRedefine/>
    <w:qFormat/>
    <w:uiPriority w:val="9"/>
    <w:rPr>
      <w:rFonts w:asciiTheme="majorHAnsi" w:hAnsiTheme="majorHAnsi" w:eastAsiaTheme="majorEastAsia" w:cstheme="majorBidi"/>
      <w:b/>
      <w:bCs/>
      <w:sz w:val="28"/>
      <w:szCs w:val="28"/>
    </w:rPr>
  </w:style>
  <w:style w:type="character" w:customStyle="1" w:styleId="385">
    <w:name w:val="标题 5 字符"/>
    <w:basedOn w:val="70"/>
    <w:autoRedefine/>
    <w:qFormat/>
    <w:uiPriority w:val="9"/>
    <w:rPr>
      <w:rFonts w:ascii="Calibri" w:hAnsi="Calibri" w:eastAsia="宋体" w:cs="Times New Roman"/>
      <w:b/>
      <w:bCs/>
      <w:sz w:val="28"/>
      <w:szCs w:val="28"/>
    </w:rPr>
  </w:style>
  <w:style w:type="character" w:customStyle="1" w:styleId="386">
    <w:name w:val="标题 6 字符"/>
    <w:basedOn w:val="70"/>
    <w:autoRedefine/>
    <w:qFormat/>
    <w:uiPriority w:val="9"/>
    <w:rPr>
      <w:rFonts w:asciiTheme="majorHAnsi" w:hAnsiTheme="majorHAnsi" w:eastAsiaTheme="majorEastAsia" w:cstheme="majorBidi"/>
      <w:b/>
      <w:bCs/>
      <w:sz w:val="24"/>
      <w:szCs w:val="24"/>
    </w:rPr>
  </w:style>
  <w:style w:type="character" w:customStyle="1" w:styleId="387">
    <w:name w:val="标题 7 字符"/>
    <w:basedOn w:val="70"/>
    <w:autoRedefine/>
    <w:qFormat/>
    <w:uiPriority w:val="9"/>
    <w:rPr>
      <w:rFonts w:ascii="Calibri" w:hAnsi="Calibri" w:eastAsia="宋体" w:cs="Times New Roman"/>
      <w:b/>
      <w:bCs/>
      <w:sz w:val="24"/>
      <w:szCs w:val="24"/>
    </w:rPr>
  </w:style>
  <w:style w:type="character" w:customStyle="1" w:styleId="388">
    <w:name w:val="标题 8 字符"/>
    <w:basedOn w:val="70"/>
    <w:autoRedefine/>
    <w:qFormat/>
    <w:uiPriority w:val="9"/>
    <w:rPr>
      <w:rFonts w:asciiTheme="majorHAnsi" w:hAnsiTheme="majorHAnsi" w:eastAsiaTheme="majorEastAsia" w:cstheme="majorBidi"/>
      <w:sz w:val="24"/>
      <w:szCs w:val="24"/>
    </w:rPr>
  </w:style>
  <w:style w:type="character" w:customStyle="1" w:styleId="389">
    <w:name w:val="标题 9 字符"/>
    <w:basedOn w:val="70"/>
    <w:autoRedefine/>
    <w:qFormat/>
    <w:uiPriority w:val="9"/>
    <w:rPr>
      <w:rFonts w:asciiTheme="majorHAnsi" w:hAnsiTheme="majorHAnsi" w:eastAsiaTheme="majorEastAsia" w:cstheme="majorBidi"/>
      <w:szCs w:val="21"/>
    </w:rPr>
  </w:style>
  <w:style w:type="character" w:customStyle="1" w:styleId="390">
    <w:name w:val="标题 字符2"/>
    <w:autoRedefine/>
    <w:qFormat/>
    <w:uiPriority w:val="0"/>
    <w:rPr>
      <w:rFonts w:ascii="Arial" w:hAnsi="Arial"/>
      <w:b/>
      <w:sz w:val="44"/>
    </w:rPr>
  </w:style>
  <w:style w:type="character" w:customStyle="1" w:styleId="391">
    <w:name w:val="标题 1 字符2"/>
    <w:autoRedefine/>
    <w:qFormat/>
    <w:uiPriority w:val="9"/>
    <w:rPr>
      <w:rFonts w:ascii="宋体" w:hAnsi="宋体"/>
      <w:b/>
      <w:bCs/>
      <w:sz w:val="28"/>
      <w:szCs w:val="28"/>
      <w:shd w:val="clear" w:color="auto" w:fill="FFFFFF"/>
    </w:rPr>
  </w:style>
  <w:style w:type="character" w:customStyle="1" w:styleId="392">
    <w:name w:val="正文文本首行缩进 字符"/>
    <w:basedOn w:val="182"/>
    <w:autoRedefine/>
    <w:qFormat/>
    <w:uiPriority w:val="0"/>
    <w:rPr>
      <w:rFonts w:ascii="Calibri" w:hAnsi="Calibri" w:eastAsia="宋体" w:cs="Times New Roman"/>
      <w:kern w:val="2"/>
      <w:sz w:val="21"/>
      <w:szCs w:val="21"/>
    </w:rPr>
  </w:style>
  <w:style w:type="character" w:customStyle="1" w:styleId="393">
    <w:name w:val="正文文本 字符2"/>
    <w:autoRedefine/>
    <w:qFormat/>
    <w:uiPriority w:val="99"/>
    <w:rPr>
      <w:rFonts w:ascii="Times New Roman" w:hAnsi="Times New Roman"/>
    </w:rPr>
  </w:style>
  <w:style w:type="character" w:customStyle="1" w:styleId="394">
    <w:name w:val="标题 2 字符2"/>
    <w:autoRedefine/>
    <w:qFormat/>
    <w:uiPriority w:val="9"/>
    <w:rPr>
      <w:rFonts w:ascii="宋体" w:hAnsi="宋体"/>
      <w:b/>
      <w:bCs/>
      <w:szCs w:val="21"/>
    </w:rPr>
  </w:style>
  <w:style w:type="character" w:customStyle="1" w:styleId="395">
    <w:name w:val="正文缩进 Char2"/>
    <w:autoRedefine/>
    <w:qFormat/>
    <w:locked/>
    <w:uiPriority w:val="0"/>
    <w:rPr>
      <w:rFonts w:ascii="Times New Roman" w:hAnsi="Times New Roman" w:eastAsia="宋体" w:cs="Times New Roman"/>
      <w:szCs w:val="20"/>
    </w:rPr>
  </w:style>
  <w:style w:type="character" w:customStyle="1" w:styleId="396">
    <w:name w:val="注释标题 Char"/>
    <w:basedOn w:val="70"/>
    <w:link w:val="15"/>
    <w:autoRedefine/>
    <w:qFormat/>
    <w:uiPriority w:val="0"/>
  </w:style>
  <w:style w:type="character" w:customStyle="1" w:styleId="397">
    <w:name w:val="注释标题 字符"/>
    <w:basedOn w:val="70"/>
    <w:autoRedefine/>
    <w:semiHidden/>
    <w:qFormat/>
    <w:uiPriority w:val="99"/>
    <w:rPr>
      <w:rFonts w:ascii="Calibri" w:hAnsi="Calibri" w:eastAsia="宋体" w:cs="Times New Roman"/>
    </w:rPr>
  </w:style>
  <w:style w:type="character" w:customStyle="1" w:styleId="398">
    <w:name w:val="题注 Char"/>
    <w:link w:val="17"/>
    <w:autoRedefine/>
    <w:qFormat/>
    <w:uiPriority w:val="0"/>
    <w:rPr>
      <w:rFonts w:ascii="Arial" w:hAnsi="Arial" w:eastAsia="黑体"/>
      <w:kern w:val="2"/>
    </w:rPr>
  </w:style>
  <w:style w:type="character" w:customStyle="1" w:styleId="399">
    <w:name w:val="文档结构图 字符"/>
    <w:basedOn w:val="70"/>
    <w:autoRedefine/>
    <w:qFormat/>
    <w:uiPriority w:val="0"/>
    <w:rPr>
      <w:rFonts w:ascii="Microsoft YaHei UI" w:hAnsi="Calibri" w:eastAsia="Microsoft YaHei UI" w:cs="Times New Roman"/>
      <w:sz w:val="18"/>
      <w:szCs w:val="18"/>
    </w:rPr>
  </w:style>
  <w:style w:type="character" w:customStyle="1" w:styleId="400">
    <w:name w:val="批注文字 字符"/>
    <w:basedOn w:val="70"/>
    <w:autoRedefine/>
    <w:qFormat/>
    <w:uiPriority w:val="99"/>
    <w:rPr>
      <w:rFonts w:ascii="Calibri" w:hAnsi="Calibri" w:eastAsia="宋体" w:cs="Times New Roman"/>
    </w:rPr>
  </w:style>
  <w:style w:type="character" w:customStyle="1" w:styleId="401">
    <w:name w:val="正文文本 3 字符"/>
    <w:basedOn w:val="70"/>
    <w:autoRedefine/>
    <w:qFormat/>
    <w:uiPriority w:val="0"/>
    <w:rPr>
      <w:rFonts w:ascii="Calibri" w:hAnsi="Calibri" w:eastAsia="宋体" w:cs="Times New Roman"/>
      <w:sz w:val="16"/>
      <w:szCs w:val="16"/>
    </w:rPr>
  </w:style>
  <w:style w:type="character" w:customStyle="1" w:styleId="402">
    <w:name w:val="正文文本缩进 字符"/>
    <w:basedOn w:val="70"/>
    <w:autoRedefine/>
    <w:qFormat/>
    <w:uiPriority w:val="0"/>
    <w:rPr>
      <w:rFonts w:ascii="Calibri" w:hAnsi="Calibri" w:eastAsia="宋体" w:cs="Times New Roman"/>
    </w:rPr>
  </w:style>
  <w:style w:type="character" w:customStyle="1" w:styleId="403">
    <w:name w:val="正文文本缩进 Char1"/>
    <w:autoRedefine/>
    <w:qFormat/>
    <w:uiPriority w:val="0"/>
    <w:rPr>
      <w:rFonts w:ascii="Times New Roman" w:hAnsi="Times New Roman" w:eastAsia="宋体" w:cs="Times New Roman"/>
      <w:kern w:val="0"/>
      <w:sz w:val="28"/>
      <w:szCs w:val="20"/>
    </w:rPr>
  </w:style>
  <w:style w:type="character" w:customStyle="1" w:styleId="404">
    <w:name w:val="纯文本 字符"/>
    <w:basedOn w:val="70"/>
    <w:autoRedefine/>
    <w:qFormat/>
    <w:uiPriority w:val="0"/>
    <w:rPr>
      <w:rFonts w:hAnsi="Courier New" w:cs="Courier New" w:asciiTheme="minorEastAsia"/>
    </w:rPr>
  </w:style>
  <w:style w:type="character" w:customStyle="1" w:styleId="405">
    <w:name w:val="日期 字符2"/>
    <w:autoRedefine/>
    <w:qFormat/>
    <w:uiPriority w:val="0"/>
    <w:rPr>
      <w:rFonts w:ascii="Times New Roman" w:hAnsi="Times New Roman"/>
    </w:rPr>
  </w:style>
  <w:style w:type="character" w:customStyle="1" w:styleId="406">
    <w:name w:val="正文文本缩进 2 字符"/>
    <w:basedOn w:val="70"/>
    <w:autoRedefine/>
    <w:qFormat/>
    <w:uiPriority w:val="0"/>
    <w:rPr>
      <w:rFonts w:ascii="Calibri" w:hAnsi="Calibri" w:eastAsia="宋体" w:cs="Times New Roman"/>
    </w:rPr>
  </w:style>
  <w:style w:type="character" w:customStyle="1" w:styleId="407">
    <w:name w:val="尾注文本 Char"/>
    <w:basedOn w:val="70"/>
    <w:link w:val="38"/>
    <w:autoRedefine/>
    <w:qFormat/>
    <w:uiPriority w:val="0"/>
  </w:style>
  <w:style w:type="character" w:customStyle="1" w:styleId="408">
    <w:name w:val="尾注文本 字符"/>
    <w:basedOn w:val="70"/>
    <w:autoRedefine/>
    <w:qFormat/>
    <w:uiPriority w:val="99"/>
    <w:rPr>
      <w:rFonts w:ascii="Calibri" w:hAnsi="Calibri" w:eastAsia="宋体" w:cs="Times New Roman"/>
    </w:rPr>
  </w:style>
  <w:style w:type="character" w:customStyle="1" w:styleId="409">
    <w:name w:val="批注框文本 字符"/>
    <w:basedOn w:val="70"/>
    <w:autoRedefine/>
    <w:qFormat/>
    <w:uiPriority w:val="99"/>
    <w:rPr>
      <w:rFonts w:ascii="Calibri" w:hAnsi="Calibri" w:eastAsia="宋体" w:cs="Times New Roman"/>
      <w:sz w:val="18"/>
      <w:szCs w:val="18"/>
    </w:rPr>
  </w:style>
  <w:style w:type="character" w:customStyle="1" w:styleId="410">
    <w:name w:val="页脚 字符2"/>
    <w:autoRedefine/>
    <w:qFormat/>
    <w:uiPriority w:val="99"/>
    <w:rPr>
      <w:sz w:val="18"/>
      <w:szCs w:val="18"/>
    </w:rPr>
  </w:style>
  <w:style w:type="character" w:customStyle="1" w:styleId="411">
    <w:name w:val="页眉 字符2"/>
    <w:autoRedefine/>
    <w:qFormat/>
    <w:uiPriority w:val="99"/>
    <w:rPr>
      <w:sz w:val="18"/>
      <w:szCs w:val="18"/>
    </w:rPr>
  </w:style>
  <w:style w:type="character" w:customStyle="1" w:styleId="412">
    <w:name w:val="副标题 字符"/>
    <w:basedOn w:val="70"/>
    <w:autoRedefine/>
    <w:qFormat/>
    <w:uiPriority w:val="11"/>
    <w:rPr>
      <w:b/>
      <w:bCs/>
      <w:kern w:val="28"/>
      <w:sz w:val="32"/>
      <w:szCs w:val="32"/>
    </w:rPr>
  </w:style>
  <w:style w:type="character" w:customStyle="1" w:styleId="413">
    <w:name w:val="脚注文本 字符"/>
    <w:basedOn w:val="70"/>
    <w:autoRedefine/>
    <w:qFormat/>
    <w:uiPriority w:val="99"/>
    <w:rPr>
      <w:rFonts w:ascii="Calibri" w:hAnsi="Calibri" w:eastAsia="宋体" w:cs="Times New Roman"/>
      <w:sz w:val="18"/>
      <w:szCs w:val="18"/>
    </w:rPr>
  </w:style>
  <w:style w:type="character" w:customStyle="1" w:styleId="414">
    <w:name w:val="正文文本缩进 3 字符"/>
    <w:basedOn w:val="70"/>
    <w:autoRedefine/>
    <w:qFormat/>
    <w:uiPriority w:val="0"/>
    <w:rPr>
      <w:rFonts w:ascii="Calibri" w:hAnsi="Calibri" w:eastAsia="宋体" w:cs="Times New Roman"/>
      <w:sz w:val="16"/>
      <w:szCs w:val="16"/>
    </w:rPr>
  </w:style>
  <w:style w:type="character" w:customStyle="1" w:styleId="415">
    <w:name w:val="正文文本 2 字符"/>
    <w:basedOn w:val="70"/>
    <w:autoRedefine/>
    <w:qFormat/>
    <w:uiPriority w:val="0"/>
    <w:rPr>
      <w:rFonts w:ascii="Calibri" w:hAnsi="Calibri" w:eastAsia="宋体" w:cs="Times New Roman"/>
    </w:rPr>
  </w:style>
  <w:style w:type="character" w:customStyle="1" w:styleId="416">
    <w:name w:val="HTML 预设格式 Char"/>
    <w:basedOn w:val="70"/>
    <w:link w:val="58"/>
    <w:autoRedefine/>
    <w:qFormat/>
    <w:uiPriority w:val="0"/>
    <w:rPr>
      <w:rFonts w:ascii="宋体" w:hAnsi="宋体"/>
    </w:rPr>
  </w:style>
  <w:style w:type="character" w:customStyle="1" w:styleId="417">
    <w:name w:val="HTML 预设格式 字符"/>
    <w:basedOn w:val="70"/>
    <w:autoRedefine/>
    <w:qFormat/>
    <w:uiPriority w:val="99"/>
    <w:rPr>
      <w:rFonts w:ascii="Courier New" w:hAnsi="Courier New" w:eastAsia="宋体" w:cs="Courier New"/>
      <w:sz w:val="20"/>
      <w:szCs w:val="20"/>
    </w:rPr>
  </w:style>
  <w:style w:type="character" w:customStyle="1" w:styleId="418">
    <w:name w:val="批注主题 字符"/>
    <w:basedOn w:val="400"/>
    <w:autoRedefine/>
    <w:qFormat/>
    <w:uiPriority w:val="99"/>
    <w:rPr>
      <w:rFonts w:ascii="Calibri" w:hAnsi="Calibri" w:eastAsia="宋体" w:cs="Times New Roman"/>
      <w:b/>
      <w:bCs/>
    </w:rPr>
  </w:style>
  <w:style w:type="character" w:customStyle="1" w:styleId="419">
    <w:name w:val="正文文本首行缩进 2 字符"/>
    <w:basedOn w:val="402"/>
    <w:autoRedefine/>
    <w:qFormat/>
    <w:uiPriority w:val="99"/>
    <w:rPr>
      <w:rFonts w:ascii="Calibri" w:hAnsi="Calibri" w:eastAsia="宋体" w:cs="Times New Roman"/>
    </w:rPr>
  </w:style>
  <w:style w:type="character" w:customStyle="1" w:styleId="420">
    <w:name w:val="样式 样式 样式 样式 标题 2标题 1.1第一层条第二层论文标题 1Para2Title1H2h22l2list + ch..... Char"/>
    <w:autoRedefine/>
    <w:qFormat/>
    <w:uiPriority w:val="0"/>
    <w:rPr>
      <w:rFonts w:ascii="宋体" w:hAnsi="宋体"/>
      <w:b/>
      <w:color w:val="000000"/>
      <w:szCs w:val="28"/>
    </w:rPr>
  </w:style>
  <w:style w:type="character" w:customStyle="1" w:styleId="421">
    <w:name w:val="样式 标题 2标题 1.1第一层条第二层论文标题 1Para2Title1H2h22l2list + ch...1 Char"/>
    <w:autoRedefine/>
    <w:qFormat/>
    <w:uiPriority w:val="0"/>
    <w:rPr>
      <w:rFonts w:ascii="Arial" w:hAnsi="Arial" w:eastAsia="宋体" w:cs="Times New Roman"/>
      <w:b/>
      <w:color w:val="000000"/>
      <w:kern w:val="0"/>
      <w:sz w:val="24"/>
      <w:szCs w:val="24"/>
    </w:rPr>
  </w:style>
  <w:style w:type="character" w:customStyle="1" w:styleId="422">
    <w:name w:val="样式 样式 标题 2标题 1.1第一层条第二层论文标题 1Para2Title1H2h22l2list + ch...1 + 右...1 Char"/>
    <w:autoRedefine/>
    <w:qFormat/>
    <w:uiPriority w:val="0"/>
    <w:rPr>
      <w:rFonts w:ascii="Arial" w:hAnsi="Arial" w:eastAsia="宋体" w:cs="Times New Roman"/>
      <w:b/>
      <w:color w:val="000000"/>
      <w:kern w:val="0"/>
      <w:sz w:val="24"/>
      <w:szCs w:val="24"/>
    </w:rPr>
  </w:style>
  <w:style w:type="character" w:customStyle="1" w:styleId="423">
    <w:name w:val="样式 样式 样式 标题 2标题 1.1第一层条第二层论文标题 1Para2Title1H2h22l2list + ch...1 ... Char"/>
    <w:autoRedefine/>
    <w:qFormat/>
    <w:uiPriority w:val="0"/>
    <w:rPr>
      <w:rFonts w:ascii="Arial" w:hAnsi="Arial" w:eastAsia="宋体" w:cs="Times New Roman"/>
      <w:b/>
      <w:color w:val="000000"/>
      <w:kern w:val="0"/>
      <w:sz w:val="28"/>
      <w:szCs w:val="28"/>
    </w:rPr>
  </w:style>
  <w:style w:type="character" w:customStyle="1" w:styleId="424">
    <w:name w:val="标题 3 Char1"/>
    <w:autoRedefine/>
    <w:semiHidden/>
    <w:qFormat/>
    <w:uiPriority w:val="0"/>
    <w:rPr>
      <w:b/>
      <w:bCs/>
      <w:kern w:val="2"/>
      <w:sz w:val="32"/>
      <w:szCs w:val="32"/>
    </w:rPr>
  </w:style>
  <w:style w:type="character" w:customStyle="1" w:styleId="425">
    <w:name w:val="黎越波"/>
    <w:autoRedefine/>
    <w:semiHidden/>
    <w:qFormat/>
    <w:uiPriority w:val="0"/>
    <w:rPr>
      <w:rFonts w:ascii="Arial" w:hAnsi="Arial" w:eastAsia="宋体" w:cs="Arial"/>
      <w:color w:val="auto"/>
      <w:kern w:val="2"/>
      <w:sz w:val="18"/>
      <w:szCs w:val="20"/>
      <w:lang w:val="en-US" w:eastAsia="zh-CN" w:bidi="ar-SA"/>
    </w:rPr>
  </w:style>
  <w:style w:type="character" w:customStyle="1" w:styleId="426">
    <w:name w:val="char2"/>
    <w:autoRedefine/>
    <w:qFormat/>
    <w:uiPriority w:val="0"/>
    <w:rPr>
      <w:rFonts w:hint="eastAsia" w:ascii="仿宋_GB2312" w:eastAsia="仿宋_GB2312"/>
      <w:color w:val="000000"/>
      <w:kern w:val="2"/>
      <w:sz w:val="24"/>
      <w:szCs w:val="24"/>
      <w:lang w:val="en-US" w:eastAsia="zh-CN" w:bidi="ar-SA"/>
    </w:rPr>
  </w:style>
  <w:style w:type="character" w:customStyle="1" w:styleId="427">
    <w:name w:val="正文文本 2 字符1"/>
    <w:autoRedefine/>
    <w:qFormat/>
    <w:uiPriority w:val="99"/>
    <w:rPr>
      <w:rFonts w:ascii="Times New Roman" w:hAnsi="Times New Roman" w:eastAsia="宋体" w:cs="Times New Roman"/>
      <w:kern w:val="0"/>
      <w:sz w:val="28"/>
      <w:szCs w:val="20"/>
    </w:rPr>
  </w:style>
  <w:style w:type="character" w:customStyle="1" w:styleId="428">
    <w:name w:val="标题 6 Char1"/>
    <w:autoRedefine/>
    <w:semiHidden/>
    <w:qFormat/>
    <w:uiPriority w:val="0"/>
    <w:rPr>
      <w:rFonts w:ascii="Cambria" w:hAnsi="Cambria" w:eastAsia="宋体" w:cs="Times New Roman"/>
      <w:b/>
      <w:bCs/>
      <w:kern w:val="2"/>
      <w:sz w:val="24"/>
      <w:szCs w:val="24"/>
    </w:rPr>
  </w:style>
  <w:style w:type="character" w:customStyle="1" w:styleId="429">
    <w:name w:val="不明显参考1"/>
    <w:autoRedefine/>
    <w:qFormat/>
    <w:uiPriority w:val="0"/>
    <w:rPr>
      <w:smallCaps/>
      <w:color w:val="C0504D"/>
      <w:u w:val="single"/>
    </w:rPr>
  </w:style>
  <w:style w:type="character" w:customStyle="1" w:styleId="430">
    <w:name w:val="样式 8 磅 加粗"/>
    <w:autoRedefine/>
    <w:qFormat/>
    <w:uiPriority w:val="0"/>
    <w:rPr>
      <w:rFonts w:eastAsia="宋体"/>
      <w:bCs/>
      <w:sz w:val="21"/>
    </w:rPr>
  </w:style>
  <w:style w:type="character" w:customStyle="1" w:styleId="431">
    <w:name w:val="编号标题2 Char Char Char Char Char Char Char Char Char Char Ch"/>
    <w:autoRedefine/>
    <w:qFormat/>
    <w:uiPriority w:val="0"/>
    <w:rPr>
      <w:rFonts w:ascii="Arial" w:hAnsi="Arial" w:eastAsia="黑体"/>
      <w:bCs/>
      <w:kern w:val="2"/>
      <w:sz w:val="21"/>
      <w:szCs w:val="32"/>
      <w:lang w:val="en-US" w:eastAsia="zh-CN" w:bidi="ar-SA"/>
    </w:rPr>
  </w:style>
  <w:style w:type="character" w:customStyle="1" w:styleId="432">
    <w:name w:val="明显参考1"/>
    <w:autoRedefine/>
    <w:qFormat/>
    <w:uiPriority w:val="0"/>
    <w:rPr>
      <w:b/>
      <w:bCs/>
      <w:smallCaps/>
      <w:color w:val="C0504D"/>
      <w:spacing w:val="5"/>
      <w:u w:val="single"/>
    </w:rPr>
  </w:style>
  <w:style w:type="character" w:customStyle="1" w:styleId="433">
    <w:name w:val="high151"/>
    <w:autoRedefine/>
    <w:qFormat/>
    <w:uiPriority w:val="0"/>
    <w:rPr>
      <w:spacing w:val="300"/>
      <w:sz w:val="18"/>
      <w:szCs w:val="18"/>
    </w:rPr>
  </w:style>
  <w:style w:type="character" w:customStyle="1" w:styleId="434">
    <w:name w:val="正文文本缩进 2 Char7"/>
    <w:autoRedefine/>
    <w:semiHidden/>
    <w:qFormat/>
    <w:uiPriority w:val="99"/>
  </w:style>
  <w:style w:type="character" w:customStyle="1" w:styleId="435">
    <w:name w:val="正文文本 Char3"/>
    <w:autoRedefine/>
    <w:qFormat/>
    <w:uiPriority w:val="99"/>
    <w:rPr>
      <w:kern w:val="2"/>
      <w:sz w:val="21"/>
      <w:szCs w:val="22"/>
    </w:rPr>
  </w:style>
  <w:style w:type="character" w:customStyle="1" w:styleId="436">
    <w:name w:val="HTML 预设格式 Char7"/>
    <w:autoRedefine/>
    <w:semiHidden/>
    <w:qFormat/>
    <w:uiPriority w:val="99"/>
    <w:rPr>
      <w:rFonts w:hint="default" w:ascii="Courier New" w:hAnsi="Courier New" w:cs="Courier New"/>
      <w:sz w:val="20"/>
      <w:szCs w:val="20"/>
    </w:rPr>
  </w:style>
  <w:style w:type="character" w:customStyle="1" w:styleId="437">
    <w:name w:val="日期 Char6"/>
    <w:autoRedefine/>
    <w:semiHidden/>
    <w:qFormat/>
    <w:uiPriority w:val="99"/>
    <w:rPr>
      <w:kern w:val="2"/>
      <w:sz w:val="21"/>
      <w:szCs w:val="22"/>
    </w:rPr>
  </w:style>
  <w:style w:type="character" w:customStyle="1" w:styleId="438">
    <w:name w:val="页眉 Char5"/>
    <w:autoRedefine/>
    <w:semiHidden/>
    <w:qFormat/>
    <w:uiPriority w:val="99"/>
    <w:rPr>
      <w:kern w:val="2"/>
      <w:sz w:val="18"/>
      <w:szCs w:val="18"/>
    </w:rPr>
  </w:style>
  <w:style w:type="character" w:customStyle="1" w:styleId="439">
    <w:name w:val="批注框文本 Char7"/>
    <w:autoRedefine/>
    <w:semiHidden/>
    <w:qFormat/>
    <w:uiPriority w:val="99"/>
    <w:rPr>
      <w:sz w:val="18"/>
      <w:szCs w:val="18"/>
    </w:rPr>
  </w:style>
  <w:style w:type="character" w:customStyle="1" w:styleId="440">
    <w:name w:val="正文文本缩进 3 Char7"/>
    <w:autoRedefine/>
    <w:semiHidden/>
    <w:qFormat/>
    <w:uiPriority w:val="99"/>
    <w:rPr>
      <w:sz w:val="16"/>
      <w:szCs w:val="16"/>
    </w:rPr>
  </w:style>
  <w:style w:type="character" w:customStyle="1" w:styleId="441">
    <w:name w:val="Char Char42"/>
    <w:autoRedefine/>
    <w:qFormat/>
    <w:uiPriority w:val="0"/>
    <w:rPr>
      <w:rFonts w:eastAsia="宋体"/>
      <w:kern w:val="2"/>
      <w:sz w:val="21"/>
      <w:szCs w:val="24"/>
      <w:lang w:val="en-US" w:eastAsia="zh-CN" w:bidi="ar-SA"/>
    </w:rPr>
  </w:style>
  <w:style w:type="character" w:customStyle="1" w:styleId="442">
    <w:name w:val="纯文本 Char3"/>
    <w:autoRedefine/>
    <w:semiHidden/>
    <w:qFormat/>
    <w:uiPriority w:val="99"/>
    <w:rPr>
      <w:rFonts w:ascii="宋体" w:hAnsi="Courier New" w:eastAsia="宋体" w:cs="Courier New"/>
      <w:szCs w:val="21"/>
    </w:rPr>
  </w:style>
  <w:style w:type="character" w:customStyle="1" w:styleId="443">
    <w:name w:val="Char Char5"/>
    <w:autoRedefine/>
    <w:qFormat/>
    <w:uiPriority w:val="0"/>
    <w:rPr>
      <w:rFonts w:ascii="Arial" w:hAnsi="Arial" w:eastAsia="宋体"/>
      <w:b/>
      <w:kern w:val="2"/>
      <w:sz w:val="44"/>
      <w:szCs w:val="24"/>
      <w:lang w:val="en-US" w:eastAsia="zh-CN" w:bidi="ar-SA"/>
    </w:rPr>
  </w:style>
  <w:style w:type="character" w:customStyle="1" w:styleId="444">
    <w:name w:val="标题 5 Char1"/>
    <w:autoRedefine/>
    <w:semiHidden/>
    <w:qFormat/>
    <w:uiPriority w:val="0"/>
    <w:rPr>
      <w:b/>
      <w:bCs/>
      <w:kern w:val="2"/>
      <w:sz w:val="28"/>
      <w:szCs w:val="28"/>
    </w:rPr>
  </w:style>
  <w:style w:type="character" w:customStyle="1" w:styleId="445">
    <w:name w:val="Char Char34"/>
    <w:autoRedefine/>
    <w:qFormat/>
    <w:uiPriority w:val="0"/>
    <w:rPr>
      <w:rFonts w:hint="eastAsia" w:ascii="宋体" w:hAnsi="宋体" w:eastAsia="宋体"/>
      <w:kern w:val="2"/>
      <w:sz w:val="21"/>
      <w:szCs w:val="24"/>
      <w:lang w:val="en-US" w:eastAsia="zh-CN" w:bidi="ar-SA"/>
    </w:rPr>
  </w:style>
  <w:style w:type="character" w:customStyle="1" w:styleId="446">
    <w:name w:val="标题 8 Char1"/>
    <w:autoRedefine/>
    <w:semiHidden/>
    <w:qFormat/>
    <w:uiPriority w:val="0"/>
    <w:rPr>
      <w:rFonts w:ascii="Cambria" w:hAnsi="Cambria" w:eastAsia="宋体" w:cs="Times New Roman"/>
      <w:kern w:val="2"/>
      <w:sz w:val="24"/>
      <w:szCs w:val="24"/>
    </w:rPr>
  </w:style>
  <w:style w:type="character" w:customStyle="1" w:styleId="447">
    <w:name w:val="文档结构图 Char3"/>
    <w:autoRedefine/>
    <w:qFormat/>
    <w:uiPriority w:val="99"/>
    <w:rPr>
      <w:rFonts w:ascii="宋体"/>
      <w:kern w:val="2"/>
      <w:sz w:val="18"/>
      <w:szCs w:val="18"/>
    </w:rPr>
  </w:style>
  <w:style w:type="character" w:customStyle="1" w:styleId="448">
    <w:name w:val="正文文本缩进 3 Char2"/>
    <w:autoRedefine/>
    <w:semiHidden/>
    <w:qFormat/>
    <w:uiPriority w:val="99"/>
    <w:rPr>
      <w:sz w:val="16"/>
      <w:szCs w:val="16"/>
    </w:rPr>
  </w:style>
  <w:style w:type="character" w:customStyle="1" w:styleId="449">
    <w:name w:val="正文文本 3 Char1"/>
    <w:autoRedefine/>
    <w:semiHidden/>
    <w:qFormat/>
    <w:uiPriority w:val="99"/>
    <w:rPr>
      <w:kern w:val="2"/>
      <w:sz w:val="16"/>
      <w:szCs w:val="16"/>
    </w:rPr>
  </w:style>
  <w:style w:type="character" w:customStyle="1" w:styleId="450">
    <w:name w:val="Char Char111"/>
    <w:autoRedefine/>
    <w:qFormat/>
    <w:uiPriority w:val="99"/>
    <w:rPr>
      <w:rFonts w:hint="eastAsia" w:ascii="宋体" w:hAnsi="宋体" w:eastAsia="宋体"/>
    </w:rPr>
  </w:style>
  <w:style w:type="character" w:customStyle="1" w:styleId="451">
    <w:name w:val="正文文本缩进 Char2"/>
    <w:autoRedefine/>
    <w:semiHidden/>
    <w:qFormat/>
    <w:uiPriority w:val="99"/>
  </w:style>
  <w:style w:type="character" w:customStyle="1" w:styleId="452">
    <w:name w:val="Char Char7"/>
    <w:autoRedefine/>
    <w:qFormat/>
    <w:uiPriority w:val="99"/>
    <w:rPr>
      <w:rFonts w:hint="eastAsia" w:ascii="宋体" w:hAnsi="Times New Roman" w:eastAsia="宋体"/>
      <w:kern w:val="0"/>
      <w:sz w:val="24"/>
    </w:rPr>
  </w:style>
  <w:style w:type="character" w:customStyle="1" w:styleId="453">
    <w:name w:val="正文文本缩进 2 Char2"/>
    <w:autoRedefine/>
    <w:semiHidden/>
    <w:qFormat/>
    <w:uiPriority w:val="99"/>
  </w:style>
  <w:style w:type="character" w:customStyle="1" w:styleId="454">
    <w:name w:val="页眉 Char2"/>
    <w:autoRedefine/>
    <w:semiHidden/>
    <w:qFormat/>
    <w:uiPriority w:val="99"/>
    <w:rPr>
      <w:sz w:val="18"/>
      <w:szCs w:val="18"/>
    </w:rPr>
  </w:style>
  <w:style w:type="character" w:customStyle="1" w:styleId="455">
    <w:name w:val="批注框文本 Char4"/>
    <w:autoRedefine/>
    <w:semiHidden/>
    <w:qFormat/>
    <w:uiPriority w:val="99"/>
    <w:rPr>
      <w:sz w:val="18"/>
      <w:szCs w:val="18"/>
    </w:rPr>
  </w:style>
  <w:style w:type="character" w:customStyle="1" w:styleId="456">
    <w:name w:val="正文文本缩进 3 Char4"/>
    <w:autoRedefine/>
    <w:semiHidden/>
    <w:qFormat/>
    <w:uiPriority w:val="99"/>
    <w:rPr>
      <w:sz w:val="16"/>
      <w:szCs w:val="16"/>
    </w:rPr>
  </w:style>
  <w:style w:type="character" w:customStyle="1" w:styleId="457">
    <w:name w:val="正文文本 Char4"/>
    <w:autoRedefine/>
    <w:semiHidden/>
    <w:qFormat/>
    <w:uiPriority w:val="99"/>
  </w:style>
  <w:style w:type="character" w:customStyle="1" w:styleId="458">
    <w:name w:val="日期 Char4"/>
    <w:autoRedefine/>
    <w:semiHidden/>
    <w:qFormat/>
    <w:uiPriority w:val="99"/>
  </w:style>
  <w:style w:type="character" w:customStyle="1" w:styleId="459">
    <w:name w:val="正文文本 2 Char4"/>
    <w:autoRedefine/>
    <w:semiHidden/>
    <w:qFormat/>
    <w:uiPriority w:val="99"/>
  </w:style>
  <w:style w:type="character" w:customStyle="1" w:styleId="460">
    <w:name w:val="正文文本缩进 Char4"/>
    <w:autoRedefine/>
    <w:semiHidden/>
    <w:qFormat/>
    <w:uiPriority w:val="99"/>
  </w:style>
  <w:style w:type="character" w:customStyle="1" w:styleId="461">
    <w:name w:val="正文文本缩进 2 Char4"/>
    <w:autoRedefine/>
    <w:semiHidden/>
    <w:qFormat/>
    <w:uiPriority w:val="99"/>
  </w:style>
  <w:style w:type="character" w:customStyle="1" w:styleId="462">
    <w:name w:val="章标题 Char"/>
    <w:link w:val="358"/>
    <w:autoRedefine/>
    <w:qFormat/>
    <w:locked/>
    <w:uiPriority w:val="99"/>
    <w:rPr>
      <w:rFonts w:ascii="黑体" w:eastAsia="黑体"/>
      <w:sz w:val="21"/>
    </w:rPr>
  </w:style>
  <w:style w:type="character" w:customStyle="1" w:styleId="463">
    <w:name w:val="段 Char"/>
    <w:link w:val="287"/>
    <w:autoRedefine/>
    <w:qFormat/>
    <w:locked/>
    <w:uiPriority w:val="0"/>
    <w:rPr>
      <w:rFonts w:ascii="宋体"/>
      <w:sz w:val="21"/>
    </w:rPr>
  </w:style>
  <w:style w:type="character" w:customStyle="1" w:styleId="464">
    <w:name w:val="Char Char51"/>
    <w:autoRedefine/>
    <w:qFormat/>
    <w:uiPriority w:val="0"/>
    <w:rPr>
      <w:rFonts w:hint="default" w:ascii="Arial" w:hAnsi="Arial" w:eastAsia="宋体" w:cs="Arial"/>
      <w:b/>
      <w:kern w:val="2"/>
      <w:sz w:val="44"/>
      <w:szCs w:val="24"/>
      <w:lang w:val="en-US" w:eastAsia="zh-CN" w:bidi="ar-SA"/>
    </w:rPr>
  </w:style>
  <w:style w:type="character" w:customStyle="1" w:styleId="465">
    <w:name w:val="正文（首行缩进两字） + Arial Char Char Char Char Char Char Char Char Char Char Char Char Char Char Char Char Char Char Char Char Char Char Char Char Char Char Char"/>
    <w:autoRedefine/>
    <w:qFormat/>
    <w:uiPriority w:val="0"/>
    <w:rPr>
      <w:rFonts w:ascii="Arial" w:hAnsi="Arial" w:eastAsia="宋体"/>
      <w:kern w:val="2"/>
      <w:sz w:val="24"/>
      <w:szCs w:val="24"/>
      <w:lang w:val="en-US" w:eastAsia="zh-CN" w:bidi="ar-SA"/>
    </w:rPr>
  </w:style>
  <w:style w:type="character" w:customStyle="1" w:styleId="466">
    <w:name w:val="detail_title1"/>
    <w:autoRedefine/>
    <w:qFormat/>
    <w:uiPriority w:val="0"/>
    <w:rPr>
      <w:rFonts w:hint="default" w:ascii="ˎ̥" w:hAnsi="ˎ̥" w:eastAsia="宋体"/>
      <w:b/>
      <w:bCs/>
      <w:color w:val="00497B"/>
      <w:kern w:val="2"/>
      <w:sz w:val="24"/>
      <w:szCs w:val="24"/>
      <w:lang w:val="en-US" w:eastAsia="zh-CN" w:bidi="ar-SA"/>
    </w:rPr>
  </w:style>
  <w:style w:type="character" w:customStyle="1" w:styleId="467">
    <w:name w:val="标题 1 1 Char2"/>
    <w:autoRedefine/>
    <w:qFormat/>
    <w:uiPriority w:val="0"/>
    <w:rPr>
      <w:rFonts w:ascii="宋体" w:hAnsi="宋体" w:eastAsia="宋体"/>
      <w:b/>
      <w:bCs/>
      <w:kern w:val="2"/>
      <w:sz w:val="36"/>
      <w:szCs w:val="36"/>
      <w:lang w:val="en-US" w:eastAsia="zh-CN" w:bidi="ar-SA"/>
    </w:rPr>
  </w:style>
  <w:style w:type="character" w:customStyle="1" w:styleId="468">
    <w:name w:val="正文文本缩进 Char6"/>
    <w:autoRedefine/>
    <w:semiHidden/>
    <w:qFormat/>
    <w:uiPriority w:val="99"/>
    <w:rPr>
      <w:kern w:val="2"/>
      <w:sz w:val="21"/>
      <w:szCs w:val="22"/>
    </w:rPr>
  </w:style>
  <w:style w:type="character" w:customStyle="1" w:styleId="469">
    <w:name w:val="emailstyle118"/>
    <w:autoRedefine/>
    <w:qFormat/>
    <w:uiPriority w:val="0"/>
    <w:rPr>
      <w:rFonts w:hint="default" w:ascii="Arial" w:hAnsi="Arial" w:eastAsia="宋体" w:cs="Arial"/>
      <w:color w:val="000080"/>
      <w:kern w:val="2"/>
      <w:sz w:val="24"/>
      <w:szCs w:val="24"/>
      <w:lang w:val="en-US" w:eastAsia="zh-CN" w:bidi="ar-SA"/>
    </w:rPr>
  </w:style>
  <w:style w:type="character" w:customStyle="1" w:styleId="470">
    <w:name w:val="Char Char27"/>
    <w:autoRedefine/>
    <w:qFormat/>
    <w:uiPriority w:val="0"/>
    <w:rPr>
      <w:rFonts w:ascii="Arial" w:hAnsi="Arial" w:eastAsia="宋体"/>
      <w:b/>
      <w:kern w:val="2"/>
      <w:sz w:val="44"/>
      <w:lang w:val="en-US" w:eastAsia="zh-CN" w:bidi="ar-SA"/>
    </w:rPr>
  </w:style>
  <w:style w:type="character" w:customStyle="1" w:styleId="471">
    <w:name w:val="charchar11"/>
    <w:autoRedefine/>
    <w:qFormat/>
    <w:uiPriority w:val="0"/>
    <w:rPr>
      <w:rFonts w:hint="eastAsia" w:ascii="宋体" w:hAnsi="宋体" w:eastAsia="宋体"/>
      <w:kern w:val="2"/>
      <w:sz w:val="24"/>
      <w:szCs w:val="24"/>
      <w:lang w:val="en-US" w:eastAsia="zh-CN" w:bidi="ar-SA"/>
    </w:rPr>
  </w:style>
  <w:style w:type="character" w:customStyle="1" w:styleId="472">
    <w:name w:val="com1"/>
    <w:autoRedefine/>
    <w:qFormat/>
    <w:uiPriority w:val="0"/>
    <w:rPr>
      <w:rFonts w:eastAsia="宋体"/>
      <w:spacing w:val="300"/>
      <w:kern w:val="2"/>
      <w:sz w:val="18"/>
      <w:szCs w:val="18"/>
      <w:lang w:val="en-US" w:eastAsia="zh-CN" w:bidi="ar-SA"/>
    </w:rPr>
  </w:style>
  <w:style w:type="character" w:customStyle="1" w:styleId="473">
    <w:name w:val="编号标题2 Char Char Char"/>
    <w:autoRedefine/>
    <w:qFormat/>
    <w:uiPriority w:val="0"/>
    <w:rPr>
      <w:rFonts w:ascii="Arial" w:hAnsi="Arial" w:eastAsia="黑体"/>
      <w:bCs/>
      <w:kern w:val="2"/>
      <w:sz w:val="21"/>
      <w:szCs w:val="32"/>
      <w:lang w:val="en-US" w:eastAsia="zh-CN" w:bidi="ar-SA"/>
    </w:rPr>
  </w:style>
  <w:style w:type="character" w:customStyle="1" w:styleId="474">
    <w:name w:val="不明显强调1"/>
    <w:autoRedefine/>
    <w:qFormat/>
    <w:uiPriority w:val="0"/>
    <w:rPr>
      <w:i/>
      <w:iCs/>
      <w:color w:val="808080"/>
    </w:rPr>
  </w:style>
  <w:style w:type="character" w:customStyle="1" w:styleId="475">
    <w:name w:val="Char Char32"/>
    <w:autoRedefine/>
    <w:qFormat/>
    <w:uiPriority w:val="0"/>
    <w:rPr>
      <w:rFonts w:ascii="Arial" w:hAnsi="Arial" w:eastAsia="宋体"/>
      <w:color w:val="000000"/>
      <w:kern w:val="2"/>
      <w:sz w:val="24"/>
      <w:szCs w:val="24"/>
      <w:lang w:val="en-US" w:eastAsia="zh-CN" w:bidi="ar-SA"/>
    </w:rPr>
  </w:style>
  <w:style w:type="character" w:customStyle="1" w:styleId="476">
    <w:name w:val="Char Char23"/>
    <w:autoRedefine/>
    <w:qFormat/>
    <w:uiPriority w:val="0"/>
    <w:rPr>
      <w:rFonts w:ascii="宋体" w:hAnsi="宋体" w:eastAsia="宋体"/>
      <w:kern w:val="2"/>
      <w:sz w:val="28"/>
      <w:szCs w:val="24"/>
      <w:lang w:val="en-US" w:eastAsia="zh-CN" w:bidi="ar-SA"/>
    </w:rPr>
  </w:style>
  <w:style w:type="character" w:customStyle="1" w:styleId="477">
    <w:name w:val="charchar10"/>
    <w:autoRedefine/>
    <w:qFormat/>
    <w:uiPriority w:val="0"/>
    <w:rPr>
      <w:rFonts w:hint="eastAsia" w:ascii="宋体" w:hAnsi="宋体" w:eastAsia="宋体"/>
      <w:kern w:val="2"/>
      <w:sz w:val="24"/>
      <w:szCs w:val="24"/>
      <w:lang w:val="en-US" w:eastAsia="zh-CN" w:bidi="ar-SA"/>
    </w:rPr>
  </w:style>
  <w:style w:type="character" w:customStyle="1" w:styleId="478">
    <w:name w:val="11char"/>
    <w:autoRedefine/>
    <w:qFormat/>
    <w:uiPriority w:val="0"/>
    <w:rPr>
      <w:rFonts w:hint="default" w:ascii="Arial" w:hAnsi="Arial" w:eastAsia="宋体" w:cs="Arial"/>
      <w:color w:val="0000FF"/>
      <w:kern w:val="2"/>
      <w:sz w:val="24"/>
      <w:szCs w:val="24"/>
      <w:lang w:val="en-US" w:eastAsia="zh-CN" w:bidi="ar-SA"/>
    </w:rPr>
  </w:style>
  <w:style w:type="character" w:customStyle="1" w:styleId="479">
    <w:name w:val="charchar15"/>
    <w:autoRedefine/>
    <w:qFormat/>
    <w:uiPriority w:val="0"/>
    <w:rPr>
      <w:rFonts w:hint="default" w:ascii="Arial" w:hAnsi="Arial" w:eastAsia="宋体" w:cs="Arial"/>
      <w:b/>
      <w:bCs/>
      <w:kern w:val="2"/>
      <w:sz w:val="24"/>
      <w:szCs w:val="24"/>
      <w:lang w:val="en-US" w:eastAsia="zh-CN" w:bidi="ar-SA"/>
    </w:rPr>
  </w:style>
  <w:style w:type="character" w:customStyle="1" w:styleId="480">
    <w:name w:val="charchar4"/>
    <w:autoRedefine/>
    <w:qFormat/>
    <w:uiPriority w:val="0"/>
    <w:rPr>
      <w:rFonts w:hint="eastAsia" w:ascii="宋体" w:hAnsi="宋体" w:eastAsia="宋体"/>
      <w:color w:val="000000"/>
      <w:kern w:val="2"/>
      <w:sz w:val="24"/>
      <w:szCs w:val="24"/>
      <w:lang w:val="en-US" w:eastAsia="zh-CN" w:bidi="ar-SA"/>
    </w:rPr>
  </w:style>
  <w:style w:type="character" w:customStyle="1" w:styleId="481">
    <w:name w:val="表格头格式 Char Char"/>
    <w:autoRedefine/>
    <w:qFormat/>
    <w:uiPriority w:val="0"/>
    <w:rPr>
      <w:rFonts w:eastAsia="宋体" w:cs="宋体"/>
      <w:b/>
      <w:bCs/>
      <w:kern w:val="2"/>
      <w:sz w:val="21"/>
      <w:lang w:val="en-US" w:eastAsia="zh-CN" w:bidi="ar-SA"/>
    </w:rPr>
  </w:style>
  <w:style w:type="character" w:customStyle="1" w:styleId="482">
    <w:name w:val="charchar5"/>
    <w:autoRedefine/>
    <w:qFormat/>
    <w:uiPriority w:val="0"/>
    <w:rPr>
      <w:rFonts w:hint="eastAsia" w:ascii="宋体" w:hAnsi="宋体" w:eastAsia="宋体"/>
      <w:kern w:val="2"/>
      <w:sz w:val="24"/>
      <w:szCs w:val="24"/>
      <w:lang w:val="en-US" w:eastAsia="zh-CN" w:bidi="ar-SA"/>
    </w:rPr>
  </w:style>
  <w:style w:type="character" w:customStyle="1" w:styleId="483">
    <w:name w:val="纯文本 Char6"/>
    <w:autoRedefine/>
    <w:semiHidden/>
    <w:qFormat/>
    <w:uiPriority w:val="99"/>
    <w:rPr>
      <w:rFonts w:hint="eastAsia" w:ascii="宋体" w:hAnsi="Courier New" w:eastAsia="宋体" w:cs="Courier New"/>
      <w:kern w:val="2"/>
      <w:sz w:val="21"/>
      <w:szCs w:val="21"/>
    </w:rPr>
  </w:style>
  <w:style w:type="character" w:customStyle="1" w:styleId="484">
    <w:name w:val="emailstyle146"/>
    <w:autoRedefine/>
    <w:qFormat/>
    <w:uiPriority w:val="0"/>
    <w:rPr>
      <w:rFonts w:hint="eastAsia" w:ascii="仿宋_GB2312" w:eastAsia="仿宋_GB2312"/>
      <w:color w:val="0000FF"/>
      <w:kern w:val="2"/>
      <w:sz w:val="24"/>
      <w:szCs w:val="24"/>
      <w:u w:val="none"/>
      <w:lang w:val="en-US" w:eastAsia="zh-CN" w:bidi="ar-SA"/>
    </w:rPr>
  </w:style>
  <w:style w:type="character" w:customStyle="1" w:styleId="485">
    <w:name w:val="charchar13"/>
    <w:autoRedefine/>
    <w:qFormat/>
    <w:uiPriority w:val="0"/>
    <w:rPr>
      <w:rFonts w:hint="default" w:ascii="Arial" w:hAnsi="Arial" w:eastAsia="宋体" w:cs="Arial"/>
      <w:kern w:val="2"/>
      <w:sz w:val="24"/>
      <w:szCs w:val="24"/>
      <w:lang w:val="en-US" w:eastAsia="zh-CN" w:bidi="ar-SA"/>
    </w:rPr>
  </w:style>
  <w:style w:type="character" w:customStyle="1" w:styleId="486">
    <w:name w:val="Char Char41"/>
    <w:autoRedefine/>
    <w:qFormat/>
    <w:uiPriority w:val="0"/>
    <w:rPr>
      <w:rFonts w:hint="eastAsia" w:ascii="宋体" w:hAnsi="宋体" w:eastAsia="宋体"/>
      <w:kern w:val="2"/>
      <w:sz w:val="21"/>
      <w:szCs w:val="24"/>
      <w:lang w:val="en-US" w:eastAsia="zh-CN" w:bidi="ar-SA"/>
    </w:rPr>
  </w:style>
  <w:style w:type="character" w:customStyle="1" w:styleId="487">
    <w:name w:val="正文文本 3 Char5"/>
    <w:autoRedefine/>
    <w:semiHidden/>
    <w:qFormat/>
    <w:uiPriority w:val="99"/>
    <w:rPr>
      <w:kern w:val="2"/>
      <w:sz w:val="16"/>
      <w:szCs w:val="16"/>
    </w:rPr>
  </w:style>
  <w:style w:type="character" w:customStyle="1" w:styleId="488">
    <w:name w:val="批注框文本 字符1"/>
    <w:autoRedefine/>
    <w:qFormat/>
    <w:uiPriority w:val="99"/>
    <w:rPr>
      <w:rFonts w:ascii="Times New Roman" w:hAnsi="Times New Roman" w:eastAsia="宋体" w:cs="Times New Roman"/>
      <w:kern w:val="0"/>
      <w:sz w:val="18"/>
      <w:szCs w:val="18"/>
    </w:rPr>
  </w:style>
  <w:style w:type="character" w:customStyle="1" w:styleId="489">
    <w:name w:val="刘志锋"/>
    <w:autoRedefine/>
    <w:qFormat/>
    <w:uiPriority w:val="0"/>
    <w:rPr>
      <w:rFonts w:ascii="楷体_GB2312" w:eastAsia="楷体_GB2312"/>
      <w:color w:val="0000FF"/>
      <w:kern w:val="2"/>
      <w:sz w:val="32"/>
      <w:szCs w:val="32"/>
      <w:u w:val="none"/>
      <w:lang w:val="en-US" w:eastAsia="zh-CN" w:bidi="ar-SA"/>
    </w:rPr>
  </w:style>
  <w:style w:type="character" w:customStyle="1" w:styleId="490">
    <w:name w:val="文档结构图 Char1"/>
    <w:autoRedefine/>
    <w:qFormat/>
    <w:uiPriority w:val="0"/>
    <w:rPr>
      <w:rFonts w:ascii="宋体" w:hAnsi="Calibri" w:eastAsia="宋体" w:cs="Times New Roman"/>
      <w:sz w:val="18"/>
      <w:szCs w:val="18"/>
    </w:rPr>
  </w:style>
  <w:style w:type="character" w:customStyle="1" w:styleId="491">
    <w:name w:val="正文文本缩进 2 Char6"/>
    <w:autoRedefine/>
    <w:semiHidden/>
    <w:qFormat/>
    <w:uiPriority w:val="99"/>
    <w:rPr>
      <w:kern w:val="2"/>
      <w:sz w:val="21"/>
      <w:szCs w:val="22"/>
    </w:rPr>
  </w:style>
  <w:style w:type="character" w:customStyle="1" w:styleId="492">
    <w:name w:val="Body Text Char"/>
    <w:autoRedefine/>
    <w:qFormat/>
    <w:uiPriority w:val="0"/>
    <w:rPr>
      <w:rFonts w:eastAsia="宋体"/>
      <w:sz w:val="24"/>
      <w:lang w:val="en-US" w:eastAsia="fr-FR" w:bidi="ar-SA"/>
    </w:rPr>
  </w:style>
  <w:style w:type="character" w:customStyle="1" w:styleId="493">
    <w:name w:val="正文缩进1级 Char Char"/>
    <w:link w:val="494"/>
    <w:autoRedefine/>
    <w:qFormat/>
    <w:uiPriority w:val="0"/>
    <w:rPr>
      <w:rFonts w:ascii="FuturaA Bk BT" w:hAnsi="FuturaA Bk BT"/>
      <w:sz w:val="24"/>
      <w:szCs w:val="24"/>
    </w:rPr>
  </w:style>
  <w:style w:type="paragraph" w:customStyle="1" w:styleId="494">
    <w:name w:val="正文缩进1级"/>
    <w:basedOn w:val="1"/>
    <w:link w:val="493"/>
    <w:autoRedefine/>
    <w:qFormat/>
    <w:uiPriority w:val="0"/>
    <w:pPr>
      <w:widowControl/>
      <w:tabs>
        <w:tab w:val="left" w:pos="1134"/>
      </w:tabs>
      <w:snapToGrid w:val="0"/>
      <w:spacing w:afterLines="30" w:line="288" w:lineRule="auto"/>
      <w:ind w:left="1134" w:hanging="567"/>
      <w:jc w:val="left"/>
    </w:pPr>
    <w:rPr>
      <w:rFonts w:ascii="FuturaA Bk BT" w:hAnsi="FuturaA Bk BT"/>
      <w:kern w:val="0"/>
      <w:sz w:val="24"/>
      <w:szCs w:val="24"/>
    </w:rPr>
  </w:style>
  <w:style w:type="character" w:customStyle="1" w:styleId="495">
    <w:name w:val="charchar1"/>
    <w:autoRedefine/>
    <w:qFormat/>
    <w:uiPriority w:val="0"/>
    <w:rPr>
      <w:rFonts w:hint="eastAsia" w:ascii="宋体" w:hAnsi="宋体" w:eastAsia="宋体"/>
      <w:kern w:val="2"/>
      <w:sz w:val="24"/>
      <w:szCs w:val="24"/>
      <w:lang w:val="en-US" w:eastAsia="zh-CN" w:bidi="ar-SA"/>
    </w:rPr>
  </w:style>
  <w:style w:type="character" w:customStyle="1" w:styleId="496">
    <w:name w:val="标题 1 1 Char Char"/>
    <w:autoRedefine/>
    <w:qFormat/>
    <w:uiPriority w:val="0"/>
    <w:rPr>
      <w:rFonts w:ascii="Times New Roman" w:hAnsi="Times New Roman" w:eastAsia="宋体" w:cs="Times New Roman"/>
      <w:b/>
      <w:bCs/>
      <w:kern w:val="44"/>
      <w:sz w:val="44"/>
      <w:szCs w:val="44"/>
      <w:lang w:val="en-US" w:eastAsia="zh-CN" w:bidi="ar-SA"/>
    </w:rPr>
  </w:style>
  <w:style w:type="character" w:customStyle="1" w:styleId="497">
    <w:name w:val="验交标准二级 Char"/>
    <w:link w:val="498"/>
    <w:autoRedefine/>
    <w:qFormat/>
    <w:uiPriority w:val="0"/>
    <w:rPr>
      <w:b/>
      <w:bCs/>
      <w:kern w:val="44"/>
      <w:sz w:val="24"/>
      <w:szCs w:val="44"/>
      <w:lang w:val="fr-FR" w:eastAsia="en-US" w:bidi="en-US"/>
    </w:rPr>
  </w:style>
  <w:style w:type="paragraph" w:customStyle="1" w:styleId="498">
    <w:name w:val="验交标准二级"/>
    <w:basedOn w:val="1"/>
    <w:link w:val="497"/>
    <w:autoRedefine/>
    <w:qFormat/>
    <w:uiPriority w:val="0"/>
    <w:pPr>
      <w:widowControl/>
      <w:tabs>
        <w:tab w:val="left" w:pos="567"/>
      </w:tabs>
      <w:spacing w:line="360" w:lineRule="auto"/>
      <w:jc w:val="left"/>
      <w:outlineLvl w:val="1"/>
    </w:pPr>
    <w:rPr>
      <w:b/>
      <w:bCs/>
      <w:kern w:val="44"/>
      <w:sz w:val="24"/>
      <w:szCs w:val="44"/>
      <w:lang w:val="fr-FR" w:eastAsia="en-US" w:bidi="en-US"/>
    </w:rPr>
  </w:style>
  <w:style w:type="character" w:customStyle="1" w:styleId="499">
    <w:name w:val="样式3 Char"/>
    <w:link w:val="272"/>
    <w:autoRedefine/>
    <w:qFormat/>
    <w:uiPriority w:val="0"/>
    <w:rPr>
      <w:rFonts w:ascii="宋体"/>
      <w:kern w:val="2"/>
      <w:sz w:val="24"/>
      <w:szCs w:val="22"/>
    </w:rPr>
  </w:style>
  <w:style w:type="character" w:customStyle="1" w:styleId="500">
    <w:name w:val="样式2 Char"/>
    <w:link w:val="112"/>
    <w:autoRedefine/>
    <w:qFormat/>
    <w:uiPriority w:val="0"/>
    <w:rPr>
      <w:kern w:val="2"/>
      <w:sz w:val="21"/>
      <w:szCs w:val="24"/>
    </w:rPr>
  </w:style>
  <w:style w:type="character" w:customStyle="1" w:styleId="501">
    <w:name w:val="脚注文本 Char1"/>
    <w:autoRedefine/>
    <w:qFormat/>
    <w:uiPriority w:val="0"/>
    <w:rPr>
      <w:rFonts w:ascii="Calibri" w:hAnsi="Calibri" w:eastAsia="宋体" w:cs="Times New Roman"/>
      <w:sz w:val="18"/>
      <w:szCs w:val="18"/>
    </w:rPr>
  </w:style>
  <w:style w:type="character" w:customStyle="1" w:styleId="502">
    <w:name w:val="脚注文本 字符1"/>
    <w:autoRedefine/>
    <w:qFormat/>
    <w:uiPriority w:val="99"/>
    <w:rPr>
      <w:rFonts w:ascii="Calibri" w:hAnsi="Calibri" w:eastAsia="宋体" w:cs="Times New Roman"/>
      <w:kern w:val="0"/>
      <w:sz w:val="18"/>
      <w:szCs w:val="18"/>
    </w:rPr>
  </w:style>
  <w:style w:type="character" w:customStyle="1" w:styleId="503">
    <w:name w:val="Char Char19"/>
    <w:autoRedefine/>
    <w:qFormat/>
    <w:uiPriority w:val="0"/>
    <w:rPr>
      <w:rFonts w:ascii="宋体" w:hAnsi="宋体" w:eastAsia="宋体" w:cs="宋体"/>
      <w:b/>
      <w:color w:val="0000FF"/>
      <w:kern w:val="2"/>
      <w:sz w:val="21"/>
      <w:szCs w:val="21"/>
      <w:lang w:val="en-US" w:eastAsia="zh-CN" w:bidi="ar-SA"/>
    </w:rPr>
  </w:style>
  <w:style w:type="character" w:customStyle="1" w:styleId="504">
    <w:name w:val="charchar14"/>
    <w:autoRedefine/>
    <w:qFormat/>
    <w:uiPriority w:val="0"/>
    <w:rPr>
      <w:rFonts w:hint="eastAsia" w:ascii="宋体" w:hAnsi="宋体" w:eastAsia="宋体"/>
      <w:b/>
      <w:bCs/>
      <w:kern w:val="2"/>
      <w:sz w:val="24"/>
      <w:szCs w:val="24"/>
      <w:lang w:val="en-US" w:eastAsia="zh-CN" w:bidi="ar-SA"/>
    </w:rPr>
  </w:style>
  <w:style w:type="character" w:customStyle="1" w:styleId="505">
    <w:name w:val="charchar12"/>
    <w:autoRedefine/>
    <w:qFormat/>
    <w:uiPriority w:val="0"/>
    <w:rPr>
      <w:rFonts w:hint="default" w:ascii="Arial" w:hAnsi="Arial" w:eastAsia="宋体" w:cs="Arial"/>
      <w:kern w:val="2"/>
      <w:sz w:val="24"/>
      <w:szCs w:val="24"/>
      <w:lang w:val="en-US" w:eastAsia="zh-CN" w:bidi="ar-SA"/>
    </w:rPr>
  </w:style>
  <w:style w:type="character" w:customStyle="1" w:styleId="506">
    <w:name w:val="正文文本缩进 2 字符1"/>
    <w:autoRedefine/>
    <w:qFormat/>
    <w:uiPriority w:val="99"/>
    <w:rPr>
      <w:rFonts w:ascii="Times New Roman" w:hAnsi="Times New Roman" w:eastAsia="宋体" w:cs="Times New Roman"/>
      <w:kern w:val="0"/>
      <w:sz w:val="20"/>
      <w:szCs w:val="24"/>
    </w:rPr>
  </w:style>
  <w:style w:type="character" w:customStyle="1" w:styleId="507">
    <w:name w:val="charchar8"/>
    <w:autoRedefine/>
    <w:qFormat/>
    <w:uiPriority w:val="0"/>
    <w:rPr>
      <w:rFonts w:hint="eastAsia" w:ascii="宋体" w:hAnsi="宋体" w:eastAsia="宋体"/>
      <w:kern w:val="2"/>
      <w:sz w:val="24"/>
      <w:szCs w:val="24"/>
      <w:lang w:val="en-US" w:eastAsia="zh-CN" w:bidi="ar-SA"/>
    </w:rPr>
  </w:style>
  <w:style w:type="character" w:customStyle="1" w:styleId="508">
    <w:name w:val="标题 1 1 Char Char Char Char"/>
    <w:autoRedefine/>
    <w:qFormat/>
    <w:uiPriority w:val="0"/>
    <w:rPr>
      <w:rFonts w:eastAsia="黑体"/>
      <w:bCs/>
      <w:kern w:val="44"/>
      <w:sz w:val="21"/>
      <w:szCs w:val="44"/>
      <w:lang w:val="en-US" w:eastAsia="zh-CN" w:bidi="ar-SA"/>
    </w:rPr>
  </w:style>
  <w:style w:type="character" w:customStyle="1" w:styleId="509">
    <w:name w:val="Char Char"/>
    <w:autoRedefine/>
    <w:qFormat/>
    <w:uiPriority w:val="0"/>
    <w:rPr>
      <w:rFonts w:hint="eastAsia" w:ascii="宋体" w:hAnsi="宋体" w:eastAsia="宋体"/>
      <w:kern w:val="2"/>
      <w:sz w:val="18"/>
      <w:szCs w:val="24"/>
      <w:lang w:val="en-US" w:eastAsia="zh-CN" w:bidi="ar-SA"/>
    </w:rPr>
  </w:style>
  <w:style w:type="character" w:customStyle="1" w:styleId="510">
    <w:name w:val="样式 宋体 8 磅 加粗"/>
    <w:autoRedefine/>
    <w:qFormat/>
    <w:uiPriority w:val="0"/>
    <w:rPr>
      <w:rFonts w:ascii="宋体" w:hAnsi="宋体" w:eastAsia="宋体"/>
      <w:bCs/>
      <w:sz w:val="21"/>
    </w:rPr>
  </w:style>
  <w:style w:type="character" w:customStyle="1" w:styleId="511">
    <w:name w:val="表格内容 Char Char"/>
    <w:autoRedefine/>
    <w:qFormat/>
    <w:uiPriority w:val="0"/>
    <w:rPr>
      <w:rFonts w:eastAsia="宋体" w:cs="宋体"/>
      <w:kern w:val="2"/>
      <w:sz w:val="21"/>
      <w:lang w:val="en-US" w:eastAsia="zh-CN" w:bidi="ar-SA"/>
    </w:rPr>
  </w:style>
  <w:style w:type="character" w:customStyle="1" w:styleId="512">
    <w:name w:val="表格内容 Char"/>
    <w:link w:val="513"/>
    <w:autoRedefine/>
    <w:qFormat/>
    <w:uiPriority w:val="0"/>
  </w:style>
  <w:style w:type="paragraph" w:customStyle="1" w:styleId="513">
    <w:name w:val="表格内容"/>
    <w:basedOn w:val="1"/>
    <w:link w:val="512"/>
    <w:autoRedefine/>
    <w:qFormat/>
    <w:uiPriority w:val="0"/>
    <w:pPr>
      <w:widowControl/>
      <w:jc w:val="left"/>
    </w:pPr>
    <w:rPr>
      <w:kern w:val="0"/>
      <w:sz w:val="20"/>
    </w:rPr>
  </w:style>
  <w:style w:type="character" w:customStyle="1" w:styleId="514">
    <w:name w:val="detailtitle1"/>
    <w:autoRedefine/>
    <w:qFormat/>
    <w:uiPriority w:val="0"/>
    <w:rPr>
      <w:rFonts w:hint="default" w:ascii="ˎ̥" w:hAnsi="ˎ̥" w:eastAsia="宋体"/>
      <w:b/>
      <w:bCs/>
      <w:color w:val="00497B"/>
      <w:kern w:val="2"/>
      <w:sz w:val="24"/>
      <w:szCs w:val="24"/>
      <w:lang w:val="en-US" w:eastAsia="zh-CN" w:bidi="ar-SA"/>
    </w:rPr>
  </w:style>
  <w:style w:type="character" w:customStyle="1" w:styleId="515">
    <w:name w:val="正文首行缩进 Char4"/>
    <w:autoRedefine/>
    <w:semiHidden/>
    <w:qFormat/>
    <w:uiPriority w:val="99"/>
  </w:style>
  <w:style w:type="character" w:customStyle="1" w:styleId="516">
    <w:name w:val="emailstyle116"/>
    <w:autoRedefine/>
    <w:qFormat/>
    <w:uiPriority w:val="0"/>
    <w:rPr>
      <w:rFonts w:hint="default" w:ascii="Arial" w:hAnsi="Arial" w:eastAsia="宋体" w:cs="Arial"/>
      <w:color w:val="auto"/>
      <w:kern w:val="2"/>
      <w:sz w:val="24"/>
      <w:szCs w:val="24"/>
      <w:lang w:val="en-US" w:eastAsia="zh-CN" w:bidi="ar-SA"/>
    </w:rPr>
  </w:style>
  <w:style w:type="character" w:customStyle="1" w:styleId="517">
    <w:name w:val="页脚 Char4"/>
    <w:autoRedefine/>
    <w:semiHidden/>
    <w:qFormat/>
    <w:uiPriority w:val="99"/>
    <w:rPr>
      <w:kern w:val="2"/>
      <w:sz w:val="18"/>
      <w:szCs w:val="18"/>
    </w:rPr>
  </w:style>
  <w:style w:type="character" w:customStyle="1" w:styleId="518">
    <w:name w:val="批注文字 Char5"/>
    <w:autoRedefine/>
    <w:qFormat/>
    <w:uiPriority w:val="99"/>
    <w:rPr>
      <w:rFonts w:hint="default" w:ascii="Calibri" w:hAnsi="Calibri" w:eastAsia="宋体" w:cs="Times New Roman"/>
    </w:rPr>
  </w:style>
  <w:style w:type="character" w:customStyle="1" w:styleId="519">
    <w:name w:val="Char Char20"/>
    <w:autoRedefine/>
    <w:qFormat/>
    <w:uiPriority w:val="0"/>
    <w:rPr>
      <w:rFonts w:ascii="宋体" w:hAnsi="Courier New" w:eastAsia="宋体"/>
      <w:kern w:val="2"/>
      <w:sz w:val="21"/>
      <w:szCs w:val="24"/>
      <w:lang w:val="en-US" w:eastAsia="zh-CN" w:bidi="ar-SA"/>
    </w:rPr>
  </w:style>
  <w:style w:type="character" w:customStyle="1" w:styleId="520">
    <w:name w:val="Char Char21"/>
    <w:autoRedefine/>
    <w:qFormat/>
    <w:uiPriority w:val="0"/>
    <w:rPr>
      <w:rFonts w:ascii="宋体" w:hAnsi="宋体" w:eastAsia="宋体"/>
      <w:color w:val="000000"/>
      <w:kern w:val="2"/>
      <w:sz w:val="24"/>
      <w:szCs w:val="24"/>
      <w:lang w:val="en-US" w:eastAsia="zh-CN" w:bidi="ar-SA"/>
    </w:rPr>
  </w:style>
  <w:style w:type="character" w:customStyle="1" w:styleId="521">
    <w:name w:val="公文正文 Char"/>
    <w:autoRedefine/>
    <w:qFormat/>
    <w:uiPriority w:val="0"/>
    <w:rPr>
      <w:rFonts w:ascii="仿宋_GB2312" w:hAnsi="Calisto MT" w:eastAsia="仿宋_GB2312"/>
      <w:color w:val="000000"/>
      <w:sz w:val="32"/>
      <w:lang w:val="en-US" w:eastAsia="zh-CN"/>
    </w:rPr>
  </w:style>
  <w:style w:type="character" w:customStyle="1" w:styleId="522">
    <w:name w:val="Char Char3"/>
    <w:autoRedefine/>
    <w:qFormat/>
    <w:uiPriority w:val="0"/>
    <w:rPr>
      <w:rFonts w:eastAsia="宋体"/>
      <w:kern w:val="2"/>
      <w:sz w:val="21"/>
      <w:szCs w:val="24"/>
      <w:lang w:val="en-US" w:eastAsia="zh-CN" w:bidi="ar-SA"/>
    </w:rPr>
  </w:style>
  <w:style w:type="character" w:customStyle="1" w:styleId="523">
    <w:name w:val="正文纯文本 Char"/>
    <w:link w:val="524"/>
    <w:autoRedefine/>
    <w:qFormat/>
    <w:uiPriority w:val="0"/>
    <w:rPr>
      <w:szCs w:val="24"/>
    </w:rPr>
  </w:style>
  <w:style w:type="paragraph" w:customStyle="1" w:styleId="524">
    <w:name w:val="正文纯文本"/>
    <w:basedOn w:val="1"/>
    <w:link w:val="523"/>
    <w:autoRedefine/>
    <w:qFormat/>
    <w:uiPriority w:val="0"/>
    <w:pPr>
      <w:spacing w:line="360" w:lineRule="auto"/>
      <w:ind w:firstLine="540" w:firstLineChars="257"/>
    </w:pPr>
    <w:rPr>
      <w:kern w:val="0"/>
      <w:sz w:val="20"/>
      <w:szCs w:val="24"/>
    </w:rPr>
  </w:style>
  <w:style w:type="character" w:customStyle="1" w:styleId="525">
    <w:name w:val="Char Char30"/>
    <w:autoRedefine/>
    <w:qFormat/>
    <w:uiPriority w:val="0"/>
    <w:rPr>
      <w:rFonts w:eastAsia="宋体"/>
      <w:b/>
      <w:kern w:val="2"/>
      <w:sz w:val="24"/>
      <w:lang w:val="en-US" w:eastAsia="zh-CN" w:bidi="ar-SA"/>
    </w:rPr>
  </w:style>
  <w:style w:type="character" w:customStyle="1" w:styleId="526">
    <w:name w:val="HTML 预设格式 字符1"/>
    <w:autoRedefine/>
    <w:qFormat/>
    <w:uiPriority w:val="99"/>
    <w:rPr>
      <w:rFonts w:ascii="黑体" w:hAnsi="Courier New" w:eastAsia="黑体" w:cs="Courier New"/>
      <w:kern w:val="0"/>
      <w:sz w:val="20"/>
      <w:szCs w:val="21"/>
    </w:rPr>
  </w:style>
  <w:style w:type="character" w:customStyle="1" w:styleId="527">
    <w:name w:val="尾注文本 Char Char"/>
    <w:autoRedefine/>
    <w:qFormat/>
    <w:uiPriority w:val="0"/>
    <w:rPr>
      <w:rFonts w:eastAsia="宋体"/>
      <w:kern w:val="2"/>
      <w:sz w:val="24"/>
      <w:szCs w:val="24"/>
      <w:lang w:val="en-US" w:eastAsia="zh-CN" w:bidi="ar-SA"/>
    </w:rPr>
  </w:style>
  <w:style w:type="character" w:customStyle="1" w:styleId="528">
    <w:name w:val="页脚 字符1"/>
    <w:autoRedefine/>
    <w:qFormat/>
    <w:uiPriority w:val="99"/>
    <w:rPr>
      <w:rFonts w:ascii="Times New Roman" w:hAnsi="Times New Roman" w:eastAsia="宋体" w:cs="Times New Roman"/>
      <w:kern w:val="0"/>
      <w:sz w:val="18"/>
      <w:szCs w:val="18"/>
    </w:rPr>
  </w:style>
  <w:style w:type="character" w:customStyle="1" w:styleId="529">
    <w:name w:val="Heading 1 Char"/>
    <w:autoRedefine/>
    <w:qFormat/>
    <w:uiPriority w:val="0"/>
    <w:rPr>
      <w:rFonts w:eastAsia="宋体"/>
      <w:b/>
      <w:bCs/>
      <w:kern w:val="44"/>
      <w:sz w:val="44"/>
      <w:szCs w:val="44"/>
      <w:lang w:val="en-US" w:eastAsia="zh-CN" w:bidi="ar-SA"/>
    </w:rPr>
  </w:style>
  <w:style w:type="character" w:customStyle="1" w:styleId="530">
    <w:name w:val="副标题 字符1"/>
    <w:autoRedefine/>
    <w:qFormat/>
    <w:uiPriority w:val="11"/>
    <w:rPr>
      <w:rFonts w:ascii="Cambria" w:hAnsi="Cambria" w:eastAsia="宋体" w:cs="Times New Roman"/>
      <w:kern w:val="0"/>
      <w:sz w:val="24"/>
      <w:szCs w:val="24"/>
    </w:rPr>
  </w:style>
  <w:style w:type="character" w:customStyle="1" w:styleId="531">
    <w:name w:val="Char Char22"/>
    <w:autoRedefine/>
    <w:qFormat/>
    <w:uiPriority w:val="0"/>
    <w:rPr>
      <w:rFonts w:ascii="宋体" w:hAnsi="宋体" w:eastAsia="宋体"/>
      <w:kern w:val="2"/>
      <w:sz w:val="21"/>
      <w:szCs w:val="24"/>
      <w:lang w:val="en-US" w:eastAsia="zh-CN" w:bidi="ar-SA"/>
    </w:rPr>
  </w:style>
  <w:style w:type="character" w:customStyle="1" w:styleId="532">
    <w:name w:val="样式 (中文) 楷体_GB2312 五号"/>
    <w:autoRedefine/>
    <w:qFormat/>
    <w:uiPriority w:val="0"/>
    <w:rPr>
      <w:rFonts w:eastAsia="楷体_GB2312"/>
      <w:kern w:val="2"/>
      <w:sz w:val="21"/>
      <w:szCs w:val="24"/>
      <w:lang w:val="en-US" w:eastAsia="zh-CN" w:bidi="ar-SA"/>
    </w:rPr>
  </w:style>
  <w:style w:type="character" w:customStyle="1" w:styleId="533">
    <w:name w:val="正文文本 3 字符1"/>
    <w:autoRedefine/>
    <w:qFormat/>
    <w:uiPriority w:val="99"/>
    <w:rPr>
      <w:rFonts w:ascii="Times New Roman" w:hAnsi="Times New Roman" w:eastAsia="宋体" w:cs="Times New Roman"/>
      <w:kern w:val="0"/>
      <w:sz w:val="16"/>
      <w:szCs w:val="16"/>
    </w:rPr>
  </w:style>
  <w:style w:type="character" w:customStyle="1" w:styleId="534">
    <w:name w:val="char0"/>
    <w:autoRedefine/>
    <w:qFormat/>
    <w:uiPriority w:val="0"/>
    <w:rPr>
      <w:rFonts w:hint="default" w:ascii="Arial" w:hAnsi="Arial" w:eastAsia="宋体" w:cs="Arial"/>
      <w:b/>
      <w:bCs/>
      <w:kern w:val="2"/>
      <w:sz w:val="24"/>
      <w:szCs w:val="24"/>
      <w:lang w:val="en-US" w:eastAsia="zh-CN" w:bidi="ar-SA"/>
    </w:rPr>
  </w:style>
  <w:style w:type="character" w:customStyle="1" w:styleId="535">
    <w:name w:val="标题 4 Char Char Char Char Char Char Char Char Char Char Char Char Char Char Char Char Char Char Char Char Char Char Char Char Char Char Char Char Char Char Char Char Char Char Char Char Char Char Char Char Char Char Char Char Char Char Char Char Char Cha"/>
    <w:autoRedefine/>
    <w:qFormat/>
    <w:uiPriority w:val="0"/>
    <w:rPr>
      <w:rFonts w:ascii="Arial" w:hAnsi="Arial" w:eastAsia="黑体"/>
      <w:bCs/>
      <w:kern w:val="2"/>
      <w:sz w:val="24"/>
      <w:szCs w:val="28"/>
      <w:lang w:val="en-US" w:eastAsia="zh-CN" w:bidi="ar-SA"/>
    </w:rPr>
  </w:style>
  <w:style w:type="character" w:customStyle="1" w:styleId="536">
    <w:name w:val="正文文本缩进 字符1"/>
    <w:autoRedefine/>
    <w:qFormat/>
    <w:uiPriority w:val="99"/>
    <w:rPr>
      <w:rFonts w:ascii="Times New Roman" w:hAnsi="Times New Roman" w:eastAsia="宋体" w:cs="Times New Roman"/>
      <w:kern w:val="0"/>
      <w:sz w:val="24"/>
      <w:szCs w:val="20"/>
    </w:rPr>
  </w:style>
  <w:style w:type="character" w:customStyle="1" w:styleId="537">
    <w:name w:val="引用 字符1"/>
    <w:autoRedefine/>
    <w:qFormat/>
    <w:uiPriority w:val="29"/>
    <w:rPr>
      <w:rFonts w:ascii="Calibri" w:hAnsi="Calibri" w:eastAsia="宋体" w:cs="Times New Roman"/>
      <w:i/>
      <w:kern w:val="0"/>
      <w:sz w:val="24"/>
      <w:szCs w:val="24"/>
    </w:rPr>
  </w:style>
  <w:style w:type="character" w:customStyle="1" w:styleId="538">
    <w:name w:val="样式 标题 4Para4CDR_Lev 4Title3h44 dashddash + (符号) 宋体 加粗 Char"/>
    <w:autoRedefine/>
    <w:qFormat/>
    <w:uiPriority w:val="0"/>
    <w:rPr>
      <w:rFonts w:ascii="Arial" w:hAnsi="Arial" w:eastAsia="黑体"/>
      <w:bCs/>
      <w:color w:val="000000"/>
      <w:sz w:val="28"/>
      <w:szCs w:val="28"/>
    </w:rPr>
  </w:style>
  <w:style w:type="character" w:customStyle="1" w:styleId="539">
    <w:name w:val="Char Char6"/>
    <w:autoRedefine/>
    <w:qFormat/>
    <w:uiPriority w:val="0"/>
    <w:rPr>
      <w:kern w:val="2"/>
      <w:sz w:val="21"/>
      <w:szCs w:val="24"/>
    </w:rPr>
  </w:style>
  <w:style w:type="character" w:customStyle="1" w:styleId="540">
    <w:name w:val="列表编号3 Char Char"/>
    <w:autoRedefine/>
    <w:qFormat/>
    <w:uiPriority w:val="0"/>
    <w:rPr>
      <w:rFonts w:eastAsia="宋体"/>
      <w:b/>
      <w:color w:val="000000"/>
      <w:kern w:val="2"/>
      <w:sz w:val="24"/>
      <w:szCs w:val="24"/>
      <w:lang w:val="en-US" w:eastAsia="zh-CN" w:bidi="ar-SA"/>
    </w:rPr>
  </w:style>
  <w:style w:type="character" w:customStyle="1" w:styleId="541">
    <w:name w:val="1char"/>
    <w:autoRedefine/>
    <w:qFormat/>
    <w:uiPriority w:val="0"/>
    <w:rPr>
      <w:rFonts w:hint="default" w:ascii="Arial" w:hAnsi="Arial" w:eastAsia="宋体" w:cs="Arial"/>
      <w:b/>
      <w:bCs/>
      <w:kern w:val="2"/>
      <w:sz w:val="24"/>
      <w:szCs w:val="24"/>
      <w:lang w:val="en-US" w:eastAsia="zh-CN" w:bidi="ar-SA"/>
    </w:rPr>
  </w:style>
  <w:style w:type="character" w:customStyle="1" w:styleId="542">
    <w:name w:val="Char Char25"/>
    <w:autoRedefine/>
    <w:qFormat/>
    <w:uiPriority w:val="0"/>
    <w:rPr>
      <w:rFonts w:eastAsia="宋体"/>
      <w:kern w:val="2"/>
      <w:sz w:val="21"/>
      <w:lang w:val="en-US" w:eastAsia="zh-CN" w:bidi="ar-SA"/>
    </w:rPr>
  </w:style>
  <w:style w:type="character" w:customStyle="1" w:styleId="543">
    <w:name w:val="Char Char9"/>
    <w:autoRedefine/>
    <w:qFormat/>
    <w:uiPriority w:val="0"/>
    <w:rPr>
      <w:rFonts w:ascii="Arial" w:hAnsi="Arial" w:eastAsia="黑体"/>
      <w:kern w:val="2"/>
      <w:sz w:val="24"/>
    </w:rPr>
  </w:style>
  <w:style w:type="character" w:customStyle="1" w:styleId="544">
    <w:name w:val="HTML 预设格式 Char6"/>
    <w:autoRedefine/>
    <w:semiHidden/>
    <w:qFormat/>
    <w:uiPriority w:val="99"/>
    <w:rPr>
      <w:rFonts w:hint="default" w:ascii="Courier New" w:hAnsi="Courier New" w:cs="Courier New"/>
      <w:kern w:val="2"/>
    </w:rPr>
  </w:style>
  <w:style w:type="character" w:customStyle="1" w:styleId="545">
    <w:name w:val="charchar6"/>
    <w:autoRedefine/>
    <w:qFormat/>
    <w:uiPriority w:val="0"/>
    <w:rPr>
      <w:rFonts w:hint="eastAsia" w:ascii="宋体" w:hAnsi="宋体" w:eastAsia="宋体"/>
      <w:kern w:val="2"/>
      <w:sz w:val="24"/>
      <w:szCs w:val="24"/>
      <w:lang w:val="en-US" w:eastAsia="zh-CN" w:bidi="ar-SA"/>
    </w:rPr>
  </w:style>
  <w:style w:type="character" w:customStyle="1" w:styleId="546">
    <w:name w:val="Char Char24"/>
    <w:autoRedefine/>
    <w:qFormat/>
    <w:uiPriority w:val="0"/>
    <w:rPr>
      <w:rFonts w:ascii="宋体" w:hAnsi="宋体" w:eastAsia="宋体"/>
      <w:kern w:val="2"/>
      <w:sz w:val="18"/>
      <w:szCs w:val="24"/>
      <w:lang w:val="en-US" w:eastAsia="zh-CN" w:bidi="ar-SA"/>
    </w:rPr>
  </w:style>
  <w:style w:type="character" w:customStyle="1" w:styleId="547">
    <w:name w:val="表格头格式 Char"/>
    <w:link w:val="548"/>
    <w:autoRedefine/>
    <w:qFormat/>
    <w:uiPriority w:val="0"/>
    <w:rPr>
      <w:b/>
      <w:bCs/>
    </w:rPr>
  </w:style>
  <w:style w:type="paragraph" w:customStyle="1" w:styleId="548">
    <w:name w:val="表格头格式"/>
    <w:basedOn w:val="513"/>
    <w:link w:val="547"/>
    <w:autoRedefine/>
    <w:qFormat/>
    <w:uiPriority w:val="0"/>
    <w:rPr>
      <w:b/>
      <w:bCs/>
    </w:rPr>
  </w:style>
  <w:style w:type="character" w:customStyle="1" w:styleId="549">
    <w:name w:val="charchar3"/>
    <w:autoRedefine/>
    <w:qFormat/>
    <w:uiPriority w:val="0"/>
    <w:rPr>
      <w:rFonts w:hint="eastAsia" w:ascii="宋体" w:hAnsi="宋体" w:eastAsia="宋体"/>
      <w:kern w:val="2"/>
      <w:sz w:val="24"/>
      <w:szCs w:val="24"/>
      <w:lang w:val="en-US" w:eastAsia="zh-CN" w:bidi="ar-SA"/>
    </w:rPr>
  </w:style>
  <w:style w:type="character" w:customStyle="1" w:styleId="550">
    <w:name w:val="lemmatitleh1"/>
    <w:autoRedefine/>
    <w:qFormat/>
    <w:uiPriority w:val="0"/>
  </w:style>
  <w:style w:type="character" w:customStyle="1" w:styleId="551">
    <w:name w:val="尾注文本 Char5"/>
    <w:autoRedefine/>
    <w:semiHidden/>
    <w:qFormat/>
    <w:uiPriority w:val="99"/>
  </w:style>
  <w:style w:type="character" w:customStyle="1" w:styleId="552">
    <w:name w:val="标准正文 Char"/>
    <w:link w:val="553"/>
    <w:autoRedefine/>
    <w:qFormat/>
    <w:uiPriority w:val="0"/>
    <w:rPr>
      <w:szCs w:val="24"/>
    </w:rPr>
  </w:style>
  <w:style w:type="paragraph" w:customStyle="1" w:styleId="553">
    <w:name w:val="标准正文"/>
    <w:basedOn w:val="1"/>
    <w:link w:val="552"/>
    <w:autoRedefine/>
    <w:qFormat/>
    <w:uiPriority w:val="0"/>
    <w:pPr>
      <w:tabs>
        <w:tab w:val="left" w:pos="720"/>
      </w:tabs>
      <w:spacing w:line="360" w:lineRule="auto"/>
      <w:ind w:firstLine="200" w:firstLineChars="200"/>
    </w:pPr>
    <w:rPr>
      <w:kern w:val="0"/>
      <w:sz w:val="20"/>
      <w:szCs w:val="24"/>
    </w:rPr>
  </w:style>
  <w:style w:type="character" w:customStyle="1" w:styleId="554">
    <w:name w:val="正文文本缩进 3 Char1"/>
    <w:autoRedefine/>
    <w:semiHidden/>
    <w:qFormat/>
    <w:uiPriority w:val="0"/>
    <w:rPr>
      <w:sz w:val="16"/>
      <w:szCs w:val="16"/>
    </w:rPr>
  </w:style>
  <w:style w:type="character" w:customStyle="1" w:styleId="555">
    <w:name w:val="标题 1 1 Char1"/>
    <w:autoRedefine/>
    <w:qFormat/>
    <w:uiPriority w:val="0"/>
    <w:rPr>
      <w:rFonts w:ascii="楷体_GB2312" w:hAnsi="宋体" w:eastAsia="楷体_GB2312" w:cs="宋体"/>
      <w:b/>
      <w:bCs/>
      <w:kern w:val="44"/>
      <w:sz w:val="28"/>
      <w:szCs w:val="28"/>
      <w:lang w:val="en-US" w:eastAsia="zh-CN" w:bidi="ar-SA"/>
    </w:rPr>
  </w:style>
  <w:style w:type="character" w:customStyle="1" w:styleId="556">
    <w:name w:val="正文文本 字符1"/>
    <w:autoRedefine/>
    <w:qFormat/>
    <w:uiPriority w:val="99"/>
    <w:rPr>
      <w:rFonts w:ascii="Times New Roman" w:hAnsi="Times New Roman" w:eastAsia="宋体" w:cs="Times New Roman"/>
      <w:kern w:val="0"/>
      <w:sz w:val="20"/>
      <w:szCs w:val="24"/>
    </w:rPr>
  </w:style>
  <w:style w:type="character" w:customStyle="1" w:styleId="557">
    <w:name w:val="批注主题 字符1"/>
    <w:autoRedefine/>
    <w:qFormat/>
    <w:uiPriority w:val="99"/>
    <w:rPr>
      <w:rFonts w:ascii="Tahoma" w:hAnsi="Tahoma" w:eastAsia="宋体" w:cs="Times New Roman"/>
      <w:b/>
      <w:bCs/>
      <w:kern w:val="0"/>
      <w:sz w:val="20"/>
      <w:szCs w:val="24"/>
    </w:rPr>
  </w:style>
  <w:style w:type="character" w:customStyle="1" w:styleId="558">
    <w:name w:val="明显引用 字符1"/>
    <w:autoRedefine/>
    <w:qFormat/>
    <w:uiPriority w:val="30"/>
    <w:rPr>
      <w:rFonts w:ascii="Calibri" w:hAnsi="Calibri" w:eastAsia="宋体" w:cs="Times New Roman"/>
      <w:b/>
      <w:i/>
      <w:kern w:val="0"/>
      <w:sz w:val="24"/>
      <w:szCs w:val="24"/>
    </w:rPr>
  </w:style>
  <w:style w:type="character" w:customStyle="1" w:styleId="559">
    <w:name w:val="批注文字 字符1"/>
    <w:autoRedefine/>
    <w:qFormat/>
    <w:locked/>
    <w:uiPriority w:val="99"/>
    <w:rPr>
      <w:rFonts w:ascii="Times New Roman" w:hAnsi="Times New Roman" w:eastAsia="宋体" w:cs="Times New Roman"/>
      <w:kern w:val="0"/>
      <w:sz w:val="20"/>
      <w:szCs w:val="24"/>
    </w:rPr>
  </w:style>
  <w:style w:type="character" w:customStyle="1" w:styleId="560">
    <w:name w:val="HTML 预设格式 Char3"/>
    <w:autoRedefine/>
    <w:qFormat/>
    <w:uiPriority w:val="99"/>
    <w:rPr>
      <w:rFonts w:ascii="Courier New" w:hAnsi="Courier New" w:cs="Courier New"/>
      <w:kern w:val="2"/>
    </w:rPr>
  </w:style>
  <w:style w:type="character" w:customStyle="1" w:styleId="561">
    <w:name w:val="正文文本 Char5"/>
    <w:autoRedefine/>
    <w:semiHidden/>
    <w:qFormat/>
    <w:uiPriority w:val="99"/>
    <w:rPr>
      <w:kern w:val="2"/>
      <w:sz w:val="21"/>
      <w:szCs w:val="22"/>
    </w:rPr>
  </w:style>
  <w:style w:type="character" w:customStyle="1" w:styleId="562">
    <w:name w:val="标题 9 Char1"/>
    <w:autoRedefine/>
    <w:semiHidden/>
    <w:qFormat/>
    <w:uiPriority w:val="0"/>
    <w:rPr>
      <w:rFonts w:ascii="Cambria" w:hAnsi="Cambria" w:eastAsia="宋体" w:cs="Times New Roman"/>
      <w:kern w:val="2"/>
      <w:sz w:val="21"/>
      <w:szCs w:val="21"/>
    </w:rPr>
  </w:style>
  <w:style w:type="character" w:customStyle="1" w:styleId="563">
    <w:name w:val="样式 编号标题2 Char Char Char Char Char Char Char Char Char Char Ch + ..."/>
    <w:autoRedefine/>
    <w:qFormat/>
    <w:uiPriority w:val="0"/>
    <w:rPr>
      <w:rFonts w:ascii="黑体" w:hAnsi="宋体" w:eastAsia="黑体"/>
      <w:b/>
      <w:bCs/>
      <w:kern w:val="2"/>
      <w:sz w:val="21"/>
      <w:szCs w:val="32"/>
      <w:lang w:val="en-US" w:eastAsia="zh-CN" w:bidi="ar-SA"/>
    </w:rPr>
  </w:style>
  <w:style w:type="character" w:customStyle="1" w:styleId="564">
    <w:name w:val="标题 3 Char Char Char Char Char Char Char Char Char Char Char Char Char Char Char Char Char Char Char Char Char Char Char Char Char Char Char Char Char Char Char Char Char Char Char Char Char Char Char Char Char Char Char Char Char Char Char Char Char Cha"/>
    <w:autoRedefine/>
    <w:qFormat/>
    <w:uiPriority w:val="0"/>
    <w:rPr>
      <w:rFonts w:eastAsia="黑体"/>
      <w:kern w:val="2"/>
      <w:sz w:val="24"/>
      <w:szCs w:val="24"/>
      <w:lang w:val="en-US" w:eastAsia="zh-CN" w:bidi="ar-SA"/>
    </w:rPr>
  </w:style>
  <w:style w:type="character" w:customStyle="1" w:styleId="565">
    <w:name w:val="arialcharcharcharcharcharcharcharcharcharcharcharcharcharcharcharcharcharcharcharcharcharcharcharcharcharcharchar"/>
    <w:autoRedefine/>
    <w:qFormat/>
    <w:uiPriority w:val="0"/>
    <w:rPr>
      <w:rFonts w:hint="default" w:ascii="Arial" w:hAnsi="Arial" w:eastAsia="宋体" w:cs="Arial"/>
      <w:kern w:val="2"/>
      <w:sz w:val="24"/>
      <w:szCs w:val="24"/>
      <w:lang w:val="en-US" w:eastAsia="zh-CN" w:bidi="ar-SA"/>
    </w:rPr>
  </w:style>
  <w:style w:type="character" w:customStyle="1" w:styleId="566">
    <w:name w:val="Char Char31"/>
    <w:autoRedefine/>
    <w:qFormat/>
    <w:uiPriority w:val="0"/>
    <w:rPr>
      <w:rFonts w:ascii="Arial" w:hAnsi="Arial" w:eastAsia="黑体"/>
      <w:b/>
      <w:bCs/>
      <w:kern w:val="2"/>
      <w:sz w:val="24"/>
      <w:szCs w:val="24"/>
      <w:lang w:val="en-US" w:eastAsia="zh-CN" w:bidi="ar-SA"/>
    </w:rPr>
  </w:style>
  <w:style w:type="character" w:customStyle="1" w:styleId="567">
    <w:name w:val="charchar17"/>
    <w:autoRedefine/>
    <w:qFormat/>
    <w:uiPriority w:val="0"/>
    <w:rPr>
      <w:rFonts w:hint="default" w:ascii="Arial" w:hAnsi="Arial" w:eastAsia="宋体" w:cs="Arial"/>
      <w:color w:val="000000"/>
      <w:kern w:val="2"/>
      <w:sz w:val="24"/>
      <w:szCs w:val="24"/>
      <w:lang w:val="en-US" w:eastAsia="zh-CN" w:bidi="ar-SA"/>
    </w:rPr>
  </w:style>
  <w:style w:type="character" w:customStyle="1" w:styleId="568">
    <w:name w:val="charchar19"/>
    <w:autoRedefine/>
    <w:qFormat/>
    <w:uiPriority w:val="0"/>
    <w:rPr>
      <w:rFonts w:hint="eastAsia" w:ascii="宋体" w:hAnsi="宋体" w:eastAsia="宋体"/>
      <w:b/>
      <w:bCs/>
      <w:color w:val="0000FF"/>
      <w:kern w:val="2"/>
      <w:sz w:val="24"/>
      <w:szCs w:val="24"/>
      <w:lang w:val="en-US" w:eastAsia="zh-CN" w:bidi="ar-SA"/>
    </w:rPr>
  </w:style>
  <w:style w:type="character" w:customStyle="1" w:styleId="569">
    <w:name w:val="emailstyle145"/>
    <w:autoRedefine/>
    <w:qFormat/>
    <w:uiPriority w:val="0"/>
    <w:rPr>
      <w:rFonts w:eastAsia="宋体"/>
      <w:color w:val="000000"/>
      <w:kern w:val="2"/>
      <w:sz w:val="24"/>
      <w:szCs w:val="24"/>
      <w:lang w:val="en-US" w:eastAsia="zh-CN" w:bidi="ar-SA"/>
    </w:rPr>
  </w:style>
  <w:style w:type="character" w:customStyle="1" w:styleId="570">
    <w:name w:val="charchar"/>
    <w:autoRedefine/>
    <w:qFormat/>
    <w:uiPriority w:val="0"/>
    <w:rPr>
      <w:rFonts w:hint="eastAsia" w:ascii="宋体" w:hAnsi="宋体" w:eastAsia="宋体"/>
      <w:kern w:val="2"/>
      <w:sz w:val="24"/>
      <w:szCs w:val="24"/>
      <w:lang w:val="en-US" w:eastAsia="zh-CN" w:bidi="ar-SA"/>
    </w:rPr>
  </w:style>
  <w:style w:type="character" w:customStyle="1" w:styleId="571">
    <w:name w:val="charchar7"/>
    <w:autoRedefine/>
    <w:qFormat/>
    <w:uiPriority w:val="0"/>
    <w:rPr>
      <w:rFonts w:hint="eastAsia" w:ascii="宋体" w:hAnsi="宋体" w:eastAsia="宋体"/>
      <w:kern w:val="2"/>
      <w:sz w:val="24"/>
      <w:szCs w:val="24"/>
      <w:lang w:val="en-US" w:eastAsia="zh-CN" w:bidi="ar-SA"/>
    </w:rPr>
  </w:style>
  <w:style w:type="character" w:customStyle="1" w:styleId="572">
    <w:name w:val="EmailStyle1581"/>
    <w:autoRedefine/>
    <w:qFormat/>
    <w:uiPriority w:val="0"/>
    <w:rPr>
      <w:rFonts w:ascii="Arial" w:hAnsi="Arial" w:eastAsia="宋体" w:cs="Arial"/>
      <w:color w:val="auto"/>
      <w:kern w:val="2"/>
      <w:sz w:val="18"/>
      <w:szCs w:val="20"/>
      <w:lang w:val="en-US" w:eastAsia="zh-CN" w:bidi="ar-SA"/>
    </w:rPr>
  </w:style>
  <w:style w:type="character" w:customStyle="1" w:styleId="573">
    <w:name w:val="Char Char29"/>
    <w:autoRedefine/>
    <w:qFormat/>
    <w:uiPriority w:val="0"/>
    <w:rPr>
      <w:rFonts w:ascii="Arial" w:hAnsi="Arial" w:eastAsia="黑体"/>
      <w:kern w:val="2"/>
      <w:sz w:val="24"/>
      <w:lang w:val="en-US" w:eastAsia="zh-CN" w:bidi="ar-SA"/>
    </w:rPr>
  </w:style>
  <w:style w:type="character" w:customStyle="1" w:styleId="574">
    <w:name w:val="charchar9"/>
    <w:autoRedefine/>
    <w:qFormat/>
    <w:uiPriority w:val="0"/>
    <w:rPr>
      <w:rFonts w:hint="eastAsia" w:ascii="宋体" w:hAnsi="宋体" w:eastAsia="宋体"/>
      <w:kern w:val="2"/>
      <w:sz w:val="24"/>
      <w:szCs w:val="24"/>
      <w:lang w:val="en-US" w:eastAsia="zh-CN" w:bidi="ar-SA"/>
    </w:rPr>
  </w:style>
  <w:style w:type="character" w:customStyle="1" w:styleId="575">
    <w:name w:val="charchar2"/>
    <w:autoRedefine/>
    <w:qFormat/>
    <w:uiPriority w:val="0"/>
    <w:rPr>
      <w:rFonts w:hint="eastAsia" w:ascii="宋体" w:hAnsi="宋体" w:eastAsia="宋体"/>
      <w:kern w:val="2"/>
      <w:sz w:val="24"/>
      <w:szCs w:val="24"/>
      <w:lang w:val="en-US" w:eastAsia="zh-CN" w:bidi="ar-SA"/>
    </w:rPr>
  </w:style>
  <w:style w:type="character" w:customStyle="1" w:styleId="576">
    <w:name w:val="charchar16"/>
    <w:autoRedefine/>
    <w:qFormat/>
    <w:uiPriority w:val="0"/>
    <w:rPr>
      <w:rFonts w:hint="default" w:ascii="Arial" w:hAnsi="Arial" w:eastAsia="宋体" w:cs="Arial"/>
      <w:color w:val="000000"/>
      <w:kern w:val="2"/>
      <w:sz w:val="24"/>
      <w:szCs w:val="24"/>
      <w:lang w:val="en-US" w:eastAsia="zh-CN" w:bidi="ar-SA"/>
    </w:rPr>
  </w:style>
  <w:style w:type="character" w:customStyle="1" w:styleId="577">
    <w:name w:val="Char Char26"/>
    <w:autoRedefine/>
    <w:qFormat/>
    <w:uiPriority w:val="0"/>
    <w:rPr>
      <w:rFonts w:eastAsia="宋体"/>
      <w:kern w:val="2"/>
      <w:sz w:val="21"/>
      <w:lang w:val="en-US" w:eastAsia="zh-CN" w:bidi="ar-SA"/>
    </w:rPr>
  </w:style>
  <w:style w:type="character" w:customStyle="1" w:styleId="578">
    <w:name w:val="emailstyle117"/>
    <w:autoRedefine/>
    <w:qFormat/>
    <w:uiPriority w:val="0"/>
    <w:rPr>
      <w:rFonts w:eastAsia="宋体"/>
      <w:color w:val="000000"/>
      <w:kern w:val="2"/>
      <w:sz w:val="24"/>
      <w:szCs w:val="24"/>
      <w:lang w:val="en-US" w:eastAsia="zh-CN" w:bidi="ar-SA"/>
    </w:rPr>
  </w:style>
  <w:style w:type="character" w:customStyle="1" w:styleId="579">
    <w:name w:val="Char Char28"/>
    <w:autoRedefine/>
    <w:qFormat/>
    <w:uiPriority w:val="0"/>
    <w:rPr>
      <w:rFonts w:ascii="Arial" w:hAnsi="Arial" w:eastAsia="黑体"/>
      <w:kern w:val="2"/>
      <w:sz w:val="21"/>
      <w:lang w:val="en-US" w:eastAsia="zh-CN" w:bidi="ar-SA"/>
    </w:rPr>
  </w:style>
  <w:style w:type="character" w:customStyle="1" w:styleId="580">
    <w:name w:val="charchar18"/>
    <w:autoRedefine/>
    <w:qFormat/>
    <w:uiPriority w:val="0"/>
    <w:rPr>
      <w:rFonts w:hint="eastAsia" w:ascii="宋体" w:hAnsi="宋体" w:eastAsia="宋体"/>
      <w:b/>
      <w:bCs/>
      <w:kern w:val="2"/>
      <w:sz w:val="24"/>
      <w:szCs w:val="24"/>
      <w:lang w:val="en-US" w:eastAsia="zh-CN" w:bidi="ar-SA"/>
    </w:rPr>
  </w:style>
  <w:style w:type="character" w:customStyle="1" w:styleId="581">
    <w:name w:val="标题 4 Char3"/>
    <w:autoRedefine/>
    <w:qFormat/>
    <w:uiPriority w:val="0"/>
    <w:rPr>
      <w:rFonts w:ascii="Arial" w:hAnsi="Arial" w:eastAsia="黑体"/>
      <w:b/>
      <w:bCs/>
      <w:kern w:val="2"/>
      <w:sz w:val="28"/>
      <w:szCs w:val="28"/>
      <w:lang w:val="en-US" w:eastAsia="zh-CN" w:bidi="ar-SA"/>
    </w:rPr>
  </w:style>
  <w:style w:type="character" w:customStyle="1" w:styleId="582">
    <w:name w:val="应答文本 Char"/>
    <w:autoRedefine/>
    <w:qFormat/>
    <w:uiPriority w:val="0"/>
    <w:rPr>
      <w:rFonts w:ascii="Arial" w:hAnsi="Arial" w:eastAsia="楷体_GB2312"/>
      <w:spacing w:val="10"/>
      <w:lang w:bidi="ar-SA"/>
    </w:rPr>
  </w:style>
  <w:style w:type="character" w:customStyle="1" w:styleId="583">
    <w:name w:val="列表框1 Char"/>
    <w:autoRedefine/>
    <w:qFormat/>
    <w:uiPriority w:val="0"/>
    <w:rPr>
      <w:rFonts w:ascii="Arial" w:hAnsi="Arial"/>
      <w:spacing w:val="10"/>
      <w:sz w:val="24"/>
      <w:szCs w:val="24"/>
      <w:lang w:bidi="ar-SA"/>
    </w:rPr>
  </w:style>
  <w:style w:type="character" w:customStyle="1" w:styleId="584">
    <w:name w:val="Text Char1"/>
    <w:link w:val="585"/>
    <w:autoRedefine/>
    <w:qFormat/>
    <w:uiPriority w:val="0"/>
    <w:rPr>
      <w:rFonts w:ascii="Arial" w:hAnsi="Arial"/>
      <w:sz w:val="22"/>
      <w:lang w:val="en-GB" w:eastAsia="fr-FR"/>
    </w:rPr>
  </w:style>
  <w:style w:type="paragraph" w:customStyle="1" w:styleId="585">
    <w:name w:val="Text"/>
    <w:basedOn w:val="1"/>
    <w:link w:val="584"/>
    <w:autoRedefine/>
    <w:qFormat/>
    <w:uiPriority w:val="0"/>
    <w:pPr>
      <w:widowControl/>
      <w:ind w:left="1021"/>
      <w:jc w:val="left"/>
    </w:pPr>
    <w:rPr>
      <w:rFonts w:ascii="Arial" w:hAnsi="Arial"/>
      <w:kern w:val="0"/>
      <w:sz w:val="22"/>
      <w:lang w:val="en-GB" w:eastAsia="fr-FR"/>
    </w:rPr>
  </w:style>
  <w:style w:type="character" w:customStyle="1" w:styleId="586">
    <w:name w:val="样式 宋体 8 磅 加粗1"/>
    <w:autoRedefine/>
    <w:qFormat/>
    <w:uiPriority w:val="0"/>
    <w:rPr>
      <w:rFonts w:ascii="宋体" w:hAnsi="宋体" w:eastAsia="宋体"/>
      <w:bCs/>
      <w:sz w:val="21"/>
    </w:rPr>
  </w:style>
  <w:style w:type="character" w:customStyle="1" w:styleId="587">
    <w:name w:val="合同正文 Char Char"/>
    <w:link w:val="588"/>
    <w:autoRedefine/>
    <w:qFormat/>
    <w:uiPriority w:val="0"/>
    <w:rPr>
      <w:rFonts w:ascii="宋体" w:hAnsi="宋体"/>
      <w:spacing w:val="10"/>
      <w:szCs w:val="21"/>
    </w:rPr>
  </w:style>
  <w:style w:type="paragraph" w:customStyle="1" w:styleId="588">
    <w:name w:val="合同正文"/>
    <w:basedOn w:val="1"/>
    <w:link w:val="587"/>
    <w:autoRedefine/>
    <w:qFormat/>
    <w:uiPriority w:val="0"/>
    <w:pPr>
      <w:widowControl/>
      <w:spacing w:afterLines="50" w:line="360" w:lineRule="auto"/>
      <w:ind w:firstLine="200" w:firstLineChars="200"/>
      <w:jc w:val="left"/>
    </w:pPr>
    <w:rPr>
      <w:rFonts w:ascii="宋体" w:hAnsi="宋体"/>
      <w:spacing w:val="10"/>
      <w:kern w:val="0"/>
      <w:sz w:val="20"/>
      <w:szCs w:val="21"/>
    </w:rPr>
  </w:style>
  <w:style w:type="character" w:customStyle="1" w:styleId="589">
    <w:name w:val="txt121"/>
    <w:autoRedefine/>
    <w:qFormat/>
    <w:uiPriority w:val="0"/>
    <w:rPr>
      <w:rFonts w:hint="default" w:ascii="Verdana" w:hAnsi="Verdana"/>
      <w:spacing w:val="15"/>
      <w:sz w:val="18"/>
      <w:szCs w:val="18"/>
    </w:rPr>
  </w:style>
  <w:style w:type="character" w:customStyle="1" w:styleId="590">
    <w:name w:val="Default Char"/>
    <w:link w:val="80"/>
    <w:autoRedefine/>
    <w:qFormat/>
    <w:uiPriority w:val="0"/>
    <w:rPr>
      <w:rFonts w:ascii="黑体" w:eastAsia="黑体" w:cs="黑体"/>
      <w:color w:val="000000"/>
      <w:sz w:val="24"/>
      <w:szCs w:val="24"/>
    </w:rPr>
  </w:style>
  <w:style w:type="character" w:customStyle="1" w:styleId="591">
    <w:name w:val="题注格式 Char"/>
    <w:link w:val="592"/>
    <w:autoRedefine/>
    <w:qFormat/>
    <w:uiPriority w:val="0"/>
    <w:rPr>
      <w:rFonts w:ascii="Arial" w:hAnsi="Arial"/>
    </w:rPr>
  </w:style>
  <w:style w:type="paragraph" w:customStyle="1" w:styleId="592">
    <w:name w:val="题注格式"/>
    <w:basedOn w:val="17"/>
    <w:link w:val="591"/>
    <w:autoRedefine/>
    <w:qFormat/>
    <w:uiPriority w:val="0"/>
    <w:pPr>
      <w:widowControl/>
      <w:spacing w:before="0" w:after="0" w:line="400" w:lineRule="exact"/>
      <w:jc w:val="center"/>
      <w:outlineLvl w:val="8"/>
    </w:pPr>
    <w:rPr>
      <w:rFonts w:hint="default" w:eastAsia="宋体"/>
      <w:kern w:val="0"/>
    </w:rPr>
  </w:style>
  <w:style w:type="character" w:customStyle="1" w:styleId="593">
    <w:name w:val="批注主题 Char1"/>
    <w:autoRedefine/>
    <w:qFormat/>
    <w:uiPriority w:val="0"/>
    <w:rPr>
      <w:rFonts w:ascii="Calibri" w:hAnsi="Calibri" w:eastAsia="宋体" w:cs="Times New Roman"/>
      <w:b/>
      <w:bCs/>
    </w:rPr>
  </w:style>
  <w:style w:type="character" w:customStyle="1" w:styleId="594">
    <w:name w:val="正文首行缩进 Char1"/>
    <w:autoRedefine/>
    <w:semiHidden/>
    <w:qFormat/>
    <w:uiPriority w:val="0"/>
  </w:style>
  <w:style w:type="character" w:customStyle="1" w:styleId="595">
    <w:name w:val="正文首行缩进 2 Char1"/>
    <w:autoRedefine/>
    <w:qFormat/>
    <w:uiPriority w:val="0"/>
  </w:style>
  <w:style w:type="character" w:customStyle="1" w:styleId="596">
    <w:name w:val="引用正文 Char Char"/>
    <w:link w:val="597"/>
    <w:autoRedefine/>
    <w:qFormat/>
    <w:uiPriority w:val="0"/>
    <w:rPr>
      <w:rFonts w:ascii="宋体" w:hAnsi="宋体"/>
    </w:rPr>
  </w:style>
  <w:style w:type="paragraph" w:customStyle="1" w:styleId="597">
    <w:name w:val="引用正文"/>
    <w:basedOn w:val="25"/>
    <w:link w:val="596"/>
    <w:autoRedefine/>
    <w:qFormat/>
    <w:uiPriority w:val="0"/>
    <w:pPr>
      <w:overflowPunct/>
      <w:autoSpaceDE/>
      <w:autoSpaceDN/>
      <w:snapToGrid w:val="0"/>
      <w:ind w:firstLine="420" w:firstLineChars="200"/>
      <w:jc w:val="left"/>
      <w:textAlignment w:val="auto"/>
    </w:pPr>
    <w:rPr>
      <w:rFonts w:hAnsi="宋体"/>
      <w:spacing w:val="0"/>
      <w:sz w:val="20"/>
    </w:rPr>
  </w:style>
  <w:style w:type="character" w:customStyle="1" w:styleId="598">
    <w:name w:val="表文"/>
    <w:autoRedefine/>
    <w:qFormat/>
    <w:uiPriority w:val="0"/>
    <w:rPr>
      <w:rFonts w:hint="default" w:ascii="Arial" w:hAnsi="Arial" w:eastAsia="宋体" w:cs="Arial"/>
      <w:spacing w:val="0"/>
      <w:kern w:val="0"/>
      <w:sz w:val="21"/>
      <w:szCs w:val="18"/>
      <w:u w:val="none"/>
      <w:vertAlign w:val="baseline"/>
    </w:rPr>
  </w:style>
  <w:style w:type="character" w:customStyle="1" w:styleId="599">
    <w:name w:val="引用 Char"/>
    <w:link w:val="600"/>
    <w:autoRedefine/>
    <w:qFormat/>
    <w:uiPriority w:val="0"/>
    <w:rPr>
      <w:i/>
      <w:sz w:val="24"/>
      <w:szCs w:val="24"/>
      <w:lang w:eastAsia="en-US" w:bidi="en-US"/>
    </w:rPr>
  </w:style>
  <w:style w:type="paragraph" w:styleId="600">
    <w:name w:val="Quote"/>
    <w:basedOn w:val="1"/>
    <w:next w:val="1"/>
    <w:link w:val="599"/>
    <w:autoRedefine/>
    <w:qFormat/>
    <w:uiPriority w:val="0"/>
    <w:pPr>
      <w:widowControl/>
      <w:jc w:val="left"/>
    </w:pPr>
    <w:rPr>
      <w:i/>
      <w:kern w:val="0"/>
      <w:sz w:val="24"/>
      <w:szCs w:val="24"/>
      <w:lang w:eastAsia="en-US" w:bidi="en-US"/>
    </w:rPr>
  </w:style>
  <w:style w:type="character" w:customStyle="1" w:styleId="601">
    <w:name w:val="引用 Char1"/>
    <w:basedOn w:val="70"/>
    <w:autoRedefine/>
    <w:qFormat/>
    <w:uiPriority w:val="99"/>
    <w:rPr>
      <w:i/>
      <w:iCs/>
      <w:color w:val="404040" w:themeColor="text1" w:themeTint="BF"/>
      <w:kern w:val="2"/>
      <w:sz w:val="21"/>
      <w14:textFill>
        <w14:solidFill>
          <w14:schemeClr w14:val="tx1">
            <w14:lumMod w14:val="75000"/>
            <w14:lumOff w14:val="25000"/>
          </w14:schemeClr>
        </w14:solidFill>
      </w14:textFill>
    </w:rPr>
  </w:style>
  <w:style w:type="character" w:customStyle="1" w:styleId="602">
    <w:name w:val="引用 字符"/>
    <w:basedOn w:val="70"/>
    <w:autoRedefine/>
    <w:qFormat/>
    <w:uiPriority w:val="29"/>
    <w:rPr>
      <w:rFonts w:ascii="Calibri" w:hAnsi="Calibri" w:eastAsia="宋体" w:cs="Times New Roman"/>
      <w:i/>
      <w:iCs/>
      <w:color w:val="404040" w:themeColor="text1" w:themeTint="BF"/>
      <w14:textFill>
        <w14:solidFill>
          <w14:schemeClr w14:val="tx1">
            <w14:lumMod w14:val="75000"/>
            <w14:lumOff w14:val="25000"/>
          </w14:schemeClr>
        </w14:solidFill>
      </w14:textFill>
    </w:rPr>
  </w:style>
  <w:style w:type="character" w:customStyle="1" w:styleId="603">
    <w:name w:val="明显引用 Char"/>
    <w:link w:val="604"/>
    <w:autoRedefine/>
    <w:qFormat/>
    <w:uiPriority w:val="0"/>
    <w:rPr>
      <w:b/>
      <w:i/>
      <w:sz w:val="24"/>
      <w:lang w:eastAsia="en-US" w:bidi="en-US"/>
    </w:rPr>
  </w:style>
  <w:style w:type="paragraph" w:styleId="604">
    <w:name w:val="Intense Quote"/>
    <w:basedOn w:val="1"/>
    <w:next w:val="1"/>
    <w:link w:val="603"/>
    <w:autoRedefine/>
    <w:qFormat/>
    <w:uiPriority w:val="0"/>
    <w:pPr>
      <w:widowControl/>
      <w:ind w:left="720" w:right="720"/>
      <w:jc w:val="left"/>
    </w:pPr>
    <w:rPr>
      <w:b/>
      <w:i/>
      <w:kern w:val="0"/>
      <w:sz w:val="24"/>
      <w:lang w:eastAsia="en-US" w:bidi="en-US"/>
    </w:rPr>
  </w:style>
  <w:style w:type="character" w:customStyle="1" w:styleId="605">
    <w:name w:val="明显引用 Char1"/>
    <w:basedOn w:val="70"/>
    <w:autoRedefine/>
    <w:qFormat/>
    <w:uiPriority w:val="99"/>
    <w:rPr>
      <w:i/>
      <w:iCs/>
      <w:color w:val="4472C4" w:themeColor="accent1"/>
      <w:kern w:val="2"/>
      <w:sz w:val="21"/>
      <w14:textFill>
        <w14:solidFill>
          <w14:schemeClr w14:val="accent1"/>
        </w14:solidFill>
      </w14:textFill>
    </w:rPr>
  </w:style>
  <w:style w:type="character" w:customStyle="1" w:styleId="606">
    <w:name w:val="明显引用 字符"/>
    <w:basedOn w:val="70"/>
    <w:autoRedefine/>
    <w:qFormat/>
    <w:uiPriority w:val="30"/>
    <w:rPr>
      <w:rFonts w:ascii="Calibri" w:hAnsi="Calibri" w:eastAsia="宋体" w:cs="Times New Roman"/>
      <w:i/>
      <w:iCs/>
      <w:color w:val="4472C4" w:themeColor="accent1"/>
      <w14:textFill>
        <w14:solidFill>
          <w14:schemeClr w14:val="accent1"/>
        </w14:solidFill>
      </w14:textFill>
    </w:rPr>
  </w:style>
  <w:style w:type="character" w:customStyle="1" w:styleId="607">
    <w:name w:val="明显强调1"/>
    <w:autoRedefine/>
    <w:qFormat/>
    <w:uiPriority w:val="0"/>
    <w:rPr>
      <w:b/>
      <w:i/>
      <w:sz w:val="24"/>
      <w:szCs w:val="24"/>
      <w:u w:val="single"/>
    </w:rPr>
  </w:style>
  <w:style w:type="character" w:customStyle="1" w:styleId="608">
    <w:name w:val="书籍标题1"/>
    <w:autoRedefine/>
    <w:qFormat/>
    <w:uiPriority w:val="0"/>
    <w:rPr>
      <w:rFonts w:ascii="Cambria" w:hAnsi="Cambria" w:eastAsia="宋体"/>
      <w:b/>
      <w:i/>
      <w:sz w:val="24"/>
      <w:szCs w:val="24"/>
    </w:rPr>
  </w:style>
  <w:style w:type="character" w:customStyle="1" w:styleId="609">
    <w:name w:val="验交标准一级 Char"/>
    <w:link w:val="610"/>
    <w:autoRedefine/>
    <w:qFormat/>
    <w:uiPriority w:val="0"/>
    <w:rPr>
      <w:b/>
      <w:bCs/>
      <w:kern w:val="44"/>
      <w:sz w:val="30"/>
      <w:szCs w:val="28"/>
      <w:lang w:eastAsia="en-US" w:bidi="en-US"/>
    </w:rPr>
  </w:style>
  <w:style w:type="paragraph" w:customStyle="1" w:styleId="610">
    <w:name w:val="验交标准一级"/>
    <w:basedOn w:val="1"/>
    <w:link w:val="609"/>
    <w:autoRedefine/>
    <w:qFormat/>
    <w:uiPriority w:val="0"/>
    <w:pPr>
      <w:pageBreakBefore/>
      <w:spacing w:before="200" w:after="200" w:line="360" w:lineRule="auto"/>
      <w:ind w:left="420" w:hanging="420"/>
      <w:jc w:val="center"/>
      <w:outlineLvl w:val="0"/>
    </w:pPr>
    <w:rPr>
      <w:b/>
      <w:bCs/>
      <w:kern w:val="44"/>
      <w:sz w:val="30"/>
      <w:szCs w:val="28"/>
      <w:lang w:eastAsia="en-US" w:bidi="en-US"/>
    </w:rPr>
  </w:style>
  <w:style w:type="character" w:customStyle="1" w:styleId="611">
    <w:name w:val="验交标准三级 Char"/>
    <w:link w:val="612"/>
    <w:autoRedefine/>
    <w:qFormat/>
    <w:uiPriority w:val="0"/>
    <w:rPr>
      <w:rFonts w:cs="宋体"/>
      <w:b/>
      <w:bCs/>
      <w:kern w:val="44"/>
      <w:sz w:val="24"/>
      <w:szCs w:val="24"/>
      <w:lang w:val="fr-FR" w:eastAsia="en-US" w:bidi="en-US"/>
    </w:rPr>
  </w:style>
  <w:style w:type="paragraph" w:customStyle="1" w:styleId="612">
    <w:name w:val="验交标准三级"/>
    <w:basedOn w:val="272"/>
    <w:link w:val="611"/>
    <w:autoRedefine/>
    <w:qFormat/>
    <w:uiPriority w:val="0"/>
    <w:pPr>
      <w:widowControl/>
      <w:tabs>
        <w:tab w:val="left" w:pos="1260"/>
      </w:tabs>
      <w:ind w:left="1260" w:hanging="420"/>
      <w:outlineLvl w:val="2"/>
    </w:pPr>
    <w:rPr>
      <w:rFonts w:ascii="Times New Roman" w:cs="宋体"/>
      <w:b/>
      <w:bCs/>
      <w:kern w:val="44"/>
      <w:szCs w:val="24"/>
      <w:lang w:val="fr-FR" w:eastAsia="en-US" w:bidi="en-US"/>
    </w:rPr>
  </w:style>
  <w:style w:type="character" w:customStyle="1" w:styleId="613">
    <w:name w:val="样式 初号 加粗"/>
    <w:autoRedefine/>
    <w:qFormat/>
    <w:uiPriority w:val="0"/>
    <w:rPr>
      <w:rFonts w:eastAsia="宋体"/>
      <w:b/>
      <w:bCs/>
      <w:kern w:val="2"/>
      <w:sz w:val="84"/>
      <w:szCs w:val="24"/>
      <w:lang w:val="en-US" w:eastAsia="zh-CN" w:bidi="ar-SA"/>
    </w:rPr>
  </w:style>
  <w:style w:type="character" w:customStyle="1" w:styleId="614">
    <w:name w:val="Char Char61"/>
    <w:autoRedefine/>
    <w:qFormat/>
    <w:uiPriority w:val="0"/>
    <w:rPr>
      <w:smallCaps/>
      <w:sz w:val="52"/>
      <w:szCs w:val="52"/>
    </w:rPr>
  </w:style>
  <w:style w:type="character" w:customStyle="1" w:styleId="615">
    <w:name w:val="样式1 Char Char"/>
    <w:autoRedefine/>
    <w:qFormat/>
    <w:uiPriority w:val="0"/>
    <w:rPr>
      <w:b/>
      <w:bCs/>
      <w:kern w:val="44"/>
      <w:sz w:val="24"/>
      <w:szCs w:val="28"/>
      <w:lang w:eastAsia="en-US" w:bidi="en-US"/>
    </w:rPr>
  </w:style>
  <w:style w:type="character" w:customStyle="1" w:styleId="616">
    <w:name w:val="标题 7 Char1"/>
    <w:autoRedefine/>
    <w:semiHidden/>
    <w:qFormat/>
    <w:uiPriority w:val="0"/>
    <w:rPr>
      <w:b/>
      <w:bCs/>
      <w:kern w:val="2"/>
      <w:sz w:val="24"/>
      <w:szCs w:val="24"/>
    </w:rPr>
  </w:style>
  <w:style w:type="character" w:customStyle="1" w:styleId="617">
    <w:name w:val="new-text1"/>
    <w:autoRedefine/>
    <w:qFormat/>
    <w:uiPriority w:val="0"/>
    <w:rPr>
      <w:sz w:val="22"/>
      <w:szCs w:val="22"/>
    </w:rPr>
  </w:style>
  <w:style w:type="character" w:customStyle="1" w:styleId="618">
    <w:name w:val="标题 4 Char1"/>
    <w:autoRedefine/>
    <w:qFormat/>
    <w:uiPriority w:val="0"/>
    <w:rPr>
      <w:rFonts w:ascii="Arial" w:hAnsi="Arial" w:eastAsia="宋体" w:cs="Times New Roman"/>
      <w:b/>
      <w:bCs/>
      <w:kern w:val="0"/>
      <w:sz w:val="20"/>
      <w:szCs w:val="21"/>
    </w:rPr>
  </w:style>
  <w:style w:type="character" w:customStyle="1" w:styleId="619">
    <w:name w:val="Char Char12"/>
    <w:autoRedefine/>
    <w:qFormat/>
    <w:uiPriority w:val="99"/>
    <w:rPr>
      <w:rFonts w:ascii="Times New Roman" w:hAnsi="Times New Roman" w:eastAsia="宋体" w:cs="Times New Roman"/>
      <w:szCs w:val="20"/>
    </w:rPr>
  </w:style>
  <w:style w:type="character" w:customStyle="1" w:styleId="620">
    <w:name w:val="ca-1"/>
    <w:autoRedefine/>
    <w:qFormat/>
    <w:uiPriority w:val="0"/>
    <w:rPr>
      <w:rFonts w:ascii="Tahoma" w:hAnsi="Tahoma"/>
      <w:sz w:val="24"/>
    </w:rPr>
  </w:style>
  <w:style w:type="character" w:customStyle="1" w:styleId="621">
    <w:name w:val="Char Char10"/>
    <w:autoRedefine/>
    <w:qFormat/>
    <w:uiPriority w:val="99"/>
    <w:rPr>
      <w:rFonts w:hint="eastAsia" w:ascii="宋体" w:hAnsi="Times New Roman" w:eastAsia="宋体"/>
      <w:kern w:val="0"/>
      <w:sz w:val="24"/>
    </w:rPr>
  </w:style>
  <w:style w:type="character" w:customStyle="1" w:styleId="622">
    <w:name w:val="fontp1"/>
    <w:autoRedefine/>
    <w:qFormat/>
    <w:uiPriority w:val="99"/>
    <w:rPr>
      <w:rFonts w:hint="eastAsia" w:ascii="宋体" w:hAnsi="宋体" w:eastAsia="宋体"/>
      <w:kern w:val="0"/>
      <w:sz w:val="18"/>
      <w:lang w:eastAsia="en-US"/>
    </w:rPr>
  </w:style>
  <w:style w:type="character" w:customStyle="1" w:styleId="623">
    <w:name w:val="Plain Text Char1"/>
    <w:autoRedefine/>
    <w:semiHidden/>
    <w:qFormat/>
    <w:uiPriority w:val="99"/>
    <w:rPr>
      <w:rFonts w:hint="eastAsia" w:ascii="宋体" w:hAnsi="Courier New" w:eastAsia="宋体" w:cs="Courier New"/>
      <w:szCs w:val="21"/>
    </w:rPr>
  </w:style>
  <w:style w:type="character" w:customStyle="1" w:styleId="624">
    <w:name w:val="纯文本 Char4"/>
    <w:autoRedefine/>
    <w:qFormat/>
    <w:uiPriority w:val="99"/>
    <w:rPr>
      <w:rFonts w:ascii="宋体" w:hAnsi="Courier New" w:cs="Courier New"/>
      <w:kern w:val="2"/>
      <w:sz w:val="21"/>
      <w:szCs w:val="21"/>
    </w:rPr>
  </w:style>
  <w:style w:type="character" w:customStyle="1" w:styleId="625">
    <w:name w:val="标准正文 Char Char"/>
    <w:autoRedefine/>
    <w:qFormat/>
    <w:uiPriority w:val="0"/>
    <w:rPr>
      <w:szCs w:val="24"/>
    </w:rPr>
  </w:style>
  <w:style w:type="character" w:customStyle="1" w:styleId="626">
    <w:name w:val="HTML 预设格式 Char1"/>
    <w:autoRedefine/>
    <w:semiHidden/>
    <w:qFormat/>
    <w:uiPriority w:val="99"/>
    <w:rPr>
      <w:rFonts w:ascii="Courier New" w:hAnsi="Courier New" w:cs="Courier New"/>
      <w:kern w:val="2"/>
    </w:rPr>
  </w:style>
  <w:style w:type="character" w:customStyle="1" w:styleId="627">
    <w:name w:val="批注框文本 Char2"/>
    <w:autoRedefine/>
    <w:semiHidden/>
    <w:qFormat/>
    <w:uiPriority w:val="99"/>
    <w:rPr>
      <w:sz w:val="18"/>
      <w:szCs w:val="18"/>
    </w:rPr>
  </w:style>
  <w:style w:type="character" w:customStyle="1" w:styleId="628">
    <w:name w:val="HTML 预设格式 Char2"/>
    <w:autoRedefine/>
    <w:semiHidden/>
    <w:qFormat/>
    <w:uiPriority w:val="99"/>
    <w:rPr>
      <w:rFonts w:ascii="Courier New" w:hAnsi="Courier New" w:cs="Courier New"/>
      <w:sz w:val="20"/>
      <w:szCs w:val="20"/>
    </w:rPr>
  </w:style>
  <w:style w:type="character" w:customStyle="1" w:styleId="629">
    <w:name w:val="p141"/>
    <w:autoRedefine/>
    <w:qFormat/>
    <w:uiPriority w:val="99"/>
    <w:rPr>
      <w:sz w:val="21"/>
      <w:szCs w:val="21"/>
    </w:rPr>
  </w:style>
  <w:style w:type="character" w:customStyle="1" w:styleId="630">
    <w:name w:val="正文文本缩进 3 Char3"/>
    <w:autoRedefine/>
    <w:qFormat/>
    <w:uiPriority w:val="99"/>
    <w:rPr>
      <w:kern w:val="2"/>
      <w:sz w:val="16"/>
      <w:szCs w:val="16"/>
    </w:rPr>
  </w:style>
  <w:style w:type="character" w:customStyle="1" w:styleId="631">
    <w:name w:val="日期 Char2"/>
    <w:autoRedefine/>
    <w:semiHidden/>
    <w:qFormat/>
    <w:uiPriority w:val="99"/>
  </w:style>
  <w:style w:type="character" w:customStyle="1" w:styleId="632">
    <w:name w:val="正文文本 Char2"/>
    <w:autoRedefine/>
    <w:semiHidden/>
    <w:qFormat/>
    <w:uiPriority w:val="99"/>
  </w:style>
  <w:style w:type="character" w:customStyle="1" w:styleId="633">
    <w:name w:val="ll1"/>
    <w:autoRedefine/>
    <w:qFormat/>
    <w:uiPriority w:val="99"/>
    <w:rPr>
      <w:spacing w:val="31680"/>
    </w:rPr>
  </w:style>
  <w:style w:type="character" w:customStyle="1" w:styleId="634">
    <w:name w:val="尾注文本 Char1"/>
    <w:autoRedefine/>
    <w:qFormat/>
    <w:uiPriority w:val="99"/>
    <w:rPr>
      <w:kern w:val="2"/>
      <w:sz w:val="21"/>
      <w:szCs w:val="22"/>
    </w:rPr>
  </w:style>
  <w:style w:type="character" w:customStyle="1" w:styleId="635">
    <w:name w:val="wf1"/>
    <w:autoRedefine/>
    <w:qFormat/>
    <w:uiPriority w:val="99"/>
    <w:rPr>
      <w:rFonts w:hint="eastAsia" w:ascii="宋体" w:hAnsi="宋体" w:eastAsia="宋体"/>
      <w:sz w:val="24"/>
    </w:rPr>
  </w:style>
  <w:style w:type="character" w:customStyle="1" w:styleId="636">
    <w:name w:val="Char Char201"/>
    <w:autoRedefine/>
    <w:qFormat/>
    <w:uiPriority w:val="99"/>
    <w:rPr>
      <w:rFonts w:hint="eastAsia" w:ascii="宋体" w:hAnsi="Times New Roman" w:eastAsia="宋体"/>
      <w:kern w:val="0"/>
      <w:sz w:val="24"/>
    </w:rPr>
  </w:style>
  <w:style w:type="character" w:customStyle="1" w:styleId="637">
    <w:name w:val="正文文本 2 Char2"/>
    <w:autoRedefine/>
    <w:semiHidden/>
    <w:qFormat/>
    <w:uiPriority w:val="99"/>
  </w:style>
  <w:style w:type="character" w:customStyle="1" w:styleId="638">
    <w:name w:val="正文文本 2 Char1"/>
    <w:autoRedefine/>
    <w:semiHidden/>
    <w:qFormat/>
    <w:uiPriority w:val="99"/>
    <w:rPr>
      <w:kern w:val="2"/>
      <w:sz w:val="21"/>
      <w:szCs w:val="22"/>
    </w:rPr>
  </w:style>
  <w:style w:type="character" w:customStyle="1" w:styleId="639">
    <w:name w:val="正文文本缩进 2 Char3"/>
    <w:autoRedefine/>
    <w:qFormat/>
    <w:uiPriority w:val="99"/>
    <w:rPr>
      <w:kern w:val="2"/>
      <w:sz w:val="21"/>
      <w:szCs w:val="22"/>
    </w:rPr>
  </w:style>
  <w:style w:type="character" w:customStyle="1" w:styleId="640">
    <w:name w:val="日期 Char3"/>
    <w:autoRedefine/>
    <w:qFormat/>
    <w:uiPriority w:val="99"/>
    <w:rPr>
      <w:kern w:val="2"/>
      <w:sz w:val="21"/>
      <w:szCs w:val="22"/>
    </w:rPr>
  </w:style>
  <w:style w:type="character" w:customStyle="1" w:styleId="641">
    <w:name w:val="文档结构图 Char2"/>
    <w:autoRedefine/>
    <w:qFormat/>
    <w:uiPriority w:val="99"/>
    <w:rPr>
      <w:rFonts w:ascii="宋体" w:eastAsia="宋体"/>
      <w:sz w:val="18"/>
      <w:szCs w:val="18"/>
    </w:rPr>
  </w:style>
  <w:style w:type="character" w:customStyle="1" w:styleId="642">
    <w:name w:val="批注框文本 Char3"/>
    <w:autoRedefine/>
    <w:semiHidden/>
    <w:qFormat/>
    <w:uiPriority w:val="99"/>
    <w:rPr>
      <w:kern w:val="2"/>
      <w:sz w:val="18"/>
      <w:szCs w:val="18"/>
    </w:rPr>
  </w:style>
  <w:style w:type="character" w:customStyle="1" w:styleId="643">
    <w:name w:val="正文文本 2 Char3"/>
    <w:autoRedefine/>
    <w:qFormat/>
    <w:uiPriority w:val="99"/>
    <w:rPr>
      <w:kern w:val="2"/>
      <w:sz w:val="21"/>
      <w:szCs w:val="22"/>
    </w:rPr>
  </w:style>
  <w:style w:type="character" w:customStyle="1" w:styleId="644">
    <w:name w:val="正文文本 3 Char3"/>
    <w:autoRedefine/>
    <w:qFormat/>
    <w:uiPriority w:val="99"/>
    <w:rPr>
      <w:kern w:val="2"/>
      <w:sz w:val="16"/>
      <w:szCs w:val="16"/>
    </w:rPr>
  </w:style>
  <w:style w:type="character" w:customStyle="1" w:styleId="645">
    <w:name w:val="Char Char8"/>
    <w:autoRedefine/>
    <w:qFormat/>
    <w:uiPriority w:val="99"/>
    <w:rPr>
      <w:rFonts w:hint="eastAsia" w:ascii="宋体" w:hAnsi="Times New Roman" w:eastAsia="宋体"/>
      <w:kern w:val="0"/>
      <w:sz w:val="24"/>
    </w:rPr>
  </w:style>
  <w:style w:type="character" w:customStyle="1" w:styleId="646">
    <w:name w:val="正文文本缩进 Char3"/>
    <w:autoRedefine/>
    <w:qFormat/>
    <w:uiPriority w:val="99"/>
    <w:rPr>
      <w:kern w:val="2"/>
      <w:sz w:val="21"/>
      <w:szCs w:val="22"/>
    </w:rPr>
  </w:style>
  <w:style w:type="character" w:customStyle="1" w:styleId="647">
    <w:name w:val="正文文本 3 Char2"/>
    <w:autoRedefine/>
    <w:semiHidden/>
    <w:qFormat/>
    <w:uiPriority w:val="99"/>
    <w:rPr>
      <w:sz w:val="16"/>
      <w:szCs w:val="16"/>
    </w:rPr>
  </w:style>
  <w:style w:type="character" w:customStyle="1" w:styleId="648">
    <w:name w:val="批注主题 Char2"/>
    <w:autoRedefine/>
    <w:semiHidden/>
    <w:qFormat/>
    <w:uiPriority w:val="99"/>
    <w:rPr>
      <w:b/>
      <w:bCs/>
    </w:rPr>
  </w:style>
  <w:style w:type="character" w:customStyle="1" w:styleId="649">
    <w:name w:val="文档结构图 Char4"/>
    <w:autoRedefine/>
    <w:semiHidden/>
    <w:qFormat/>
    <w:uiPriority w:val="99"/>
    <w:rPr>
      <w:rFonts w:ascii="宋体" w:eastAsia="宋体"/>
      <w:sz w:val="18"/>
      <w:szCs w:val="18"/>
    </w:rPr>
  </w:style>
  <w:style w:type="character" w:customStyle="1" w:styleId="650">
    <w:name w:val="纯文本 Char5"/>
    <w:autoRedefine/>
    <w:semiHidden/>
    <w:qFormat/>
    <w:uiPriority w:val="99"/>
    <w:rPr>
      <w:rFonts w:ascii="宋体" w:hAnsi="Courier New" w:eastAsia="宋体" w:cs="Courier New"/>
      <w:szCs w:val="21"/>
    </w:rPr>
  </w:style>
  <w:style w:type="character" w:customStyle="1" w:styleId="651">
    <w:name w:val="HTML 预设格式 Char4"/>
    <w:autoRedefine/>
    <w:semiHidden/>
    <w:qFormat/>
    <w:uiPriority w:val="99"/>
    <w:rPr>
      <w:rFonts w:ascii="Courier New" w:hAnsi="Courier New" w:cs="Courier New"/>
      <w:sz w:val="20"/>
      <w:szCs w:val="20"/>
    </w:rPr>
  </w:style>
  <w:style w:type="character" w:customStyle="1" w:styleId="652">
    <w:name w:val="尾注文本 Char2"/>
    <w:autoRedefine/>
    <w:semiHidden/>
    <w:qFormat/>
    <w:uiPriority w:val="99"/>
  </w:style>
  <w:style w:type="character" w:customStyle="1" w:styleId="653">
    <w:name w:val="脚注文本 Char2"/>
    <w:autoRedefine/>
    <w:semiHidden/>
    <w:qFormat/>
    <w:uiPriority w:val="99"/>
    <w:rPr>
      <w:sz w:val="18"/>
      <w:szCs w:val="18"/>
    </w:rPr>
  </w:style>
  <w:style w:type="character" w:customStyle="1" w:styleId="654">
    <w:name w:val="正文文本 3 Char4"/>
    <w:autoRedefine/>
    <w:semiHidden/>
    <w:qFormat/>
    <w:uiPriority w:val="99"/>
    <w:rPr>
      <w:sz w:val="16"/>
      <w:szCs w:val="16"/>
    </w:rPr>
  </w:style>
  <w:style w:type="character" w:customStyle="1" w:styleId="655">
    <w:name w:val="Footer Char"/>
    <w:autoRedefine/>
    <w:semiHidden/>
    <w:qFormat/>
    <w:locked/>
    <w:uiPriority w:val="99"/>
    <w:rPr>
      <w:sz w:val="18"/>
      <w:szCs w:val="18"/>
    </w:rPr>
  </w:style>
  <w:style w:type="character" w:customStyle="1" w:styleId="656">
    <w:name w:val="标题 1 字符1"/>
    <w:autoRedefine/>
    <w:qFormat/>
    <w:uiPriority w:val="0"/>
    <w:rPr>
      <w:rFonts w:ascii="Times New Roman" w:hAnsi="Times New Roman" w:eastAsia="黑体" w:cs="Times New Roman"/>
      <w:color w:val="FF0000"/>
      <w:kern w:val="24"/>
      <w:sz w:val="28"/>
      <w:szCs w:val="20"/>
    </w:rPr>
  </w:style>
  <w:style w:type="character" w:customStyle="1" w:styleId="657">
    <w:name w:val="标题 2 字符1"/>
    <w:autoRedefine/>
    <w:qFormat/>
    <w:uiPriority w:val="0"/>
    <w:rPr>
      <w:rFonts w:ascii="Arial" w:hAnsi="Arial" w:eastAsia="黑体" w:cs="Times New Roman"/>
      <w:b/>
      <w:color w:val="0000FF"/>
      <w:kern w:val="0"/>
      <w:sz w:val="24"/>
      <w:szCs w:val="20"/>
    </w:rPr>
  </w:style>
  <w:style w:type="character" w:customStyle="1" w:styleId="658">
    <w:name w:val="标题 3 字符1"/>
    <w:autoRedefine/>
    <w:qFormat/>
    <w:uiPriority w:val="0"/>
    <w:rPr>
      <w:rFonts w:ascii="Times New Roman" w:hAnsi="Times New Roman" w:eastAsia="宋体" w:cs="Times New Roman"/>
      <w:b/>
      <w:bCs/>
      <w:kern w:val="0"/>
      <w:sz w:val="32"/>
      <w:szCs w:val="32"/>
    </w:rPr>
  </w:style>
  <w:style w:type="character" w:customStyle="1" w:styleId="659">
    <w:name w:val="标题 4 字符1"/>
    <w:autoRedefine/>
    <w:qFormat/>
    <w:uiPriority w:val="0"/>
    <w:rPr>
      <w:rFonts w:ascii="Arial" w:hAnsi="Arial" w:eastAsia="宋体" w:cs="Times New Roman"/>
      <w:color w:val="000000"/>
      <w:kern w:val="0"/>
      <w:sz w:val="24"/>
      <w:szCs w:val="24"/>
    </w:rPr>
  </w:style>
  <w:style w:type="character" w:customStyle="1" w:styleId="660">
    <w:name w:val="标题 5 字符1"/>
    <w:autoRedefine/>
    <w:qFormat/>
    <w:uiPriority w:val="0"/>
    <w:rPr>
      <w:rFonts w:ascii="宋体" w:hAnsi="Arial" w:eastAsia="宋体" w:cs="宋体"/>
      <w:kern w:val="0"/>
      <w:sz w:val="20"/>
      <w:szCs w:val="20"/>
    </w:rPr>
  </w:style>
  <w:style w:type="character" w:customStyle="1" w:styleId="661">
    <w:name w:val="标题 6 字符1"/>
    <w:autoRedefine/>
    <w:qFormat/>
    <w:uiPriority w:val="0"/>
    <w:rPr>
      <w:rFonts w:ascii="Arial" w:hAnsi="Arial" w:eastAsia="黑体" w:cs="Times New Roman"/>
      <w:b/>
      <w:bCs/>
      <w:kern w:val="0"/>
      <w:sz w:val="24"/>
      <w:szCs w:val="24"/>
    </w:rPr>
  </w:style>
  <w:style w:type="character" w:customStyle="1" w:styleId="662">
    <w:name w:val="标题 7 字符1"/>
    <w:autoRedefine/>
    <w:qFormat/>
    <w:uiPriority w:val="99"/>
    <w:rPr>
      <w:rFonts w:ascii="Times New Roman" w:hAnsi="Times New Roman" w:eastAsia="宋体" w:cs="Times New Roman"/>
      <w:b/>
      <w:kern w:val="0"/>
      <w:sz w:val="24"/>
      <w:szCs w:val="20"/>
    </w:rPr>
  </w:style>
  <w:style w:type="character" w:customStyle="1" w:styleId="663">
    <w:name w:val="标题 8 字符1"/>
    <w:autoRedefine/>
    <w:qFormat/>
    <w:uiPriority w:val="99"/>
    <w:rPr>
      <w:rFonts w:ascii="Arial" w:hAnsi="Arial" w:eastAsia="黑体" w:cs="Times New Roman"/>
      <w:kern w:val="0"/>
      <w:sz w:val="24"/>
      <w:szCs w:val="20"/>
    </w:rPr>
  </w:style>
  <w:style w:type="character" w:customStyle="1" w:styleId="664">
    <w:name w:val="标题 9 字符1"/>
    <w:autoRedefine/>
    <w:qFormat/>
    <w:uiPriority w:val="99"/>
    <w:rPr>
      <w:rFonts w:ascii="Arial" w:hAnsi="Arial" w:eastAsia="黑体" w:cs="Times New Roman"/>
      <w:kern w:val="0"/>
      <w:sz w:val="20"/>
      <w:szCs w:val="20"/>
    </w:rPr>
  </w:style>
  <w:style w:type="character" w:customStyle="1" w:styleId="665">
    <w:name w:val="页眉 字符1"/>
    <w:autoRedefine/>
    <w:qFormat/>
    <w:locked/>
    <w:uiPriority w:val="99"/>
    <w:rPr>
      <w:rFonts w:ascii="Times New Roman" w:hAnsi="Times New Roman"/>
      <w:sz w:val="18"/>
      <w:szCs w:val="18"/>
    </w:rPr>
  </w:style>
  <w:style w:type="character" w:customStyle="1" w:styleId="666">
    <w:name w:val="尾注文本 字符1"/>
    <w:autoRedefine/>
    <w:qFormat/>
    <w:uiPriority w:val="99"/>
    <w:rPr>
      <w:rFonts w:ascii="Calibri" w:hAnsi="Calibri" w:eastAsia="宋体" w:cs="Times New Roman"/>
      <w:kern w:val="0"/>
      <w:sz w:val="24"/>
      <w:szCs w:val="24"/>
    </w:rPr>
  </w:style>
  <w:style w:type="character" w:customStyle="1" w:styleId="667">
    <w:name w:val="标题 字符1"/>
    <w:autoRedefine/>
    <w:qFormat/>
    <w:uiPriority w:val="99"/>
    <w:rPr>
      <w:rFonts w:ascii="Cambria" w:hAnsi="Cambria" w:eastAsia="宋体" w:cs="Times New Roman"/>
      <w:b/>
      <w:bCs/>
      <w:kern w:val="0"/>
      <w:sz w:val="32"/>
      <w:szCs w:val="32"/>
    </w:rPr>
  </w:style>
  <w:style w:type="character" w:customStyle="1" w:styleId="668">
    <w:name w:val="日期 字符1"/>
    <w:autoRedefine/>
    <w:qFormat/>
    <w:uiPriority w:val="99"/>
    <w:rPr>
      <w:rFonts w:ascii="宋体" w:hAnsi="Times New Roman" w:eastAsia="宋体" w:cs="Times New Roman"/>
      <w:kern w:val="0"/>
      <w:sz w:val="28"/>
      <w:szCs w:val="20"/>
    </w:rPr>
  </w:style>
  <w:style w:type="character" w:customStyle="1" w:styleId="669">
    <w:name w:val="正文文本缩进 3 字符1"/>
    <w:autoRedefine/>
    <w:qFormat/>
    <w:uiPriority w:val="99"/>
    <w:rPr>
      <w:rFonts w:ascii="Times New Roman" w:hAnsi="Times New Roman" w:eastAsia="宋体" w:cs="Times New Roman"/>
      <w:kern w:val="0"/>
      <w:sz w:val="24"/>
      <w:szCs w:val="20"/>
    </w:rPr>
  </w:style>
  <w:style w:type="character" w:customStyle="1" w:styleId="670">
    <w:name w:val="文档结构图 字符1"/>
    <w:autoRedefine/>
    <w:qFormat/>
    <w:uiPriority w:val="99"/>
    <w:rPr>
      <w:rFonts w:ascii="Times New Roman" w:hAnsi="Times New Roman" w:eastAsia="宋体" w:cs="Times New Roman"/>
      <w:kern w:val="0"/>
      <w:sz w:val="20"/>
      <w:szCs w:val="24"/>
      <w:shd w:val="clear" w:color="auto" w:fill="000080"/>
    </w:rPr>
  </w:style>
  <w:style w:type="character" w:customStyle="1" w:styleId="671">
    <w:name w:val="纯文本 字符1"/>
    <w:autoRedefine/>
    <w:qFormat/>
    <w:uiPriority w:val="99"/>
    <w:rPr>
      <w:rFonts w:ascii="宋体" w:hAnsi="Courier New" w:eastAsia="宋体" w:cs="Times New Roman"/>
      <w:kern w:val="0"/>
      <w:sz w:val="20"/>
      <w:szCs w:val="21"/>
    </w:rPr>
  </w:style>
  <w:style w:type="character" w:customStyle="1" w:styleId="672">
    <w:name w:val="2、需求书正文 Char"/>
    <w:link w:val="673"/>
    <w:autoRedefine/>
    <w:qFormat/>
    <w:locked/>
    <w:uiPriority w:val="0"/>
    <w:rPr>
      <w:sz w:val="24"/>
      <w:szCs w:val="21"/>
    </w:rPr>
  </w:style>
  <w:style w:type="paragraph" w:customStyle="1" w:styleId="673">
    <w:name w:val="2、需求书正文"/>
    <w:basedOn w:val="1"/>
    <w:link w:val="672"/>
    <w:autoRedefine/>
    <w:qFormat/>
    <w:uiPriority w:val="0"/>
    <w:pPr>
      <w:widowControl/>
      <w:adjustRightInd w:val="0"/>
      <w:snapToGrid w:val="0"/>
      <w:spacing w:line="288" w:lineRule="auto"/>
      <w:ind w:firstLine="420" w:firstLineChars="200"/>
      <w:jc w:val="left"/>
    </w:pPr>
    <w:rPr>
      <w:kern w:val="0"/>
      <w:sz w:val="24"/>
      <w:szCs w:val="21"/>
    </w:rPr>
  </w:style>
  <w:style w:type="character" w:customStyle="1" w:styleId="674">
    <w:name w:val="1、需求书标题2 Char"/>
    <w:link w:val="675"/>
    <w:autoRedefine/>
    <w:qFormat/>
    <w:locked/>
    <w:uiPriority w:val="0"/>
    <w:rPr>
      <w:b/>
      <w:sz w:val="28"/>
    </w:rPr>
  </w:style>
  <w:style w:type="paragraph" w:customStyle="1" w:styleId="675">
    <w:name w:val="1、需求书标题2"/>
    <w:next w:val="1"/>
    <w:link w:val="674"/>
    <w:autoRedefine/>
    <w:qFormat/>
    <w:uiPriority w:val="0"/>
    <w:pPr>
      <w:adjustRightInd w:val="0"/>
      <w:snapToGrid w:val="0"/>
      <w:spacing w:line="360" w:lineRule="auto"/>
    </w:pPr>
    <w:rPr>
      <w:rFonts w:ascii="Times New Roman" w:hAnsi="Times New Roman" w:eastAsia="宋体" w:cs="Times New Roman"/>
      <w:b/>
      <w:sz w:val="28"/>
      <w:lang w:val="en-US" w:eastAsia="zh-CN" w:bidi="ar-SA"/>
    </w:rPr>
  </w:style>
  <w:style w:type="character" w:customStyle="1" w:styleId="676">
    <w:name w:val="脚注文本 Char3"/>
    <w:autoRedefine/>
    <w:semiHidden/>
    <w:qFormat/>
    <w:uiPriority w:val="99"/>
    <w:rPr>
      <w:kern w:val="2"/>
      <w:sz w:val="18"/>
      <w:szCs w:val="18"/>
    </w:rPr>
  </w:style>
  <w:style w:type="character" w:customStyle="1" w:styleId="677">
    <w:name w:val="页脚 Char3"/>
    <w:autoRedefine/>
    <w:semiHidden/>
    <w:qFormat/>
    <w:uiPriority w:val="99"/>
    <w:rPr>
      <w:rFonts w:hint="default" w:ascii="Times New Roman" w:hAnsi="Times New Roman" w:eastAsia="宋体" w:cs="Times New Roman"/>
      <w:sz w:val="18"/>
      <w:szCs w:val="18"/>
    </w:rPr>
  </w:style>
  <w:style w:type="character" w:customStyle="1" w:styleId="678">
    <w:name w:val="纯文本 Char8"/>
    <w:autoRedefine/>
    <w:semiHidden/>
    <w:qFormat/>
    <w:uiPriority w:val="99"/>
    <w:rPr>
      <w:rFonts w:hint="eastAsia" w:ascii="宋体" w:hAnsi="Courier New" w:eastAsia="宋体" w:cs="Courier New"/>
      <w:szCs w:val="21"/>
    </w:rPr>
  </w:style>
  <w:style w:type="character" w:customStyle="1" w:styleId="679">
    <w:name w:val="纯文本 Char7"/>
    <w:autoRedefine/>
    <w:semiHidden/>
    <w:qFormat/>
    <w:uiPriority w:val="99"/>
    <w:rPr>
      <w:rFonts w:hint="eastAsia" w:ascii="宋体" w:hAnsi="Courier New" w:eastAsia="宋体" w:cs="Courier New"/>
      <w:kern w:val="2"/>
      <w:sz w:val="21"/>
      <w:szCs w:val="21"/>
    </w:rPr>
  </w:style>
  <w:style w:type="character" w:customStyle="1" w:styleId="680">
    <w:name w:val="文档结构图 Char6"/>
    <w:autoRedefine/>
    <w:semiHidden/>
    <w:qFormat/>
    <w:uiPriority w:val="99"/>
    <w:rPr>
      <w:rFonts w:hint="eastAsia" w:ascii="宋体" w:hAnsi="宋体" w:eastAsia="宋体"/>
      <w:kern w:val="2"/>
      <w:sz w:val="18"/>
      <w:szCs w:val="18"/>
    </w:rPr>
  </w:style>
  <w:style w:type="character" w:customStyle="1" w:styleId="681">
    <w:name w:val="文档结构图 Char5"/>
    <w:autoRedefine/>
    <w:semiHidden/>
    <w:qFormat/>
    <w:uiPriority w:val="99"/>
    <w:rPr>
      <w:rFonts w:hint="eastAsia" w:ascii="宋体" w:hAnsi="宋体" w:eastAsia="宋体"/>
      <w:kern w:val="2"/>
      <w:sz w:val="18"/>
      <w:szCs w:val="18"/>
    </w:rPr>
  </w:style>
  <w:style w:type="character" w:customStyle="1" w:styleId="682">
    <w:name w:val="批注主题 Char4"/>
    <w:autoRedefine/>
    <w:semiHidden/>
    <w:qFormat/>
    <w:uiPriority w:val="99"/>
    <w:rPr>
      <w:b/>
      <w:bCs/>
      <w:kern w:val="2"/>
      <w:sz w:val="21"/>
      <w:szCs w:val="22"/>
    </w:rPr>
  </w:style>
  <w:style w:type="character" w:customStyle="1" w:styleId="683">
    <w:name w:val="正文文本缩进 Char5"/>
    <w:autoRedefine/>
    <w:semiHidden/>
    <w:qFormat/>
    <w:uiPriority w:val="99"/>
    <w:rPr>
      <w:kern w:val="2"/>
      <w:sz w:val="21"/>
      <w:szCs w:val="22"/>
    </w:rPr>
  </w:style>
  <w:style w:type="character" w:customStyle="1" w:styleId="684">
    <w:name w:val="文档结构图 Char7"/>
    <w:autoRedefine/>
    <w:semiHidden/>
    <w:qFormat/>
    <w:uiPriority w:val="99"/>
    <w:rPr>
      <w:rFonts w:hint="eastAsia" w:ascii="宋体" w:hAnsi="宋体" w:eastAsia="宋体"/>
      <w:sz w:val="18"/>
      <w:szCs w:val="18"/>
    </w:rPr>
  </w:style>
  <w:style w:type="character" w:customStyle="1" w:styleId="685">
    <w:name w:val="正文文本 3 Char7"/>
    <w:autoRedefine/>
    <w:semiHidden/>
    <w:qFormat/>
    <w:uiPriority w:val="99"/>
    <w:rPr>
      <w:sz w:val="16"/>
      <w:szCs w:val="16"/>
    </w:rPr>
  </w:style>
  <w:style w:type="character" w:customStyle="1" w:styleId="686">
    <w:name w:val="正文文本 Char6"/>
    <w:autoRedefine/>
    <w:semiHidden/>
    <w:qFormat/>
    <w:uiPriority w:val="99"/>
    <w:rPr>
      <w:kern w:val="2"/>
      <w:sz w:val="21"/>
      <w:szCs w:val="22"/>
    </w:rPr>
  </w:style>
  <w:style w:type="character" w:customStyle="1" w:styleId="687">
    <w:name w:val="正文文本缩进 Char7"/>
    <w:autoRedefine/>
    <w:semiHidden/>
    <w:qFormat/>
    <w:uiPriority w:val="99"/>
  </w:style>
  <w:style w:type="character" w:customStyle="1" w:styleId="688">
    <w:name w:val="HTML 预设格式 Char5"/>
    <w:autoRedefine/>
    <w:semiHidden/>
    <w:qFormat/>
    <w:uiPriority w:val="99"/>
    <w:rPr>
      <w:rFonts w:hint="default" w:ascii="Courier New" w:hAnsi="Courier New" w:cs="Courier New"/>
      <w:kern w:val="2"/>
    </w:rPr>
  </w:style>
  <w:style w:type="character" w:customStyle="1" w:styleId="689">
    <w:name w:val="日期 Char5"/>
    <w:autoRedefine/>
    <w:semiHidden/>
    <w:qFormat/>
    <w:uiPriority w:val="99"/>
    <w:rPr>
      <w:kern w:val="2"/>
      <w:sz w:val="21"/>
      <w:szCs w:val="22"/>
    </w:rPr>
  </w:style>
  <w:style w:type="character" w:customStyle="1" w:styleId="690">
    <w:name w:val="脚注文本 Char4"/>
    <w:autoRedefine/>
    <w:semiHidden/>
    <w:qFormat/>
    <w:uiPriority w:val="99"/>
    <w:rPr>
      <w:kern w:val="2"/>
      <w:sz w:val="18"/>
      <w:szCs w:val="18"/>
    </w:rPr>
  </w:style>
  <w:style w:type="character" w:customStyle="1" w:styleId="691">
    <w:name w:val="尾注文本 Char4"/>
    <w:autoRedefine/>
    <w:semiHidden/>
    <w:qFormat/>
    <w:uiPriority w:val="99"/>
    <w:rPr>
      <w:kern w:val="2"/>
      <w:sz w:val="21"/>
      <w:szCs w:val="22"/>
    </w:rPr>
  </w:style>
  <w:style w:type="character" w:customStyle="1" w:styleId="692">
    <w:name w:val="正文文本 3 Char6"/>
    <w:autoRedefine/>
    <w:semiHidden/>
    <w:qFormat/>
    <w:uiPriority w:val="99"/>
    <w:rPr>
      <w:kern w:val="2"/>
      <w:sz w:val="16"/>
      <w:szCs w:val="16"/>
    </w:rPr>
  </w:style>
  <w:style w:type="character" w:customStyle="1" w:styleId="693">
    <w:name w:val="页眉 Char4"/>
    <w:autoRedefine/>
    <w:semiHidden/>
    <w:qFormat/>
    <w:uiPriority w:val="99"/>
    <w:rPr>
      <w:kern w:val="2"/>
      <w:sz w:val="18"/>
      <w:szCs w:val="18"/>
    </w:rPr>
  </w:style>
  <w:style w:type="character" w:customStyle="1" w:styleId="694">
    <w:name w:val="批注文字 Char4"/>
    <w:autoRedefine/>
    <w:qFormat/>
    <w:uiPriority w:val="99"/>
    <w:rPr>
      <w:kern w:val="2"/>
      <w:sz w:val="21"/>
      <w:szCs w:val="22"/>
    </w:rPr>
  </w:style>
  <w:style w:type="character" w:customStyle="1" w:styleId="695">
    <w:name w:val="页脚 Char5"/>
    <w:autoRedefine/>
    <w:semiHidden/>
    <w:qFormat/>
    <w:uiPriority w:val="99"/>
    <w:rPr>
      <w:kern w:val="2"/>
      <w:sz w:val="18"/>
      <w:szCs w:val="18"/>
    </w:rPr>
  </w:style>
  <w:style w:type="character" w:customStyle="1" w:styleId="696">
    <w:name w:val="正文文本缩进 3 Char5"/>
    <w:autoRedefine/>
    <w:semiHidden/>
    <w:qFormat/>
    <w:uiPriority w:val="99"/>
    <w:rPr>
      <w:kern w:val="2"/>
      <w:sz w:val="16"/>
      <w:szCs w:val="16"/>
    </w:rPr>
  </w:style>
  <w:style w:type="character" w:customStyle="1" w:styleId="697">
    <w:name w:val="页眉 Char3"/>
    <w:autoRedefine/>
    <w:semiHidden/>
    <w:qFormat/>
    <w:uiPriority w:val="99"/>
    <w:rPr>
      <w:rFonts w:hint="default" w:ascii="Times New Roman" w:hAnsi="Times New Roman" w:eastAsia="宋体" w:cs="Times New Roman"/>
      <w:sz w:val="18"/>
      <w:szCs w:val="18"/>
    </w:rPr>
  </w:style>
  <w:style w:type="character" w:customStyle="1" w:styleId="698">
    <w:name w:val="正文文本 2 Char6"/>
    <w:autoRedefine/>
    <w:semiHidden/>
    <w:qFormat/>
    <w:uiPriority w:val="99"/>
    <w:rPr>
      <w:kern w:val="2"/>
      <w:sz w:val="21"/>
      <w:szCs w:val="22"/>
    </w:rPr>
  </w:style>
  <w:style w:type="character" w:customStyle="1" w:styleId="699">
    <w:name w:val="脚注文本 Char5"/>
    <w:autoRedefine/>
    <w:semiHidden/>
    <w:qFormat/>
    <w:uiPriority w:val="99"/>
    <w:rPr>
      <w:sz w:val="18"/>
      <w:szCs w:val="18"/>
    </w:rPr>
  </w:style>
  <w:style w:type="character" w:customStyle="1" w:styleId="700">
    <w:name w:val="标题 Char3"/>
    <w:autoRedefine/>
    <w:qFormat/>
    <w:uiPriority w:val="10"/>
    <w:rPr>
      <w:rFonts w:hint="default" w:ascii="Cambria" w:hAnsi="Cambria" w:cs="Times New Roman"/>
      <w:b/>
      <w:bCs/>
      <w:kern w:val="2"/>
      <w:sz w:val="32"/>
      <w:szCs w:val="32"/>
    </w:rPr>
  </w:style>
  <w:style w:type="character" w:customStyle="1" w:styleId="701">
    <w:name w:val="日期 Char7"/>
    <w:autoRedefine/>
    <w:semiHidden/>
    <w:qFormat/>
    <w:uiPriority w:val="99"/>
  </w:style>
  <w:style w:type="character" w:customStyle="1" w:styleId="702">
    <w:name w:val="尾注文本 Char3"/>
    <w:autoRedefine/>
    <w:semiHidden/>
    <w:qFormat/>
    <w:uiPriority w:val="99"/>
    <w:rPr>
      <w:kern w:val="2"/>
      <w:sz w:val="21"/>
      <w:szCs w:val="22"/>
    </w:rPr>
  </w:style>
  <w:style w:type="character" w:customStyle="1" w:styleId="703">
    <w:name w:val="批注主题 Char3"/>
    <w:autoRedefine/>
    <w:semiHidden/>
    <w:qFormat/>
    <w:uiPriority w:val="99"/>
    <w:rPr>
      <w:b/>
      <w:bCs/>
      <w:kern w:val="2"/>
      <w:sz w:val="21"/>
      <w:szCs w:val="22"/>
    </w:rPr>
  </w:style>
  <w:style w:type="character" w:customStyle="1" w:styleId="704">
    <w:name w:val="正文文本 2 Char7"/>
    <w:autoRedefine/>
    <w:semiHidden/>
    <w:qFormat/>
    <w:uiPriority w:val="99"/>
  </w:style>
  <w:style w:type="character" w:customStyle="1" w:styleId="705">
    <w:name w:val="批注框文本 Char5"/>
    <w:autoRedefine/>
    <w:semiHidden/>
    <w:qFormat/>
    <w:uiPriority w:val="99"/>
    <w:rPr>
      <w:kern w:val="2"/>
      <w:sz w:val="18"/>
      <w:szCs w:val="18"/>
    </w:rPr>
  </w:style>
  <w:style w:type="character" w:customStyle="1" w:styleId="706">
    <w:name w:val="标题 Char4"/>
    <w:autoRedefine/>
    <w:qFormat/>
    <w:uiPriority w:val="10"/>
    <w:rPr>
      <w:rFonts w:hint="default" w:ascii="Cambria" w:hAnsi="Cambria" w:eastAsia="宋体" w:cs="Times New Roman"/>
      <w:b/>
      <w:bCs/>
      <w:sz w:val="32"/>
      <w:szCs w:val="32"/>
    </w:rPr>
  </w:style>
  <w:style w:type="character" w:customStyle="1" w:styleId="707">
    <w:name w:val="正文文本 Char7"/>
    <w:autoRedefine/>
    <w:qFormat/>
    <w:uiPriority w:val="0"/>
    <w:rPr>
      <w:rFonts w:hint="default" w:ascii="Calibri" w:hAnsi="Calibri" w:eastAsia="宋体" w:cs="Times New Roman"/>
    </w:rPr>
  </w:style>
  <w:style w:type="character" w:customStyle="1" w:styleId="708">
    <w:name w:val="正文文本缩进 3 Char6"/>
    <w:autoRedefine/>
    <w:semiHidden/>
    <w:qFormat/>
    <w:uiPriority w:val="99"/>
    <w:rPr>
      <w:kern w:val="2"/>
      <w:sz w:val="16"/>
      <w:szCs w:val="16"/>
    </w:rPr>
  </w:style>
  <w:style w:type="character" w:customStyle="1" w:styleId="709">
    <w:name w:val="正文首行缩进 Char2"/>
    <w:autoRedefine/>
    <w:semiHidden/>
    <w:qFormat/>
    <w:uiPriority w:val="99"/>
  </w:style>
  <w:style w:type="character" w:customStyle="1" w:styleId="710">
    <w:name w:val="正文文本 2 Char5"/>
    <w:autoRedefine/>
    <w:semiHidden/>
    <w:qFormat/>
    <w:uiPriority w:val="99"/>
    <w:rPr>
      <w:kern w:val="2"/>
      <w:sz w:val="21"/>
      <w:szCs w:val="22"/>
    </w:rPr>
  </w:style>
  <w:style w:type="character" w:customStyle="1" w:styleId="711">
    <w:name w:val="批注主题 Char5"/>
    <w:autoRedefine/>
    <w:semiHidden/>
    <w:qFormat/>
    <w:uiPriority w:val="99"/>
    <w:rPr>
      <w:rFonts w:hint="default" w:ascii="Calibri" w:hAnsi="Calibri" w:eastAsia="宋体" w:cs="Times New Roman"/>
      <w:b/>
      <w:bCs/>
    </w:rPr>
  </w:style>
  <w:style w:type="character" w:customStyle="1" w:styleId="712">
    <w:name w:val="正文首行缩进 Char3"/>
    <w:autoRedefine/>
    <w:semiHidden/>
    <w:qFormat/>
    <w:uiPriority w:val="99"/>
  </w:style>
  <w:style w:type="character" w:customStyle="1" w:styleId="713">
    <w:name w:val="批注框文本 Char6"/>
    <w:autoRedefine/>
    <w:semiHidden/>
    <w:qFormat/>
    <w:uiPriority w:val="99"/>
    <w:rPr>
      <w:kern w:val="2"/>
      <w:sz w:val="18"/>
      <w:szCs w:val="18"/>
    </w:rPr>
  </w:style>
  <w:style w:type="character" w:customStyle="1" w:styleId="714">
    <w:name w:val="正文文本缩进 2 Char5"/>
    <w:autoRedefine/>
    <w:semiHidden/>
    <w:qFormat/>
    <w:uiPriority w:val="99"/>
    <w:rPr>
      <w:kern w:val="2"/>
      <w:sz w:val="21"/>
      <w:szCs w:val="22"/>
    </w:rPr>
  </w:style>
  <w:style w:type="character" w:customStyle="1" w:styleId="715">
    <w:name w:val="脚注文本 Char6"/>
    <w:autoRedefine/>
    <w:semiHidden/>
    <w:qFormat/>
    <w:uiPriority w:val="99"/>
    <w:rPr>
      <w:kern w:val="2"/>
      <w:sz w:val="18"/>
      <w:szCs w:val="18"/>
    </w:rPr>
  </w:style>
  <w:style w:type="character" w:customStyle="1" w:styleId="716">
    <w:name w:val="尾注文本 Char6"/>
    <w:autoRedefine/>
    <w:semiHidden/>
    <w:qFormat/>
    <w:uiPriority w:val="99"/>
    <w:rPr>
      <w:kern w:val="2"/>
      <w:sz w:val="21"/>
      <w:szCs w:val="22"/>
    </w:rPr>
  </w:style>
  <w:style w:type="character" w:customStyle="1" w:styleId="717">
    <w:name w:val="HTML 预设格式 Char8"/>
    <w:autoRedefine/>
    <w:semiHidden/>
    <w:qFormat/>
    <w:uiPriority w:val="99"/>
    <w:rPr>
      <w:rFonts w:hint="default" w:ascii="Courier New" w:hAnsi="Courier New" w:cs="Courier New"/>
      <w:kern w:val="2"/>
    </w:rPr>
  </w:style>
  <w:style w:type="character" w:customStyle="1" w:styleId="718">
    <w:name w:val="注释标题 字符1"/>
    <w:autoRedefine/>
    <w:qFormat/>
    <w:uiPriority w:val="0"/>
    <w:rPr>
      <w:rFonts w:ascii="Times New Roman" w:hAnsi="Times New Roman" w:eastAsia="宋体" w:cs="Times New Roman"/>
      <w:kern w:val="0"/>
      <w:sz w:val="20"/>
      <w:szCs w:val="20"/>
    </w:rPr>
  </w:style>
  <w:style w:type="character" w:customStyle="1" w:styleId="719">
    <w:name w:val="题注 字符"/>
    <w:autoRedefine/>
    <w:qFormat/>
    <w:uiPriority w:val="99"/>
    <w:rPr>
      <w:rFonts w:ascii="Cambria" w:hAnsi="Cambria" w:eastAsia="黑体" w:cs="Times New Roman"/>
      <w:kern w:val="0"/>
      <w:sz w:val="20"/>
      <w:szCs w:val="20"/>
    </w:rPr>
  </w:style>
  <w:style w:type="character" w:customStyle="1" w:styleId="720">
    <w:name w:val="p141_0"/>
    <w:autoRedefine/>
    <w:qFormat/>
    <w:uiPriority w:val="0"/>
    <w:rPr>
      <w:rFonts w:ascii="Calibri" w:hAnsi="Calibri"/>
      <w:sz w:val="21"/>
      <w:szCs w:val="21"/>
    </w:rPr>
  </w:style>
  <w:style w:type="character" w:customStyle="1" w:styleId="721">
    <w:name w:val="正文文本首行缩进 字符1"/>
    <w:autoRedefine/>
    <w:semiHidden/>
    <w:qFormat/>
    <w:uiPriority w:val="99"/>
    <w:rPr>
      <w:rFonts w:ascii="Calibri" w:hAnsi="Calibri" w:eastAsia="宋体" w:cs="Times New Roman"/>
      <w:kern w:val="0"/>
      <w:sz w:val="20"/>
      <w:szCs w:val="20"/>
    </w:rPr>
  </w:style>
  <w:style w:type="character" w:customStyle="1" w:styleId="722">
    <w:name w:val="正文文本首行缩进 2 字符1"/>
    <w:autoRedefine/>
    <w:semiHidden/>
    <w:qFormat/>
    <w:uiPriority w:val="99"/>
    <w:rPr>
      <w:rFonts w:ascii="Calibri" w:hAnsi="Calibri" w:eastAsia="宋体" w:cs="Times New Roman"/>
      <w:kern w:val="0"/>
      <w:sz w:val="20"/>
      <w:szCs w:val="20"/>
    </w:rPr>
  </w:style>
  <w:style w:type="character" w:customStyle="1" w:styleId="723">
    <w:name w:val="内容 Char"/>
    <w:link w:val="724"/>
    <w:autoRedefine/>
    <w:semiHidden/>
    <w:qFormat/>
    <w:uiPriority w:val="0"/>
    <w:rPr>
      <w:rFonts w:ascii="宋体" w:hAnsi="宋体"/>
      <w:bCs/>
      <w:sz w:val="28"/>
      <w:szCs w:val="28"/>
    </w:rPr>
  </w:style>
  <w:style w:type="paragraph" w:customStyle="1" w:styleId="724">
    <w:name w:val="内容"/>
    <w:basedOn w:val="1"/>
    <w:link w:val="723"/>
    <w:autoRedefine/>
    <w:semiHidden/>
    <w:qFormat/>
    <w:uiPriority w:val="0"/>
    <w:pPr>
      <w:ind w:firstLine="200" w:firstLineChars="200"/>
    </w:pPr>
    <w:rPr>
      <w:rFonts w:ascii="宋体" w:hAnsi="宋体"/>
      <w:bCs/>
      <w:kern w:val="0"/>
      <w:sz w:val="28"/>
      <w:szCs w:val="28"/>
    </w:rPr>
  </w:style>
  <w:style w:type="character" w:customStyle="1" w:styleId="725">
    <w:name w:val="彩色列表 - 强调文字颜色 1 Char Char"/>
    <w:link w:val="726"/>
    <w:autoRedefine/>
    <w:qFormat/>
    <w:uiPriority w:val="0"/>
  </w:style>
  <w:style w:type="paragraph" w:customStyle="1" w:styleId="726">
    <w:name w:val="彩色列表 - 强调文字颜色 11"/>
    <w:basedOn w:val="1"/>
    <w:link w:val="725"/>
    <w:autoRedefine/>
    <w:qFormat/>
    <w:uiPriority w:val="0"/>
    <w:pPr>
      <w:ind w:firstLine="420" w:firstLineChars="200"/>
    </w:pPr>
    <w:rPr>
      <w:kern w:val="0"/>
      <w:sz w:val="20"/>
    </w:rPr>
  </w:style>
  <w:style w:type="character" w:customStyle="1" w:styleId="727">
    <w:name w:val="正文首行缩进 2 Char2"/>
    <w:autoRedefine/>
    <w:qFormat/>
    <w:uiPriority w:val="99"/>
    <w:rPr>
      <w:kern w:val="2"/>
      <w:sz w:val="21"/>
    </w:rPr>
  </w:style>
  <w:style w:type="character" w:customStyle="1" w:styleId="728">
    <w:name w:val="Char Char91"/>
    <w:autoRedefine/>
    <w:qFormat/>
    <w:uiPriority w:val="0"/>
    <w:rPr>
      <w:rFonts w:ascii="宋体" w:hAnsi="宋体" w:eastAsia="宋体"/>
      <w:kern w:val="2"/>
      <w:sz w:val="21"/>
      <w:lang w:val="en-US" w:eastAsia="zh-CN" w:bidi="ar-SA"/>
    </w:rPr>
  </w:style>
  <w:style w:type="character" w:customStyle="1" w:styleId="729">
    <w:name w:val="条文正文 Char"/>
    <w:link w:val="730"/>
    <w:autoRedefine/>
    <w:qFormat/>
    <w:uiPriority w:val="0"/>
    <w:rPr>
      <w:rFonts w:ascii="宋体" w:hAnsi="宋体"/>
      <w:color w:val="000000"/>
      <w:sz w:val="26"/>
      <w:szCs w:val="26"/>
    </w:rPr>
  </w:style>
  <w:style w:type="paragraph" w:customStyle="1" w:styleId="730">
    <w:name w:val="条文正文"/>
    <w:basedOn w:val="1"/>
    <w:link w:val="729"/>
    <w:autoRedefine/>
    <w:qFormat/>
    <w:uiPriority w:val="0"/>
    <w:pPr>
      <w:ind w:firstLine="420"/>
    </w:pPr>
    <w:rPr>
      <w:rFonts w:ascii="宋体" w:hAnsi="宋体"/>
      <w:color w:val="000000"/>
      <w:kern w:val="0"/>
      <w:sz w:val="26"/>
      <w:szCs w:val="26"/>
    </w:rPr>
  </w:style>
  <w:style w:type="character" w:customStyle="1" w:styleId="731">
    <w:name w:val="dash6b63_6587__char1"/>
    <w:autoRedefine/>
    <w:qFormat/>
    <w:uiPriority w:val="0"/>
    <w:rPr>
      <w:rFonts w:hint="default" w:ascii="Calibri" w:hAnsi="Calibri" w:cs="Calibri"/>
      <w:sz w:val="20"/>
      <w:szCs w:val="20"/>
      <w:u w:val="none"/>
    </w:rPr>
  </w:style>
  <w:style w:type="character" w:customStyle="1" w:styleId="732">
    <w:name w:val="dash666e_901a_8868_683c__char1"/>
    <w:autoRedefine/>
    <w:qFormat/>
    <w:uiPriority w:val="0"/>
    <w:rPr>
      <w:u w:val="none"/>
    </w:rPr>
  </w:style>
  <w:style w:type="character" w:customStyle="1" w:styleId="733">
    <w:name w:val="r3"/>
    <w:autoRedefine/>
    <w:qFormat/>
    <w:uiPriority w:val="0"/>
    <w:rPr>
      <w:rFonts w:eastAsia="宋体"/>
      <w:kern w:val="2"/>
      <w:sz w:val="24"/>
      <w:szCs w:val="24"/>
      <w:lang w:val="en-US" w:eastAsia="zh-CN" w:bidi="ar-SA"/>
    </w:rPr>
  </w:style>
  <w:style w:type="character" w:customStyle="1" w:styleId="734">
    <w:name w:val="颜怡翥"/>
    <w:autoRedefine/>
    <w:semiHidden/>
    <w:qFormat/>
    <w:uiPriority w:val="0"/>
    <w:rPr>
      <w:rFonts w:ascii="Arial" w:hAnsi="Arial" w:eastAsia="宋体" w:cs="Arial"/>
      <w:color w:val="auto"/>
      <w:kern w:val="2"/>
      <w:sz w:val="18"/>
      <w:szCs w:val="20"/>
      <w:lang w:val="en-US" w:eastAsia="zh-CN" w:bidi="ar-SA"/>
    </w:rPr>
  </w:style>
  <w:style w:type="character" w:customStyle="1" w:styleId="735">
    <w:name w:val="样式1 Char"/>
    <w:autoRedefine/>
    <w:qFormat/>
    <w:uiPriority w:val="0"/>
    <w:rPr>
      <w:b/>
      <w:bCs/>
      <w:kern w:val="44"/>
      <w:sz w:val="24"/>
      <w:szCs w:val="28"/>
      <w:lang w:eastAsia="en-US" w:bidi="en-US"/>
    </w:rPr>
  </w:style>
  <w:style w:type="character" w:customStyle="1" w:styleId="736">
    <w:name w:val="标题 1.1 Char Char"/>
    <w:autoRedefine/>
    <w:qFormat/>
    <w:uiPriority w:val="0"/>
    <w:rPr>
      <w:rFonts w:ascii="Arial" w:hAnsi="Arial" w:eastAsia="黑体" w:cs="Arial"/>
      <w:sz w:val="32"/>
      <w:szCs w:val="32"/>
    </w:rPr>
  </w:style>
  <w:style w:type="character" w:customStyle="1" w:styleId="737">
    <w:name w:val="黄尤炜"/>
    <w:autoRedefine/>
    <w:semiHidden/>
    <w:qFormat/>
    <w:uiPriority w:val="0"/>
    <w:rPr>
      <w:rFonts w:ascii="Arial" w:hAnsi="Arial" w:eastAsia="宋体" w:cs="Arial"/>
      <w:color w:val="000080"/>
      <w:kern w:val="2"/>
      <w:sz w:val="18"/>
      <w:szCs w:val="20"/>
      <w:lang w:val="en-US" w:eastAsia="zh-CN" w:bidi="ar-SA"/>
    </w:rPr>
  </w:style>
  <w:style w:type="character" w:customStyle="1" w:styleId="738">
    <w:name w:val="正文首行缩进 Char5"/>
    <w:autoRedefine/>
    <w:semiHidden/>
    <w:qFormat/>
    <w:uiPriority w:val="99"/>
    <w:rPr>
      <w:rFonts w:ascii="Times New Roman" w:hAnsi="Times New Roman" w:eastAsia="宋体" w:cs="Times New Roman"/>
      <w:szCs w:val="20"/>
    </w:rPr>
  </w:style>
  <w:style w:type="character" w:customStyle="1" w:styleId="739">
    <w:name w:val="访问过的超链接1"/>
    <w:autoRedefine/>
    <w:unhideWhenUsed/>
    <w:qFormat/>
    <w:uiPriority w:val="99"/>
    <w:rPr>
      <w:color w:val="800080"/>
      <w:u w:val="single"/>
    </w:rPr>
  </w:style>
  <w:style w:type="paragraph" w:customStyle="1" w:styleId="740">
    <w:name w:val="样式 目录 1"/>
    <w:basedOn w:val="42"/>
    <w:autoRedefine/>
    <w:qFormat/>
    <w:uiPriority w:val="0"/>
    <w:pPr>
      <w:tabs>
        <w:tab w:val="left" w:pos="525"/>
        <w:tab w:val="left" w:pos="1680"/>
        <w:tab w:val="right" w:pos="9060"/>
      </w:tabs>
      <w:spacing w:before="0" w:after="0"/>
      <w:ind w:left="525" w:hanging="425"/>
      <w:jc w:val="both"/>
    </w:pPr>
    <w:rPr>
      <w:rFonts w:cs="宋体"/>
      <w:bCs w:val="0"/>
      <w:caps w:val="0"/>
    </w:rPr>
  </w:style>
  <w:style w:type="paragraph" w:customStyle="1" w:styleId="741">
    <w:name w:val="xl277"/>
    <w:basedOn w:val="1"/>
    <w:autoRedefine/>
    <w:qFormat/>
    <w:uiPriority w:val="0"/>
    <w:pPr>
      <w:widowControl/>
      <w:pBdr>
        <w:left w:val="single" w:color="auto" w:sz="4" w:space="0"/>
      </w:pBdr>
      <w:shd w:val="clear" w:color="auto" w:fill="CCFFFF"/>
      <w:spacing w:before="100" w:beforeAutospacing="1" w:after="100" w:afterAutospacing="1"/>
      <w:jc w:val="left"/>
    </w:pPr>
    <w:rPr>
      <w:rFonts w:ascii="宋体" w:hAnsi="宋体" w:cs="宋体"/>
      <w:kern w:val="0"/>
      <w:sz w:val="20"/>
    </w:rPr>
  </w:style>
  <w:style w:type="paragraph" w:customStyle="1" w:styleId="742">
    <w:name w:val="Para"/>
    <w:basedOn w:val="1"/>
    <w:autoRedefine/>
    <w:qFormat/>
    <w:uiPriority w:val="0"/>
    <w:pPr>
      <w:widowControl/>
      <w:tabs>
        <w:tab w:val="left" w:pos="1138"/>
        <w:tab w:val="left" w:pos="1699"/>
        <w:tab w:val="left" w:pos="2261"/>
        <w:tab w:val="left" w:pos="2822"/>
        <w:tab w:val="left" w:pos="3384"/>
        <w:tab w:val="left" w:pos="3946"/>
        <w:tab w:val="left" w:pos="4507"/>
        <w:tab w:val="left" w:pos="5069"/>
        <w:tab w:val="left" w:pos="5630"/>
        <w:tab w:val="left" w:pos="6192"/>
        <w:tab w:val="left" w:pos="6754"/>
        <w:tab w:val="left" w:pos="7315"/>
        <w:tab w:val="left" w:pos="7877"/>
        <w:tab w:val="left" w:pos="8438"/>
        <w:tab w:val="left" w:pos="9000"/>
        <w:tab w:val="left" w:pos="9562"/>
        <w:tab w:val="left" w:pos="10123"/>
      </w:tabs>
      <w:spacing w:after="240"/>
      <w:ind w:left="1134"/>
      <w:jc w:val="left"/>
    </w:pPr>
    <w:rPr>
      <w:rFonts w:eastAsia="PMingLiU"/>
      <w:kern w:val="0"/>
      <w:sz w:val="22"/>
      <w:lang w:val="en-AU" w:eastAsia="en-US" w:bidi="en-US"/>
    </w:rPr>
  </w:style>
  <w:style w:type="paragraph" w:customStyle="1" w:styleId="743">
    <w:name w:val="&gt;1:nota:nota"/>
    <w:basedOn w:val="744"/>
    <w:next w:val="1"/>
    <w:autoRedefine/>
    <w:qFormat/>
    <w:uiPriority w:val="0"/>
    <w:pPr>
      <w:tabs>
        <w:tab w:val="left" w:pos="351"/>
        <w:tab w:val="left" w:pos="709"/>
        <w:tab w:val="left" w:pos="1061"/>
        <w:tab w:val="left" w:pos="1418"/>
      </w:tabs>
      <w:ind w:left="567" w:hanging="567"/>
    </w:pPr>
  </w:style>
  <w:style w:type="paragraph" w:customStyle="1" w:styleId="744">
    <w:name w:val="&gt;1:nota:nota 1)"/>
    <w:basedOn w:val="1"/>
    <w:next w:val="1"/>
    <w:autoRedefine/>
    <w:qFormat/>
    <w:uiPriority w:val="0"/>
    <w:pPr>
      <w:widowControl/>
      <w:tabs>
        <w:tab w:val="left" w:pos="351"/>
        <w:tab w:val="left" w:pos="709"/>
        <w:tab w:val="left" w:pos="1061"/>
        <w:tab w:val="left" w:pos="1418"/>
      </w:tabs>
      <w:spacing w:before="50" w:after="50" w:line="280" w:lineRule="exact"/>
      <w:ind w:left="568" w:hanging="284"/>
      <w:jc w:val="left"/>
    </w:pPr>
    <w:rPr>
      <w:rFonts w:ascii="Arial" w:hAnsi="Arial"/>
      <w:i/>
      <w:kern w:val="0"/>
      <w:sz w:val="20"/>
      <w:lang w:eastAsia="fr-FR" w:bidi="en-US"/>
    </w:rPr>
  </w:style>
  <w:style w:type="paragraph" w:customStyle="1" w:styleId="745">
    <w:name w:val="font18"/>
    <w:basedOn w:val="1"/>
    <w:autoRedefine/>
    <w:qFormat/>
    <w:uiPriority w:val="0"/>
    <w:pPr>
      <w:widowControl/>
      <w:spacing w:before="100" w:beforeAutospacing="1" w:after="100" w:afterAutospacing="1"/>
      <w:jc w:val="left"/>
    </w:pPr>
    <w:rPr>
      <w:rFonts w:ascii="楷体_GB2312" w:hAnsi="宋体" w:eastAsia="楷体_GB2312" w:cs="宋体"/>
      <w:kern w:val="0"/>
      <w:sz w:val="14"/>
      <w:szCs w:val="14"/>
    </w:rPr>
  </w:style>
  <w:style w:type="paragraph" w:customStyle="1" w:styleId="746">
    <w:name w:val="列表框 Char Char Char Char Char"/>
    <w:basedOn w:val="747"/>
    <w:next w:val="747"/>
    <w:autoRedefine/>
    <w:qFormat/>
    <w:uiPriority w:val="0"/>
    <w:pPr>
      <w:tabs>
        <w:tab w:val="left" w:pos="874"/>
      </w:tabs>
      <w:adjustRightInd w:val="0"/>
      <w:snapToGrid w:val="0"/>
      <w:ind w:left="874" w:leftChars="0" w:right="-5" w:rightChars="-5" w:hanging="420" w:firstLineChars="0"/>
    </w:pPr>
    <w:rPr>
      <w:rFonts w:ascii="Times New Roman" w:hAnsi="Times New Roman"/>
      <w:szCs w:val="21"/>
    </w:rPr>
  </w:style>
  <w:style w:type="paragraph" w:customStyle="1" w:styleId="747">
    <w:name w:val="正常文本 Char Char Char Char Char Char Char Char Char Char Char Char Char Char"/>
    <w:basedOn w:val="1"/>
    <w:autoRedefine/>
    <w:qFormat/>
    <w:uiPriority w:val="0"/>
    <w:pPr>
      <w:spacing w:afterLines="50" w:line="320" w:lineRule="exact"/>
      <w:ind w:left="600" w:leftChars="600" w:firstLine="208" w:firstLineChars="208"/>
    </w:pPr>
    <w:rPr>
      <w:rFonts w:ascii="宋体" w:hAnsi="宋体" w:eastAsia="楷体_GB2312"/>
      <w:szCs w:val="18"/>
    </w:rPr>
  </w:style>
  <w:style w:type="paragraph" w:customStyle="1" w:styleId="748">
    <w:name w:val="点项"/>
    <w:basedOn w:val="1"/>
    <w:autoRedefine/>
    <w:qFormat/>
    <w:uiPriority w:val="0"/>
    <w:pPr>
      <w:widowControl/>
      <w:spacing w:line="360" w:lineRule="auto"/>
      <w:jc w:val="left"/>
    </w:pPr>
    <w:rPr>
      <w:bCs/>
      <w:iCs/>
      <w:kern w:val="0"/>
      <w:sz w:val="24"/>
      <w:szCs w:val="21"/>
      <w:lang w:eastAsia="en-US" w:bidi="en-US"/>
    </w:rPr>
  </w:style>
  <w:style w:type="paragraph" w:customStyle="1" w:styleId="749">
    <w:name w:val="样式 8 磅 加粗 两端对齐 左侧:  0 厘米 段前: 0 磅 段后: 0 磅"/>
    <w:basedOn w:val="1"/>
    <w:autoRedefine/>
    <w:qFormat/>
    <w:uiPriority w:val="0"/>
    <w:pPr>
      <w:widowControl/>
      <w:jc w:val="left"/>
    </w:pPr>
    <w:rPr>
      <w:rFonts w:ascii="Arial" w:hAnsi="Arial" w:cs="宋体"/>
      <w:bCs/>
      <w:kern w:val="0"/>
      <w:sz w:val="24"/>
      <w:lang w:val="en-GB" w:eastAsia="en-US" w:bidi="en-US"/>
    </w:rPr>
  </w:style>
  <w:style w:type="paragraph" w:customStyle="1" w:styleId="750">
    <w:name w:val="&gt;1:enum1 -:suite"/>
    <w:basedOn w:val="1"/>
    <w:autoRedefine/>
    <w:qFormat/>
    <w:uiPriority w:val="0"/>
    <w:pPr>
      <w:widowControl/>
      <w:tabs>
        <w:tab w:val="left" w:pos="351"/>
        <w:tab w:val="left" w:pos="709"/>
        <w:tab w:val="left" w:pos="1061"/>
        <w:tab w:val="left" w:pos="1418"/>
      </w:tabs>
      <w:spacing w:after="50" w:line="280" w:lineRule="exact"/>
      <w:ind w:left="284"/>
      <w:jc w:val="left"/>
    </w:pPr>
    <w:rPr>
      <w:rFonts w:ascii="Arial" w:hAnsi="Arial"/>
      <w:kern w:val="0"/>
      <w:sz w:val="20"/>
      <w:lang w:eastAsia="fr-FR" w:bidi="en-US"/>
    </w:rPr>
  </w:style>
  <w:style w:type="paragraph" w:customStyle="1" w:styleId="751">
    <w:name w:val="样式 列表框 Char Char Char Char Char + 段后: 0.5 行"/>
    <w:basedOn w:val="747"/>
    <w:autoRedefine/>
    <w:qFormat/>
    <w:uiPriority w:val="0"/>
    <w:pPr>
      <w:spacing w:after="156"/>
    </w:pPr>
    <w:rPr>
      <w:rFonts w:cs="宋体"/>
      <w:szCs w:val="20"/>
    </w:rPr>
  </w:style>
  <w:style w:type="paragraph" w:customStyle="1" w:styleId="752">
    <w:name w:val="列项◆（三级）"/>
    <w:basedOn w:val="1"/>
    <w:autoRedefine/>
    <w:qFormat/>
    <w:uiPriority w:val="0"/>
    <w:pPr>
      <w:numPr>
        <w:ilvl w:val="2"/>
        <w:numId w:val="3"/>
      </w:numPr>
    </w:pPr>
    <w:rPr>
      <w:rFonts w:ascii="宋体"/>
      <w:szCs w:val="21"/>
    </w:rPr>
  </w:style>
  <w:style w:type="paragraph" w:customStyle="1" w:styleId="753">
    <w:name w:val="xl224"/>
    <w:basedOn w:val="1"/>
    <w:autoRedefine/>
    <w:qFormat/>
    <w:uiPriority w:val="0"/>
    <w:pPr>
      <w:widowControl/>
      <w:pBdr>
        <w:top w:val="single" w:color="auto" w:sz="4" w:space="0"/>
        <w:left w:val="single" w:color="auto" w:sz="4" w:space="0"/>
        <w:bottom w:val="single" w:color="auto" w:sz="4" w:space="0"/>
        <w:right w:val="double" w:color="auto" w:sz="6" w:space="0"/>
      </w:pBdr>
      <w:spacing w:before="100" w:beforeAutospacing="1" w:after="100" w:afterAutospacing="1"/>
      <w:textAlignment w:val="top"/>
    </w:pPr>
    <w:rPr>
      <w:rFonts w:ascii="宋体" w:hAnsi="宋体" w:cs="宋体"/>
      <w:kern w:val="0"/>
      <w:sz w:val="18"/>
      <w:szCs w:val="18"/>
    </w:rPr>
  </w:style>
  <w:style w:type="paragraph" w:customStyle="1" w:styleId="754">
    <w:name w:val="xl125"/>
    <w:basedOn w:val="1"/>
    <w:autoRedefine/>
    <w:qFormat/>
    <w:uiPriority w:val="0"/>
    <w:pPr>
      <w:widowControl/>
      <w:pBdr>
        <w:top w:val="single" w:color="auto" w:sz="4" w:space="0"/>
        <w:left w:val="double" w:color="auto" w:sz="6" w:space="0"/>
        <w:bottom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755">
    <w:name w:val="xl242"/>
    <w:basedOn w:val="1"/>
    <w:autoRedefine/>
    <w:qFormat/>
    <w:uiPriority w:val="0"/>
    <w:pPr>
      <w:widowControl/>
      <w:pBdr>
        <w:top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756">
    <w:name w:val="xl167"/>
    <w:basedOn w:val="1"/>
    <w:autoRedefine/>
    <w:qFormat/>
    <w:uiPriority w:val="0"/>
    <w:pPr>
      <w:widowControl/>
      <w:pBdr>
        <w:left w:val="single" w:color="auto" w:sz="4" w:space="0"/>
        <w:bottom w:val="double" w:color="auto" w:sz="6" w:space="0"/>
        <w:right w:val="double" w:color="auto" w:sz="6" w:space="0"/>
      </w:pBdr>
      <w:spacing w:before="100" w:beforeAutospacing="1" w:after="100" w:afterAutospacing="1"/>
      <w:jc w:val="left"/>
      <w:textAlignment w:val="top"/>
    </w:pPr>
    <w:rPr>
      <w:rFonts w:ascii="宋体" w:hAnsi="宋体" w:cs="宋体"/>
      <w:kern w:val="0"/>
      <w:sz w:val="24"/>
      <w:szCs w:val="24"/>
    </w:rPr>
  </w:style>
  <w:style w:type="paragraph" w:customStyle="1" w:styleId="757">
    <w:name w:val="xl160"/>
    <w:basedOn w:val="1"/>
    <w:autoRedefine/>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jc w:val="center"/>
    </w:pPr>
    <w:rPr>
      <w:rFonts w:ascii="宋体" w:hAnsi="宋体" w:cs="宋体"/>
      <w:b/>
      <w:bCs/>
      <w:kern w:val="0"/>
      <w:sz w:val="20"/>
    </w:rPr>
  </w:style>
  <w:style w:type="paragraph" w:customStyle="1" w:styleId="758">
    <w:name w:val="xl13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759">
    <w:name w:val="xl240"/>
    <w:basedOn w:val="1"/>
    <w:autoRedefine/>
    <w:qFormat/>
    <w:uiPriority w:val="0"/>
    <w:pPr>
      <w:widowControl/>
      <w:pBdr>
        <w:top w:val="single" w:color="auto" w:sz="4" w:space="0"/>
        <w:left w:val="double" w:color="auto" w:sz="6"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760">
    <w:name w:val="a3"/>
    <w:basedOn w:val="1"/>
    <w:autoRedefine/>
    <w:qFormat/>
    <w:uiPriority w:val="0"/>
    <w:pPr>
      <w:widowControl/>
      <w:spacing w:line="360" w:lineRule="auto"/>
      <w:ind w:left="4094" w:right="607"/>
      <w:jc w:val="center"/>
    </w:pPr>
    <w:rPr>
      <w:rFonts w:ascii="仿宋_GB2312" w:hAnsi="宋体" w:eastAsia="仿宋_GB2312" w:cs="宋体"/>
      <w:color w:val="000000"/>
      <w:kern w:val="0"/>
      <w:sz w:val="32"/>
      <w:szCs w:val="32"/>
    </w:rPr>
  </w:style>
  <w:style w:type="paragraph" w:customStyle="1" w:styleId="761">
    <w:name w:val="xl120"/>
    <w:basedOn w:val="1"/>
    <w:autoRedefine/>
    <w:qFormat/>
    <w:uiPriority w:val="0"/>
    <w:pPr>
      <w:widowControl/>
      <w:pBdr>
        <w:top w:val="single" w:color="auto" w:sz="4" w:space="0"/>
      </w:pBdr>
      <w:spacing w:before="100" w:beforeAutospacing="1" w:after="100" w:afterAutospacing="1"/>
      <w:jc w:val="left"/>
    </w:pPr>
    <w:rPr>
      <w:rFonts w:ascii="宋体" w:hAnsi="宋体" w:cs="宋体"/>
      <w:kern w:val="0"/>
      <w:sz w:val="24"/>
      <w:szCs w:val="24"/>
    </w:rPr>
  </w:style>
  <w:style w:type="paragraph" w:customStyle="1" w:styleId="762">
    <w:name w:val="xl218"/>
    <w:basedOn w:val="1"/>
    <w:autoRedefine/>
    <w:qFormat/>
    <w:uiPriority w:val="0"/>
    <w:pPr>
      <w:widowControl/>
      <w:pBdr>
        <w:top w:val="single" w:color="auto" w:sz="4" w:space="0"/>
        <w:left w:val="double" w:color="auto" w:sz="6" w:space="0"/>
        <w:bottom w:val="double" w:color="auto" w:sz="6" w:space="0"/>
        <w:right w:val="single" w:color="auto" w:sz="4" w:space="0"/>
      </w:pBdr>
      <w:shd w:val="clear" w:color="auto" w:fill="CCFFFF"/>
      <w:spacing w:before="100" w:beforeAutospacing="1" w:after="100" w:afterAutospacing="1"/>
      <w:jc w:val="center"/>
    </w:pPr>
    <w:rPr>
      <w:rFonts w:ascii="宋体" w:hAnsi="宋体" w:cs="宋体"/>
      <w:b/>
      <w:bCs/>
      <w:kern w:val="0"/>
      <w:sz w:val="20"/>
    </w:rPr>
  </w:style>
  <w:style w:type="paragraph" w:customStyle="1" w:styleId="763">
    <w:name w:val="xl255"/>
    <w:basedOn w:val="1"/>
    <w:autoRedefine/>
    <w:qFormat/>
    <w:uiPriority w:val="0"/>
    <w:pPr>
      <w:widowControl/>
      <w:pBdr>
        <w:top w:val="single" w:color="auto" w:sz="4" w:space="0"/>
        <w:left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764">
    <w:name w:val="xl27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765">
    <w:name w:val="xl131"/>
    <w:basedOn w:val="1"/>
    <w:autoRedefine/>
    <w:qFormat/>
    <w:uiPriority w:val="0"/>
    <w:pPr>
      <w:widowControl/>
      <w:pBdr>
        <w:top w:val="single" w:color="auto" w:sz="4" w:space="0"/>
        <w:left w:val="double" w:color="auto" w:sz="6" w:space="0"/>
        <w:bottom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766">
    <w:name w:val="Char Char33"/>
    <w:basedOn w:val="1"/>
    <w:autoRedefine/>
    <w:qFormat/>
    <w:uiPriority w:val="0"/>
    <w:rPr>
      <w:rFonts w:ascii="Tahoma" w:hAnsi="Tahoma"/>
      <w:sz w:val="24"/>
    </w:rPr>
  </w:style>
  <w:style w:type="paragraph" w:customStyle="1" w:styleId="767">
    <w:name w:val="xl154"/>
    <w:basedOn w:val="1"/>
    <w:autoRedefine/>
    <w:qFormat/>
    <w:uiPriority w:val="0"/>
    <w:pPr>
      <w:widowControl/>
      <w:pBdr>
        <w:left w:val="single" w:color="auto" w:sz="4" w:space="0"/>
        <w:right w:val="double" w:color="auto" w:sz="6" w:space="0"/>
      </w:pBdr>
      <w:spacing w:before="100" w:beforeAutospacing="1" w:after="100" w:afterAutospacing="1"/>
      <w:textAlignment w:val="top"/>
    </w:pPr>
    <w:rPr>
      <w:rFonts w:ascii="宋体" w:hAnsi="宋体" w:cs="宋体"/>
      <w:kern w:val="0"/>
      <w:sz w:val="18"/>
      <w:szCs w:val="18"/>
    </w:rPr>
  </w:style>
  <w:style w:type="paragraph" w:customStyle="1" w:styleId="768">
    <w:name w:val="xl101"/>
    <w:basedOn w:val="1"/>
    <w:autoRedefine/>
    <w:qFormat/>
    <w:uiPriority w:val="0"/>
    <w:pPr>
      <w:widowControl/>
      <w:pBdr>
        <w:top w:val="single" w:color="auto" w:sz="4" w:space="0"/>
        <w:left w:val="single" w:color="auto" w:sz="4" w:space="0"/>
        <w:right w:val="single" w:color="auto" w:sz="4" w:space="0"/>
      </w:pBdr>
      <w:shd w:val="clear" w:color="auto" w:fill="CCFFFF"/>
      <w:spacing w:before="100" w:beforeAutospacing="1" w:after="100" w:afterAutospacing="1"/>
      <w:jc w:val="left"/>
    </w:pPr>
    <w:rPr>
      <w:rFonts w:ascii="宋体" w:hAnsi="宋体" w:cs="宋体"/>
      <w:color w:val="000000"/>
      <w:kern w:val="0"/>
      <w:sz w:val="18"/>
      <w:szCs w:val="18"/>
    </w:rPr>
  </w:style>
  <w:style w:type="paragraph" w:customStyle="1" w:styleId="769">
    <w:name w:val="font19"/>
    <w:basedOn w:val="1"/>
    <w:autoRedefine/>
    <w:qFormat/>
    <w:uiPriority w:val="0"/>
    <w:pPr>
      <w:widowControl/>
      <w:spacing w:before="100" w:beforeAutospacing="1" w:after="100" w:afterAutospacing="1"/>
      <w:jc w:val="left"/>
    </w:pPr>
    <w:rPr>
      <w:rFonts w:ascii="楷体_GB2312" w:hAnsi="宋体" w:eastAsia="楷体_GB2312" w:cs="宋体"/>
      <w:kern w:val="0"/>
      <w:sz w:val="20"/>
    </w:rPr>
  </w:style>
  <w:style w:type="paragraph" w:customStyle="1" w:styleId="770">
    <w:name w:val="字母编号列项（一级）"/>
    <w:autoRedefine/>
    <w:qFormat/>
    <w:uiPriority w:val="0"/>
    <w:pPr>
      <w:numPr>
        <w:ilvl w:val="0"/>
        <w:numId w:val="4"/>
      </w:numPr>
      <w:jc w:val="both"/>
    </w:pPr>
    <w:rPr>
      <w:rFonts w:ascii="宋体" w:hAnsi="Times New Roman" w:eastAsia="宋体" w:cs="Times New Roman"/>
      <w:sz w:val="21"/>
      <w:lang w:val="en-US" w:eastAsia="zh-CN" w:bidi="ar-SA"/>
    </w:rPr>
  </w:style>
  <w:style w:type="paragraph" w:customStyle="1" w:styleId="771">
    <w:name w:val="paragraph"/>
    <w:basedOn w:val="1"/>
    <w:autoRedefine/>
    <w:qFormat/>
    <w:uiPriority w:val="0"/>
    <w:pPr>
      <w:widowControl/>
      <w:spacing w:before="80" w:after="80"/>
      <w:ind w:left="1701"/>
      <w:jc w:val="left"/>
    </w:pPr>
    <w:rPr>
      <w:kern w:val="0"/>
      <w:sz w:val="22"/>
      <w:lang w:val="en-AU" w:eastAsia="en-US" w:bidi="en-US"/>
    </w:rPr>
  </w:style>
  <w:style w:type="paragraph" w:customStyle="1" w:styleId="772">
    <w:name w:val="批注框文本 Char Char"/>
    <w:basedOn w:val="1"/>
    <w:autoRedefine/>
    <w:qFormat/>
    <w:uiPriority w:val="0"/>
    <w:pPr>
      <w:widowControl/>
      <w:jc w:val="left"/>
    </w:pPr>
    <w:rPr>
      <w:rFonts w:ascii="Calibri" w:hAnsi="Calibri"/>
      <w:kern w:val="0"/>
      <w:sz w:val="18"/>
      <w:lang w:eastAsia="en-US" w:bidi="en-US"/>
    </w:rPr>
  </w:style>
  <w:style w:type="paragraph" w:customStyle="1" w:styleId="773">
    <w:name w:val="xl281"/>
    <w:basedOn w:val="1"/>
    <w:autoRedefine/>
    <w:qFormat/>
    <w:uiPriority w:val="0"/>
    <w:pPr>
      <w:widowControl/>
      <w:pBdr>
        <w:left w:val="single" w:color="auto" w:sz="4" w:space="0"/>
      </w:pBdr>
      <w:shd w:val="clear" w:color="auto" w:fill="FFCC99"/>
      <w:spacing w:before="100" w:beforeAutospacing="1" w:after="100" w:afterAutospacing="1"/>
      <w:jc w:val="left"/>
    </w:pPr>
    <w:rPr>
      <w:rFonts w:ascii="宋体" w:hAnsi="宋体" w:cs="宋体"/>
      <w:b/>
      <w:bCs/>
      <w:kern w:val="0"/>
      <w:sz w:val="20"/>
    </w:rPr>
  </w:style>
  <w:style w:type="paragraph" w:customStyle="1" w:styleId="774">
    <w:name w:val="样式 目录 3 + 左侧:  2.15 字符"/>
    <w:basedOn w:val="32"/>
    <w:autoRedefine/>
    <w:qFormat/>
    <w:uiPriority w:val="0"/>
    <w:pPr>
      <w:tabs>
        <w:tab w:val="left" w:pos="1342"/>
        <w:tab w:val="right" w:leader="dot" w:pos="9060"/>
      </w:tabs>
      <w:ind w:left="215" w:leftChars="215"/>
    </w:pPr>
    <w:rPr>
      <w:rFonts w:ascii="Arial" w:hAnsi="Arial" w:cs="宋体"/>
      <w:iCs w:val="0"/>
      <w:color w:val="000000"/>
      <w:sz w:val="21"/>
    </w:rPr>
  </w:style>
  <w:style w:type="paragraph" w:customStyle="1" w:styleId="775">
    <w:name w:val="TX/DEBUT"/>
    <w:basedOn w:val="1"/>
    <w:autoRedefine/>
    <w:qFormat/>
    <w:uiPriority w:val="0"/>
    <w:pPr>
      <w:widowControl/>
      <w:spacing w:line="280" w:lineRule="atLeast"/>
      <w:ind w:left="2727" w:hanging="2727"/>
      <w:jc w:val="left"/>
    </w:pPr>
    <w:rPr>
      <w:rFonts w:ascii="FuturaA Bk BT" w:hAnsi="FuturaA Bk BT" w:eastAsia="PMingLiU"/>
      <w:kern w:val="0"/>
      <w:sz w:val="20"/>
      <w:lang w:val="fr-FR" w:eastAsia="en-US" w:bidi="en-US"/>
    </w:rPr>
  </w:style>
  <w:style w:type="paragraph" w:customStyle="1" w:styleId="776">
    <w:name w:val="xl282"/>
    <w:basedOn w:val="1"/>
    <w:autoRedefine/>
    <w:qFormat/>
    <w:uiPriority w:val="0"/>
    <w:pPr>
      <w:widowControl/>
      <w:shd w:val="clear" w:color="auto" w:fill="FFFF99"/>
      <w:spacing w:before="100" w:beforeAutospacing="1" w:after="100" w:afterAutospacing="1"/>
      <w:jc w:val="left"/>
    </w:pPr>
    <w:rPr>
      <w:rFonts w:ascii="宋体" w:hAnsi="宋体" w:cs="宋体"/>
      <w:b/>
      <w:bCs/>
      <w:kern w:val="0"/>
      <w:sz w:val="20"/>
    </w:rPr>
  </w:style>
  <w:style w:type="paragraph" w:customStyle="1" w:styleId="777">
    <w:name w:val="Para 1st Subpara"/>
    <w:basedOn w:val="742"/>
    <w:autoRedefine/>
    <w:qFormat/>
    <w:uiPriority w:val="0"/>
    <w:pPr>
      <w:ind w:left="1700" w:hanging="562"/>
    </w:pPr>
  </w:style>
  <w:style w:type="paragraph" w:customStyle="1" w:styleId="778">
    <w:name w:val="endReq"/>
    <w:basedOn w:val="779"/>
    <w:autoRedefine/>
    <w:qFormat/>
    <w:uiPriority w:val="0"/>
    <w:rPr>
      <w:b/>
      <w:i/>
      <w:smallCaps/>
    </w:rPr>
  </w:style>
  <w:style w:type="paragraph" w:customStyle="1" w:styleId="779">
    <w:name w:val="&gt;1: texte-text"/>
    <w:basedOn w:val="1"/>
    <w:autoRedefine/>
    <w:qFormat/>
    <w:uiPriority w:val="0"/>
    <w:pPr>
      <w:widowControl/>
      <w:spacing w:before="50" w:after="50" w:line="280" w:lineRule="exact"/>
      <w:jc w:val="left"/>
    </w:pPr>
    <w:rPr>
      <w:rFonts w:ascii="Arial" w:hAnsi="Arial"/>
      <w:kern w:val="0"/>
      <w:sz w:val="20"/>
      <w:lang w:eastAsia="fr-FR" w:bidi="en-US"/>
    </w:rPr>
  </w:style>
  <w:style w:type="paragraph" w:customStyle="1" w:styleId="780">
    <w:name w:val="&gt;1:list1  A)suite"/>
    <w:basedOn w:val="781"/>
    <w:autoRedefine/>
    <w:qFormat/>
    <w:uiPriority w:val="0"/>
    <w:pPr>
      <w:tabs>
        <w:tab w:val="left" w:pos="352"/>
        <w:tab w:val="left" w:pos="709"/>
        <w:tab w:val="left" w:pos="1061"/>
        <w:tab w:val="left" w:pos="1418"/>
      </w:tabs>
      <w:spacing w:before="50"/>
      <w:ind w:left="0" w:firstLine="0"/>
      <w:jc w:val="both"/>
    </w:pPr>
    <w:rPr>
      <w:b w:val="0"/>
    </w:rPr>
  </w:style>
  <w:style w:type="paragraph" w:customStyle="1" w:styleId="781">
    <w:name w:val="&gt;1:list1  A)"/>
    <w:basedOn w:val="1"/>
    <w:autoRedefine/>
    <w:qFormat/>
    <w:uiPriority w:val="0"/>
    <w:pPr>
      <w:widowControl/>
      <w:tabs>
        <w:tab w:val="left" w:pos="352"/>
        <w:tab w:val="left" w:pos="709"/>
        <w:tab w:val="left" w:pos="1061"/>
        <w:tab w:val="left" w:pos="1418"/>
      </w:tabs>
      <w:spacing w:before="170" w:after="50" w:line="280" w:lineRule="exact"/>
      <w:ind w:left="284" w:hanging="284"/>
      <w:jc w:val="left"/>
    </w:pPr>
    <w:rPr>
      <w:rFonts w:ascii="Arial" w:hAnsi="Arial"/>
      <w:b/>
      <w:kern w:val="0"/>
      <w:sz w:val="20"/>
      <w:lang w:eastAsia="fr-FR" w:bidi="en-US"/>
    </w:rPr>
  </w:style>
  <w:style w:type="paragraph" w:customStyle="1" w:styleId="782">
    <w:name w:val="font17"/>
    <w:basedOn w:val="1"/>
    <w:autoRedefine/>
    <w:qFormat/>
    <w:uiPriority w:val="0"/>
    <w:pPr>
      <w:widowControl/>
      <w:spacing w:before="100" w:beforeAutospacing="1" w:after="100" w:afterAutospacing="1"/>
      <w:jc w:val="left"/>
    </w:pPr>
    <w:rPr>
      <w:rFonts w:ascii="宋体" w:hAnsi="宋体" w:cs="宋体"/>
      <w:kern w:val="0"/>
      <w:sz w:val="16"/>
      <w:szCs w:val="16"/>
    </w:rPr>
  </w:style>
  <w:style w:type="paragraph" w:customStyle="1" w:styleId="783">
    <w:name w:val="xl27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784">
    <w:name w:val="xl276"/>
    <w:basedOn w:val="1"/>
    <w:autoRedefine/>
    <w:qFormat/>
    <w:uiPriority w:val="0"/>
    <w:pPr>
      <w:widowControl/>
      <w:pBdr>
        <w:right w:val="single" w:color="auto" w:sz="4" w:space="0"/>
      </w:pBdr>
      <w:spacing w:before="100" w:beforeAutospacing="1" w:after="100" w:afterAutospacing="1"/>
      <w:jc w:val="left"/>
    </w:pPr>
    <w:rPr>
      <w:rFonts w:ascii="宋体" w:hAnsi="宋体" w:cs="宋体"/>
      <w:kern w:val="0"/>
      <w:sz w:val="24"/>
      <w:szCs w:val="24"/>
    </w:rPr>
  </w:style>
  <w:style w:type="paragraph" w:customStyle="1" w:styleId="785">
    <w:name w:val="xl280"/>
    <w:basedOn w:val="1"/>
    <w:autoRedefine/>
    <w:qFormat/>
    <w:uiPriority w:val="0"/>
    <w:pPr>
      <w:widowControl/>
      <w:pBdr>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786">
    <w:name w:val="xl128"/>
    <w:basedOn w:val="1"/>
    <w:autoRedefine/>
    <w:qFormat/>
    <w:uiPriority w:val="0"/>
    <w:pPr>
      <w:widowControl/>
      <w:pBdr>
        <w:top w:val="single" w:color="auto" w:sz="4" w:space="0"/>
        <w:left w:val="single" w:color="auto" w:sz="4" w:space="0"/>
        <w:right w:val="single" w:color="auto" w:sz="4" w:space="0"/>
      </w:pBdr>
      <w:shd w:val="clear" w:color="auto" w:fill="CCFFFF"/>
      <w:spacing w:before="100" w:beforeAutospacing="1" w:after="100" w:afterAutospacing="1"/>
      <w:jc w:val="center"/>
    </w:pPr>
    <w:rPr>
      <w:kern w:val="0"/>
      <w:sz w:val="18"/>
      <w:szCs w:val="18"/>
    </w:rPr>
  </w:style>
  <w:style w:type="paragraph" w:customStyle="1" w:styleId="787">
    <w:name w:val="Body Text table"/>
    <w:basedOn w:val="2"/>
    <w:autoRedefine/>
    <w:qFormat/>
    <w:uiPriority w:val="0"/>
    <w:pPr>
      <w:widowControl/>
      <w:spacing w:before="60" w:after="60"/>
      <w:ind w:left="1080"/>
      <w:jc w:val="left"/>
    </w:pPr>
    <w:rPr>
      <w:rFonts w:ascii="Arial" w:hAnsi="Arial" w:eastAsia="PMingLiU"/>
      <w:kern w:val="0"/>
      <w:sz w:val="20"/>
      <w:lang w:val="de-DE" w:eastAsia="zh-TW" w:bidi="en-US"/>
    </w:rPr>
  </w:style>
  <w:style w:type="paragraph" w:customStyle="1" w:styleId="788">
    <w:name w:val="Char Char Char2 Char"/>
    <w:basedOn w:val="1"/>
    <w:autoRedefine/>
    <w:qFormat/>
    <w:uiPriority w:val="0"/>
    <w:pPr>
      <w:ind w:firstLine="360" w:firstLineChars="150"/>
    </w:pPr>
    <w:rPr>
      <w:rFonts w:ascii="Calibri" w:hAnsi="Calibri"/>
      <w:szCs w:val="22"/>
    </w:rPr>
  </w:style>
  <w:style w:type="paragraph" w:customStyle="1" w:styleId="789">
    <w:name w:val="Char Char Char Char Char Char Char Char Char Char Char Char Char Char Char Char Char Char Char Char Char Char Char Char Char Char Char Char Char Char Char Char Char"/>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790">
    <w:name w:val="xl272"/>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cs="宋体"/>
      <w:color w:val="000000"/>
      <w:kern w:val="0"/>
      <w:sz w:val="18"/>
      <w:szCs w:val="18"/>
    </w:rPr>
  </w:style>
  <w:style w:type="paragraph" w:customStyle="1" w:styleId="791">
    <w:name w:val="xl279"/>
    <w:basedOn w:val="1"/>
    <w:autoRedefine/>
    <w:qFormat/>
    <w:uiPriority w:val="0"/>
    <w:pPr>
      <w:widowControl/>
      <w:pBdr>
        <w:left w:val="single" w:color="auto" w:sz="4" w:space="0"/>
        <w:bottom w:val="single" w:color="auto" w:sz="4" w:space="0"/>
      </w:pBdr>
      <w:shd w:val="clear" w:color="auto" w:fill="CCFFFF"/>
      <w:spacing w:before="100" w:beforeAutospacing="1" w:after="100" w:afterAutospacing="1"/>
      <w:jc w:val="left"/>
    </w:pPr>
    <w:rPr>
      <w:rFonts w:ascii="宋体" w:hAnsi="宋体" w:cs="宋体"/>
      <w:kern w:val="0"/>
      <w:sz w:val="20"/>
    </w:rPr>
  </w:style>
  <w:style w:type="paragraph" w:customStyle="1" w:styleId="792">
    <w:name w:val="xl143"/>
    <w:basedOn w:val="1"/>
    <w:autoRedefine/>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pPr>
    <w:rPr>
      <w:rFonts w:ascii="宋体" w:hAnsi="宋体" w:cs="宋体"/>
      <w:kern w:val="0"/>
      <w:sz w:val="18"/>
      <w:szCs w:val="18"/>
    </w:rPr>
  </w:style>
  <w:style w:type="paragraph" w:customStyle="1" w:styleId="793">
    <w:name w:val="xl253"/>
    <w:basedOn w:val="1"/>
    <w:autoRedefine/>
    <w:qFormat/>
    <w:uiPriority w:val="0"/>
    <w:pPr>
      <w:widowControl/>
      <w:pBdr>
        <w:top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794">
    <w:name w:val="&gt;tab: titre-titl"/>
    <w:basedOn w:val="795"/>
    <w:autoRedefine/>
    <w:qFormat/>
    <w:uiPriority w:val="0"/>
  </w:style>
  <w:style w:type="paragraph" w:customStyle="1" w:styleId="795">
    <w:name w:val="&gt;fig:titre-title"/>
    <w:basedOn w:val="1"/>
    <w:autoRedefine/>
    <w:qFormat/>
    <w:uiPriority w:val="0"/>
    <w:pPr>
      <w:widowControl/>
      <w:spacing w:before="280" w:after="280" w:line="240" w:lineRule="exact"/>
      <w:ind w:left="283" w:hanging="283"/>
      <w:jc w:val="center"/>
    </w:pPr>
    <w:rPr>
      <w:rFonts w:ascii="Arial" w:hAnsi="Arial"/>
      <w:b/>
      <w:kern w:val="0"/>
      <w:sz w:val="20"/>
      <w:lang w:eastAsia="fr-FR" w:bidi="en-US"/>
    </w:rPr>
  </w:style>
  <w:style w:type="paragraph" w:customStyle="1" w:styleId="796">
    <w:name w:val="xl121"/>
    <w:basedOn w:val="1"/>
    <w:autoRedefine/>
    <w:qFormat/>
    <w:uiPriority w:val="0"/>
    <w:pPr>
      <w:widowControl/>
      <w:pBdr>
        <w:top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797">
    <w:name w:val="副标题1"/>
    <w:basedOn w:val="61"/>
    <w:autoRedefine/>
    <w:qFormat/>
    <w:uiPriority w:val="0"/>
    <w:pPr>
      <w:widowControl/>
      <w:spacing w:before="1000" w:after="1000"/>
      <w:jc w:val="left"/>
    </w:pPr>
    <w:rPr>
      <w:rFonts w:ascii="Invensys Andale" w:hAnsi="Invensys Andale"/>
      <w:kern w:val="28"/>
      <w:sz w:val="32"/>
      <w:szCs w:val="20"/>
      <w:lang w:val="en-AU" w:eastAsia="en-AU"/>
    </w:rPr>
  </w:style>
  <w:style w:type="paragraph" w:customStyle="1" w:styleId="798">
    <w:name w:val="xl117"/>
    <w:basedOn w:val="1"/>
    <w:autoRedefine/>
    <w:qFormat/>
    <w:uiPriority w:val="0"/>
    <w:pPr>
      <w:widowControl/>
      <w:pBdr>
        <w:top w:val="single" w:color="auto" w:sz="4" w:space="0"/>
        <w:left w:val="double" w:color="auto" w:sz="6"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799">
    <w:name w:val="Tableau_norm2"/>
    <w:basedOn w:val="1"/>
    <w:autoRedefine/>
    <w:qFormat/>
    <w:uiPriority w:val="0"/>
    <w:pPr>
      <w:widowControl/>
      <w:spacing w:before="72"/>
      <w:jc w:val="center"/>
    </w:pPr>
    <w:rPr>
      <w:rFonts w:ascii="Helvetica" w:hAnsi="Helvetica"/>
      <w:kern w:val="0"/>
      <w:sz w:val="16"/>
      <w:lang w:eastAsia="fr-FR" w:bidi="en-US"/>
    </w:rPr>
  </w:style>
  <w:style w:type="paragraph" w:customStyle="1" w:styleId="800">
    <w:name w:val="xl139"/>
    <w:basedOn w:val="1"/>
    <w:autoRedefine/>
    <w:qFormat/>
    <w:uiPriority w:val="0"/>
    <w:pPr>
      <w:widowControl/>
      <w:pBdr>
        <w:left w:val="single" w:color="auto" w:sz="4" w:space="0"/>
        <w:right w:val="single" w:color="auto" w:sz="4" w:space="0"/>
      </w:pBdr>
      <w:shd w:val="clear" w:color="auto" w:fill="CCFFFF"/>
      <w:spacing w:before="100" w:beforeAutospacing="1" w:after="100" w:afterAutospacing="1"/>
      <w:jc w:val="center"/>
    </w:pPr>
    <w:rPr>
      <w:kern w:val="0"/>
      <w:sz w:val="18"/>
      <w:szCs w:val="18"/>
    </w:rPr>
  </w:style>
  <w:style w:type="paragraph" w:customStyle="1" w:styleId="801">
    <w:name w:val="Heading #1"/>
    <w:basedOn w:val="1"/>
    <w:autoRedefine/>
    <w:qFormat/>
    <w:uiPriority w:val="0"/>
    <w:pPr>
      <w:widowControl/>
      <w:tabs>
        <w:tab w:val="left" w:pos="851"/>
      </w:tabs>
      <w:jc w:val="left"/>
    </w:pPr>
    <w:rPr>
      <w:rFonts w:ascii="Arial" w:hAnsi="Arial" w:eastAsia="PMingLiU"/>
      <w:b/>
      <w:caps/>
      <w:kern w:val="0"/>
      <w:sz w:val="24"/>
      <w:lang w:val="en-AU" w:eastAsia="en-US" w:bidi="en-US"/>
    </w:rPr>
  </w:style>
  <w:style w:type="paragraph" w:customStyle="1" w:styleId="802">
    <w:name w:val="样式 目录 1 + 小四"/>
    <w:basedOn w:val="42"/>
    <w:autoRedefine/>
    <w:qFormat/>
    <w:uiPriority w:val="0"/>
    <w:pPr>
      <w:tabs>
        <w:tab w:val="left" w:pos="488"/>
        <w:tab w:val="right" w:leader="dot" w:pos="9060"/>
      </w:tabs>
      <w:spacing w:before="0" w:after="0"/>
      <w:jc w:val="both"/>
    </w:pPr>
    <w:rPr>
      <w:rFonts w:ascii="Arial" w:hAnsi="Arial" w:eastAsia="黑体"/>
      <w:b w:val="0"/>
      <w:bCs w:val="0"/>
      <w:caps w:val="0"/>
      <w:szCs w:val="24"/>
    </w:rPr>
  </w:style>
  <w:style w:type="paragraph" w:customStyle="1" w:styleId="803">
    <w:name w:val="xl123"/>
    <w:basedOn w:val="1"/>
    <w:autoRedefine/>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szCs w:val="24"/>
    </w:rPr>
  </w:style>
  <w:style w:type="paragraph" w:customStyle="1" w:styleId="804">
    <w:name w:val="charcharcharchar"/>
    <w:basedOn w:val="1"/>
    <w:autoRedefine/>
    <w:qFormat/>
    <w:uiPriority w:val="0"/>
    <w:pPr>
      <w:widowControl/>
      <w:spacing w:line="360" w:lineRule="auto"/>
      <w:ind w:firstLine="640"/>
      <w:jc w:val="left"/>
    </w:pPr>
    <w:rPr>
      <w:b/>
      <w:bCs/>
      <w:kern w:val="0"/>
      <w:sz w:val="24"/>
      <w:szCs w:val="24"/>
    </w:rPr>
  </w:style>
  <w:style w:type="paragraph" w:customStyle="1" w:styleId="805">
    <w:name w:val="样式 样式 列表框 Char Char Char Char Char + 段后: 0.5 行 + 左侧:  6 字符 首行缩进..."/>
    <w:basedOn w:val="751"/>
    <w:autoRedefine/>
    <w:qFormat/>
    <w:uiPriority w:val="0"/>
    <w:pPr>
      <w:numPr>
        <w:ilvl w:val="0"/>
        <w:numId w:val="5"/>
      </w:numPr>
      <w:ind w:left="0" w:leftChars="0" w:firstLine="0" w:firstLineChars="0"/>
    </w:pPr>
  </w:style>
  <w:style w:type="paragraph" w:customStyle="1" w:styleId="806">
    <w:name w:val="样式 目录 1 + 左侧:  3 字符"/>
    <w:basedOn w:val="42"/>
    <w:autoRedefine/>
    <w:qFormat/>
    <w:uiPriority w:val="0"/>
    <w:pPr>
      <w:numPr>
        <w:ilvl w:val="0"/>
        <w:numId w:val="6"/>
      </w:numPr>
      <w:tabs>
        <w:tab w:val="left" w:pos="1680"/>
        <w:tab w:val="right" w:pos="9060"/>
      </w:tabs>
      <w:spacing w:before="0" w:after="0"/>
      <w:jc w:val="both"/>
    </w:pPr>
    <w:rPr>
      <w:rFonts w:cs="宋体"/>
      <w:bCs w:val="0"/>
      <w:caps w:val="0"/>
    </w:rPr>
  </w:style>
  <w:style w:type="paragraph" w:customStyle="1" w:styleId="807">
    <w:name w:val="xl132"/>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pPr>
    <w:rPr>
      <w:rFonts w:ascii="宋体" w:hAnsi="宋体" w:cs="宋体"/>
      <w:kern w:val="0"/>
      <w:sz w:val="18"/>
      <w:szCs w:val="18"/>
    </w:rPr>
  </w:style>
  <w:style w:type="paragraph" w:customStyle="1" w:styleId="808">
    <w:name w:val="Tableau_évol"/>
    <w:basedOn w:val="799"/>
    <w:autoRedefine/>
    <w:qFormat/>
    <w:uiPriority w:val="0"/>
    <w:pPr>
      <w:tabs>
        <w:tab w:val="left" w:pos="1702"/>
        <w:tab w:val="left" w:pos="3828"/>
      </w:tabs>
      <w:spacing w:before="60"/>
      <w:jc w:val="left"/>
    </w:pPr>
    <w:rPr>
      <w:rFonts w:ascii="Arial" w:hAnsi="Arial"/>
      <w:sz w:val="20"/>
    </w:rPr>
  </w:style>
  <w:style w:type="paragraph" w:customStyle="1" w:styleId="809">
    <w:name w:val="Tableau_norm3"/>
    <w:basedOn w:val="799"/>
    <w:autoRedefine/>
    <w:qFormat/>
    <w:uiPriority w:val="0"/>
    <w:pPr>
      <w:spacing w:before="0" w:after="48"/>
    </w:pPr>
  </w:style>
  <w:style w:type="paragraph" w:customStyle="1" w:styleId="810">
    <w:name w:val="Institution"/>
    <w:basedOn w:val="1"/>
    <w:next w:val="811"/>
    <w:autoRedefine/>
    <w:qFormat/>
    <w:uiPriority w:val="0"/>
    <w:pPr>
      <w:widowControl/>
      <w:tabs>
        <w:tab w:val="left" w:pos="2160"/>
        <w:tab w:val="right" w:pos="7542"/>
      </w:tabs>
      <w:spacing w:before="240" w:after="60" w:line="220" w:lineRule="atLeast"/>
      <w:jc w:val="left"/>
    </w:pPr>
    <w:rPr>
      <w:rFonts w:ascii="Arial" w:hAnsi="Arial" w:eastAsia="PMingLiU"/>
      <w:kern w:val="0"/>
      <w:sz w:val="20"/>
      <w:lang w:eastAsia="en-US" w:bidi="en-US"/>
    </w:rPr>
  </w:style>
  <w:style w:type="paragraph" w:customStyle="1" w:styleId="811">
    <w:name w:val="Achievement"/>
    <w:basedOn w:val="2"/>
    <w:autoRedefine/>
    <w:qFormat/>
    <w:uiPriority w:val="0"/>
    <w:pPr>
      <w:widowControl/>
      <w:spacing w:after="60" w:line="220" w:lineRule="atLeast"/>
      <w:ind w:left="245" w:hanging="245"/>
      <w:jc w:val="left"/>
    </w:pPr>
    <w:rPr>
      <w:rFonts w:ascii="Arial" w:hAnsi="Arial" w:eastAsia="PMingLiU"/>
      <w:spacing w:val="-5"/>
      <w:kern w:val="0"/>
      <w:sz w:val="20"/>
      <w:lang w:eastAsia="en-US" w:bidi="en-US"/>
    </w:rPr>
  </w:style>
  <w:style w:type="paragraph" w:customStyle="1" w:styleId="812">
    <w:name w:val="xl420"/>
    <w:basedOn w:val="1"/>
    <w:autoRedefine/>
    <w:qFormat/>
    <w:uiPriority w:val="0"/>
    <w:pPr>
      <w:widowControl/>
      <w:pBdr>
        <w:left w:val="single" w:color="000000" w:sz="4" w:space="0"/>
        <w:bottom w:val="single" w:color="000000" w:sz="4" w:space="0"/>
        <w:right w:val="single" w:color="000000" w:sz="4"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813">
    <w:name w:val="条文 3"/>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814">
    <w:name w:val="xl41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815">
    <w:name w:val="xl421"/>
    <w:basedOn w:val="1"/>
    <w:autoRedefine/>
    <w:qFormat/>
    <w:uiPriority w:val="0"/>
    <w:pPr>
      <w:widowControl/>
      <w:pBdr>
        <w:left w:val="single" w:color="000000" w:sz="4" w:space="0"/>
        <w:bottom w:val="single" w:color="000000" w:sz="4" w:space="0"/>
        <w:right w:val="single" w:color="000000" w:sz="8"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816">
    <w:name w:val="xl415"/>
    <w:basedOn w:val="1"/>
    <w:autoRedefine/>
    <w:qFormat/>
    <w:uiPriority w:val="0"/>
    <w:pPr>
      <w:widowControl/>
      <w:pBdr>
        <w:top w:val="single" w:color="000000" w:sz="4" w:space="0"/>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817">
    <w:name w:val="xl126"/>
    <w:basedOn w:val="1"/>
    <w:autoRedefine/>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pPr>
    <w:rPr>
      <w:rFonts w:ascii="宋体" w:hAnsi="宋体" w:cs="宋体"/>
      <w:kern w:val="0"/>
      <w:sz w:val="18"/>
      <w:szCs w:val="18"/>
    </w:rPr>
  </w:style>
  <w:style w:type="paragraph" w:customStyle="1" w:styleId="818">
    <w:name w:val="Name"/>
    <w:basedOn w:val="1"/>
    <w:next w:val="1"/>
    <w:autoRedefine/>
    <w:qFormat/>
    <w:uiPriority w:val="0"/>
    <w:pPr>
      <w:widowControl/>
      <w:pBdr>
        <w:bottom w:val="single" w:color="auto" w:sz="6" w:space="4"/>
      </w:pBdr>
      <w:spacing w:after="440" w:line="240" w:lineRule="atLeast"/>
      <w:jc w:val="left"/>
    </w:pPr>
    <w:rPr>
      <w:rFonts w:ascii="Arial Black" w:hAnsi="Arial Black" w:eastAsia="PMingLiU"/>
      <w:spacing w:val="-35"/>
      <w:kern w:val="0"/>
      <w:sz w:val="54"/>
      <w:lang w:eastAsia="en-US" w:bidi="en-US"/>
    </w:rPr>
  </w:style>
  <w:style w:type="paragraph" w:customStyle="1" w:styleId="819">
    <w:name w:val="xl135"/>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 w:val="18"/>
      <w:szCs w:val="18"/>
    </w:rPr>
  </w:style>
  <w:style w:type="paragraph" w:customStyle="1" w:styleId="820">
    <w:name w:val="招标文件》"/>
    <w:basedOn w:val="1"/>
    <w:autoRedefine/>
    <w:qFormat/>
    <w:uiPriority w:val="0"/>
    <w:pPr>
      <w:widowControl/>
      <w:tabs>
        <w:tab w:val="left" w:pos="560"/>
      </w:tabs>
      <w:spacing w:before="120" w:after="120" w:line="300" w:lineRule="auto"/>
      <w:ind w:left="200"/>
      <w:jc w:val="left"/>
    </w:pPr>
    <w:rPr>
      <w:rFonts w:ascii="宋体"/>
      <w:spacing w:val="10"/>
      <w:w w:val="95"/>
      <w:kern w:val="0"/>
      <w:sz w:val="24"/>
      <w:lang w:eastAsia="en-US" w:bidi="en-US"/>
    </w:rPr>
  </w:style>
  <w:style w:type="paragraph" w:customStyle="1" w:styleId="821">
    <w:name w:val="a"/>
    <w:basedOn w:val="1"/>
    <w:autoRedefine/>
    <w:qFormat/>
    <w:uiPriority w:val="0"/>
    <w:pPr>
      <w:widowControl/>
      <w:spacing w:line="360" w:lineRule="auto"/>
      <w:jc w:val="center"/>
    </w:pPr>
    <w:rPr>
      <w:rFonts w:ascii="黑体" w:hAnsi="宋体" w:eastAsia="黑体" w:cs="宋体"/>
      <w:kern w:val="0"/>
      <w:sz w:val="24"/>
      <w:szCs w:val="24"/>
    </w:rPr>
  </w:style>
  <w:style w:type="paragraph" w:customStyle="1" w:styleId="822">
    <w:name w:val="xl137"/>
    <w:basedOn w:val="1"/>
    <w:autoRedefine/>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18"/>
      <w:szCs w:val="18"/>
    </w:rPr>
  </w:style>
  <w:style w:type="paragraph" w:customStyle="1" w:styleId="823">
    <w:name w:val="a2"/>
    <w:basedOn w:val="1"/>
    <w:autoRedefine/>
    <w:qFormat/>
    <w:uiPriority w:val="0"/>
    <w:pPr>
      <w:widowControl/>
      <w:spacing w:before="260" w:after="260"/>
      <w:ind w:left="1469" w:right="1542"/>
      <w:jc w:val="center"/>
    </w:pPr>
    <w:rPr>
      <w:b/>
      <w:bCs/>
      <w:kern w:val="0"/>
      <w:sz w:val="44"/>
      <w:szCs w:val="44"/>
    </w:rPr>
  </w:style>
  <w:style w:type="paragraph" w:customStyle="1" w:styleId="824">
    <w:name w:val="条文 表"/>
    <w:next w:val="1"/>
    <w:autoRedefine/>
    <w:qFormat/>
    <w:uiPriority w:val="0"/>
    <w:pPr>
      <w:jc w:val="center"/>
    </w:pPr>
    <w:rPr>
      <w:rFonts w:ascii="Times New Roman" w:hAnsi="Times New Roman" w:eastAsia="黑体" w:cs="Times New Roman"/>
      <w:sz w:val="21"/>
      <w:lang w:val="en-US" w:eastAsia="zh-CN" w:bidi="ar-SA"/>
    </w:rPr>
  </w:style>
  <w:style w:type="paragraph" w:customStyle="1" w:styleId="825">
    <w:name w:val="样式 正文缩进 + 宋体 小四 首行缩进:  2 字符"/>
    <w:basedOn w:val="6"/>
    <w:autoRedefine/>
    <w:qFormat/>
    <w:uiPriority w:val="0"/>
    <w:pPr>
      <w:spacing w:beforeLines="50" w:afterLines="50" w:line="360" w:lineRule="auto"/>
      <w:ind w:firstLine="200" w:firstLineChars="200"/>
    </w:pPr>
    <w:rPr>
      <w:rFonts w:ascii="宋体" w:hAnsi="宋体" w:cs="宋体"/>
      <w:sz w:val="24"/>
      <w:lang w:eastAsia="en-US" w:bidi="en-US"/>
    </w:rPr>
  </w:style>
  <w:style w:type="paragraph" w:customStyle="1" w:styleId="826">
    <w:name w:val="正文内容"/>
    <w:basedOn w:val="1"/>
    <w:autoRedefine/>
    <w:qFormat/>
    <w:uiPriority w:val="0"/>
    <w:pPr>
      <w:jc w:val="center"/>
    </w:pPr>
    <w:rPr>
      <w:rFonts w:ascii="宋体" w:hAnsi="宋体"/>
      <w:color w:val="000000"/>
      <w:sz w:val="18"/>
      <w:szCs w:val="28"/>
    </w:rPr>
  </w:style>
  <w:style w:type="paragraph" w:customStyle="1" w:styleId="827">
    <w:name w:val="样式 楷体_GB2312 小四 首行缩进:  0.8 厘米 行距: 固定值 28 磅"/>
    <w:basedOn w:val="1"/>
    <w:autoRedefine/>
    <w:qFormat/>
    <w:uiPriority w:val="0"/>
    <w:pPr>
      <w:spacing w:line="360" w:lineRule="auto"/>
      <w:jc w:val="center"/>
    </w:pPr>
    <w:rPr>
      <w:rFonts w:eastAsia="仿宋_GB2312"/>
      <w:szCs w:val="21"/>
    </w:rPr>
  </w:style>
  <w:style w:type="paragraph" w:customStyle="1" w:styleId="828">
    <w:name w:val="样式 列表框 + 行距: 固定值 20 磅1"/>
    <w:basedOn w:val="829"/>
    <w:autoRedefine/>
    <w:qFormat/>
    <w:uiPriority w:val="0"/>
    <w:pPr>
      <w:tabs>
        <w:tab w:val="left" w:pos="874"/>
        <w:tab w:val="left" w:pos="966"/>
        <w:tab w:val="left" w:pos="1028"/>
      </w:tabs>
      <w:spacing w:afterLines="0" w:line="400" w:lineRule="exact"/>
      <w:ind w:left="0" w:leftChars="0"/>
    </w:pPr>
    <w:rPr>
      <w:rFonts w:eastAsia="宋体"/>
      <w:color w:val="000000"/>
      <w:szCs w:val="20"/>
    </w:rPr>
  </w:style>
  <w:style w:type="paragraph" w:customStyle="1" w:styleId="829">
    <w:name w:val="列表框"/>
    <w:basedOn w:val="747"/>
    <w:next w:val="747"/>
    <w:autoRedefine/>
    <w:qFormat/>
    <w:uiPriority w:val="0"/>
    <w:pPr>
      <w:tabs>
        <w:tab w:val="left" w:pos="874"/>
        <w:tab w:val="left" w:pos="966"/>
      </w:tabs>
      <w:adjustRightInd w:val="0"/>
      <w:snapToGrid w:val="0"/>
      <w:spacing w:line="360" w:lineRule="exact"/>
      <w:ind w:left="800" w:leftChars="800" w:firstLine="0" w:firstLineChars="0"/>
    </w:pPr>
    <w:rPr>
      <w:rFonts w:ascii="Times New Roman" w:hAnsi="Times New Roman"/>
      <w:szCs w:val="21"/>
    </w:rPr>
  </w:style>
  <w:style w:type="paragraph" w:customStyle="1" w:styleId="830">
    <w:name w:val="X:Annexe"/>
    <w:basedOn w:val="1"/>
    <w:autoRedefine/>
    <w:qFormat/>
    <w:uiPriority w:val="0"/>
    <w:pPr>
      <w:widowControl/>
      <w:spacing w:after="400"/>
      <w:jc w:val="center"/>
    </w:pPr>
    <w:rPr>
      <w:rFonts w:ascii="Arial" w:hAnsi="Arial"/>
      <w:b/>
      <w:kern w:val="0"/>
      <w:sz w:val="36"/>
      <w:lang w:eastAsia="fr-FR" w:bidi="en-US"/>
    </w:rPr>
  </w:style>
  <w:style w:type="paragraph" w:customStyle="1" w:styleId="831">
    <w:name w:val="样式 目录 1 + 左侧:  2 字符"/>
    <w:basedOn w:val="42"/>
    <w:autoRedefine/>
    <w:qFormat/>
    <w:uiPriority w:val="0"/>
    <w:pPr>
      <w:tabs>
        <w:tab w:val="left" w:pos="1680"/>
        <w:tab w:val="right" w:pos="9060"/>
      </w:tabs>
      <w:spacing w:before="0" w:after="0"/>
      <w:ind w:left="720"/>
      <w:jc w:val="both"/>
    </w:pPr>
    <w:rPr>
      <w:rFonts w:eastAsia="黑体" w:cs="宋体"/>
      <w:b w:val="0"/>
      <w:bCs w:val="0"/>
      <w:caps w:val="0"/>
    </w:rPr>
  </w:style>
  <w:style w:type="paragraph" w:customStyle="1" w:styleId="832">
    <w:name w:val="文本"/>
    <w:basedOn w:val="2"/>
    <w:autoRedefine/>
    <w:qFormat/>
    <w:uiPriority w:val="0"/>
    <w:pPr>
      <w:snapToGrid w:val="0"/>
      <w:spacing w:after="0" w:line="360" w:lineRule="auto"/>
      <w:ind w:left="840" w:leftChars="400"/>
      <w:jc w:val="center"/>
    </w:pPr>
    <w:rPr>
      <w:kern w:val="0"/>
      <w:sz w:val="28"/>
    </w:rPr>
  </w:style>
  <w:style w:type="paragraph" w:customStyle="1" w:styleId="833">
    <w:name w:val="X:pied_page3"/>
    <w:basedOn w:val="834"/>
    <w:autoRedefine/>
    <w:qFormat/>
    <w:uiPriority w:val="0"/>
    <w:rPr>
      <w:rFonts w:ascii="Arial Narrow" w:hAnsi="Arial Narrow"/>
      <w:b/>
      <w:sz w:val="24"/>
    </w:rPr>
  </w:style>
  <w:style w:type="paragraph" w:customStyle="1" w:styleId="834">
    <w:name w:val="X:pied_page2"/>
    <w:basedOn w:val="809"/>
    <w:autoRedefine/>
    <w:qFormat/>
    <w:uiPriority w:val="0"/>
  </w:style>
  <w:style w:type="paragraph" w:customStyle="1" w:styleId="835">
    <w:name w:val="样式 宋体 行距: 1.5 倍行距"/>
    <w:basedOn w:val="1"/>
    <w:autoRedefine/>
    <w:qFormat/>
    <w:uiPriority w:val="0"/>
    <w:pPr>
      <w:adjustRightInd w:val="0"/>
      <w:spacing w:line="360" w:lineRule="auto"/>
      <w:ind w:firstLine="420" w:firstLineChars="200"/>
      <w:textAlignment w:val="baseline"/>
    </w:pPr>
    <w:rPr>
      <w:rFonts w:ascii="Arial" w:hAnsi="Arial" w:cs="宋体"/>
      <w:kern w:val="0"/>
      <w:szCs w:val="21"/>
    </w:rPr>
  </w:style>
  <w:style w:type="paragraph" w:customStyle="1" w:styleId="836">
    <w:name w:val="blockquote"/>
    <w:basedOn w:val="1"/>
    <w:autoRedefine/>
    <w:qFormat/>
    <w:uiPriority w:val="0"/>
    <w:pPr>
      <w:widowControl/>
      <w:spacing w:before="100" w:after="100"/>
      <w:ind w:left="360" w:right="360"/>
      <w:jc w:val="left"/>
    </w:pPr>
    <w:rPr>
      <w:kern w:val="0"/>
      <w:sz w:val="24"/>
      <w:szCs w:val="24"/>
    </w:rPr>
  </w:style>
  <w:style w:type="paragraph" w:customStyle="1" w:styleId="837">
    <w:name w:val="Balloon Text1"/>
    <w:basedOn w:val="1"/>
    <w:autoRedefine/>
    <w:qFormat/>
    <w:uiPriority w:val="0"/>
    <w:pPr>
      <w:widowControl/>
      <w:spacing w:before="120" w:after="120"/>
      <w:ind w:left="562"/>
      <w:jc w:val="left"/>
    </w:pPr>
    <w:rPr>
      <w:rFonts w:ascii="Tahoma" w:hAnsi="Tahoma" w:cs="Tahoma"/>
      <w:kern w:val="0"/>
      <w:sz w:val="16"/>
      <w:szCs w:val="16"/>
      <w:lang w:val="en-GB" w:eastAsia="en-US" w:bidi="en-US"/>
    </w:rPr>
  </w:style>
  <w:style w:type="paragraph" w:customStyle="1" w:styleId="838">
    <w:name w:val="样式 样式 标题 3第二层条第三层论文标题 21.1.1 标题 3Para3Title2h333 bullet + ... + ...1"/>
    <w:basedOn w:val="839"/>
    <w:autoRedefine/>
    <w:qFormat/>
    <w:uiPriority w:val="0"/>
    <w:pPr>
      <w:tabs>
        <w:tab w:val="left" w:pos="840"/>
        <w:tab w:val="left" w:pos="907"/>
      </w:tabs>
      <w:spacing w:before="120" w:after="120"/>
      <w:ind w:left="1531" w:hanging="1531"/>
    </w:pPr>
    <w:rPr>
      <w:sz w:val="24"/>
      <w:szCs w:val="24"/>
    </w:rPr>
  </w:style>
  <w:style w:type="paragraph" w:customStyle="1" w:styleId="839">
    <w:name w:val="样式 标题 3第二层条第三层论文标题 21.1.1 标题 3Para3Title2h333 bullet + ..."/>
    <w:basedOn w:val="5"/>
    <w:autoRedefine/>
    <w:qFormat/>
    <w:uiPriority w:val="0"/>
    <w:pPr>
      <w:widowControl w:val="0"/>
      <w:tabs>
        <w:tab w:val="left" w:pos="840"/>
      </w:tabs>
      <w:adjustRightInd w:val="0"/>
      <w:spacing w:before="50" w:after="50"/>
      <w:jc w:val="both"/>
      <w:textAlignment w:val="baseline"/>
    </w:pPr>
    <w:rPr>
      <w:rFonts w:ascii="Arial" w:hAnsi="Arial" w:cs="宋体"/>
      <w:bCs/>
      <w:color w:val="000000"/>
      <w:szCs w:val="32"/>
    </w:rPr>
  </w:style>
  <w:style w:type="paragraph" w:customStyle="1" w:styleId="840">
    <w:name w:val="正文项目"/>
    <w:basedOn w:val="1"/>
    <w:autoRedefine/>
    <w:qFormat/>
    <w:uiPriority w:val="0"/>
    <w:pPr>
      <w:numPr>
        <w:ilvl w:val="0"/>
        <w:numId w:val="7"/>
      </w:numPr>
      <w:spacing w:line="360" w:lineRule="auto"/>
    </w:pPr>
    <w:rPr>
      <w:rFonts w:ascii="宋体"/>
      <w:szCs w:val="24"/>
    </w:rPr>
  </w:style>
  <w:style w:type="paragraph" w:customStyle="1" w:styleId="841">
    <w:name w:val="a7"/>
    <w:basedOn w:val="1"/>
    <w:autoRedefine/>
    <w:qFormat/>
    <w:uiPriority w:val="0"/>
    <w:pPr>
      <w:widowControl/>
    </w:pPr>
    <w:rPr>
      <w:kern w:val="0"/>
      <w:szCs w:val="21"/>
    </w:rPr>
  </w:style>
  <w:style w:type="paragraph" w:customStyle="1" w:styleId="842">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b/>
      <w:bCs/>
      <w:kern w:val="0"/>
      <w:sz w:val="20"/>
    </w:rPr>
  </w:style>
  <w:style w:type="paragraph" w:customStyle="1" w:styleId="843">
    <w:name w:val="样式 标题 1 + 段前: 7.8 磅"/>
    <w:basedOn w:val="3"/>
    <w:autoRedefine/>
    <w:qFormat/>
    <w:uiPriority w:val="0"/>
    <w:pPr>
      <w:keepNext w:val="0"/>
      <w:widowControl w:val="0"/>
      <w:shd w:val="clear" w:color="auto" w:fill="FFFFFF"/>
      <w:tabs>
        <w:tab w:val="clear" w:pos="885"/>
      </w:tabs>
      <w:adjustRightInd w:val="0"/>
      <w:snapToGrid w:val="0"/>
      <w:spacing w:before="480" w:beforeLines="100" w:after="480"/>
      <w:ind w:left="0" w:firstLine="207" w:firstLineChars="98"/>
      <w:jc w:val="left"/>
    </w:pPr>
    <w:rPr>
      <w:rFonts w:ascii="宋体" w:hAnsi="宋体"/>
      <w:bCs/>
      <w:kern w:val="0"/>
      <w:sz w:val="28"/>
      <w:szCs w:val="20"/>
    </w:rPr>
  </w:style>
  <w:style w:type="paragraph" w:customStyle="1" w:styleId="844">
    <w:name w:val="xl21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kern w:val="0"/>
      <w:sz w:val="20"/>
    </w:rPr>
  </w:style>
  <w:style w:type="paragraph" w:customStyle="1" w:styleId="845">
    <w:name w:val="xl102"/>
    <w:basedOn w:val="1"/>
    <w:autoRedefine/>
    <w:qFormat/>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jc w:val="left"/>
    </w:pPr>
    <w:rPr>
      <w:color w:val="000000"/>
      <w:kern w:val="0"/>
      <w:sz w:val="18"/>
      <w:szCs w:val="18"/>
    </w:rPr>
  </w:style>
  <w:style w:type="paragraph" w:customStyle="1" w:styleId="846">
    <w:name w:val="样式 小四 行距: 1.5 倍行距"/>
    <w:basedOn w:val="1"/>
    <w:autoRedefine/>
    <w:qFormat/>
    <w:uiPriority w:val="0"/>
    <w:pPr>
      <w:widowControl/>
      <w:spacing w:line="360" w:lineRule="auto"/>
      <w:jc w:val="left"/>
    </w:pPr>
    <w:rPr>
      <w:rFonts w:cs="宋体"/>
      <w:kern w:val="0"/>
      <w:sz w:val="24"/>
      <w:lang w:eastAsia="en-US" w:bidi="en-US"/>
    </w:rPr>
  </w:style>
  <w:style w:type="paragraph" w:customStyle="1" w:styleId="847">
    <w:name w:val="合同书"/>
    <w:basedOn w:val="1"/>
    <w:autoRedefine/>
    <w:qFormat/>
    <w:uiPriority w:val="0"/>
    <w:pPr>
      <w:adjustRightInd w:val="0"/>
      <w:spacing w:afterLines="100" w:line="360" w:lineRule="atLeast"/>
      <w:textAlignment w:val="baseline"/>
      <w:outlineLvl w:val="0"/>
    </w:pPr>
    <w:rPr>
      <w:rFonts w:ascii="楷体_GB2312" w:eastAsia="楷体_GB2312"/>
      <w:b/>
      <w:color w:val="000000"/>
      <w:sz w:val="32"/>
      <w:szCs w:val="32"/>
    </w:rPr>
  </w:style>
  <w:style w:type="paragraph" w:customStyle="1" w:styleId="848">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rPr>
  </w:style>
  <w:style w:type="paragraph" w:customStyle="1" w:styleId="849">
    <w:name w:val="_Style 29"/>
    <w:basedOn w:val="1"/>
    <w:next w:val="1"/>
    <w:autoRedefine/>
    <w:qFormat/>
    <w:uiPriority w:val="60"/>
    <w:rPr>
      <w:rFonts w:ascii="Calibri" w:hAnsi="Calibri"/>
      <w:color w:val="76923C"/>
      <w:szCs w:val="22"/>
    </w:rPr>
  </w:style>
  <w:style w:type="paragraph" w:customStyle="1" w:styleId="850">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kern w:val="0"/>
      <w:sz w:val="20"/>
    </w:rPr>
  </w:style>
  <w:style w:type="paragraph" w:customStyle="1" w:styleId="851">
    <w:name w:val="条文1 Char"/>
    <w:basedOn w:val="1"/>
    <w:autoRedefine/>
    <w:qFormat/>
    <w:uiPriority w:val="99"/>
    <w:pPr>
      <w:widowControl/>
      <w:spacing w:line="360" w:lineRule="auto"/>
      <w:jc w:val="left"/>
    </w:pPr>
    <w:rPr>
      <w:rFonts w:ascii="MS UI Gothic" w:hAnsi="MS UI Gothic"/>
      <w:bCs/>
      <w:kern w:val="44"/>
      <w:sz w:val="24"/>
      <w:szCs w:val="44"/>
    </w:rPr>
  </w:style>
  <w:style w:type="paragraph" w:customStyle="1" w:styleId="852">
    <w:name w:val="M:VAR:doc_nom_2"/>
    <w:basedOn w:val="1"/>
    <w:next w:val="1"/>
    <w:autoRedefine/>
    <w:qFormat/>
    <w:uiPriority w:val="0"/>
    <w:pPr>
      <w:widowControl/>
      <w:spacing w:before="1680" w:after="120"/>
      <w:jc w:val="center"/>
    </w:pPr>
    <w:rPr>
      <w:rFonts w:ascii="Arial" w:hAnsi="Arial"/>
      <w:b/>
      <w:caps/>
      <w:kern w:val="0"/>
      <w:sz w:val="28"/>
      <w:lang w:eastAsia="fr-FR" w:bidi="en-US"/>
    </w:rPr>
  </w:style>
  <w:style w:type="paragraph" w:customStyle="1" w:styleId="853">
    <w:name w:val="表头"/>
    <w:basedOn w:val="1"/>
    <w:autoRedefine/>
    <w:qFormat/>
    <w:uiPriority w:val="0"/>
    <w:pPr>
      <w:spacing w:line="360" w:lineRule="auto"/>
      <w:jc w:val="center"/>
    </w:pPr>
    <w:rPr>
      <w:rFonts w:ascii="黑体" w:eastAsia="黑体"/>
      <w:kern w:val="0"/>
      <w:sz w:val="24"/>
    </w:rPr>
  </w:style>
  <w:style w:type="paragraph" w:customStyle="1" w:styleId="854">
    <w:name w:val="Char Char Char Char2"/>
    <w:basedOn w:val="1"/>
    <w:autoRedefine/>
    <w:qFormat/>
    <w:uiPriority w:val="99"/>
    <w:pPr>
      <w:tabs>
        <w:tab w:val="left" w:pos="480"/>
      </w:tabs>
      <w:ind w:left="480" w:hanging="480"/>
    </w:pPr>
    <w:rPr>
      <w:rFonts w:ascii="宋体"/>
      <w:sz w:val="24"/>
      <w:szCs w:val="24"/>
    </w:rPr>
  </w:style>
  <w:style w:type="paragraph" w:customStyle="1" w:styleId="855">
    <w:name w:val="正文缩近"/>
    <w:basedOn w:val="1"/>
    <w:autoRedefine/>
    <w:qFormat/>
    <w:uiPriority w:val="99"/>
    <w:pPr>
      <w:spacing w:line="360" w:lineRule="auto"/>
      <w:ind w:firstLine="200" w:firstLineChars="200"/>
    </w:pPr>
    <w:rPr>
      <w:rFonts w:ascii="宋体"/>
      <w:sz w:val="24"/>
      <w:szCs w:val="24"/>
    </w:rPr>
  </w:style>
  <w:style w:type="paragraph" w:customStyle="1" w:styleId="856">
    <w:name w:val="msolistparagraph"/>
    <w:basedOn w:val="1"/>
    <w:autoRedefine/>
    <w:qFormat/>
    <w:uiPriority w:val="0"/>
    <w:pPr>
      <w:widowControl/>
      <w:spacing w:before="100" w:beforeAutospacing="1" w:after="100" w:afterAutospacing="1"/>
      <w:jc w:val="left"/>
    </w:pPr>
    <w:rPr>
      <w:rFonts w:hint="eastAsia" w:ascii="Arial Unicode MS" w:hAnsi="Arial Unicode MS" w:eastAsia="Arial Unicode MS" w:cs="Arial Unicode MS"/>
      <w:kern w:val="0"/>
      <w:sz w:val="24"/>
      <w:szCs w:val="24"/>
    </w:rPr>
  </w:style>
  <w:style w:type="paragraph" w:customStyle="1" w:styleId="857">
    <w:name w:val="公文标题"/>
    <w:basedOn w:val="5"/>
    <w:autoRedefine/>
    <w:qFormat/>
    <w:uiPriority w:val="0"/>
    <w:pPr>
      <w:widowControl w:val="0"/>
      <w:tabs>
        <w:tab w:val="left" w:pos="360"/>
        <w:tab w:val="center" w:pos="4819"/>
        <w:tab w:val="left" w:pos="7635"/>
      </w:tabs>
      <w:spacing w:before="480"/>
      <w:ind w:left="720" w:hanging="432"/>
    </w:pPr>
    <w:rPr>
      <w:rFonts w:ascii="宋体" w:hAnsi="宋体"/>
      <w:sz w:val="28"/>
      <w:szCs w:val="28"/>
    </w:rPr>
  </w:style>
  <w:style w:type="paragraph" w:customStyle="1" w:styleId="858">
    <w:name w:val="xl414"/>
    <w:basedOn w:val="1"/>
    <w:autoRedefine/>
    <w:qFormat/>
    <w:uiPriority w:val="0"/>
    <w:pPr>
      <w:widowControl/>
      <w:pBdr>
        <w:top w:val="single" w:color="000000" w:sz="4" w:space="0"/>
        <w:left w:val="single" w:color="000000" w:sz="4" w:space="0"/>
        <w:bottom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859">
    <w:name w:val="xl5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b/>
      <w:bCs/>
      <w:color w:val="000000"/>
      <w:kern w:val="0"/>
      <w:sz w:val="20"/>
    </w:rPr>
  </w:style>
  <w:style w:type="paragraph" w:customStyle="1" w:styleId="860">
    <w:name w:val="发文落款"/>
    <w:basedOn w:val="131"/>
    <w:autoRedefine/>
    <w:qFormat/>
    <w:uiPriority w:val="0"/>
    <w:pPr>
      <w:ind w:left="4094" w:right="607" w:firstLine="0"/>
      <w:jc w:val="center"/>
    </w:pPr>
    <w:rPr>
      <w:rFonts w:cstheme="minorBidi"/>
      <w:kern w:val="2"/>
      <w:szCs w:val="22"/>
    </w:rPr>
  </w:style>
  <w:style w:type="paragraph" w:customStyle="1" w:styleId="861">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cs="Arial Unicode MS"/>
      <w:b/>
      <w:bCs/>
      <w:kern w:val="0"/>
      <w:sz w:val="20"/>
    </w:rPr>
  </w:style>
  <w:style w:type="paragraph" w:customStyle="1" w:styleId="862">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kern w:val="0"/>
      <w:sz w:val="20"/>
    </w:rPr>
  </w:style>
  <w:style w:type="paragraph" w:customStyle="1" w:styleId="863">
    <w:name w:val="xl201"/>
    <w:basedOn w:val="1"/>
    <w:autoRedefine/>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left"/>
    </w:pPr>
    <w:rPr>
      <w:rFonts w:ascii="宋体" w:hAnsi="宋体" w:cs="宋体"/>
      <w:kern w:val="0"/>
      <w:sz w:val="24"/>
      <w:szCs w:val="24"/>
    </w:rPr>
  </w:style>
  <w:style w:type="paragraph" w:customStyle="1" w:styleId="864">
    <w:name w:val="xl210"/>
    <w:basedOn w:val="1"/>
    <w:autoRedefine/>
    <w:qFormat/>
    <w:uiPriority w:val="0"/>
    <w:pPr>
      <w:widowControl/>
      <w:pBdr>
        <w:left w:val="single" w:color="auto" w:sz="4" w:space="0"/>
        <w:right w:val="single" w:color="auto" w:sz="4" w:space="0"/>
      </w:pBdr>
      <w:shd w:val="clear" w:color="auto" w:fill="CCFFFF"/>
      <w:spacing w:before="100" w:beforeAutospacing="1" w:after="100" w:afterAutospacing="1"/>
      <w:jc w:val="left"/>
    </w:pPr>
    <w:rPr>
      <w:rFonts w:ascii="宋体" w:hAnsi="宋体" w:cs="宋体"/>
      <w:kern w:val="0"/>
      <w:sz w:val="20"/>
    </w:rPr>
  </w:style>
  <w:style w:type="paragraph" w:customStyle="1" w:styleId="865">
    <w:name w:val="xl181"/>
    <w:basedOn w:val="1"/>
    <w:autoRedefine/>
    <w:qFormat/>
    <w:uiPriority w:val="0"/>
    <w:pPr>
      <w:widowControl/>
      <w:pBdr>
        <w:top w:val="single" w:color="auto" w:sz="4" w:space="0"/>
        <w:left w:val="double" w:color="auto" w:sz="6" w:space="0"/>
        <w:bottom w:val="single" w:color="auto" w:sz="4" w:space="0"/>
        <w:right w:val="single" w:color="auto" w:sz="4" w:space="0"/>
      </w:pBdr>
      <w:shd w:val="clear" w:color="auto" w:fill="FFFF00"/>
      <w:spacing w:before="100" w:beforeAutospacing="1" w:after="100" w:afterAutospacing="1"/>
      <w:jc w:val="right"/>
    </w:pPr>
    <w:rPr>
      <w:rFonts w:ascii="宋体" w:hAnsi="宋体" w:cs="宋体"/>
      <w:b/>
      <w:bCs/>
      <w:kern w:val="0"/>
      <w:sz w:val="18"/>
      <w:szCs w:val="18"/>
    </w:rPr>
  </w:style>
  <w:style w:type="paragraph" w:customStyle="1" w:styleId="866">
    <w:name w:val="xl211"/>
    <w:basedOn w:val="1"/>
    <w:autoRedefine/>
    <w:qFormat/>
    <w:uiPriority w:val="0"/>
    <w:pPr>
      <w:widowControl/>
      <w:pBdr>
        <w:top w:val="single" w:color="auto" w:sz="4" w:space="0"/>
        <w:left w:val="double" w:color="auto" w:sz="6" w:space="0"/>
        <w:bottom w:val="single" w:color="auto" w:sz="4" w:space="0"/>
      </w:pBdr>
      <w:shd w:val="clear" w:color="auto" w:fill="FFFFFF"/>
      <w:spacing w:before="100" w:beforeAutospacing="1" w:after="100" w:afterAutospacing="1"/>
      <w:jc w:val="left"/>
    </w:pPr>
    <w:rPr>
      <w:rFonts w:ascii="宋体" w:hAnsi="宋体" w:cs="宋体"/>
      <w:b/>
      <w:bCs/>
      <w:kern w:val="0"/>
      <w:sz w:val="20"/>
    </w:rPr>
  </w:style>
  <w:style w:type="paragraph" w:customStyle="1" w:styleId="867">
    <w:name w:val="xl109"/>
    <w:basedOn w:val="1"/>
    <w:autoRedefine/>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18"/>
      <w:szCs w:val="18"/>
    </w:rPr>
  </w:style>
  <w:style w:type="paragraph" w:customStyle="1" w:styleId="868">
    <w:name w:val="xl18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cs="宋体"/>
      <w:color w:val="000000"/>
      <w:kern w:val="0"/>
      <w:sz w:val="18"/>
      <w:szCs w:val="18"/>
    </w:rPr>
  </w:style>
  <w:style w:type="paragraph" w:customStyle="1" w:styleId="869">
    <w:name w:val="xl212"/>
    <w:basedOn w:val="1"/>
    <w:autoRedefine/>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20"/>
    </w:rPr>
  </w:style>
  <w:style w:type="paragraph" w:customStyle="1" w:styleId="870">
    <w:name w:val="xl254"/>
    <w:basedOn w:val="1"/>
    <w:autoRedefine/>
    <w:qFormat/>
    <w:uiPriority w:val="0"/>
    <w:pPr>
      <w:widowControl/>
      <w:pBdr>
        <w:top w:val="single" w:color="auto" w:sz="4" w:space="0"/>
        <w:left w:val="double" w:color="auto" w:sz="6" w:space="0"/>
        <w:bottom w:val="single" w:color="auto" w:sz="4" w:space="0"/>
      </w:pBdr>
      <w:shd w:val="clear" w:color="auto" w:fill="FFFF00"/>
      <w:spacing w:before="100" w:beforeAutospacing="1" w:after="100" w:afterAutospacing="1"/>
      <w:jc w:val="center"/>
    </w:pPr>
    <w:rPr>
      <w:rFonts w:ascii="宋体" w:hAnsi="宋体" w:cs="宋体"/>
      <w:kern w:val="0"/>
      <w:sz w:val="20"/>
    </w:rPr>
  </w:style>
  <w:style w:type="paragraph" w:customStyle="1" w:styleId="871">
    <w:name w:val="xl209"/>
    <w:basedOn w:val="1"/>
    <w:autoRedefine/>
    <w:qFormat/>
    <w:uiPriority w:val="0"/>
    <w:pPr>
      <w:widowControl/>
      <w:pBdr>
        <w:top w:val="single" w:color="auto" w:sz="4" w:space="0"/>
        <w:left w:val="double" w:color="auto" w:sz="6" w:space="0"/>
        <w:bottom w:val="single" w:color="auto" w:sz="4" w:space="0"/>
      </w:pBdr>
      <w:spacing w:before="100" w:beforeAutospacing="1" w:after="100" w:afterAutospacing="1"/>
      <w:jc w:val="left"/>
    </w:pPr>
    <w:rPr>
      <w:rFonts w:ascii="宋体" w:hAnsi="宋体" w:cs="宋体"/>
      <w:b/>
      <w:bCs/>
      <w:kern w:val="0"/>
      <w:sz w:val="20"/>
    </w:rPr>
  </w:style>
  <w:style w:type="paragraph" w:customStyle="1" w:styleId="872">
    <w:name w:val="xl270"/>
    <w:basedOn w:val="1"/>
    <w:autoRedefine/>
    <w:qFormat/>
    <w:uiPriority w:val="0"/>
    <w:pPr>
      <w:widowControl/>
      <w:pBdr>
        <w:top w:val="single" w:color="auto" w:sz="4" w:space="0"/>
        <w:left w:val="double" w:color="auto" w:sz="6" w:space="0"/>
        <w:bottom w:val="single" w:color="auto" w:sz="4" w:space="0"/>
        <w:right w:val="single" w:color="auto" w:sz="4" w:space="0"/>
      </w:pBdr>
      <w:shd w:val="clear" w:color="auto" w:fill="FFFF00"/>
      <w:spacing w:before="100" w:beforeAutospacing="1" w:after="100" w:afterAutospacing="1"/>
      <w:jc w:val="right"/>
    </w:pPr>
    <w:rPr>
      <w:rFonts w:ascii="宋体" w:hAnsi="宋体" w:cs="宋体"/>
      <w:b/>
      <w:bCs/>
      <w:kern w:val="0"/>
      <w:sz w:val="18"/>
      <w:szCs w:val="18"/>
    </w:rPr>
  </w:style>
  <w:style w:type="paragraph" w:customStyle="1" w:styleId="873">
    <w:name w:val="Char3"/>
    <w:basedOn w:val="1"/>
    <w:autoRedefine/>
    <w:qFormat/>
    <w:uiPriority w:val="99"/>
    <w:pPr>
      <w:ind w:left="567" w:hanging="279"/>
    </w:pPr>
    <w:rPr>
      <w:sz w:val="24"/>
      <w:szCs w:val="24"/>
    </w:rPr>
  </w:style>
  <w:style w:type="paragraph" w:customStyle="1" w:styleId="874">
    <w:name w:val="xl5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b/>
      <w:bCs/>
      <w:kern w:val="0"/>
      <w:sz w:val="20"/>
    </w:rPr>
  </w:style>
  <w:style w:type="paragraph" w:customStyle="1" w:styleId="875">
    <w:name w:val="xl5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color w:val="000000"/>
      <w:kern w:val="0"/>
      <w:sz w:val="20"/>
    </w:rPr>
  </w:style>
  <w:style w:type="paragraph" w:customStyle="1" w:styleId="876">
    <w:name w:val="xl5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color w:val="FF0000"/>
      <w:kern w:val="0"/>
      <w:sz w:val="20"/>
    </w:rPr>
  </w:style>
  <w:style w:type="paragraph" w:customStyle="1" w:styleId="877">
    <w:name w:val="font0"/>
    <w:basedOn w:val="1"/>
    <w:autoRedefine/>
    <w:qFormat/>
    <w:uiPriority w:val="0"/>
    <w:pPr>
      <w:widowControl/>
      <w:spacing w:before="100" w:beforeAutospacing="1" w:after="100" w:afterAutospacing="1"/>
      <w:jc w:val="left"/>
    </w:pPr>
    <w:rPr>
      <w:rFonts w:hint="eastAsia" w:ascii="宋体" w:hAnsi="宋体"/>
      <w:kern w:val="0"/>
      <w:sz w:val="24"/>
      <w:szCs w:val="24"/>
    </w:rPr>
  </w:style>
  <w:style w:type="paragraph" w:customStyle="1" w:styleId="878">
    <w:name w:val="a1"/>
    <w:basedOn w:val="1"/>
    <w:autoRedefine/>
    <w:qFormat/>
    <w:uiPriority w:val="0"/>
    <w:pPr>
      <w:widowControl/>
      <w:spacing w:line="360" w:lineRule="auto"/>
      <w:ind w:firstLine="629"/>
    </w:pPr>
    <w:rPr>
      <w:rFonts w:ascii="仿宋_GB2312" w:hAnsi="宋体" w:eastAsia="仿宋_GB2312" w:cs="宋体"/>
      <w:color w:val="000000"/>
      <w:kern w:val="0"/>
      <w:sz w:val="32"/>
      <w:szCs w:val="32"/>
    </w:rPr>
  </w:style>
  <w:style w:type="paragraph" w:customStyle="1" w:styleId="879">
    <w:name w:val="20"/>
    <w:basedOn w:val="1"/>
    <w:autoRedefine/>
    <w:qFormat/>
    <w:uiPriority w:val="0"/>
    <w:pPr>
      <w:widowControl/>
      <w:spacing w:line="360" w:lineRule="auto"/>
    </w:pPr>
    <w:rPr>
      <w:rFonts w:ascii="宋体" w:hAnsi="宋体" w:cs="宋体"/>
      <w:kern w:val="0"/>
      <w:szCs w:val="21"/>
    </w:rPr>
  </w:style>
  <w:style w:type="paragraph" w:customStyle="1" w:styleId="880">
    <w:name w:val="样式 (西文) 宋体 四号 首行缩进:  2 字符1"/>
    <w:basedOn w:val="1"/>
    <w:autoRedefine/>
    <w:qFormat/>
    <w:uiPriority w:val="0"/>
    <w:pPr>
      <w:spacing w:line="360" w:lineRule="auto"/>
      <w:ind w:firstLine="480" w:firstLineChars="200"/>
    </w:pPr>
    <w:rPr>
      <w:rFonts w:ascii="宋体" w:hAnsi="宋体" w:cs="宋体"/>
      <w:sz w:val="24"/>
      <w:szCs w:val="24"/>
    </w:rPr>
  </w:style>
  <w:style w:type="paragraph" w:customStyle="1" w:styleId="881">
    <w:name w:val="xl162"/>
    <w:basedOn w:val="1"/>
    <w:autoRedefine/>
    <w:qFormat/>
    <w:uiPriority w:val="0"/>
    <w:pPr>
      <w:widowControl/>
      <w:pBdr>
        <w:top w:val="single" w:color="auto" w:sz="4" w:space="0"/>
        <w:bottom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882">
    <w:name w:val="xl23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883">
    <w:name w:val="表格文本"/>
    <w:autoRedefine/>
    <w:qFormat/>
    <w:uiPriority w:val="0"/>
    <w:pPr>
      <w:widowControl w:val="0"/>
      <w:adjustRightInd w:val="0"/>
      <w:snapToGrid w:val="0"/>
      <w:spacing w:line="300" w:lineRule="exact"/>
      <w:jc w:val="both"/>
    </w:pPr>
    <w:rPr>
      <w:rFonts w:ascii="Arial" w:hAnsi="Arial" w:eastAsia="楷体_GB2312" w:cs="Arial"/>
      <w:kern w:val="2"/>
      <w:sz w:val="21"/>
      <w:szCs w:val="21"/>
      <w:lang w:val="en-US" w:eastAsia="zh-CN" w:bidi="ar-SA"/>
    </w:rPr>
  </w:style>
  <w:style w:type="paragraph" w:customStyle="1" w:styleId="884">
    <w:name w:val="&gt;1:enum3 -:enum"/>
    <w:basedOn w:val="1"/>
    <w:autoRedefine/>
    <w:qFormat/>
    <w:uiPriority w:val="0"/>
    <w:pPr>
      <w:widowControl/>
      <w:tabs>
        <w:tab w:val="left" w:pos="1060"/>
        <w:tab w:val="left" w:pos="1418"/>
      </w:tabs>
      <w:spacing w:before="50" w:after="50" w:line="280" w:lineRule="exact"/>
      <w:ind w:left="851" w:hanging="284"/>
      <w:jc w:val="left"/>
    </w:pPr>
    <w:rPr>
      <w:rFonts w:ascii="Arial" w:hAnsi="Arial"/>
      <w:kern w:val="0"/>
      <w:sz w:val="20"/>
      <w:lang w:eastAsia="fr-FR" w:bidi="en-US"/>
    </w:rPr>
  </w:style>
  <w:style w:type="paragraph" w:customStyle="1" w:styleId="885">
    <w:name w:val="列表框2"/>
    <w:basedOn w:val="141"/>
    <w:autoRedefine/>
    <w:qFormat/>
    <w:uiPriority w:val="0"/>
    <w:pPr>
      <w:numPr>
        <w:ilvl w:val="0"/>
        <w:numId w:val="8"/>
      </w:numPr>
      <w:tabs>
        <w:tab w:val="left" w:pos="480"/>
        <w:tab w:val="left" w:pos="720"/>
        <w:tab w:val="left" w:pos="780"/>
        <w:tab w:val="clear" w:pos="2896"/>
        <w:tab w:val="clear" w:pos="795"/>
      </w:tabs>
      <w:ind w:left="880" w:leftChars="700" w:right="-11" w:hanging="180" w:hangingChars="180"/>
    </w:pPr>
    <w:rPr>
      <w:rFonts w:cstheme="minorBidi"/>
      <w:szCs w:val="22"/>
    </w:rPr>
  </w:style>
  <w:style w:type="paragraph" w:customStyle="1" w:styleId="886">
    <w:name w:val="简单回函地址"/>
    <w:basedOn w:val="1"/>
    <w:autoRedefine/>
    <w:qFormat/>
    <w:uiPriority w:val="0"/>
    <w:rPr>
      <w:szCs w:val="24"/>
    </w:rPr>
  </w:style>
  <w:style w:type="paragraph" w:customStyle="1" w:styleId="887">
    <w:name w:val="样式 居中"/>
    <w:basedOn w:val="1"/>
    <w:autoRedefine/>
    <w:qFormat/>
    <w:uiPriority w:val="0"/>
    <w:pPr>
      <w:spacing w:line="360" w:lineRule="auto"/>
      <w:jc w:val="center"/>
    </w:pPr>
  </w:style>
  <w:style w:type="paragraph" w:customStyle="1" w:styleId="888">
    <w:name w:val="图形布置"/>
    <w:basedOn w:val="1"/>
    <w:autoRedefine/>
    <w:qFormat/>
    <w:uiPriority w:val="0"/>
    <w:pPr>
      <w:jc w:val="center"/>
    </w:pPr>
    <w:rPr>
      <w:rFonts w:cs="宋体"/>
      <w:kern w:val="0"/>
    </w:rPr>
  </w:style>
  <w:style w:type="paragraph" w:customStyle="1" w:styleId="889">
    <w:name w:val="a0"/>
    <w:basedOn w:val="1"/>
    <w:autoRedefine/>
    <w:qFormat/>
    <w:uiPriority w:val="0"/>
    <w:pPr>
      <w:widowControl/>
    </w:pPr>
    <w:rPr>
      <w:rFonts w:ascii="仿宋_GB2312" w:hAnsi="宋体" w:eastAsia="仿宋_GB2312" w:cs="宋体"/>
      <w:kern w:val="0"/>
      <w:sz w:val="30"/>
      <w:szCs w:val="30"/>
    </w:rPr>
  </w:style>
  <w:style w:type="paragraph" w:customStyle="1" w:styleId="890">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rPr>
  </w:style>
  <w:style w:type="paragraph" w:customStyle="1" w:styleId="891">
    <w:name w:val="xl245"/>
    <w:basedOn w:val="1"/>
    <w:autoRedefine/>
    <w:qFormat/>
    <w:uiPriority w:val="0"/>
    <w:pPr>
      <w:widowControl/>
      <w:pBdr>
        <w:left w:val="single" w:color="auto" w:sz="4" w:space="0"/>
        <w:right w:val="double" w:color="auto" w:sz="6" w:space="0"/>
      </w:pBdr>
      <w:spacing w:before="100" w:beforeAutospacing="1" w:after="100" w:afterAutospacing="1"/>
      <w:textAlignment w:val="top"/>
    </w:pPr>
    <w:rPr>
      <w:kern w:val="0"/>
      <w:sz w:val="18"/>
      <w:szCs w:val="18"/>
    </w:rPr>
  </w:style>
  <w:style w:type="paragraph" w:customStyle="1" w:styleId="892">
    <w:name w:val="Body text 1"/>
    <w:basedOn w:val="233"/>
    <w:autoRedefine/>
    <w:qFormat/>
    <w:uiPriority w:val="0"/>
    <w:pPr>
      <w:tabs>
        <w:tab w:val="left" w:pos="1134"/>
      </w:tabs>
      <w:autoSpaceDE w:val="0"/>
      <w:autoSpaceDN w:val="0"/>
      <w:adjustRightInd w:val="0"/>
      <w:spacing w:before="170" w:line="300" w:lineRule="atLeast"/>
      <w:ind w:left="1134" w:hanging="1134"/>
    </w:pPr>
    <w:rPr>
      <w:rFonts w:ascii="Times New Roman"/>
      <w:sz w:val="24"/>
    </w:rPr>
  </w:style>
  <w:style w:type="paragraph" w:customStyle="1" w:styleId="893">
    <w:name w:val="p17"/>
    <w:basedOn w:val="1"/>
    <w:autoRedefine/>
    <w:qFormat/>
    <w:uiPriority w:val="0"/>
    <w:pPr>
      <w:widowControl/>
      <w:spacing w:after="120"/>
    </w:pPr>
    <w:rPr>
      <w:rFonts w:eastAsia="Arial Unicode MS"/>
      <w:kern w:val="0"/>
      <w:szCs w:val="21"/>
    </w:rPr>
  </w:style>
  <w:style w:type="paragraph" w:customStyle="1" w:styleId="894">
    <w:name w:val="xl185"/>
    <w:basedOn w:val="1"/>
    <w:autoRedefine/>
    <w:qFormat/>
    <w:uiPriority w:val="0"/>
    <w:pPr>
      <w:widowControl/>
      <w:pBdr>
        <w:top w:val="single" w:color="auto" w:sz="4" w:space="0"/>
        <w:left w:val="single" w:color="auto" w:sz="4" w:space="0"/>
        <w:bottom w:val="single" w:color="auto" w:sz="4" w:space="0"/>
        <w:right w:val="double" w:color="auto" w:sz="6" w:space="0"/>
      </w:pBdr>
      <w:shd w:val="clear" w:color="auto" w:fill="FFFF00"/>
      <w:spacing w:before="100" w:beforeAutospacing="1" w:after="100" w:afterAutospacing="1"/>
      <w:jc w:val="left"/>
    </w:pPr>
    <w:rPr>
      <w:rFonts w:ascii="宋体" w:hAnsi="宋体" w:cs="宋体"/>
      <w:color w:val="000000"/>
      <w:kern w:val="0"/>
      <w:sz w:val="18"/>
      <w:szCs w:val="18"/>
    </w:rPr>
  </w:style>
  <w:style w:type="paragraph" w:customStyle="1" w:styleId="895">
    <w:name w:val="xl21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rPr>
  </w:style>
  <w:style w:type="paragraph" w:customStyle="1" w:styleId="896">
    <w:name w:val="xl169"/>
    <w:basedOn w:val="1"/>
    <w:autoRedefine/>
    <w:qFormat/>
    <w:uiPriority w:val="0"/>
    <w:pPr>
      <w:widowControl/>
      <w:pBdr>
        <w:top w:val="single" w:color="auto" w:sz="4" w:space="0"/>
        <w:left w:val="single" w:color="auto" w:sz="4" w:space="0"/>
        <w:right w:val="double" w:color="auto" w:sz="6" w:space="0"/>
      </w:pBdr>
      <w:spacing w:before="100" w:beforeAutospacing="1" w:after="100" w:afterAutospacing="1"/>
      <w:textAlignment w:val="top"/>
    </w:pPr>
    <w:rPr>
      <w:rFonts w:ascii="宋体" w:hAnsi="宋体" w:cs="宋体"/>
      <w:kern w:val="0"/>
      <w:sz w:val="18"/>
      <w:szCs w:val="18"/>
    </w:rPr>
  </w:style>
  <w:style w:type="paragraph" w:customStyle="1" w:styleId="897">
    <w:name w:val="xl234"/>
    <w:basedOn w:val="1"/>
    <w:autoRedefine/>
    <w:qFormat/>
    <w:uiPriority w:val="0"/>
    <w:pPr>
      <w:widowControl/>
      <w:pBdr>
        <w:top w:val="single" w:color="auto" w:sz="4" w:space="0"/>
        <w:bottom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898">
    <w:name w:val="标准封面/目次/前言"/>
    <w:basedOn w:val="1"/>
    <w:autoRedefine/>
    <w:qFormat/>
    <w:uiPriority w:val="0"/>
    <w:pPr>
      <w:adjustRightInd w:val="0"/>
      <w:spacing w:line="312" w:lineRule="atLeast"/>
      <w:jc w:val="center"/>
      <w:textAlignment w:val="baseline"/>
    </w:pPr>
    <w:rPr>
      <w:rFonts w:ascii="隶书"/>
      <w:kern w:val="0"/>
      <w:sz w:val="84"/>
      <w:szCs w:val="84"/>
    </w:rPr>
  </w:style>
  <w:style w:type="paragraph" w:customStyle="1" w:styleId="899">
    <w:name w:val="xl208"/>
    <w:basedOn w:val="1"/>
    <w:autoRedefine/>
    <w:qFormat/>
    <w:uiPriority w:val="0"/>
    <w:pPr>
      <w:widowControl/>
      <w:pBdr>
        <w:top w:val="single" w:color="auto" w:sz="4" w:space="0"/>
        <w:left w:val="single" w:color="auto" w:sz="4" w:space="0"/>
        <w:bottom w:val="double" w:color="auto" w:sz="6" w:space="0"/>
        <w:right w:val="single" w:color="auto" w:sz="4" w:space="0"/>
      </w:pBdr>
      <w:shd w:val="clear" w:color="auto" w:fill="CCFFFF"/>
      <w:spacing w:before="100" w:beforeAutospacing="1" w:after="100" w:afterAutospacing="1"/>
      <w:jc w:val="left"/>
    </w:pPr>
    <w:rPr>
      <w:rFonts w:ascii="宋体" w:hAnsi="宋体" w:cs="宋体"/>
      <w:kern w:val="0"/>
      <w:sz w:val="18"/>
      <w:szCs w:val="18"/>
    </w:rPr>
  </w:style>
  <w:style w:type="paragraph" w:customStyle="1" w:styleId="900">
    <w:name w:val="xl213"/>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rPr>
  </w:style>
  <w:style w:type="paragraph" w:customStyle="1" w:styleId="901">
    <w:name w:val="xl168"/>
    <w:basedOn w:val="1"/>
    <w:autoRedefine/>
    <w:qFormat/>
    <w:uiPriority w:val="0"/>
    <w:pPr>
      <w:widowControl/>
      <w:pBdr>
        <w:top w:val="single" w:color="auto" w:sz="4" w:space="0"/>
        <w:left w:val="single" w:color="auto" w:sz="4" w:space="0"/>
        <w:bottom w:val="single" w:color="auto" w:sz="4" w:space="0"/>
        <w:right w:val="double" w:color="auto" w:sz="6" w:space="0"/>
      </w:pBdr>
      <w:spacing w:before="100" w:beforeAutospacing="1" w:after="100" w:afterAutospacing="1"/>
      <w:textAlignment w:val="top"/>
    </w:pPr>
    <w:rPr>
      <w:rFonts w:ascii="宋体" w:hAnsi="宋体" w:cs="宋体"/>
      <w:kern w:val="0"/>
      <w:sz w:val="18"/>
      <w:szCs w:val="18"/>
    </w:rPr>
  </w:style>
  <w:style w:type="paragraph" w:customStyle="1" w:styleId="902">
    <w:name w:val="xl129"/>
    <w:basedOn w:val="1"/>
    <w:autoRedefine/>
    <w:qFormat/>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jc w:val="center"/>
    </w:pPr>
    <w:rPr>
      <w:kern w:val="0"/>
      <w:sz w:val="18"/>
      <w:szCs w:val="18"/>
    </w:rPr>
  </w:style>
  <w:style w:type="paragraph" w:customStyle="1" w:styleId="903">
    <w:name w:val="xl18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904">
    <w:name w:val="xl248"/>
    <w:basedOn w:val="1"/>
    <w:autoRedefine/>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szCs w:val="24"/>
    </w:rPr>
  </w:style>
  <w:style w:type="paragraph" w:customStyle="1" w:styleId="905">
    <w:name w:val="投标-表格文字"/>
    <w:basedOn w:val="1"/>
    <w:autoRedefine/>
    <w:qFormat/>
    <w:uiPriority w:val="0"/>
    <w:pPr>
      <w:adjustRightInd w:val="0"/>
      <w:textAlignment w:val="baseline"/>
    </w:pPr>
    <w:rPr>
      <w:sz w:val="24"/>
      <w:szCs w:val="24"/>
    </w:rPr>
  </w:style>
  <w:style w:type="paragraph" w:customStyle="1" w:styleId="906">
    <w:name w:val="xl2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b/>
      <w:bCs/>
      <w:kern w:val="0"/>
      <w:sz w:val="24"/>
      <w:szCs w:val="24"/>
    </w:rPr>
  </w:style>
  <w:style w:type="paragraph" w:customStyle="1" w:styleId="907">
    <w:name w:val="样式 三号 加粗 居中"/>
    <w:basedOn w:val="1"/>
    <w:autoRedefine/>
    <w:qFormat/>
    <w:uiPriority w:val="0"/>
    <w:pPr>
      <w:spacing w:line="360" w:lineRule="auto"/>
      <w:jc w:val="center"/>
    </w:pPr>
    <w:rPr>
      <w:b/>
      <w:bCs/>
      <w:sz w:val="32"/>
    </w:rPr>
  </w:style>
  <w:style w:type="paragraph" w:customStyle="1" w:styleId="908">
    <w:name w:val="Char Char Char Char Char Char Char Char Char Char Char Char Char Char Char Char Char Char Char Char Char Char Char Char Char Char Char Char Char Char1 Char Char Char Char Char Char Char"/>
    <w:basedOn w:val="1"/>
    <w:autoRedefine/>
    <w:qFormat/>
    <w:uiPriority w:val="0"/>
    <w:pPr>
      <w:tabs>
        <w:tab w:val="left" w:pos="720"/>
      </w:tabs>
      <w:ind w:left="720" w:hanging="720"/>
    </w:pPr>
    <w:rPr>
      <w:sz w:val="24"/>
      <w:szCs w:val="24"/>
    </w:rPr>
  </w:style>
  <w:style w:type="paragraph" w:customStyle="1" w:styleId="909">
    <w:name w:val="标题 5，"/>
    <w:basedOn w:val="8"/>
    <w:autoRedefine/>
    <w:qFormat/>
    <w:uiPriority w:val="0"/>
    <w:pPr>
      <w:widowControl w:val="0"/>
      <w:spacing w:before="480" w:line="376" w:lineRule="auto"/>
      <w:ind w:left="720" w:hanging="432"/>
      <w:jc w:val="both"/>
    </w:pPr>
    <w:rPr>
      <w:rFonts w:ascii="Times New Roman" w:hAnsi="Times New Roman"/>
      <w:bCs/>
      <w:sz w:val="28"/>
      <w:szCs w:val="28"/>
    </w:rPr>
  </w:style>
  <w:style w:type="paragraph" w:customStyle="1" w:styleId="910">
    <w:name w:val="xl7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0"/>
    </w:rPr>
  </w:style>
  <w:style w:type="paragraph" w:customStyle="1" w:styleId="911">
    <w:name w:val="内部地址"/>
    <w:basedOn w:val="1"/>
    <w:autoRedefine/>
    <w:qFormat/>
    <w:uiPriority w:val="0"/>
  </w:style>
  <w:style w:type="paragraph" w:customStyle="1" w:styleId="912">
    <w:name w:val="t1"/>
    <w:basedOn w:val="1"/>
    <w:autoRedefine/>
    <w:qFormat/>
    <w:uiPriority w:val="0"/>
    <w:pPr>
      <w:numPr>
        <w:ilvl w:val="0"/>
        <w:numId w:val="9"/>
      </w:numPr>
      <w:tabs>
        <w:tab w:val="left" w:pos="879"/>
        <w:tab w:val="clear" w:pos="644"/>
      </w:tabs>
      <w:spacing w:after="120" w:line="360" w:lineRule="auto"/>
      <w:ind w:left="1155" w:hanging="215"/>
    </w:pPr>
    <w:rPr>
      <w:rFonts w:ascii="宋体"/>
      <w:sz w:val="24"/>
    </w:rPr>
  </w:style>
  <w:style w:type="paragraph" w:customStyle="1" w:styleId="913">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0"/>
    </w:rPr>
  </w:style>
  <w:style w:type="paragraph" w:customStyle="1" w:styleId="914">
    <w:name w:val="Char Char Char Char Char Char Char Char Char Char Char Char Char"/>
    <w:basedOn w:val="1"/>
    <w:autoRedefine/>
    <w:qFormat/>
    <w:uiPriority w:val="0"/>
    <w:pPr>
      <w:ind w:left="567" w:hanging="279"/>
    </w:pPr>
    <w:rPr>
      <w:sz w:val="24"/>
      <w:szCs w:val="24"/>
    </w:rPr>
  </w:style>
  <w:style w:type="paragraph" w:customStyle="1" w:styleId="915">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kern w:val="0"/>
      <w:sz w:val="20"/>
    </w:rPr>
  </w:style>
  <w:style w:type="paragraph" w:customStyle="1" w:styleId="916">
    <w:name w:val="xl216"/>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rPr>
  </w:style>
  <w:style w:type="paragraph" w:customStyle="1" w:styleId="917">
    <w:name w:val="项目符号1"/>
    <w:basedOn w:val="1"/>
    <w:autoRedefine/>
    <w:qFormat/>
    <w:uiPriority w:val="0"/>
    <w:pPr>
      <w:adjustRightInd w:val="0"/>
      <w:spacing w:line="360" w:lineRule="atLeast"/>
      <w:textAlignment w:val="baseline"/>
    </w:pPr>
  </w:style>
  <w:style w:type="paragraph" w:customStyle="1" w:styleId="918">
    <w:name w:val="xl105"/>
    <w:basedOn w:val="1"/>
    <w:autoRedefine/>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16"/>
      <w:szCs w:val="16"/>
    </w:rPr>
  </w:style>
  <w:style w:type="paragraph" w:customStyle="1" w:styleId="919">
    <w:name w:val="xl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cs="Arial Unicode MS"/>
      <w:kern w:val="0"/>
      <w:sz w:val="20"/>
    </w:rPr>
  </w:style>
  <w:style w:type="paragraph" w:customStyle="1" w:styleId="920">
    <w:name w:val="目录标题"/>
    <w:basedOn w:val="1"/>
    <w:autoRedefine/>
    <w:qFormat/>
    <w:uiPriority w:val="0"/>
    <w:pPr>
      <w:spacing w:afterLines="100"/>
      <w:jc w:val="center"/>
    </w:pPr>
    <w:rPr>
      <w:rFonts w:ascii="黑体" w:eastAsia="黑体"/>
      <w:kern w:val="0"/>
      <w:sz w:val="32"/>
      <w:szCs w:val="32"/>
    </w:rPr>
  </w:style>
  <w:style w:type="paragraph" w:customStyle="1" w:styleId="921">
    <w:name w:val="xl58"/>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 w:val="18"/>
      <w:szCs w:val="18"/>
    </w:rPr>
  </w:style>
  <w:style w:type="paragraph" w:customStyle="1" w:styleId="922">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0"/>
    </w:rPr>
  </w:style>
  <w:style w:type="paragraph" w:customStyle="1" w:styleId="923">
    <w:name w:val="xl17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24">
    <w:name w:val="xl262"/>
    <w:basedOn w:val="1"/>
    <w:autoRedefine/>
    <w:qFormat/>
    <w:uiPriority w:val="0"/>
    <w:pPr>
      <w:widowControl/>
      <w:pBdr>
        <w:left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925">
    <w:name w:val="xl165"/>
    <w:basedOn w:val="1"/>
    <w:autoRedefine/>
    <w:qFormat/>
    <w:uiPriority w:val="0"/>
    <w:pPr>
      <w:widowControl/>
      <w:pBdr>
        <w:left w:val="single" w:color="auto" w:sz="4" w:space="0"/>
        <w:right w:val="double" w:color="auto" w:sz="6" w:space="0"/>
      </w:pBdr>
      <w:spacing w:before="100" w:beforeAutospacing="1" w:after="100" w:afterAutospacing="1"/>
      <w:textAlignment w:val="top"/>
    </w:pPr>
    <w:rPr>
      <w:kern w:val="0"/>
      <w:sz w:val="18"/>
      <w:szCs w:val="18"/>
    </w:rPr>
  </w:style>
  <w:style w:type="paragraph" w:styleId="926">
    <w:name w:val="No Spacing"/>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27">
    <w:name w:val="xl8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kern w:val="0"/>
      <w:sz w:val="20"/>
    </w:rPr>
  </w:style>
  <w:style w:type="paragraph" w:customStyle="1" w:styleId="928">
    <w:name w:val="xl163"/>
    <w:basedOn w:val="1"/>
    <w:autoRedefine/>
    <w:qFormat/>
    <w:uiPriority w:val="0"/>
    <w:pPr>
      <w:widowControl/>
      <w:pBdr>
        <w:top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929">
    <w:name w:val="60"/>
    <w:basedOn w:val="1"/>
    <w:autoRedefine/>
    <w:qFormat/>
    <w:uiPriority w:val="0"/>
    <w:pPr>
      <w:widowControl/>
      <w:spacing w:line="360" w:lineRule="auto"/>
      <w:jc w:val="center"/>
    </w:pPr>
    <w:rPr>
      <w:kern w:val="0"/>
      <w:szCs w:val="21"/>
    </w:rPr>
  </w:style>
  <w:style w:type="paragraph" w:customStyle="1" w:styleId="930">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kern w:val="0"/>
      <w:sz w:val="20"/>
    </w:rPr>
  </w:style>
  <w:style w:type="paragraph" w:customStyle="1" w:styleId="931">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cs="Arial Unicode MS"/>
      <w:kern w:val="0"/>
      <w:sz w:val="20"/>
    </w:rPr>
  </w:style>
  <w:style w:type="paragraph" w:customStyle="1" w:styleId="932">
    <w:name w:val="xl9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right"/>
    </w:pPr>
    <w:rPr>
      <w:rFonts w:ascii="Arial Unicode MS" w:hAnsi="Arial Unicode MS" w:eastAsia="Arial Unicode MS" w:cs="Arial Unicode MS"/>
      <w:kern w:val="0"/>
      <w:sz w:val="20"/>
    </w:rPr>
  </w:style>
  <w:style w:type="paragraph" w:customStyle="1" w:styleId="933">
    <w:name w:val="a6"/>
    <w:basedOn w:val="1"/>
    <w:autoRedefine/>
    <w:qFormat/>
    <w:uiPriority w:val="0"/>
    <w:pPr>
      <w:widowControl/>
      <w:jc w:val="center"/>
    </w:pPr>
    <w:rPr>
      <w:rFonts w:ascii="隶书" w:hAnsi="宋体" w:eastAsia="隶书" w:cs="宋体"/>
      <w:kern w:val="0"/>
      <w:sz w:val="84"/>
      <w:szCs w:val="84"/>
    </w:rPr>
  </w:style>
  <w:style w:type="paragraph" w:customStyle="1" w:styleId="934">
    <w:name w:val="xl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rPr>
  </w:style>
  <w:style w:type="paragraph" w:customStyle="1" w:styleId="935">
    <w:name w:val="a8"/>
    <w:basedOn w:val="1"/>
    <w:autoRedefine/>
    <w:qFormat/>
    <w:uiPriority w:val="0"/>
    <w:pPr>
      <w:widowControl/>
    </w:pPr>
    <w:rPr>
      <w:kern w:val="0"/>
      <w:szCs w:val="21"/>
    </w:rPr>
  </w:style>
  <w:style w:type="paragraph" w:customStyle="1" w:styleId="936">
    <w:name w:val="p15"/>
    <w:basedOn w:val="1"/>
    <w:autoRedefine/>
    <w:qFormat/>
    <w:uiPriority w:val="0"/>
    <w:pPr>
      <w:widowControl/>
      <w:spacing w:line="360" w:lineRule="auto"/>
      <w:jc w:val="center"/>
    </w:pPr>
    <w:rPr>
      <w:rFonts w:eastAsia="Arial Unicode MS"/>
      <w:kern w:val="0"/>
      <w:szCs w:val="21"/>
    </w:rPr>
  </w:style>
  <w:style w:type="paragraph" w:customStyle="1" w:styleId="937">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rPr>
  </w:style>
  <w:style w:type="paragraph" w:customStyle="1" w:styleId="938">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cs="Arial Unicode MS"/>
      <w:kern w:val="0"/>
      <w:sz w:val="20"/>
    </w:rPr>
  </w:style>
  <w:style w:type="paragraph" w:customStyle="1" w:styleId="939">
    <w:name w:val="xl9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kern w:val="0"/>
      <w:sz w:val="20"/>
    </w:rPr>
  </w:style>
  <w:style w:type="paragraph" w:customStyle="1" w:styleId="940">
    <w:name w:val="char10"/>
    <w:basedOn w:val="1"/>
    <w:autoRedefine/>
    <w:qFormat/>
    <w:uiPriority w:val="0"/>
    <w:pPr>
      <w:widowControl/>
    </w:pPr>
    <w:rPr>
      <w:kern w:val="0"/>
      <w:szCs w:val="21"/>
    </w:rPr>
  </w:style>
  <w:style w:type="paragraph" w:customStyle="1" w:styleId="941">
    <w:name w:val="xl146"/>
    <w:basedOn w:val="1"/>
    <w:autoRedefine/>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rFonts w:ascii="宋体" w:hAnsi="宋体" w:cs="宋体"/>
      <w:kern w:val="0"/>
      <w:sz w:val="18"/>
      <w:szCs w:val="18"/>
    </w:rPr>
  </w:style>
  <w:style w:type="paragraph" w:customStyle="1" w:styleId="942">
    <w:name w:val="样式 样式 标题 3第二层条第三层论文标题 21.1.1 标题 3Para3Title2h333 bullet + ... + ..."/>
    <w:basedOn w:val="839"/>
    <w:autoRedefine/>
    <w:qFormat/>
    <w:uiPriority w:val="0"/>
    <w:pPr>
      <w:ind w:left="737" w:hanging="737"/>
    </w:pPr>
    <w:rPr>
      <w:szCs w:val="20"/>
    </w:rPr>
  </w:style>
  <w:style w:type="paragraph" w:customStyle="1" w:styleId="943">
    <w:name w:val="&gt; attention"/>
    <w:basedOn w:val="1"/>
    <w:autoRedefine/>
    <w:qFormat/>
    <w:uiPriority w:val="0"/>
    <w:pPr>
      <w:widowControl/>
      <w:spacing w:after="120" w:line="280" w:lineRule="exact"/>
      <w:jc w:val="left"/>
    </w:pPr>
    <w:rPr>
      <w:rFonts w:ascii="Arial" w:hAnsi="Arial"/>
      <w:b/>
      <w:kern w:val="0"/>
      <w:sz w:val="20"/>
      <w:lang w:eastAsia="fr-FR" w:bidi="en-US"/>
    </w:rPr>
  </w:style>
  <w:style w:type="paragraph" w:customStyle="1" w:styleId="944">
    <w:name w:val="xl148"/>
    <w:basedOn w:val="1"/>
    <w:autoRedefine/>
    <w:qFormat/>
    <w:uiPriority w:val="0"/>
    <w:pPr>
      <w:widowControl/>
      <w:pBdr>
        <w:top w:val="single" w:color="auto" w:sz="4" w:space="0"/>
        <w:left w:val="single" w:color="auto" w:sz="4"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945">
    <w:name w:val="high15"/>
    <w:basedOn w:val="1"/>
    <w:autoRedefine/>
    <w:qFormat/>
    <w:uiPriority w:val="0"/>
    <w:pPr>
      <w:widowControl/>
      <w:spacing w:before="100" w:beforeAutospacing="1" w:after="100" w:afterAutospacing="1" w:line="300" w:lineRule="atLeast"/>
      <w:jc w:val="left"/>
    </w:pPr>
    <w:rPr>
      <w:rFonts w:ascii="Arial Unicode MS" w:hAnsi="Arial Unicode MS" w:eastAsia="Arial Unicode MS" w:cs="Arial Unicode MS"/>
      <w:kern w:val="0"/>
      <w:sz w:val="18"/>
      <w:szCs w:val="18"/>
    </w:rPr>
  </w:style>
  <w:style w:type="paragraph" w:customStyle="1" w:styleId="946">
    <w:name w:val="样式 样式 标题 2标题 1.1第一层条第二层论文标题 1Para2Title1H2h22l2list + ch...1 + 右..."/>
    <w:basedOn w:val="134"/>
    <w:autoRedefine/>
    <w:qFormat/>
    <w:uiPriority w:val="0"/>
    <w:pPr>
      <w:spacing w:beforeLines="100" w:afterLines="100"/>
    </w:pPr>
    <w:rPr>
      <w:kern w:val="0"/>
      <w:szCs w:val="20"/>
    </w:rPr>
  </w:style>
  <w:style w:type="paragraph" w:customStyle="1" w:styleId="947">
    <w:name w:val="xl231"/>
    <w:basedOn w:val="1"/>
    <w:autoRedefine/>
    <w:qFormat/>
    <w:uiPriority w:val="0"/>
    <w:pPr>
      <w:widowControl/>
      <w:pBdr>
        <w:top w:val="single" w:color="auto" w:sz="4" w:space="0"/>
        <w:bottom w:val="single" w:color="auto" w:sz="4" w:space="0"/>
      </w:pBdr>
      <w:shd w:val="clear" w:color="auto" w:fill="FFFF99"/>
      <w:spacing w:before="100" w:beforeAutospacing="1" w:after="100" w:afterAutospacing="1"/>
      <w:jc w:val="left"/>
    </w:pPr>
    <w:rPr>
      <w:rFonts w:ascii="宋体" w:hAnsi="宋体" w:cs="宋体"/>
      <w:kern w:val="0"/>
      <w:sz w:val="24"/>
      <w:szCs w:val="24"/>
    </w:rPr>
  </w:style>
  <w:style w:type="paragraph" w:customStyle="1" w:styleId="948">
    <w:name w:val="char"/>
    <w:basedOn w:val="1"/>
    <w:autoRedefine/>
    <w:qFormat/>
    <w:uiPriority w:val="0"/>
    <w:pPr>
      <w:widowControl/>
      <w:ind w:left="567" w:hanging="279"/>
    </w:pPr>
    <w:rPr>
      <w:kern w:val="0"/>
      <w:sz w:val="24"/>
      <w:szCs w:val="24"/>
    </w:rPr>
  </w:style>
  <w:style w:type="paragraph" w:customStyle="1" w:styleId="949">
    <w:name w:val="charcharcharcharcharcharcharcharcharcharcharcharcharcharcharcharcharcharcharcharcharcharcharcharcharcharcharcharcharchar1charcharcharcharcharcharchar"/>
    <w:basedOn w:val="1"/>
    <w:autoRedefine/>
    <w:qFormat/>
    <w:uiPriority w:val="0"/>
    <w:pPr>
      <w:widowControl/>
      <w:ind w:left="720" w:hanging="720"/>
    </w:pPr>
    <w:rPr>
      <w:kern w:val="0"/>
      <w:sz w:val="24"/>
      <w:szCs w:val="24"/>
    </w:rPr>
  </w:style>
  <w:style w:type="paragraph" w:customStyle="1" w:styleId="950">
    <w:name w:val="xl158"/>
    <w:basedOn w:val="1"/>
    <w:autoRedefine/>
    <w:qFormat/>
    <w:uiPriority w:val="0"/>
    <w:pPr>
      <w:widowControl/>
      <w:pBdr>
        <w:top w:val="single" w:color="auto" w:sz="4" w:space="0"/>
        <w:bottom w:val="single" w:color="auto" w:sz="4" w:space="0"/>
        <w:right w:val="double" w:color="auto" w:sz="6" w:space="0"/>
      </w:pBdr>
      <w:spacing w:before="100" w:beforeAutospacing="1" w:after="100" w:afterAutospacing="1"/>
      <w:jc w:val="left"/>
    </w:pPr>
    <w:rPr>
      <w:rFonts w:ascii="宋体" w:hAnsi="宋体" w:cs="宋体"/>
      <w:kern w:val="0"/>
      <w:sz w:val="24"/>
      <w:szCs w:val="24"/>
    </w:rPr>
  </w:style>
  <w:style w:type="paragraph" w:customStyle="1" w:styleId="951">
    <w:name w:val="p16"/>
    <w:basedOn w:val="1"/>
    <w:autoRedefine/>
    <w:qFormat/>
    <w:uiPriority w:val="0"/>
    <w:pPr>
      <w:widowControl/>
      <w:spacing w:after="120"/>
    </w:pPr>
    <w:rPr>
      <w:rFonts w:eastAsia="Arial Unicode MS"/>
      <w:kern w:val="0"/>
      <w:szCs w:val="21"/>
    </w:rPr>
  </w:style>
  <w:style w:type="paragraph" w:customStyle="1" w:styleId="952">
    <w:name w:val="Char Char Char Char Char Char Char Char Char Char Char Char Char Char Char Char Char Char Char Char Char Char"/>
    <w:basedOn w:val="1"/>
    <w:autoRedefine/>
    <w:qFormat/>
    <w:uiPriority w:val="0"/>
    <w:pPr>
      <w:tabs>
        <w:tab w:val="left" w:pos="360"/>
      </w:tabs>
      <w:ind w:left="360" w:hanging="360" w:hangingChars="200"/>
    </w:pPr>
    <w:rPr>
      <w:szCs w:val="24"/>
    </w:rPr>
  </w:style>
  <w:style w:type="paragraph" w:customStyle="1" w:styleId="953">
    <w:name w:val="xl149"/>
    <w:basedOn w:val="1"/>
    <w:autoRedefine/>
    <w:qFormat/>
    <w:uiPriority w:val="0"/>
    <w:pPr>
      <w:widowControl/>
      <w:pBdr>
        <w:top w:val="single" w:color="auto" w:sz="4" w:space="0"/>
        <w:bottom w:val="single" w:color="auto" w:sz="4" w:space="0"/>
        <w:right w:val="double" w:color="auto" w:sz="6" w:space="0"/>
      </w:pBdr>
      <w:shd w:val="clear" w:color="auto" w:fill="FFCC99"/>
      <w:spacing w:before="100" w:beforeAutospacing="1" w:after="100" w:afterAutospacing="1"/>
      <w:jc w:val="left"/>
    </w:pPr>
    <w:rPr>
      <w:rFonts w:ascii="宋体" w:hAnsi="宋体" w:cs="宋体"/>
      <w:b/>
      <w:bCs/>
      <w:kern w:val="0"/>
      <w:sz w:val="20"/>
    </w:rPr>
  </w:style>
  <w:style w:type="paragraph" w:customStyle="1" w:styleId="954">
    <w:name w:val="修订3"/>
    <w:autoRedefine/>
    <w:qFormat/>
    <w:uiPriority w:val="99"/>
    <w:rPr>
      <w:rFonts w:ascii="Times New Roman" w:hAnsi="Times New Roman" w:eastAsia="宋体" w:cs="Times New Roman"/>
      <w:kern w:val="2"/>
      <w:sz w:val="21"/>
      <w:lang w:val="en-US" w:eastAsia="zh-CN" w:bidi="ar-SA"/>
    </w:rPr>
  </w:style>
  <w:style w:type="paragraph" w:customStyle="1" w:styleId="955">
    <w:name w:val="heading2"/>
    <w:basedOn w:val="1"/>
    <w:autoRedefine/>
    <w:qFormat/>
    <w:uiPriority w:val="0"/>
    <w:pPr>
      <w:widowControl/>
      <w:spacing w:before="100" w:after="100"/>
      <w:jc w:val="left"/>
    </w:pPr>
    <w:rPr>
      <w:rFonts w:ascii="Arial Unicode MS" w:hAnsi="Arial Unicode MS" w:eastAsia="Arial Unicode MS"/>
      <w:kern w:val="0"/>
      <w:sz w:val="24"/>
      <w:szCs w:val="24"/>
    </w:rPr>
  </w:style>
  <w:style w:type="paragraph" w:customStyle="1" w:styleId="956">
    <w:name w:val="xl144"/>
    <w:basedOn w:val="1"/>
    <w:autoRedefine/>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left"/>
    </w:pPr>
    <w:rPr>
      <w:rFonts w:ascii="宋体" w:hAnsi="宋体" w:cs="宋体"/>
      <w:kern w:val="0"/>
      <w:sz w:val="24"/>
      <w:szCs w:val="24"/>
    </w:rPr>
  </w:style>
  <w:style w:type="paragraph" w:customStyle="1" w:styleId="957">
    <w:name w:val="font12"/>
    <w:basedOn w:val="1"/>
    <w:autoRedefine/>
    <w:qFormat/>
    <w:uiPriority w:val="0"/>
    <w:pPr>
      <w:widowControl/>
      <w:spacing w:before="100" w:beforeAutospacing="1" w:after="100" w:afterAutospacing="1"/>
      <w:jc w:val="left"/>
    </w:pPr>
    <w:rPr>
      <w:rFonts w:eastAsia="Arial Unicode MS"/>
      <w:color w:val="0000FF"/>
      <w:kern w:val="0"/>
      <w:sz w:val="20"/>
    </w:rPr>
  </w:style>
  <w:style w:type="paragraph" w:customStyle="1" w:styleId="958">
    <w:name w:val="&gt;1:enum1 -:enum"/>
    <w:basedOn w:val="1"/>
    <w:autoRedefine/>
    <w:qFormat/>
    <w:uiPriority w:val="0"/>
    <w:pPr>
      <w:widowControl/>
      <w:tabs>
        <w:tab w:val="left" w:pos="352"/>
        <w:tab w:val="left" w:pos="709"/>
        <w:tab w:val="left" w:pos="1061"/>
        <w:tab w:val="left" w:pos="1418"/>
      </w:tabs>
      <w:spacing w:before="50" w:after="50" w:line="280" w:lineRule="exact"/>
      <w:ind w:left="568" w:hanging="284"/>
      <w:jc w:val="left"/>
    </w:pPr>
    <w:rPr>
      <w:rFonts w:ascii="Arial" w:hAnsi="Arial"/>
      <w:kern w:val="0"/>
      <w:position w:val="6"/>
      <w:sz w:val="20"/>
      <w:lang w:eastAsia="fr-FR" w:bidi="en-US"/>
    </w:rPr>
  </w:style>
  <w:style w:type="paragraph" w:customStyle="1" w:styleId="959">
    <w:name w:val="默认段落字体 Para Char Char Char Char"/>
    <w:basedOn w:val="1"/>
    <w:autoRedefine/>
    <w:qFormat/>
    <w:uiPriority w:val="0"/>
    <w:rPr>
      <w:szCs w:val="24"/>
    </w:rPr>
  </w:style>
  <w:style w:type="paragraph" w:customStyle="1" w:styleId="960">
    <w:name w:val="公文抬头"/>
    <w:basedOn w:val="6"/>
    <w:autoRedefine/>
    <w:qFormat/>
    <w:uiPriority w:val="0"/>
    <w:pPr>
      <w:widowControl w:val="0"/>
      <w:ind w:firstLine="0"/>
      <w:jc w:val="both"/>
    </w:pPr>
    <w:rPr>
      <w:rFonts w:ascii="仿宋_GB2312" w:eastAsia="仿宋_GB2312"/>
      <w:kern w:val="2"/>
      <w:sz w:val="30"/>
      <w:szCs w:val="24"/>
    </w:rPr>
  </w:style>
  <w:style w:type="paragraph" w:customStyle="1" w:styleId="961">
    <w:name w:val="Char Char Char Char Char Char Char Char Char Char Char Char Char Char Char Char Char Char Char"/>
    <w:basedOn w:val="1"/>
    <w:autoRedefine/>
    <w:qFormat/>
    <w:uiPriority w:val="0"/>
    <w:pPr>
      <w:widowControl/>
      <w:spacing w:after="160" w:line="240" w:lineRule="exact"/>
      <w:jc w:val="left"/>
    </w:pPr>
    <w:rPr>
      <w:szCs w:val="24"/>
    </w:rPr>
  </w:style>
  <w:style w:type="paragraph" w:customStyle="1" w:styleId="962">
    <w:name w:val="font10"/>
    <w:basedOn w:val="1"/>
    <w:autoRedefine/>
    <w:qFormat/>
    <w:uiPriority w:val="0"/>
    <w:pPr>
      <w:widowControl/>
      <w:spacing w:before="100" w:beforeAutospacing="1" w:after="100" w:afterAutospacing="1"/>
      <w:jc w:val="left"/>
    </w:pPr>
    <w:rPr>
      <w:rFonts w:hint="eastAsia" w:ascii="宋体" w:hAnsi="宋体" w:cs="Arial Unicode MS"/>
      <w:b/>
      <w:bCs/>
      <w:color w:val="000000"/>
      <w:kern w:val="0"/>
      <w:sz w:val="16"/>
      <w:szCs w:val="16"/>
    </w:rPr>
  </w:style>
  <w:style w:type="paragraph" w:customStyle="1" w:styleId="963">
    <w:name w:val="Char Char Char Char Char Char Char Char Char Char Char Char Char Char Char Char Char Char Char Char Char Char Char Char Char Char Char Char"/>
    <w:basedOn w:val="1"/>
    <w:autoRedefine/>
    <w:qFormat/>
    <w:uiPriority w:val="0"/>
    <w:pPr>
      <w:tabs>
        <w:tab w:val="left" w:pos="720"/>
        <w:tab w:val="left" w:pos="1418"/>
      </w:tabs>
      <w:ind w:left="2172" w:hanging="1605"/>
    </w:pPr>
    <w:rPr>
      <w:szCs w:val="24"/>
    </w:rPr>
  </w:style>
  <w:style w:type="paragraph" w:customStyle="1" w:styleId="964">
    <w:name w:val="Char Char Char1 Char"/>
    <w:basedOn w:val="20"/>
    <w:autoRedefine/>
    <w:qFormat/>
    <w:uiPriority w:val="0"/>
    <w:rPr>
      <w:rFonts w:ascii="Tahoma" w:hAnsi="Tahoma"/>
      <w:kern w:val="0"/>
      <w:sz w:val="24"/>
      <w:szCs w:val="24"/>
    </w:rPr>
  </w:style>
  <w:style w:type="paragraph" w:customStyle="1" w:styleId="965">
    <w:name w:val="0"/>
    <w:basedOn w:val="1"/>
    <w:autoRedefine/>
    <w:qFormat/>
    <w:uiPriority w:val="0"/>
    <w:pPr>
      <w:widowControl/>
      <w:snapToGrid w:val="0"/>
      <w:jc w:val="left"/>
    </w:pPr>
    <w:rPr>
      <w:rFonts w:ascii="楷体_GB2312" w:hAnsi="宋体" w:eastAsia="楷体_GB2312" w:cs="宋体"/>
      <w:color w:val="000000"/>
      <w:kern w:val="0"/>
      <w:sz w:val="44"/>
      <w:szCs w:val="44"/>
    </w:rPr>
  </w:style>
  <w:style w:type="paragraph" w:customStyle="1" w:styleId="966">
    <w:name w:val="标题 0"/>
    <w:basedOn w:val="3"/>
    <w:autoRedefine/>
    <w:qFormat/>
    <w:uiPriority w:val="0"/>
    <w:pPr>
      <w:keepNext w:val="0"/>
      <w:widowControl w:val="0"/>
      <w:shd w:val="clear" w:color="auto" w:fill="FFFFFF"/>
      <w:tabs>
        <w:tab w:val="clear" w:pos="885"/>
      </w:tabs>
      <w:autoSpaceDE w:val="0"/>
      <w:autoSpaceDN w:val="0"/>
      <w:adjustRightInd w:val="0"/>
      <w:snapToGrid w:val="0"/>
      <w:spacing w:beforeLines="100"/>
      <w:ind w:left="0" w:firstLine="207" w:firstLineChars="98"/>
      <w:jc w:val="left"/>
    </w:pPr>
    <w:rPr>
      <w:rFonts w:ascii="宋体" w:hAnsi="Times New Roman" w:eastAsia="宋体"/>
      <w:snapToGrid w:val="0"/>
      <w:color w:val="000000"/>
      <w:kern w:val="0"/>
      <w:sz w:val="44"/>
      <w:szCs w:val="20"/>
    </w:rPr>
  </w:style>
  <w:style w:type="paragraph" w:customStyle="1" w:styleId="967">
    <w:name w:val="xl219"/>
    <w:basedOn w:val="1"/>
    <w:autoRedefine/>
    <w:qFormat/>
    <w:uiPriority w:val="0"/>
    <w:pPr>
      <w:widowControl/>
      <w:pBdr>
        <w:top w:val="single" w:color="auto" w:sz="4" w:space="0"/>
        <w:left w:val="single" w:color="auto" w:sz="4"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968">
    <w:name w:val="xl172"/>
    <w:basedOn w:val="1"/>
    <w:autoRedefine/>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jc w:val="left"/>
      <w:textAlignment w:val="top"/>
    </w:pPr>
    <w:rPr>
      <w:rFonts w:ascii="宋体" w:hAnsi="宋体" w:cs="宋体"/>
      <w:b/>
      <w:bCs/>
      <w:kern w:val="0"/>
      <w:sz w:val="20"/>
    </w:rPr>
  </w:style>
  <w:style w:type="paragraph" w:customStyle="1" w:styleId="969">
    <w:name w:val="font13"/>
    <w:basedOn w:val="1"/>
    <w:autoRedefine/>
    <w:qFormat/>
    <w:uiPriority w:val="0"/>
    <w:pPr>
      <w:widowControl/>
      <w:spacing w:before="100" w:beforeAutospacing="1" w:after="100" w:afterAutospacing="1"/>
      <w:jc w:val="left"/>
    </w:pPr>
    <w:rPr>
      <w:rFonts w:eastAsia="Arial Unicode MS"/>
      <w:color w:val="FF00FF"/>
      <w:kern w:val="0"/>
      <w:sz w:val="20"/>
    </w:rPr>
  </w:style>
  <w:style w:type="paragraph" w:customStyle="1" w:styleId="970">
    <w:name w:val="xl166"/>
    <w:basedOn w:val="1"/>
    <w:autoRedefine/>
    <w:qFormat/>
    <w:uiPriority w:val="0"/>
    <w:pPr>
      <w:widowControl/>
      <w:pBdr>
        <w:left w:val="single" w:color="auto" w:sz="4" w:space="0"/>
        <w:right w:val="double" w:color="auto" w:sz="6" w:space="0"/>
      </w:pBdr>
      <w:spacing w:before="100" w:beforeAutospacing="1" w:after="100" w:afterAutospacing="1"/>
      <w:jc w:val="left"/>
      <w:textAlignment w:val="top"/>
    </w:pPr>
    <w:rPr>
      <w:rFonts w:ascii="宋体" w:hAnsi="宋体" w:cs="宋体"/>
      <w:kern w:val="0"/>
      <w:sz w:val="24"/>
      <w:szCs w:val="24"/>
    </w:rPr>
  </w:style>
  <w:style w:type="paragraph" w:customStyle="1" w:styleId="971">
    <w:name w:val="charcharchar1char"/>
    <w:basedOn w:val="1"/>
    <w:autoRedefine/>
    <w:qFormat/>
    <w:uiPriority w:val="0"/>
    <w:pPr>
      <w:widowControl/>
      <w:shd w:val="clear" w:color="auto" w:fill="000080"/>
    </w:pPr>
    <w:rPr>
      <w:rFonts w:ascii="Tahoma" w:hAnsi="Tahoma" w:cs="Tahoma"/>
      <w:kern w:val="0"/>
      <w:sz w:val="24"/>
      <w:szCs w:val="24"/>
    </w:rPr>
  </w:style>
  <w:style w:type="paragraph" w:customStyle="1" w:styleId="972">
    <w:name w:val="Tableau_norm2droite"/>
    <w:basedOn w:val="1"/>
    <w:autoRedefine/>
    <w:qFormat/>
    <w:uiPriority w:val="0"/>
    <w:pPr>
      <w:widowControl/>
      <w:spacing w:before="72"/>
      <w:jc w:val="right"/>
    </w:pPr>
    <w:rPr>
      <w:rFonts w:ascii="Arial" w:hAnsi="Arial"/>
      <w:kern w:val="0"/>
      <w:sz w:val="24"/>
      <w:szCs w:val="24"/>
      <w:lang w:eastAsia="fr-FR"/>
    </w:rPr>
  </w:style>
  <w:style w:type="paragraph" w:customStyle="1" w:styleId="973">
    <w:name w:val="xl152"/>
    <w:basedOn w:val="1"/>
    <w:autoRedefine/>
    <w:qFormat/>
    <w:uiPriority w:val="0"/>
    <w:pPr>
      <w:widowControl/>
      <w:pBdr>
        <w:top w:val="single" w:color="auto" w:sz="4" w:space="0"/>
        <w:bottom w:val="single" w:color="auto" w:sz="4" w:space="0"/>
        <w:right w:val="double" w:color="auto" w:sz="6" w:space="0"/>
      </w:pBdr>
      <w:shd w:val="clear" w:color="auto" w:fill="FFFF99"/>
      <w:spacing w:before="100" w:beforeAutospacing="1" w:after="100" w:afterAutospacing="1"/>
      <w:jc w:val="center"/>
    </w:pPr>
    <w:rPr>
      <w:rFonts w:ascii="宋体" w:hAnsi="宋体" w:cs="宋体"/>
      <w:b/>
      <w:bCs/>
      <w:kern w:val="0"/>
      <w:sz w:val="20"/>
    </w:rPr>
  </w:style>
  <w:style w:type="paragraph" w:customStyle="1" w:styleId="974">
    <w:name w:val="Titre 2 lignes module"/>
    <w:basedOn w:val="1"/>
    <w:autoRedefine/>
    <w:qFormat/>
    <w:uiPriority w:val="0"/>
    <w:pPr>
      <w:widowControl/>
      <w:spacing w:before="120"/>
      <w:jc w:val="center"/>
    </w:pPr>
    <w:rPr>
      <w:rFonts w:ascii="Arial" w:hAnsi="Arial"/>
      <w:b/>
      <w:kern w:val="0"/>
      <w:sz w:val="24"/>
      <w:szCs w:val="24"/>
      <w:lang w:eastAsia="fr-FR"/>
    </w:rPr>
  </w:style>
  <w:style w:type="paragraph" w:customStyle="1" w:styleId="975">
    <w:name w:val="a5"/>
    <w:basedOn w:val="1"/>
    <w:autoRedefine/>
    <w:qFormat/>
    <w:uiPriority w:val="0"/>
    <w:pPr>
      <w:widowControl/>
      <w:spacing w:line="360" w:lineRule="auto"/>
      <w:jc w:val="center"/>
    </w:pPr>
    <w:rPr>
      <w:b/>
      <w:bCs/>
      <w:kern w:val="0"/>
      <w:sz w:val="32"/>
      <w:szCs w:val="32"/>
    </w:rPr>
  </w:style>
  <w:style w:type="paragraph" w:customStyle="1" w:styleId="976">
    <w:name w:val="样式 标题 2标题 1.1第一层条第二层论文标题 1Para2Title1H2h22l2list + ch..."/>
    <w:basedOn w:val="4"/>
    <w:autoRedefine/>
    <w:qFormat/>
    <w:uiPriority w:val="0"/>
    <w:pPr>
      <w:widowControl w:val="0"/>
      <w:adjustRightInd w:val="0"/>
      <w:spacing w:before="0" w:after="0" w:line="360" w:lineRule="auto"/>
      <w:jc w:val="both"/>
      <w:textAlignment w:val="baseline"/>
    </w:pPr>
    <w:rPr>
      <w:rFonts w:cs="宋体"/>
      <w:bCs/>
      <w:color w:val="000000"/>
      <w:sz w:val="20"/>
      <w:szCs w:val="21"/>
    </w:rPr>
  </w:style>
  <w:style w:type="paragraph" w:customStyle="1" w:styleId="977">
    <w:name w:val="bodytext1"/>
    <w:basedOn w:val="1"/>
    <w:autoRedefine/>
    <w:qFormat/>
    <w:uiPriority w:val="0"/>
    <w:pPr>
      <w:widowControl/>
      <w:spacing w:before="170" w:line="300" w:lineRule="atLeast"/>
      <w:ind w:left="1134" w:hanging="1134"/>
    </w:pPr>
    <w:rPr>
      <w:color w:val="000000"/>
      <w:kern w:val="0"/>
      <w:sz w:val="24"/>
      <w:szCs w:val="24"/>
    </w:rPr>
  </w:style>
  <w:style w:type="paragraph" w:customStyle="1" w:styleId="978">
    <w:name w:val="xl260"/>
    <w:basedOn w:val="1"/>
    <w:autoRedefine/>
    <w:qFormat/>
    <w:uiPriority w:val="0"/>
    <w:pPr>
      <w:widowControl/>
      <w:pBdr>
        <w:left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979">
    <w:name w:val="文件标题"/>
    <w:basedOn w:val="1"/>
    <w:autoRedefine/>
    <w:qFormat/>
    <w:uiPriority w:val="0"/>
    <w:pPr>
      <w:spacing w:line="360" w:lineRule="auto"/>
      <w:jc w:val="center"/>
    </w:pPr>
    <w:rPr>
      <w:rFonts w:ascii="华文彩云" w:hAnsi="Swis721 BlkOul BT" w:eastAsia="华文彩云"/>
      <w:kern w:val="0"/>
      <w:sz w:val="72"/>
      <w:szCs w:val="72"/>
    </w:rPr>
  </w:style>
  <w:style w:type="paragraph" w:customStyle="1" w:styleId="980">
    <w:name w:val="xl261"/>
    <w:basedOn w:val="1"/>
    <w:autoRedefine/>
    <w:qFormat/>
    <w:uiPriority w:val="0"/>
    <w:pPr>
      <w:widowControl/>
      <w:pBdr>
        <w:left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981">
    <w:name w:val="首页页眉"/>
    <w:basedOn w:val="41"/>
    <w:autoRedefine/>
    <w:qFormat/>
    <w:uiPriority w:val="0"/>
    <w:pPr>
      <w:widowControl w:val="0"/>
      <w:pBdr>
        <w:bottom w:val="none" w:color="auto" w:sz="0" w:space="0"/>
      </w:pBdr>
      <w:spacing w:line="240" w:lineRule="atLeast"/>
    </w:pPr>
    <w:rPr>
      <w:rFonts w:ascii="Calibri" w:hAnsi="Calibri"/>
      <w:b/>
      <w:kern w:val="0"/>
      <w:szCs w:val="18"/>
    </w:rPr>
  </w:style>
  <w:style w:type="paragraph" w:customStyle="1" w:styleId="982">
    <w:name w:val="xl98"/>
    <w:basedOn w:val="1"/>
    <w:autoRedefine/>
    <w:qFormat/>
    <w:uiPriority w:val="0"/>
    <w:pPr>
      <w:widowControl/>
      <w:pBdr>
        <w:top w:val="single" w:color="auto" w:sz="4" w:space="0"/>
        <w:left w:val="double" w:color="auto" w:sz="6" w:space="0"/>
        <w:bottom w:val="single" w:color="auto" w:sz="4" w:space="0"/>
      </w:pBdr>
      <w:spacing w:before="100" w:beforeAutospacing="1" w:after="100" w:afterAutospacing="1"/>
      <w:jc w:val="center"/>
    </w:pPr>
    <w:rPr>
      <w:rFonts w:ascii="宋体" w:hAnsi="宋体" w:cs="宋体"/>
      <w:kern w:val="0"/>
      <w:sz w:val="20"/>
    </w:rPr>
  </w:style>
  <w:style w:type="paragraph" w:customStyle="1" w:styleId="983">
    <w:name w:val="xl145"/>
    <w:basedOn w:val="1"/>
    <w:autoRedefine/>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rFonts w:ascii="宋体" w:hAnsi="宋体" w:cs="宋体"/>
      <w:kern w:val="0"/>
      <w:sz w:val="20"/>
    </w:rPr>
  </w:style>
  <w:style w:type="paragraph" w:customStyle="1" w:styleId="984">
    <w:name w:val="落款样式"/>
    <w:basedOn w:val="1"/>
    <w:autoRedefine/>
    <w:qFormat/>
    <w:uiPriority w:val="0"/>
    <w:pPr>
      <w:jc w:val="left"/>
    </w:pPr>
    <w:rPr>
      <w:rFonts w:cs="宋体"/>
      <w:kern w:val="0"/>
      <w:sz w:val="24"/>
    </w:rPr>
  </w:style>
  <w:style w:type="paragraph" w:customStyle="1" w:styleId="985">
    <w:name w:val="Job Title"/>
    <w:next w:val="811"/>
    <w:autoRedefine/>
    <w:qFormat/>
    <w:uiPriority w:val="0"/>
    <w:pPr>
      <w:spacing w:after="60" w:line="220" w:lineRule="atLeast"/>
    </w:pPr>
    <w:rPr>
      <w:rFonts w:ascii="Arial Black" w:hAnsi="Arial Black" w:eastAsia="PMingLiU" w:cs="Times New Roman"/>
      <w:spacing w:val="-10"/>
      <w:lang w:val="en-US" w:eastAsia="en-US" w:bidi="en-US"/>
    </w:rPr>
  </w:style>
  <w:style w:type="paragraph" w:customStyle="1" w:styleId="986">
    <w:name w:val="图形题注"/>
    <w:basedOn w:val="17"/>
    <w:autoRedefine/>
    <w:qFormat/>
    <w:uiPriority w:val="0"/>
    <w:pPr>
      <w:adjustRightInd w:val="0"/>
      <w:spacing w:before="0" w:after="0" w:afterLines="50" w:line="320" w:lineRule="exact"/>
      <w:jc w:val="center"/>
    </w:pPr>
    <w:rPr>
      <w:rFonts w:hint="default" w:eastAsia="楷体_GB2312"/>
      <w:spacing w:val="10"/>
      <w:kern w:val="0"/>
    </w:rPr>
  </w:style>
  <w:style w:type="paragraph" w:customStyle="1" w:styleId="987">
    <w:name w:val="xl186"/>
    <w:basedOn w:val="1"/>
    <w:autoRedefine/>
    <w:qFormat/>
    <w:uiPriority w:val="0"/>
    <w:pPr>
      <w:widowControl/>
      <w:pBdr>
        <w:top w:val="single" w:color="auto" w:sz="4" w:space="0"/>
        <w:left w:val="single" w:color="auto" w:sz="4" w:space="0"/>
        <w:bottom w:val="single" w:color="auto" w:sz="4" w:space="0"/>
        <w:right w:val="double" w:color="auto" w:sz="6"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988">
    <w:name w:val="xl220"/>
    <w:basedOn w:val="1"/>
    <w:autoRedefine/>
    <w:qFormat/>
    <w:uiPriority w:val="0"/>
    <w:pPr>
      <w:widowControl/>
      <w:pBdr>
        <w:top w:val="single" w:color="auto" w:sz="4" w:space="0"/>
        <w:bottom w:val="single" w:color="auto" w:sz="4" w:space="0"/>
        <w:right w:val="double" w:color="auto" w:sz="6" w:space="0"/>
      </w:pBdr>
      <w:shd w:val="clear" w:color="auto" w:fill="FFCC99"/>
      <w:spacing w:before="100" w:beforeAutospacing="1" w:after="100" w:afterAutospacing="1"/>
      <w:jc w:val="left"/>
    </w:pPr>
    <w:rPr>
      <w:rFonts w:ascii="宋体" w:hAnsi="宋体" w:cs="宋体"/>
      <w:b/>
      <w:bCs/>
      <w:kern w:val="0"/>
      <w:sz w:val="20"/>
    </w:rPr>
  </w:style>
  <w:style w:type="paragraph" w:customStyle="1" w:styleId="989">
    <w:name w:val="xl171"/>
    <w:basedOn w:val="1"/>
    <w:autoRedefine/>
    <w:qFormat/>
    <w:uiPriority w:val="0"/>
    <w:pPr>
      <w:widowControl/>
      <w:pBdr>
        <w:top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90">
    <w:name w:val="xl157"/>
    <w:basedOn w:val="1"/>
    <w:autoRedefine/>
    <w:qFormat/>
    <w:uiPriority w:val="0"/>
    <w:pPr>
      <w:widowControl/>
      <w:pBdr>
        <w:top w:val="single" w:color="auto" w:sz="4" w:space="0"/>
        <w:left w:val="single" w:color="auto" w:sz="4" w:space="0"/>
      </w:pBdr>
      <w:spacing w:before="100" w:beforeAutospacing="1" w:after="100" w:afterAutospacing="1"/>
      <w:jc w:val="center"/>
    </w:pPr>
    <w:rPr>
      <w:rFonts w:ascii="宋体" w:hAnsi="宋体" w:cs="宋体"/>
      <w:b/>
      <w:bCs/>
      <w:kern w:val="0"/>
      <w:sz w:val="20"/>
    </w:rPr>
  </w:style>
  <w:style w:type="paragraph" w:customStyle="1" w:styleId="991">
    <w:name w:val="font14"/>
    <w:basedOn w:val="1"/>
    <w:autoRedefine/>
    <w:qFormat/>
    <w:uiPriority w:val="0"/>
    <w:pPr>
      <w:widowControl/>
      <w:spacing w:before="100" w:beforeAutospacing="1" w:after="100" w:afterAutospacing="1"/>
      <w:jc w:val="left"/>
    </w:pPr>
    <w:rPr>
      <w:rFonts w:ascii="Arial" w:hAnsi="Arial" w:cs="Arial"/>
      <w:color w:val="000000"/>
      <w:kern w:val="0"/>
      <w:sz w:val="16"/>
      <w:szCs w:val="16"/>
    </w:rPr>
  </w:style>
  <w:style w:type="paragraph" w:customStyle="1" w:styleId="992">
    <w:name w:val="xl256"/>
    <w:basedOn w:val="1"/>
    <w:autoRedefine/>
    <w:qFormat/>
    <w:uiPriority w:val="0"/>
    <w:pPr>
      <w:widowControl/>
      <w:pBdr>
        <w:top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993">
    <w:name w:val="xl173"/>
    <w:basedOn w:val="1"/>
    <w:autoRedefine/>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szCs w:val="24"/>
    </w:rPr>
  </w:style>
  <w:style w:type="paragraph" w:customStyle="1" w:styleId="994">
    <w:name w:val="xl147"/>
    <w:basedOn w:val="1"/>
    <w:autoRedefine/>
    <w:qFormat/>
    <w:uiPriority w:val="0"/>
    <w:pPr>
      <w:widowControl/>
      <w:pBdr>
        <w:top w:val="single" w:color="auto" w:sz="4" w:space="0"/>
        <w:left w:val="single" w:color="auto" w:sz="4" w:space="0"/>
        <w:bottom w:val="double" w:color="auto" w:sz="6" w:space="0"/>
        <w:right w:val="single" w:color="auto" w:sz="4" w:space="0"/>
      </w:pBdr>
      <w:shd w:val="clear" w:color="auto" w:fill="CCFFFF"/>
      <w:spacing w:before="100" w:beforeAutospacing="1" w:after="100" w:afterAutospacing="1"/>
      <w:jc w:val="left"/>
    </w:pPr>
    <w:rPr>
      <w:rFonts w:ascii="宋体" w:hAnsi="宋体" w:cs="宋体"/>
      <w:kern w:val="0"/>
      <w:sz w:val="18"/>
      <w:szCs w:val="18"/>
    </w:rPr>
  </w:style>
  <w:style w:type="paragraph" w:customStyle="1" w:styleId="995">
    <w:name w:val="表头样式"/>
    <w:basedOn w:val="883"/>
    <w:autoRedefine/>
    <w:qFormat/>
    <w:uiPriority w:val="0"/>
    <w:pPr>
      <w:jc w:val="center"/>
    </w:pPr>
    <w:rPr>
      <w:rFonts w:cs="宋体"/>
      <w:szCs w:val="20"/>
    </w:rPr>
  </w:style>
  <w:style w:type="paragraph" w:customStyle="1" w:styleId="996">
    <w:name w:val="xl187"/>
    <w:basedOn w:val="1"/>
    <w:autoRedefine/>
    <w:qFormat/>
    <w:uiPriority w:val="0"/>
    <w:pPr>
      <w:widowControl/>
      <w:pBdr>
        <w:left w:val="single" w:color="auto" w:sz="4"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997">
    <w:name w:val="xl221"/>
    <w:basedOn w:val="1"/>
    <w:autoRedefine/>
    <w:qFormat/>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pPr>
    <w:rPr>
      <w:rFonts w:ascii="宋体" w:hAnsi="宋体" w:cs="宋体"/>
      <w:kern w:val="0"/>
      <w:sz w:val="18"/>
      <w:szCs w:val="18"/>
    </w:rPr>
  </w:style>
  <w:style w:type="paragraph" w:customStyle="1" w:styleId="998">
    <w:name w:val="xl198"/>
    <w:basedOn w:val="1"/>
    <w:autoRedefine/>
    <w:qFormat/>
    <w:uiPriority w:val="0"/>
    <w:pPr>
      <w:widowControl/>
      <w:pBdr>
        <w:top w:val="single" w:color="auto" w:sz="4" w:space="0"/>
        <w:left w:val="double" w:color="auto" w:sz="6" w:space="0"/>
        <w:bottom w:val="double" w:color="auto" w:sz="6" w:space="0"/>
        <w:right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999">
    <w:name w:val="标书原文本"/>
    <w:basedOn w:val="1"/>
    <w:autoRedefine/>
    <w:qFormat/>
    <w:uiPriority w:val="0"/>
    <w:pPr>
      <w:spacing w:afterLines="50" w:line="320" w:lineRule="exact"/>
      <w:ind w:left="720" w:leftChars="300" w:firstLine="420" w:firstLineChars="200"/>
    </w:pPr>
    <w:rPr>
      <w:rFonts w:ascii="Arial" w:hAnsi="Arial" w:cs="宋体"/>
      <w:szCs w:val="21"/>
    </w:rPr>
  </w:style>
  <w:style w:type="paragraph" w:customStyle="1" w:styleId="1000">
    <w:name w:val="font16"/>
    <w:basedOn w:val="1"/>
    <w:autoRedefine/>
    <w:qFormat/>
    <w:uiPriority w:val="0"/>
    <w:pPr>
      <w:widowControl/>
      <w:spacing w:before="100" w:beforeAutospacing="1" w:after="100" w:afterAutospacing="1"/>
      <w:jc w:val="left"/>
    </w:pPr>
    <w:rPr>
      <w:rFonts w:ascii="宋体" w:hAnsi="宋体" w:cs="宋体"/>
      <w:kern w:val="0"/>
      <w:sz w:val="16"/>
      <w:szCs w:val="16"/>
    </w:rPr>
  </w:style>
  <w:style w:type="paragraph" w:customStyle="1" w:styleId="1001">
    <w:name w:val="xl222"/>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left"/>
    </w:pPr>
    <w:rPr>
      <w:rFonts w:ascii="宋体" w:hAnsi="宋体" w:cs="宋体"/>
      <w:b/>
      <w:bCs/>
      <w:kern w:val="0"/>
      <w:sz w:val="20"/>
    </w:rPr>
  </w:style>
  <w:style w:type="paragraph" w:customStyle="1" w:styleId="1002">
    <w:name w:val="xl199"/>
    <w:basedOn w:val="1"/>
    <w:autoRedefine/>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1003">
    <w:name w:val="xl115"/>
    <w:basedOn w:val="1"/>
    <w:autoRedefine/>
    <w:qFormat/>
    <w:uiPriority w:val="0"/>
    <w:pPr>
      <w:widowControl/>
      <w:pBdr>
        <w:top w:val="single" w:color="auto" w:sz="4" w:space="0"/>
        <w:left w:val="single" w:color="auto" w:sz="4" w:space="0"/>
      </w:pBdr>
      <w:shd w:val="clear" w:color="auto" w:fill="FFFF99"/>
      <w:spacing w:before="100" w:beforeAutospacing="1" w:after="100" w:afterAutospacing="1"/>
      <w:jc w:val="left"/>
      <w:textAlignment w:val="top"/>
    </w:pPr>
    <w:rPr>
      <w:rFonts w:ascii="宋体" w:hAnsi="宋体" w:cs="宋体"/>
      <w:b/>
      <w:bCs/>
      <w:kern w:val="0"/>
      <w:sz w:val="20"/>
    </w:rPr>
  </w:style>
  <w:style w:type="paragraph" w:customStyle="1" w:styleId="1004">
    <w:name w:val="xl188"/>
    <w:basedOn w:val="1"/>
    <w:autoRedefine/>
    <w:qFormat/>
    <w:uiPriority w:val="0"/>
    <w:pPr>
      <w:widowControl/>
      <w:pBdr>
        <w:top w:val="single" w:color="auto" w:sz="4" w:space="0"/>
        <w:left w:val="double" w:color="auto" w:sz="6" w:space="0"/>
        <w:bottom w:val="single" w:color="auto" w:sz="4" w:space="0"/>
      </w:pBdr>
      <w:spacing w:before="100" w:beforeAutospacing="1" w:after="100" w:afterAutospacing="1"/>
      <w:jc w:val="center"/>
    </w:pPr>
    <w:rPr>
      <w:rFonts w:ascii="宋体" w:hAnsi="宋体" w:cs="宋体"/>
      <w:b/>
      <w:bCs/>
      <w:kern w:val="0"/>
      <w:sz w:val="18"/>
      <w:szCs w:val="18"/>
    </w:rPr>
  </w:style>
  <w:style w:type="paragraph" w:customStyle="1" w:styleId="1005">
    <w:name w:val="xl232"/>
    <w:basedOn w:val="1"/>
    <w:autoRedefine/>
    <w:qFormat/>
    <w:uiPriority w:val="0"/>
    <w:pPr>
      <w:widowControl/>
      <w:pBdr>
        <w:top w:val="single" w:color="auto" w:sz="4" w:space="0"/>
        <w:bottom w:val="single" w:color="auto" w:sz="4" w:space="0"/>
        <w:right w:val="single" w:color="auto" w:sz="4" w:space="0"/>
      </w:pBdr>
      <w:shd w:val="clear" w:color="auto" w:fill="FFFF99"/>
      <w:spacing w:before="100" w:beforeAutospacing="1" w:after="100" w:afterAutospacing="1"/>
      <w:jc w:val="left"/>
    </w:pPr>
    <w:rPr>
      <w:rFonts w:ascii="宋体" w:hAnsi="宋体" w:cs="宋体"/>
      <w:kern w:val="0"/>
      <w:sz w:val="24"/>
      <w:szCs w:val="24"/>
    </w:rPr>
  </w:style>
  <w:style w:type="paragraph" w:customStyle="1" w:styleId="1006">
    <w:name w:val="xl17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rPr>
  </w:style>
  <w:style w:type="paragraph" w:customStyle="1" w:styleId="1007">
    <w:name w:val="xl226"/>
    <w:basedOn w:val="1"/>
    <w:autoRedefine/>
    <w:qFormat/>
    <w:uiPriority w:val="0"/>
    <w:pPr>
      <w:widowControl/>
      <w:pBdr>
        <w:left w:val="single" w:color="auto" w:sz="4" w:space="0"/>
        <w:right w:val="double" w:color="auto" w:sz="6" w:space="0"/>
      </w:pBdr>
      <w:spacing w:before="100" w:beforeAutospacing="1" w:after="100" w:afterAutospacing="1"/>
      <w:textAlignment w:val="top"/>
    </w:pPr>
    <w:rPr>
      <w:rFonts w:ascii="宋体" w:hAnsi="宋体" w:cs="宋体"/>
      <w:kern w:val="0"/>
      <w:sz w:val="18"/>
      <w:szCs w:val="18"/>
    </w:rPr>
  </w:style>
  <w:style w:type="paragraph" w:customStyle="1" w:styleId="1008">
    <w:name w:val="xl189"/>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pPr>
    <w:rPr>
      <w:rFonts w:ascii="宋体" w:hAnsi="宋体" w:cs="宋体"/>
      <w:kern w:val="0"/>
      <w:sz w:val="18"/>
      <w:szCs w:val="18"/>
    </w:rPr>
  </w:style>
  <w:style w:type="paragraph" w:customStyle="1" w:styleId="1009">
    <w:name w:val="xl235"/>
    <w:basedOn w:val="1"/>
    <w:autoRedefine/>
    <w:qFormat/>
    <w:uiPriority w:val="0"/>
    <w:pPr>
      <w:widowControl/>
      <w:pBdr>
        <w:top w:val="single" w:color="auto" w:sz="4" w:space="0"/>
        <w:bottom w:val="single" w:color="auto" w:sz="4" w:space="0"/>
      </w:pBdr>
      <w:shd w:val="clear" w:color="auto" w:fill="FFFF99"/>
      <w:spacing w:before="100" w:beforeAutospacing="1" w:after="100" w:afterAutospacing="1"/>
      <w:jc w:val="left"/>
      <w:textAlignment w:val="center"/>
    </w:pPr>
    <w:rPr>
      <w:rFonts w:ascii="宋体" w:hAnsi="宋体" w:cs="宋体"/>
      <w:kern w:val="0"/>
      <w:sz w:val="24"/>
      <w:szCs w:val="24"/>
    </w:rPr>
  </w:style>
  <w:style w:type="paragraph" w:customStyle="1" w:styleId="1010">
    <w:name w:val="xl177"/>
    <w:basedOn w:val="1"/>
    <w:autoRedefine/>
    <w:qFormat/>
    <w:uiPriority w:val="0"/>
    <w:pPr>
      <w:widowControl/>
      <w:pBdr>
        <w:top w:val="single" w:color="auto" w:sz="4" w:space="0"/>
        <w:left w:val="double" w:color="auto" w:sz="6"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kern w:val="0"/>
      <w:sz w:val="18"/>
      <w:szCs w:val="18"/>
    </w:rPr>
  </w:style>
  <w:style w:type="paragraph" w:customStyle="1" w:styleId="1011">
    <w:name w:val="表格题注"/>
    <w:basedOn w:val="17"/>
    <w:autoRedefine/>
    <w:qFormat/>
    <w:uiPriority w:val="0"/>
    <w:pPr>
      <w:adjustRightInd w:val="0"/>
      <w:spacing w:before="0" w:after="0" w:afterLines="50" w:line="320" w:lineRule="exact"/>
    </w:pPr>
    <w:rPr>
      <w:rFonts w:hint="default" w:eastAsia="楷体_GB2312"/>
      <w:spacing w:val="10"/>
      <w:kern w:val="0"/>
    </w:rPr>
  </w:style>
  <w:style w:type="paragraph" w:customStyle="1" w:styleId="1012">
    <w:name w:val="xl19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013">
    <w:name w:val="xl236"/>
    <w:basedOn w:val="1"/>
    <w:autoRedefine/>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szCs w:val="24"/>
    </w:rPr>
  </w:style>
  <w:style w:type="paragraph" w:customStyle="1" w:styleId="1014">
    <w:name w:val="xl182"/>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1015">
    <w:name w:val="xl104"/>
    <w:basedOn w:val="1"/>
    <w:autoRedefine/>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16"/>
      <w:szCs w:val="16"/>
    </w:rPr>
  </w:style>
  <w:style w:type="paragraph" w:customStyle="1" w:styleId="1016">
    <w:name w:val="xl134"/>
    <w:basedOn w:val="1"/>
    <w:autoRedefine/>
    <w:qFormat/>
    <w:uiPriority w:val="0"/>
    <w:pPr>
      <w:widowControl/>
      <w:pBdr>
        <w:left w:val="single" w:color="auto" w:sz="4" w:space="0"/>
        <w:right w:val="single" w:color="auto" w:sz="4" w:space="0"/>
      </w:pBdr>
      <w:spacing w:before="100" w:beforeAutospacing="1" w:after="100" w:afterAutospacing="1"/>
      <w:jc w:val="center"/>
    </w:pPr>
    <w:rPr>
      <w:kern w:val="0"/>
      <w:sz w:val="18"/>
      <w:szCs w:val="18"/>
    </w:rPr>
  </w:style>
  <w:style w:type="paragraph" w:customStyle="1" w:styleId="1017">
    <w:name w:val="xl11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left"/>
    </w:pPr>
    <w:rPr>
      <w:rFonts w:ascii="宋体" w:hAnsi="宋体" w:cs="宋体"/>
      <w:b/>
      <w:bCs/>
      <w:kern w:val="0"/>
      <w:sz w:val="20"/>
    </w:rPr>
  </w:style>
  <w:style w:type="paragraph" w:customStyle="1" w:styleId="1018">
    <w:name w:val="xl223"/>
    <w:basedOn w:val="1"/>
    <w:autoRedefine/>
    <w:qFormat/>
    <w:uiPriority w:val="0"/>
    <w:pPr>
      <w:widowControl/>
      <w:pBdr>
        <w:left w:val="single" w:color="auto" w:sz="4" w:space="0"/>
        <w:bottom w:val="single" w:color="auto" w:sz="4" w:space="0"/>
        <w:right w:val="double" w:color="auto" w:sz="6" w:space="0"/>
      </w:pBdr>
      <w:spacing w:before="100" w:beforeAutospacing="1" w:after="100" w:afterAutospacing="1"/>
      <w:textAlignment w:val="top"/>
    </w:pPr>
    <w:rPr>
      <w:rFonts w:ascii="宋体" w:hAnsi="宋体" w:cs="宋体"/>
      <w:kern w:val="0"/>
      <w:sz w:val="24"/>
      <w:szCs w:val="24"/>
    </w:rPr>
  </w:style>
  <w:style w:type="paragraph" w:customStyle="1" w:styleId="1019">
    <w:name w:val="样式 只在字下加下划线 首行缩进:  2 字符"/>
    <w:basedOn w:val="1"/>
    <w:autoRedefine/>
    <w:qFormat/>
    <w:uiPriority w:val="0"/>
    <w:pPr>
      <w:spacing w:before="120" w:line="420" w:lineRule="atLeast"/>
      <w:ind w:left="600" w:leftChars="600" w:firstLine="200" w:firstLineChars="200"/>
    </w:pPr>
    <w:rPr>
      <w:rFonts w:cs="宋体"/>
      <w:sz w:val="24"/>
      <w:u w:val="words"/>
    </w:rPr>
  </w:style>
  <w:style w:type="paragraph" w:customStyle="1" w:styleId="1020">
    <w:name w:val="标书条款"/>
    <w:basedOn w:val="999"/>
    <w:next w:val="999"/>
    <w:autoRedefine/>
    <w:qFormat/>
    <w:uiPriority w:val="0"/>
    <w:rPr>
      <w:u w:val="single"/>
    </w:rPr>
  </w:style>
  <w:style w:type="paragraph" w:customStyle="1" w:styleId="1021">
    <w:name w:val="xl251"/>
    <w:basedOn w:val="1"/>
    <w:autoRedefine/>
    <w:qFormat/>
    <w:uiPriority w:val="0"/>
    <w:pPr>
      <w:widowControl/>
      <w:pBdr>
        <w:top w:val="single" w:color="auto" w:sz="4" w:space="0"/>
        <w:left w:val="single" w:color="auto" w:sz="4" w:space="0"/>
      </w:pBdr>
      <w:shd w:val="clear" w:color="auto" w:fill="FFFF99"/>
      <w:spacing w:before="100" w:beforeAutospacing="1" w:after="100" w:afterAutospacing="1"/>
      <w:jc w:val="left"/>
      <w:textAlignment w:val="top"/>
    </w:pPr>
    <w:rPr>
      <w:rFonts w:ascii="宋体" w:hAnsi="宋体" w:cs="宋体"/>
      <w:b/>
      <w:bCs/>
      <w:kern w:val="0"/>
      <w:sz w:val="20"/>
    </w:rPr>
  </w:style>
  <w:style w:type="paragraph" w:customStyle="1" w:styleId="1022">
    <w:name w:val="xl114"/>
    <w:basedOn w:val="1"/>
    <w:autoRedefine/>
    <w:qFormat/>
    <w:uiPriority w:val="0"/>
    <w:pPr>
      <w:widowControl/>
      <w:pBdr>
        <w:top w:val="single" w:color="auto" w:sz="4" w:space="0"/>
        <w:bottom w:val="single" w:color="auto" w:sz="4" w:space="0"/>
        <w:right w:val="double" w:color="auto" w:sz="6" w:space="0"/>
      </w:pBdr>
      <w:shd w:val="clear" w:color="auto" w:fill="FFFF99"/>
      <w:spacing w:before="100" w:beforeAutospacing="1" w:after="100" w:afterAutospacing="1"/>
      <w:jc w:val="center"/>
    </w:pPr>
    <w:rPr>
      <w:rFonts w:ascii="宋体" w:hAnsi="宋体" w:cs="宋体"/>
      <w:b/>
      <w:bCs/>
      <w:kern w:val="0"/>
      <w:sz w:val="20"/>
    </w:rPr>
  </w:style>
  <w:style w:type="paragraph" w:customStyle="1" w:styleId="1023">
    <w:name w:val="Char Char Char Char Char Char Char Char Char Char Char Char Char Char Char Char Char Char Char Char Char Char Char Char Char Char Char Char Char Char Char Char Char1"/>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1024">
    <w:name w:val="xl61"/>
    <w:basedOn w:val="1"/>
    <w:autoRedefine/>
    <w:qFormat/>
    <w:uiPriority w:val="0"/>
    <w:pPr>
      <w:widowControl/>
      <w:pBdr>
        <w:left w:val="single" w:color="auto" w:sz="4" w:space="0"/>
        <w:right w:val="single" w:color="auto" w:sz="4" w:space="0"/>
      </w:pBdr>
      <w:shd w:val="clear" w:color="auto" w:fill="CCFFFF"/>
      <w:spacing w:before="100" w:beforeAutospacing="1" w:after="100" w:afterAutospacing="1"/>
      <w:jc w:val="center"/>
    </w:pPr>
    <w:rPr>
      <w:kern w:val="0"/>
      <w:sz w:val="18"/>
      <w:szCs w:val="18"/>
    </w:rPr>
  </w:style>
  <w:style w:type="paragraph" w:customStyle="1" w:styleId="1025">
    <w:name w:val="Company Name"/>
    <w:basedOn w:val="1"/>
    <w:next w:val="1"/>
    <w:autoRedefine/>
    <w:qFormat/>
    <w:uiPriority w:val="0"/>
    <w:pPr>
      <w:widowControl/>
      <w:tabs>
        <w:tab w:val="left" w:pos="2160"/>
        <w:tab w:val="right" w:pos="7362"/>
      </w:tabs>
      <w:spacing w:before="240" w:after="40" w:line="220" w:lineRule="atLeast"/>
      <w:jc w:val="left"/>
    </w:pPr>
    <w:rPr>
      <w:rFonts w:ascii="Arial" w:hAnsi="Arial" w:eastAsia="PMingLiU"/>
      <w:kern w:val="0"/>
      <w:sz w:val="20"/>
      <w:lang w:eastAsia="en-US" w:bidi="en-US"/>
    </w:rPr>
  </w:style>
  <w:style w:type="paragraph" w:customStyle="1" w:styleId="1026">
    <w:name w:val="xl250"/>
    <w:basedOn w:val="1"/>
    <w:autoRedefine/>
    <w:qFormat/>
    <w:uiPriority w:val="0"/>
    <w:pPr>
      <w:widowControl/>
      <w:pBdr>
        <w:top w:val="single" w:color="auto" w:sz="4" w:space="0"/>
        <w:bottom w:val="single" w:color="auto" w:sz="4" w:space="0"/>
        <w:right w:val="double" w:color="auto" w:sz="6" w:space="0"/>
      </w:pBdr>
      <w:shd w:val="clear" w:color="auto" w:fill="FFFF99"/>
      <w:spacing w:before="100" w:beforeAutospacing="1" w:after="100" w:afterAutospacing="1"/>
      <w:jc w:val="center"/>
    </w:pPr>
    <w:rPr>
      <w:rFonts w:ascii="宋体" w:hAnsi="宋体" w:cs="宋体"/>
      <w:b/>
      <w:bCs/>
      <w:kern w:val="0"/>
      <w:sz w:val="20"/>
    </w:rPr>
  </w:style>
  <w:style w:type="paragraph" w:customStyle="1" w:styleId="1027">
    <w:name w:val="xl59"/>
    <w:basedOn w:val="1"/>
    <w:autoRedefine/>
    <w:qFormat/>
    <w:uiPriority w:val="0"/>
    <w:pPr>
      <w:widowControl/>
      <w:pBdr>
        <w:top w:val="single" w:color="auto" w:sz="4" w:space="0"/>
        <w:left w:val="double" w:color="auto" w:sz="6"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1028">
    <w:name w:val="xl108"/>
    <w:basedOn w:val="1"/>
    <w:autoRedefine/>
    <w:qFormat/>
    <w:uiPriority w:val="0"/>
    <w:pPr>
      <w:widowControl/>
      <w:pBdr>
        <w:bottom w:val="single" w:color="auto" w:sz="4" w:space="0"/>
        <w:right w:val="single" w:color="auto" w:sz="4" w:space="0"/>
      </w:pBdr>
      <w:spacing w:before="100" w:beforeAutospacing="1" w:after="100" w:afterAutospacing="1"/>
      <w:jc w:val="left"/>
    </w:pPr>
    <w:rPr>
      <w:rFonts w:ascii="黑体" w:hAnsi="宋体" w:eastAsia="黑体" w:cs="宋体"/>
      <w:kern w:val="0"/>
      <w:sz w:val="16"/>
      <w:szCs w:val="16"/>
    </w:rPr>
  </w:style>
  <w:style w:type="paragraph" w:customStyle="1" w:styleId="1029">
    <w:name w:val="xl6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1030">
    <w:name w:val="&gt;1:enum4 .enum"/>
    <w:basedOn w:val="1"/>
    <w:autoRedefine/>
    <w:qFormat/>
    <w:uiPriority w:val="0"/>
    <w:pPr>
      <w:widowControl/>
      <w:spacing w:before="50" w:after="50" w:line="280" w:lineRule="exact"/>
      <w:ind w:left="1135" w:hanging="284"/>
      <w:jc w:val="left"/>
    </w:pPr>
    <w:rPr>
      <w:rFonts w:ascii="Arial" w:hAnsi="Arial"/>
      <w:kern w:val="0"/>
      <w:sz w:val="20"/>
      <w:lang w:eastAsia="fr-FR" w:bidi="en-US"/>
    </w:rPr>
  </w:style>
  <w:style w:type="paragraph" w:customStyle="1" w:styleId="1031">
    <w:name w:val="xl23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kern w:val="0"/>
      <w:sz w:val="24"/>
      <w:szCs w:val="24"/>
    </w:rPr>
  </w:style>
  <w:style w:type="paragraph" w:customStyle="1" w:styleId="1032">
    <w:name w:val="xl25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1033">
    <w:name w:val="font20"/>
    <w:basedOn w:val="1"/>
    <w:autoRedefine/>
    <w:qFormat/>
    <w:uiPriority w:val="0"/>
    <w:pPr>
      <w:widowControl/>
      <w:spacing w:before="100" w:beforeAutospacing="1" w:after="100" w:afterAutospacing="1"/>
      <w:jc w:val="left"/>
    </w:pPr>
    <w:rPr>
      <w:color w:val="0000FF"/>
      <w:kern w:val="0"/>
      <w:sz w:val="20"/>
    </w:rPr>
  </w:style>
  <w:style w:type="paragraph" w:customStyle="1" w:styleId="1034">
    <w:name w:val="xl62"/>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kern w:val="0"/>
      <w:sz w:val="18"/>
      <w:szCs w:val="18"/>
    </w:rPr>
  </w:style>
  <w:style w:type="paragraph" w:customStyle="1" w:styleId="1035">
    <w:name w:val="xl116"/>
    <w:basedOn w:val="1"/>
    <w:autoRedefine/>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jc w:val="center"/>
    </w:pPr>
    <w:rPr>
      <w:rFonts w:ascii="宋体" w:hAnsi="宋体" w:cs="宋体"/>
      <w:b/>
      <w:bCs/>
      <w:kern w:val="0"/>
      <w:sz w:val="20"/>
    </w:rPr>
  </w:style>
  <w:style w:type="paragraph" w:customStyle="1" w:styleId="1036">
    <w:name w:val="xl63"/>
    <w:basedOn w:val="1"/>
    <w:autoRedefine/>
    <w:qFormat/>
    <w:uiPriority w:val="0"/>
    <w:pPr>
      <w:widowControl/>
      <w:pBdr>
        <w:top w:val="single" w:color="auto" w:sz="4" w:space="0"/>
        <w:left w:val="double" w:color="auto" w:sz="6" w:space="0"/>
        <w:bottom w:val="double" w:color="auto" w:sz="6" w:space="0"/>
        <w:right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1037">
    <w:name w:val="xl225"/>
    <w:basedOn w:val="1"/>
    <w:autoRedefine/>
    <w:qFormat/>
    <w:uiPriority w:val="0"/>
    <w:pPr>
      <w:widowControl/>
      <w:pBdr>
        <w:top w:val="single" w:color="auto" w:sz="4" w:space="0"/>
        <w:left w:val="single" w:color="auto" w:sz="4" w:space="0"/>
        <w:right w:val="double" w:color="auto" w:sz="6" w:space="0"/>
      </w:pBdr>
      <w:spacing w:before="100" w:beforeAutospacing="1" w:after="100" w:afterAutospacing="1"/>
      <w:textAlignment w:val="top"/>
    </w:pPr>
    <w:rPr>
      <w:rFonts w:ascii="宋体" w:hAnsi="宋体" w:cs="宋体"/>
      <w:kern w:val="0"/>
      <w:sz w:val="18"/>
      <w:szCs w:val="18"/>
    </w:rPr>
  </w:style>
  <w:style w:type="paragraph" w:customStyle="1" w:styleId="1038">
    <w:name w:val="font22"/>
    <w:basedOn w:val="1"/>
    <w:autoRedefine/>
    <w:qFormat/>
    <w:uiPriority w:val="0"/>
    <w:pPr>
      <w:widowControl/>
      <w:spacing w:before="100" w:beforeAutospacing="1" w:after="100" w:afterAutospacing="1"/>
      <w:jc w:val="left"/>
    </w:pPr>
    <w:rPr>
      <w:kern w:val="0"/>
      <w:sz w:val="24"/>
      <w:szCs w:val="24"/>
    </w:rPr>
  </w:style>
  <w:style w:type="paragraph" w:customStyle="1" w:styleId="1039">
    <w:name w:val="xl229"/>
    <w:basedOn w:val="1"/>
    <w:autoRedefine/>
    <w:qFormat/>
    <w:uiPriority w:val="0"/>
    <w:pPr>
      <w:widowControl/>
      <w:pBdr>
        <w:left w:val="single" w:color="auto" w:sz="4" w:space="0"/>
        <w:right w:val="double" w:color="auto" w:sz="6" w:space="0"/>
      </w:pBdr>
      <w:spacing w:before="100" w:beforeAutospacing="1" w:after="100" w:afterAutospacing="1"/>
      <w:textAlignment w:val="top"/>
    </w:pPr>
    <w:rPr>
      <w:rFonts w:ascii="宋体" w:hAnsi="宋体" w:cs="宋体"/>
      <w:kern w:val="0"/>
      <w:sz w:val="24"/>
      <w:szCs w:val="24"/>
    </w:rPr>
  </w:style>
  <w:style w:type="paragraph" w:customStyle="1" w:styleId="1040">
    <w:name w:val="&gt;1:list2  1)suite"/>
    <w:basedOn w:val="1041"/>
    <w:autoRedefine/>
    <w:qFormat/>
    <w:uiPriority w:val="0"/>
    <w:pPr>
      <w:tabs>
        <w:tab w:val="left" w:pos="709"/>
        <w:tab w:val="left" w:pos="1061"/>
        <w:tab w:val="left" w:pos="1418"/>
      </w:tabs>
      <w:spacing w:before="50"/>
      <w:ind w:left="0" w:firstLine="0"/>
      <w:jc w:val="both"/>
    </w:pPr>
  </w:style>
  <w:style w:type="paragraph" w:customStyle="1" w:styleId="1041">
    <w:name w:val="&gt;1:list2  1)"/>
    <w:basedOn w:val="1"/>
    <w:autoRedefine/>
    <w:qFormat/>
    <w:uiPriority w:val="0"/>
    <w:pPr>
      <w:widowControl/>
      <w:tabs>
        <w:tab w:val="left" w:pos="709"/>
        <w:tab w:val="left" w:pos="1061"/>
        <w:tab w:val="left" w:pos="1418"/>
      </w:tabs>
      <w:spacing w:before="170" w:after="50" w:line="280" w:lineRule="exact"/>
      <w:ind w:left="568" w:hanging="284"/>
      <w:jc w:val="left"/>
    </w:pPr>
    <w:rPr>
      <w:rFonts w:ascii="Arial" w:hAnsi="Arial"/>
      <w:kern w:val="0"/>
      <w:sz w:val="20"/>
      <w:lang w:eastAsia="fr-FR" w:bidi="en-US"/>
    </w:rPr>
  </w:style>
  <w:style w:type="paragraph" w:customStyle="1" w:styleId="1042">
    <w:name w:val="font23"/>
    <w:basedOn w:val="1"/>
    <w:autoRedefine/>
    <w:qFormat/>
    <w:uiPriority w:val="0"/>
    <w:pPr>
      <w:widowControl/>
      <w:spacing w:before="100" w:beforeAutospacing="1" w:after="100" w:afterAutospacing="1"/>
      <w:jc w:val="left"/>
    </w:pPr>
    <w:rPr>
      <w:rFonts w:ascii="仿宋_GB2312" w:hAnsi="宋体" w:eastAsia="仿宋_GB2312" w:cs="宋体"/>
      <w:color w:val="000000"/>
      <w:kern w:val="0"/>
      <w:sz w:val="20"/>
    </w:rPr>
  </w:style>
  <w:style w:type="paragraph" w:customStyle="1" w:styleId="1043">
    <w:name w:val="xl64"/>
    <w:basedOn w:val="1"/>
    <w:autoRedefine/>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1044">
    <w:name w:val="xl247"/>
    <w:basedOn w:val="1"/>
    <w:autoRedefine/>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jc w:val="left"/>
      <w:textAlignment w:val="top"/>
    </w:pPr>
    <w:rPr>
      <w:rFonts w:ascii="宋体" w:hAnsi="宋体" w:cs="宋体"/>
      <w:b/>
      <w:bCs/>
      <w:kern w:val="0"/>
      <w:sz w:val="20"/>
    </w:rPr>
  </w:style>
  <w:style w:type="paragraph" w:customStyle="1" w:styleId="1045">
    <w:name w:val="Char Char Char Char Char Char Char Char Char Char Char Char Char Char Char Char Char Char Char Char Char Char Char Char Char Char Char Char Char Char Char Char Char2"/>
    <w:basedOn w:val="1"/>
    <w:autoRedefine/>
    <w:qFormat/>
    <w:uiPriority w:val="0"/>
    <w:pPr>
      <w:widowControl/>
      <w:spacing w:after="160" w:line="240" w:lineRule="exact"/>
      <w:jc w:val="left"/>
    </w:pPr>
    <w:rPr>
      <w:rFonts w:ascii="Verdana" w:hAnsi="Verdana" w:eastAsia="仿宋_GB2312" w:cs="Verdana"/>
      <w:kern w:val="0"/>
      <w:sz w:val="24"/>
      <w:szCs w:val="24"/>
      <w:lang w:eastAsia="en-US"/>
    </w:rPr>
  </w:style>
  <w:style w:type="paragraph" w:customStyle="1" w:styleId="1046">
    <w:name w:val="Char Char9 Char Char"/>
    <w:basedOn w:val="1"/>
    <w:autoRedefine/>
    <w:qFormat/>
    <w:uiPriority w:val="0"/>
    <w:rPr>
      <w:rFonts w:ascii="Tahoma" w:hAnsi="Tahoma"/>
      <w:sz w:val="24"/>
    </w:rPr>
  </w:style>
  <w:style w:type="paragraph" w:customStyle="1" w:styleId="1047">
    <w:name w:val="&gt;1:enum2 .suite"/>
    <w:basedOn w:val="1"/>
    <w:autoRedefine/>
    <w:qFormat/>
    <w:uiPriority w:val="0"/>
    <w:pPr>
      <w:widowControl/>
      <w:tabs>
        <w:tab w:val="left" w:pos="709"/>
        <w:tab w:val="left" w:pos="1061"/>
        <w:tab w:val="left" w:pos="1418"/>
      </w:tabs>
      <w:spacing w:after="50" w:line="280" w:lineRule="exact"/>
      <w:ind w:left="562"/>
      <w:jc w:val="left"/>
    </w:pPr>
    <w:rPr>
      <w:rFonts w:ascii="Arial" w:hAnsi="Arial"/>
      <w:kern w:val="0"/>
      <w:sz w:val="20"/>
      <w:lang w:eastAsia="fr-FR" w:bidi="en-US"/>
    </w:rPr>
  </w:style>
  <w:style w:type="paragraph" w:customStyle="1" w:styleId="1048">
    <w:name w:val="xl13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049">
    <w:name w:val="&gt;1:enum3 -:suite"/>
    <w:basedOn w:val="1"/>
    <w:autoRedefine/>
    <w:qFormat/>
    <w:uiPriority w:val="0"/>
    <w:pPr>
      <w:widowControl/>
      <w:tabs>
        <w:tab w:val="left" w:pos="351"/>
        <w:tab w:val="left" w:pos="709"/>
        <w:tab w:val="left" w:pos="1061"/>
        <w:tab w:val="left" w:pos="1418"/>
      </w:tabs>
      <w:spacing w:after="50" w:line="280" w:lineRule="exact"/>
      <w:ind w:left="851"/>
      <w:jc w:val="left"/>
    </w:pPr>
    <w:rPr>
      <w:rFonts w:ascii="Arial" w:hAnsi="Arial"/>
      <w:kern w:val="0"/>
      <w:sz w:val="20"/>
      <w:lang w:eastAsia="fr-FR" w:bidi="en-US"/>
    </w:rPr>
  </w:style>
  <w:style w:type="paragraph" w:customStyle="1" w:styleId="1050">
    <w:name w:val="xl382"/>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051">
    <w:name w:val="xl99"/>
    <w:basedOn w:val="1"/>
    <w:autoRedefine/>
    <w:qFormat/>
    <w:uiPriority w:val="0"/>
    <w:pPr>
      <w:widowControl/>
      <w:pBdr>
        <w:top w:val="single" w:color="auto" w:sz="4" w:space="0"/>
        <w:bottom w:val="single" w:color="auto" w:sz="4" w:space="0"/>
        <w:right w:val="double" w:color="auto" w:sz="6" w:space="0"/>
      </w:pBdr>
      <w:spacing w:before="100" w:beforeAutospacing="1" w:after="100" w:afterAutospacing="1"/>
      <w:jc w:val="left"/>
    </w:pPr>
    <w:rPr>
      <w:rFonts w:ascii="宋体" w:hAnsi="宋体" w:cs="宋体"/>
      <w:kern w:val="0"/>
      <w:sz w:val="20"/>
    </w:rPr>
  </w:style>
  <w:style w:type="paragraph" w:customStyle="1" w:styleId="1052">
    <w:name w:val="xl122"/>
    <w:basedOn w:val="1"/>
    <w:autoRedefine/>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jc w:val="left"/>
      <w:textAlignment w:val="top"/>
    </w:pPr>
    <w:rPr>
      <w:rFonts w:ascii="宋体" w:hAnsi="宋体" w:cs="宋体"/>
      <w:b/>
      <w:bCs/>
      <w:kern w:val="0"/>
      <w:sz w:val="20"/>
    </w:rPr>
  </w:style>
  <w:style w:type="paragraph" w:customStyle="1" w:styleId="1053">
    <w:name w:val="xl25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rPr>
  </w:style>
  <w:style w:type="paragraph" w:customStyle="1" w:styleId="1054">
    <w:name w:val="xl230"/>
    <w:basedOn w:val="1"/>
    <w:autoRedefine/>
    <w:qFormat/>
    <w:uiPriority w:val="0"/>
    <w:pPr>
      <w:widowControl/>
      <w:pBdr>
        <w:top w:val="single" w:color="auto" w:sz="4" w:space="0"/>
        <w:left w:val="single" w:color="auto" w:sz="4" w:space="0"/>
        <w:bottom w:val="single" w:color="auto" w:sz="4" w:space="0"/>
      </w:pBdr>
      <w:shd w:val="clear" w:color="auto" w:fill="FFFF99"/>
      <w:spacing w:before="100" w:beforeAutospacing="1" w:after="100" w:afterAutospacing="1"/>
    </w:pPr>
    <w:rPr>
      <w:rFonts w:ascii="宋体" w:hAnsi="宋体" w:cs="宋体"/>
      <w:b/>
      <w:bCs/>
      <w:kern w:val="0"/>
      <w:sz w:val="20"/>
    </w:rPr>
  </w:style>
  <w:style w:type="paragraph" w:customStyle="1" w:styleId="1055">
    <w:name w:val="xl227"/>
    <w:basedOn w:val="1"/>
    <w:autoRedefine/>
    <w:qFormat/>
    <w:uiPriority w:val="0"/>
    <w:pPr>
      <w:widowControl/>
      <w:pBdr>
        <w:left w:val="single" w:color="auto" w:sz="4" w:space="0"/>
        <w:right w:val="double" w:color="auto" w:sz="6" w:space="0"/>
      </w:pBdr>
      <w:spacing w:before="100" w:beforeAutospacing="1" w:after="100" w:afterAutospacing="1"/>
      <w:jc w:val="left"/>
      <w:textAlignment w:val="top"/>
    </w:pPr>
    <w:rPr>
      <w:rFonts w:ascii="宋体" w:hAnsi="宋体" w:cs="宋体"/>
      <w:kern w:val="0"/>
      <w:sz w:val="24"/>
      <w:szCs w:val="24"/>
    </w:rPr>
  </w:style>
  <w:style w:type="paragraph" w:customStyle="1" w:styleId="1056">
    <w:name w:val="xl118"/>
    <w:basedOn w:val="1"/>
    <w:autoRedefine/>
    <w:qFormat/>
    <w:uiPriority w:val="0"/>
    <w:pPr>
      <w:widowControl/>
      <w:pBdr>
        <w:top w:val="single" w:color="auto" w:sz="4" w:space="0"/>
        <w:bottom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1057">
    <w:name w:val="xl100"/>
    <w:basedOn w:val="1"/>
    <w:autoRedefine/>
    <w:qFormat/>
    <w:uiPriority w:val="0"/>
    <w:pPr>
      <w:widowControl/>
      <w:pBdr>
        <w:top w:val="single" w:color="auto" w:sz="4" w:space="0"/>
        <w:bottom w:val="single" w:color="auto" w:sz="4" w:space="0"/>
        <w:right w:val="double" w:color="auto" w:sz="6" w:space="0"/>
      </w:pBdr>
      <w:spacing w:before="100" w:beforeAutospacing="1" w:after="100" w:afterAutospacing="1"/>
      <w:jc w:val="left"/>
    </w:pPr>
    <w:rPr>
      <w:rFonts w:ascii="宋体" w:hAnsi="宋体" w:cs="宋体"/>
      <w:kern w:val="0"/>
      <w:sz w:val="20"/>
    </w:rPr>
  </w:style>
  <w:style w:type="paragraph" w:customStyle="1" w:styleId="1058">
    <w:name w:val="xl12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1059">
    <w:name w:val="xl130"/>
    <w:basedOn w:val="1"/>
    <w:autoRedefine/>
    <w:qFormat/>
    <w:uiPriority w:val="0"/>
    <w:pPr>
      <w:widowControl/>
      <w:pBdr>
        <w:left w:val="single" w:color="auto" w:sz="4"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1060">
    <w:name w:val="xl119"/>
    <w:basedOn w:val="1"/>
    <w:autoRedefine/>
    <w:qFormat/>
    <w:uiPriority w:val="0"/>
    <w:pPr>
      <w:widowControl/>
      <w:pBdr>
        <w:top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1061">
    <w:name w:val="xl233"/>
    <w:basedOn w:val="1"/>
    <w:autoRedefine/>
    <w:qFormat/>
    <w:uiPriority w:val="0"/>
    <w:pPr>
      <w:widowControl/>
      <w:pBdr>
        <w:top w:val="single" w:color="auto" w:sz="4" w:space="0"/>
        <w:left w:val="double" w:color="auto" w:sz="6"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1062">
    <w:name w:val="xl127"/>
    <w:basedOn w:val="1"/>
    <w:autoRedefine/>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rPr>
  </w:style>
  <w:style w:type="paragraph" w:customStyle="1" w:styleId="1063">
    <w:name w:val="xl228"/>
    <w:basedOn w:val="1"/>
    <w:autoRedefine/>
    <w:qFormat/>
    <w:uiPriority w:val="0"/>
    <w:pPr>
      <w:widowControl/>
      <w:pBdr>
        <w:left w:val="single" w:color="auto" w:sz="4" w:space="0"/>
        <w:bottom w:val="single" w:color="auto" w:sz="4" w:space="0"/>
        <w:right w:val="double" w:color="auto" w:sz="6" w:space="0"/>
      </w:pBdr>
      <w:spacing w:before="100" w:beforeAutospacing="1" w:after="100" w:afterAutospacing="1"/>
      <w:jc w:val="left"/>
      <w:textAlignment w:val="top"/>
    </w:pPr>
    <w:rPr>
      <w:rFonts w:ascii="宋体" w:hAnsi="宋体" w:cs="宋体"/>
      <w:kern w:val="0"/>
      <w:sz w:val="24"/>
      <w:szCs w:val="24"/>
    </w:rPr>
  </w:style>
  <w:style w:type="paragraph" w:customStyle="1" w:styleId="1064">
    <w:name w:val="xl1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rPr>
  </w:style>
  <w:style w:type="paragraph" w:customStyle="1" w:styleId="1065">
    <w:name w:val="xl241"/>
    <w:basedOn w:val="1"/>
    <w:autoRedefine/>
    <w:qFormat/>
    <w:uiPriority w:val="0"/>
    <w:pPr>
      <w:widowControl/>
      <w:pBdr>
        <w:top w:val="single" w:color="auto" w:sz="4" w:space="0"/>
        <w:bottom w:val="single" w:color="auto" w:sz="4" w:space="0"/>
      </w:pBdr>
      <w:shd w:val="clear" w:color="auto" w:fill="FFCC99"/>
      <w:spacing w:before="100" w:beforeAutospacing="1" w:after="100" w:afterAutospacing="1"/>
      <w:jc w:val="center"/>
    </w:pPr>
    <w:rPr>
      <w:rFonts w:ascii="宋体" w:hAnsi="宋体" w:cs="宋体"/>
      <w:kern w:val="0"/>
      <w:sz w:val="24"/>
      <w:szCs w:val="24"/>
    </w:rPr>
  </w:style>
  <w:style w:type="paragraph" w:customStyle="1" w:styleId="1066">
    <w:name w:val="xl14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kern w:val="0"/>
      <w:sz w:val="18"/>
      <w:szCs w:val="18"/>
    </w:rPr>
  </w:style>
  <w:style w:type="paragraph" w:customStyle="1" w:styleId="1067">
    <w:name w:val="xl10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pPr>
    <w:rPr>
      <w:rFonts w:ascii="宋体" w:hAnsi="宋体" w:cs="宋体"/>
      <w:kern w:val="0"/>
      <w:sz w:val="24"/>
      <w:szCs w:val="24"/>
    </w:rPr>
  </w:style>
  <w:style w:type="paragraph" w:customStyle="1" w:styleId="1068">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w:hAnsi="Arial" w:cs="Arial"/>
      <w:color w:val="000000"/>
      <w:kern w:val="0"/>
      <w:sz w:val="16"/>
      <w:szCs w:val="16"/>
    </w:rPr>
  </w:style>
  <w:style w:type="paragraph" w:customStyle="1" w:styleId="1069">
    <w:name w:val="xl110"/>
    <w:basedOn w:val="1"/>
    <w:autoRedefine/>
    <w:qFormat/>
    <w:uiPriority w:val="0"/>
    <w:pPr>
      <w:widowControl/>
      <w:pBdr>
        <w:top w:val="single" w:color="auto" w:sz="4" w:space="0"/>
        <w:left w:val="single" w:color="auto" w:sz="4" w:space="0"/>
        <w:bottom w:val="double" w:color="auto" w:sz="6" w:space="0"/>
        <w:right w:val="single" w:color="auto" w:sz="4" w:space="0"/>
      </w:pBdr>
      <w:shd w:val="clear" w:color="auto" w:fill="CCFFFF"/>
      <w:spacing w:before="100" w:beforeAutospacing="1" w:after="100" w:afterAutospacing="1"/>
      <w:jc w:val="left"/>
    </w:pPr>
    <w:rPr>
      <w:rFonts w:ascii="宋体" w:hAnsi="宋体" w:cs="宋体"/>
      <w:kern w:val="0"/>
      <w:sz w:val="18"/>
      <w:szCs w:val="18"/>
    </w:rPr>
  </w:style>
  <w:style w:type="paragraph" w:customStyle="1" w:styleId="1070">
    <w:name w:val="xl23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top"/>
    </w:pPr>
    <w:rPr>
      <w:rFonts w:ascii="宋体" w:hAnsi="宋体" w:cs="宋体"/>
      <w:kern w:val="0"/>
      <w:sz w:val="20"/>
    </w:rPr>
  </w:style>
  <w:style w:type="paragraph" w:customStyle="1" w:styleId="1071">
    <w:name w:val="xl263"/>
    <w:basedOn w:val="1"/>
    <w:autoRedefine/>
    <w:qFormat/>
    <w:uiPriority w:val="0"/>
    <w:pPr>
      <w:widowControl/>
      <w:pBdr>
        <w:top w:val="single" w:color="auto" w:sz="4" w:space="0"/>
        <w:left w:val="double" w:color="auto" w:sz="6"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kern w:val="0"/>
      <w:sz w:val="20"/>
    </w:rPr>
  </w:style>
  <w:style w:type="paragraph" w:customStyle="1" w:styleId="1072">
    <w:name w:val="xl136"/>
    <w:basedOn w:val="1"/>
    <w:autoRedefine/>
    <w:qFormat/>
    <w:uiPriority w:val="0"/>
    <w:pPr>
      <w:widowControl/>
      <w:pBdr>
        <w:top w:val="single" w:color="auto" w:sz="4" w:space="0"/>
        <w:left w:val="double" w:color="auto" w:sz="6"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1073">
    <w:name w:val="xl111"/>
    <w:basedOn w:val="1"/>
    <w:autoRedefine/>
    <w:qFormat/>
    <w:uiPriority w:val="0"/>
    <w:pPr>
      <w:widowControl/>
      <w:pBdr>
        <w:top w:val="single" w:color="auto" w:sz="4" w:space="0"/>
        <w:left w:val="single" w:color="auto" w:sz="4"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1074">
    <w:name w:val="xl259"/>
    <w:basedOn w:val="1"/>
    <w:autoRedefine/>
    <w:qFormat/>
    <w:uiPriority w:val="0"/>
    <w:pPr>
      <w:widowControl/>
      <w:pBdr>
        <w:top w:val="single" w:color="auto" w:sz="4" w:space="0"/>
        <w:left w:val="single" w:color="auto" w:sz="4" w:space="0"/>
        <w:bottom w:val="single" w:color="auto" w:sz="4" w:space="0"/>
        <w:right w:val="double" w:color="auto" w:sz="6" w:space="0"/>
      </w:pBdr>
      <w:shd w:val="clear" w:color="auto" w:fill="FFFF00"/>
      <w:spacing w:before="100" w:beforeAutospacing="1" w:after="100" w:afterAutospacing="1"/>
      <w:jc w:val="left"/>
    </w:pPr>
    <w:rPr>
      <w:rFonts w:ascii="宋体" w:hAnsi="宋体" w:cs="宋体"/>
      <w:kern w:val="0"/>
      <w:sz w:val="20"/>
    </w:rPr>
  </w:style>
  <w:style w:type="paragraph" w:customStyle="1" w:styleId="1075">
    <w:name w:val="xl156"/>
    <w:basedOn w:val="1"/>
    <w:autoRedefine/>
    <w:qFormat/>
    <w:uiPriority w:val="0"/>
    <w:pPr>
      <w:widowControl/>
      <w:pBdr>
        <w:left w:val="single" w:color="auto" w:sz="4" w:space="0"/>
        <w:bottom w:val="single" w:color="auto" w:sz="4" w:space="0"/>
        <w:right w:val="double" w:color="auto" w:sz="6" w:space="0"/>
      </w:pBdr>
      <w:spacing w:before="100" w:beforeAutospacing="1" w:after="100" w:afterAutospacing="1"/>
      <w:textAlignment w:val="top"/>
    </w:pPr>
    <w:rPr>
      <w:rFonts w:ascii="宋体" w:hAnsi="宋体" w:cs="宋体"/>
      <w:kern w:val="0"/>
      <w:sz w:val="24"/>
      <w:szCs w:val="24"/>
    </w:rPr>
  </w:style>
  <w:style w:type="paragraph" w:customStyle="1" w:styleId="1076">
    <w:name w:val="xl112"/>
    <w:basedOn w:val="1"/>
    <w:autoRedefine/>
    <w:qFormat/>
    <w:uiPriority w:val="0"/>
    <w:pPr>
      <w:widowControl/>
      <w:pBdr>
        <w:top w:val="single" w:color="auto" w:sz="4" w:space="0"/>
        <w:bottom w:val="single" w:color="auto" w:sz="4" w:space="0"/>
        <w:right w:val="double" w:color="auto" w:sz="6" w:space="0"/>
      </w:pBdr>
      <w:shd w:val="clear" w:color="auto" w:fill="FFCC99"/>
      <w:spacing w:before="100" w:beforeAutospacing="1" w:after="100" w:afterAutospacing="1"/>
      <w:jc w:val="left"/>
    </w:pPr>
    <w:rPr>
      <w:rFonts w:ascii="宋体" w:hAnsi="宋体" w:cs="宋体"/>
      <w:b/>
      <w:bCs/>
      <w:kern w:val="0"/>
      <w:sz w:val="20"/>
    </w:rPr>
  </w:style>
  <w:style w:type="paragraph" w:customStyle="1" w:styleId="1077">
    <w:name w:val="&gt;1:enum4 .suite"/>
    <w:basedOn w:val="1"/>
    <w:autoRedefine/>
    <w:qFormat/>
    <w:uiPriority w:val="0"/>
    <w:pPr>
      <w:widowControl/>
      <w:spacing w:after="50" w:line="280" w:lineRule="exact"/>
      <w:ind w:left="1134"/>
      <w:jc w:val="left"/>
    </w:pPr>
    <w:rPr>
      <w:rFonts w:ascii="Arial" w:hAnsi="Arial"/>
      <w:kern w:val="0"/>
      <w:sz w:val="20"/>
      <w:lang w:eastAsia="fr-FR" w:bidi="en-US"/>
    </w:rPr>
  </w:style>
  <w:style w:type="paragraph" w:customStyle="1" w:styleId="1078">
    <w:name w:val="xl244"/>
    <w:basedOn w:val="1"/>
    <w:autoRedefine/>
    <w:qFormat/>
    <w:uiPriority w:val="0"/>
    <w:pPr>
      <w:widowControl/>
      <w:pBdr>
        <w:top w:val="single" w:color="auto" w:sz="4" w:space="0"/>
        <w:left w:val="single" w:color="auto" w:sz="4" w:space="0"/>
        <w:right w:val="double" w:color="auto" w:sz="6" w:space="0"/>
      </w:pBdr>
      <w:spacing w:before="100" w:beforeAutospacing="1" w:after="100" w:afterAutospacing="1"/>
      <w:textAlignment w:val="top"/>
    </w:pPr>
    <w:rPr>
      <w:kern w:val="0"/>
      <w:sz w:val="18"/>
      <w:szCs w:val="18"/>
    </w:rPr>
  </w:style>
  <w:style w:type="paragraph" w:customStyle="1" w:styleId="1079">
    <w:name w:val="xl141"/>
    <w:basedOn w:val="1"/>
    <w:autoRedefine/>
    <w:qFormat/>
    <w:uiPriority w:val="0"/>
    <w:pPr>
      <w:widowControl/>
      <w:pBdr>
        <w:top w:val="single" w:color="auto" w:sz="4" w:space="0"/>
        <w:left w:val="double" w:color="auto" w:sz="6" w:space="0"/>
        <w:bottom w:val="double" w:color="auto" w:sz="6" w:space="0"/>
        <w:right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1080">
    <w:name w:val="xl150"/>
    <w:basedOn w:val="1"/>
    <w:autoRedefine/>
    <w:qFormat/>
    <w:uiPriority w:val="0"/>
    <w:pPr>
      <w:widowControl/>
      <w:pBdr>
        <w:left w:val="single" w:color="auto" w:sz="4" w:space="0"/>
        <w:bottom w:val="single" w:color="auto" w:sz="4" w:space="0"/>
        <w:right w:val="single" w:color="auto" w:sz="4" w:space="0"/>
      </w:pBdr>
      <w:shd w:val="clear" w:color="auto" w:fill="CCFFFF"/>
      <w:spacing w:before="100" w:beforeAutospacing="1" w:after="100" w:afterAutospacing="1"/>
    </w:pPr>
    <w:rPr>
      <w:rFonts w:ascii="宋体" w:hAnsi="宋体" w:cs="宋体"/>
      <w:kern w:val="0"/>
      <w:sz w:val="18"/>
      <w:szCs w:val="18"/>
    </w:rPr>
  </w:style>
  <w:style w:type="paragraph" w:customStyle="1" w:styleId="1081">
    <w:name w:val="xl142"/>
    <w:basedOn w:val="1"/>
    <w:autoRedefine/>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1082">
    <w:name w:val="xl2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kern w:val="0"/>
      <w:sz w:val="20"/>
    </w:rPr>
  </w:style>
  <w:style w:type="paragraph" w:customStyle="1" w:styleId="1083">
    <w:name w:val="xl155"/>
    <w:basedOn w:val="1"/>
    <w:autoRedefine/>
    <w:qFormat/>
    <w:uiPriority w:val="0"/>
    <w:pPr>
      <w:widowControl/>
      <w:pBdr>
        <w:left w:val="single" w:color="auto" w:sz="4" w:space="0"/>
        <w:right w:val="double" w:color="auto" w:sz="6" w:space="0"/>
      </w:pBdr>
      <w:spacing w:before="100" w:beforeAutospacing="1" w:after="100" w:afterAutospacing="1"/>
      <w:textAlignment w:val="top"/>
    </w:pPr>
    <w:rPr>
      <w:rFonts w:ascii="宋体" w:hAnsi="宋体" w:cs="宋体"/>
      <w:kern w:val="0"/>
      <w:sz w:val="24"/>
      <w:szCs w:val="24"/>
    </w:rPr>
  </w:style>
  <w:style w:type="paragraph" w:customStyle="1" w:styleId="1084">
    <w:name w:val="xl15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left"/>
    </w:pPr>
    <w:rPr>
      <w:rFonts w:ascii="宋体" w:hAnsi="宋体" w:cs="宋体"/>
      <w:b/>
      <w:bCs/>
      <w:kern w:val="0"/>
      <w:sz w:val="20"/>
    </w:rPr>
  </w:style>
  <w:style w:type="paragraph" w:customStyle="1" w:styleId="1085">
    <w:name w:val="xl161"/>
    <w:basedOn w:val="1"/>
    <w:autoRedefine/>
    <w:qFormat/>
    <w:uiPriority w:val="0"/>
    <w:pPr>
      <w:widowControl/>
      <w:pBdr>
        <w:top w:val="single" w:color="auto" w:sz="4" w:space="0"/>
        <w:left w:val="double" w:color="auto" w:sz="6" w:space="0"/>
        <w:bottom w:val="single" w:color="auto" w:sz="4" w:space="0"/>
      </w:pBdr>
      <w:shd w:val="clear" w:color="auto" w:fill="FFCC99"/>
      <w:spacing w:before="100" w:beforeAutospacing="1" w:after="100" w:afterAutospacing="1"/>
      <w:jc w:val="center"/>
    </w:pPr>
    <w:rPr>
      <w:rFonts w:ascii="宋体" w:hAnsi="宋体" w:cs="宋体"/>
      <w:b/>
      <w:bCs/>
      <w:kern w:val="0"/>
      <w:sz w:val="20"/>
    </w:rPr>
  </w:style>
  <w:style w:type="paragraph" w:customStyle="1" w:styleId="1086">
    <w:name w:val="xl153"/>
    <w:basedOn w:val="1"/>
    <w:autoRedefine/>
    <w:qFormat/>
    <w:uiPriority w:val="0"/>
    <w:pPr>
      <w:widowControl/>
      <w:pBdr>
        <w:top w:val="single" w:color="auto" w:sz="4" w:space="0"/>
        <w:left w:val="single" w:color="auto" w:sz="4" w:space="0"/>
      </w:pBdr>
      <w:shd w:val="clear" w:color="auto" w:fill="FFFF99"/>
      <w:spacing w:before="100" w:beforeAutospacing="1" w:after="100" w:afterAutospacing="1"/>
      <w:jc w:val="left"/>
      <w:textAlignment w:val="top"/>
    </w:pPr>
    <w:rPr>
      <w:rFonts w:ascii="宋体" w:hAnsi="宋体" w:cs="宋体"/>
      <w:b/>
      <w:bCs/>
      <w:kern w:val="0"/>
      <w:sz w:val="20"/>
    </w:rPr>
  </w:style>
  <w:style w:type="paragraph" w:customStyle="1" w:styleId="1087">
    <w:name w:val="xl246"/>
    <w:basedOn w:val="1"/>
    <w:autoRedefine/>
    <w:qFormat/>
    <w:uiPriority w:val="0"/>
    <w:pPr>
      <w:widowControl/>
      <w:pBdr>
        <w:left w:val="single" w:color="auto" w:sz="4" w:space="0"/>
        <w:bottom w:val="double" w:color="auto" w:sz="6" w:space="0"/>
        <w:right w:val="double" w:color="auto" w:sz="6" w:space="0"/>
      </w:pBdr>
      <w:spacing w:before="100" w:beforeAutospacing="1" w:after="100" w:afterAutospacing="1"/>
      <w:jc w:val="left"/>
      <w:textAlignment w:val="top"/>
    </w:pPr>
    <w:rPr>
      <w:rFonts w:ascii="宋体" w:hAnsi="宋体" w:cs="宋体"/>
      <w:kern w:val="0"/>
      <w:sz w:val="24"/>
      <w:szCs w:val="24"/>
    </w:rPr>
  </w:style>
  <w:style w:type="paragraph" w:customStyle="1" w:styleId="1088">
    <w:name w:val="xl215"/>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rPr>
  </w:style>
  <w:style w:type="paragraph" w:customStyle="1" w:styleId="1089">
    <w:name w:val="xl159"/>
    <w:basedOn w:val="1"/>
    <w:autoRedefine/>
    <w:qFormat/>
    <w:uiPriority w:val="0"/>
    <w:pPr>
      <w:widowControl/>
      <w:pBdr>
        <w:left w:val="single" w:color="auto" w:sz="4" w:space="0"/>
        <w:bottom w:val="single" w:color="auto" w:sz="4" w:space="0"/>
        <w:right w:val="double" w:color="auto" w:sz="6" w:space="0"/>
      </w:pBdr>
      <w:spacing w:before="100" w:beforeAutospacing="1" w:after="100" w:afterAutospacing="1"/>
      <w:jc w:val="left"/>
      <w:textAlignment w:val="top"/>
    </w:pPr>
    <w:rPr>
      <w:rFonts w:ascii="宋体" w:hAnsi="宋体" w:cs="宋体"/>
      <w:kern w:val="0"/>
      <w:sz w:val="24"/>
      <w:szCs w:val="24"/>
    </w:rPr>
  </w:style>
  <w:style w:type="paragraph" w:customStyle="1" w:styleId="1090">
    <w:name w:val="&gt;1:nota:nota suite"/>
    <w:basedOn w:val="744"/>
    <w:autoRedefine/>
    <w:qFormat/>
    <w:uiPriority w:val="0"/>
    <w:pPr>
      <w:ind w:left="567" w:firstLine="0"/>
      <w:jc w:val="both"/>
    </w:pPr>
  </w:style>
  <w:style w:type="paragraph" w:customStyle="1" w:styleId="1091">
    <w:name w:val="xl164"/>
    <w:basedOn w:val="1"/>
    <w:autoRedefine/>
    <w:qFormat/>
    <w:uiPriority w:val="0"/>
    <w:pPr>
      <w:widowControl/>
      <w:pBdr>
        <w:top w:val="single" w:color="auto" w:sz="4" w:space="0"/>
        <w:left w:val="single" w:color="auto" w:sz="4" w:space="0"/>
        <w:right w:val="double" w:color="auto" w:sz="6" w:space="0"/>
      </w:pBdr>
      <w:spacing w:before="100" w:beforeAutospacing="1" w:after="100" w:afterAutospacing="1"/>
      <w:textAlignment w:val="top"/>
    </w:pPr>
    <w:rPr>
      <w:kern w:val="0"/>
      <w:sz w:val="18"/>
      <w:szCs w:val="18"/>
    </w:rPr>
  </w:style>
  <w:style w:type="paragraph" w:customStyle="1" w:styleId="1092">
    <w:name w:val="Char Char9 Char Char1"/>
    <w:basedOn w:val="1"/>
    <w:autoRedefine/>
    <w:qFormat/>
    <w:uiPriority w:val="0"/>
    <w:rPr>
      <w:rFonts w:ascii="Tahoma" w:hAnsi="Tahoma"/>
      <w:sz w:val="24"/>
    </w:rPr>
  </w:style>
  <w:style w:type="paragraph" w:customStyle="1" w:styleId="1093">
    <w:name w:val="xl206"/>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rPr>
  </w:style>
  <w:style w:type="paragraph" w:customStyle="1" w:styleId="1094">
    <w:name w:val="xl207"/>
    <w:basedOn w:val="1"/>
    <w:autoRedefine/>
    <w:qFormat/>
    <w:uiPriority w:val="0"/>
    <w:pPr>
      <w:widowControl/>
      <w:pBdr>
        <w:left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rPr>
  </w:style>
  <w:style w:type="paragraph" w:customStyle="1" w:styleId="1095">
    <w:name w:val="xl170"/>
    <w:basedOn w:val="1"/>
    <w:autoRedefine/>
    <w:qFormat/>
    <w:uiPriority w:val="0"/>
    <w:pPr>
      <w:widowControl/>
      <w:pBdr>
        <w:top w:val="single" w:color="auto" w:sz="4" w:space="0"/>
      </w:pBdr>
      <w:spacing w:before="100" w:beforeAutospacing="1" w:after="100" w:afterAutospacing="1"/>
      <w:jc w:val="left"/>
    </w:pPr>
    <w:rPr>
      <w:rFonts w:ascii="宋体" w:hAnsi="宋体" w:cs="宋体"/>
      <w:kern w:val="0"/>
      <w:sz w:val="24"/>
      <w:szCs w:val="24"/>
    </w:rPr>
  </w:style>
  <w:style w:type="paragraph" w:customStyle="1" w:styleId="1096">
    <w:name w:val="font15"/>
    <w:basedOn w:val="1"/>
    <w:autoRedefine/>
    <w:qFormat/>
    <w:uiPriority w:val="0"/>
    <w:pPr>
      <w:widowControl/>
      <w:spacing w:before="100" w:beforeAutospacing="1" w:after="100" w:afterAutospacing="1"/>
      <w:jc w:val="left"/>
    </w:pPr>
    <w:rPr>
      <w:rFonts w:ascii="Arial" w:hAnsi="Arial" w:cs="Arial"/>
      <w:kern w:val="0"/>
      <w:sz w:val="16"/>
      <w:szCs w:val="16"/>
    </w:rPr>
  </w:style>
  <w:style w:type="paragraph" w:customStyle="1" w:styleId="1097">
    <w:name w:val="&gt;1:enum2 .enum"/>
    <w:basedOn w:val="1"/>
    <w:autoRedefine/>
    <w:qFormat/>
    <w:uiPriority w:val="0"/>
    <w:pPr>
      <w:widowControl/>
      <w:tabs>
        <w:tab w:val="left" w:pos="709"/>
        <w:tab w:val="left" w:pos="1061"/>
        <w:tab w:val="left" w:pos="1418"/>
      </w:tabs>
      <w:spacing w:before="50" w:after="50" w:line="280" w:lineRule="exact"/>
      <w:ind w:left="568" w:hanging="284"/>
      <w:jc w:val="left"/>
    </w:pPr>
    <w:rPr>
      <w:rFonts w:ascii="Arial" w:hAnsi="Arial"/>
      <w:kern w:val="0"/>
      <w:sz w:val="20"/>
      <w:lang w:eastAsia="fr-FR" w:bidi="en-US"/>
    </w:rPr>
  </w:style>
  <w:style w:type="paragraph" w:customStyle="1" w:styleId="1098">
    <w:name w:val="xl17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cs="宋体"/>
      <w:kern w:val="0"/>
      <w:sz w:val="20"/>
    </w:rPr>
  </w:style>
  <w:style w:type="paragraph" w:customStyle="1" w:styleId="1099">
    <w:name w:val="xl191"/>
    <w:basedOn w:val="1"/>
    <w:autoRedefine/>
    <w:qFormat/>
    <w:uiPriority w:val="0"/>
    <w:pPr>
      <w:widowControl/>
      <w:pBdr>
        <w:left w:val="single" w:color="auto" w:sz="4" w:space="0"/>
        <w:right w:val="single" w:color="auto" w:sz="4" w:space="0"/>
      </w:pBdr>
      <w:spacing w:before="100" w:beforeAutospacing="1" w:after="100" w:afterAutospacing="1"/>
      <w:jc w:val="center"/>
    </w:pPr>
    <w:rPr>
      <w:kern w:val="0"/>
      <w:sz w:val="18"/>
      <w:szCs w:val="18"/>
    </w:rPr>
  </w:style>
  <w:style w:type="paragraph" w:customStyle="1" w:styleId="1100">
    <w:name w:val="xl249"/>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1101">
    <w:name w:val="xl17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kern w:val="0"/>
      <w:sz w:val="18"/>
      <w:szCs w:val="18"/>
    </w:rPr>
  </w:style>
  <w:style w:type="paragraph" w:customStyle="1" w:styleId="1102">
    <w:name w:val="xl192"/>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 w:val="18"/>
      <w:szCs w:val="18"/>
    </w:rPr>
  </w:style>
  <w:style w:type="paragraph" w:customStyle="1" w:styleId="1103">
    <w:name w:val="xl252"/>
    <w:basedOn w:val="1"/>
    <w:autoRedefine/>
    <w:qFormat/>
    <w:uiPriority w:val="0"/>
    <w:pPr>
      <w:widowControl/>
      <w:pBdr>
        <w:top w:val="single" w:color="auto" w:sz="4" w:space="0"/>
      </w:pBdr>
      <w:spacing w:before="100" w:beforeAutospacing="1" w:after="100" w:afterAutospacing="1"/>
      <w:jc w:val="left"/>
    </w:pPr>
    <w:rPr>
      <w:rFonts w:ascii="宋体" w:hAnsi="宋体" w:cs="宋体"/>
      <w:kern w:val="0"/>
      <w:sz w:val="24"/>
      <w:szCs w:val="24"/>
    </w:rPr>
  </w:style>
  <w:style w:type="paragraph" w:customStyle="1" w:styleId="1104">
    <w:name w:val="xl17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pPr>
    <w:rPr>
      <w:rFonts w:ascii="宋体" w:hAnsi="宋体" w:cs="宋体"/>
      <w:kern w:val="0"/>
      <w:sz w:val="18"/>
      <w:szCs w:val="18"/>
    </w:rPr>
  </w:style>
  <w:style w:type="paragraph" w:customStyle="1" w:styleId="1105">
    <w:name w:val="xl193"/>
    <w:basedOn w:val="1"/>
    <w:autoRedefine/>
    <w:qFormat/>
    <w:uiPriority w:val="0"/>
    <w:pPr>
      <w:widowControl/>
      <w:pBdr>
        <w:top w:val="single" w:color="auto" w:sz="4" w:space="0"/>
        <w:left w:val="double" w:color="auto" w:sz="6"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kern w:val="0"/>
      <w:sz w:val="18"/>
      <w:szCs w:val="18"/>
    </w:rPr>
  </w:style>
  <w:style w:type="paragraph" w:customStyle="1" w:styleId="1106">
    <w:name w:val="xl264"/>
    <w:basedOn w:val="1"/>
    <w:autoRedefine/>
    <w:qFormat/>
    <w:uiPriority w:val="0"/>
    <w:pPr>
      <w:widowControl/>
      <w:pBdr>
        <w:top w:val="single" w:color="auto" w:sz="4" w:space="0"/>
        <w:left w:val="double" w:color="auto" w:sz="6" w:space="0"/>
        <w:bottom w:val="single" w:color="auto" w:sz="4" w:space="0"/>
      </w:pBdr>
      <w:shd w:val="clear" w:color="auto" w:fill="FFFF00"/>
      <w:spacing w:before="100" w:beforeAutospacing="1" w:after="100" w:afterAutospacing="1"/>
      <w:jc w:val="center"/>
    </w:pPr>
    <w:rPr>
      <w:rFonts w:ascii="宋体" w:hAnsi="宋体" w:cs="宋体"/>
      <w:b/>
      <w:bCs/>
      <w:kern w:val="0"/>
      <w:sz w:val="20"/>
    </w:rPr>
  </w:style>
  <w:style w:type="paragraph" w:customStyle="1" w:styleId="1107">
    <w:name w:val="xl180"/>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18"/>
      <w:szCs w:val="18"/>
    </w:rPr>
  </w:style>
  <w:style w:type="paragraph" w:customStyle="1" w:styleId="1108">
    <w:name w:val="xl19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8"/>
      <w:szCs w:val="18"/>
    </w:rPr>
  </w:style>
  <w:style w:type="paragraph" w:customStyle="1" w:styleId="1109">
    <w:name w:val="xl265"/>
    <w:basedOn w:val="1"/>
    <w:autoRedefine/>
    <w:qFormat/>
    <w:uiPriority w:val="0"/>
    <w:pPr>
      <w:widowControl/>
      <w:pBdr>
        <w:top w:val="single" w:color="auto" w:sz="4" w:space="0"/>
        <w:left w:val="single" w:color="auto" w:sz="4" w:space="0"/>
        <w:bottom w:val="single" w:color="auto" w:sz="4" w:space="0"/>
        <w:right w:val="double" w:color="auto" w:sz="6" w:space="0"/>
      </w:pBdr>
      <w:shd w:val="clear" w:color="auto" w:fill="FFFF00"/>
      <w:spacing w:before="100" w:beforeAutospacing="1" w:after="100" w:afterAutospacing="1"/>
      <w:jc w:val="left"/>
    </w:pPr>
    <w:rPr>
      <w:rFonts w:ascii="宋体" w:hAnsi="宋体" w:cs="宋体"/>
      <w:kern w:val="0"/>
      <w:sz w:val="20"/>
    </w:rPr>
  </w:style>
  <w:style w:type="paragraph" w:customStyle="1" w:styleId="1110">
    <w:name w:val="xl194"/>
    <w:basedOn w:val="1"/>
    <w:autoRedefine/>
    <w:qFormat/>
    <w:uiPriority w:val="0"/>
    <w:pPr>
      <w:widowControl/>
      <w:pBdr>
        <w:top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18"/>
      <w:szCs w:val="18"/>
    </w:rPr>
  </w:style>
  <w:style w:type="paragraph" w:customStyle="1" w:styleId="1111">
    <w:name w:val="xl20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0"/>
    </w:rPr>
  </w:style>
  <w:style w:type="paragraph" w:customStyle="1" w:styleId="1112">
    <w:name w:val="xl266"/>
    <w:basedOn w:val="1"/>
    <w:autoRedefine/>
    <w:qFormat/>
    <w:uiPriority w:val="0"/>
    <w:pPr>
      <w:widowControl/>
      <w:pBdr>
        <w:top w:val="single" w:color="auto" w:sz="4" w:space="0"/>
        <w:left w:val="double" w:color="auto" w:sz="6"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kern w:val="0"/>
      <w:sz w:val="18"/>
      <w:szCs w:val="18"/>
    </w:rPr>
  </w:style>
  <w:style w:type="paragraph" w:customStyle="1" w:styleId="1113">
    <w:name w:val="xl196"/>
    <w:basedOn w:val="1"/>
    <w:autoRedefine/>
    <w:qFormat/>
    <w:uiPriority w:val="0"/>
    <w:pPr>
      <w:widowControl/>
      <w:pBdr>
        <w:left w:val="single" w:color="auto" w:sz="4" w:space="0"/>
        <w:right w:val="single" w:color="auto" w:sz="4" w:space="0"/>
      </w:pBdr>
      <w:shd w:val="clear" w:color="auto" w:fill="CCFFFF"/>
      <w:spacing w:before="100" w:beforeAutospacing="1" w:after="100" w:afterAutospacing="1"/>
      <w:jc w:val="center"/>
    </w:pPr>
    <w:rPr>
      <w:kern w:val="0"/>
      <w:sz w:val="18"/>
      <w:szCs w:val="18"/>
    </w:rPr>
  </w:style>
  <w:style w:type="paragraph" w:customStyle="1" w:styleId="1114">
    <w:name w:val="xl19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kern w:val="0"/>
      <w:sz w:val="18"/>
      <w:szCs w:val="18"/>
    </w:rPr>
  </w:style>
  <w:style w:type="paragraph" w:customStyle="1" w:styleId="1115">
    <w:name w:val="xl26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kern w:val="0"/>
      <w:sz w:val="18"/>
      <w:szCs w:val="18"/>
    </w:rPr>
  </w:style>
  <w:style w:type="paragraph" w:customStyle="1" w:styleId="1116">
    <w:name w:val="xl200"/>
    <w:basedOn w:val="1"/>
    <w:autoRedefine/>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pPr>
    <w:rPr>
      <w:rFonts w:ascii="宋体" w:hAnsi="宋体" w:cs="宋体"/>
      <w:kern w:val="0"/>
      <w:sz w:val="18"/>
      <w:szCs w:val="18"/>
    </w:rPr>
  </w:style>
  <w:style w:type="paragraph" w:customStyle="1" w:styleId="1117">
    <w:name w:val="格式1"/>
    <w:basedOn w:val="3"/>
    <w:autoRedefine/>
    <w:qFormat/>
    <w:uiPriority w:val="0"/>
    <w:pPr>
      <w:keepNext w:val="0"/>
      <w:widowControl w:val="0"/>
      <w:tabs>
        <w:tab w:val="clear" w:pos="885"/>
      </w:tabs>
      <w:adjustRightInd w:val="0"/>
      <w:snapToGrid w:val="0"/>
      <w:spacing w:before="240" w:beforeLines="100"/>
      <w:ind w:left="-359" w:firstLine="207" w:firstLineChars="98"/>
      <w:jc w:val="both"/>
    </w:pPr>
    <w:rPr>
      <w:rFonts w:hAnsi="宋体" w:cs="Arial"/>
      <w:color w:val="000000"/>
      <w:sz w:val="28"/>
    </w:rPr>
  </w:style>
  <w:style w:type="paragraph" w:customStyle="1" w:styleId="1118">
    <w:name w:val="xl202"/>
    <w:basedOn w:val="1"/>
    <w:autoRedefine/>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rFonts w:ascii="宋体" w:hAnsi="宋体" w:cs="宋体"/>
      <w:kern w:val="0"/>
      <w:sz w:val="20"/>
    </w:rPr>
  </w:style>
  <w:style w:type="paragraph" w:customStyle="1" w:styleId="1119">
    <w:name w:val="xl26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pPr>
    <w:rPr>
      <w:rFonts w:ascii="宋体" w:hAnsi="宋体" w:cs="宋体"/>
      <w:kern w:val="0"/>
      <w:sz w:val="18"/>
      <w:szCs w:val="18"/>
    </w:rPr>
  </w:style>
  <w:style w:type="paragraph" w:customStyle="1" w:styleId="1120">
    <w:name w:val="xl203"/>
    <w:basedOn w:val="1"/>
    <w:autoRedefine/>
    <w:qFormat/>
    <w:uiPriority w:val="0"/>
    <w:pPr>
      <w:widowControl/>
      <w:pBdr>
        <w:top w:val="single" w:color="auto" w:sz="4" w:space="0"/>
        <w:left w:val="single" w:color="auto" w:sz="4" w:space="0"/>
        <w:bottom w:val="double" w:color="auto" w:sz="6" w:space="0"/>
        <w:right w:val="single" w:color="auto" w:sz="4" w:space="0"/>
      </w:pBdr>
      <w:shd w:val="clear" w:color="auto" w:fill="FFFFFF"/>
      <w:spacing w:before="100" w:beforeAutospacing="1" w:after="100" w:afterAutospacing="1"/>
      <w:jc w:val="center"/>
    </w:pPr>
    <w:rPr>
      <w:rFonts w:ascii="宋体" w:hAnsi="宋体" w:cs="宋体"/>
      <w:kern w:val="0"/>
      <w:sz w:val="18"/>
      <w:szCs w:val="18"/>
    </w:rPr>
  </w:style>
  <w:style w:type="paragraph" w:customStyle="1" w:styleId="1121">
    <w:name w:val="xl205"/>
    <w:basedOn w:val="1"/>
    <w:autoRedefine/>
    <w:qFormat/>
    <w:uiPriority w:val="0"/>
    <w:pPr>
      <w:widowControl/>
      <w:pBdr>
        <w:top w:val="single" w:color="auto" w:sz="4" w:space="0"/>
        <w:left w:val="single" w:color="auto" w:sz="4" w:space="0"/>
        <w:bottom w:val="single" w:color="auto" w:sz="4" w:space="0"/>
        <w:right w:val="double" w:color="auto" w:sz="6" w:space="0"/>
      </w:pBdr>
      <w:shd w:val="clear" w:color="auto" w:fill="FFFFFF"/>
      <w:spacing w:before="100" w:beforeAutospacing="1" w:after="100" w:afterAutospacing="1"/>
      <w:jc w:val="left"/>
    </w:pPr>
    <w:rPr>
      <w:rFonts w:ascii="宋体" w:hAnsi="宋体" w:cs="宋体"/>
      <w:kern w:val="0"/>
      <w:sz w:val="20"/>
    </w:rPr>
  </w:style>
  <w:style w:type="paragraph" w:customStyle="1" w:styleId="1122">
    <w:name w:val="xl26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18"/>
      <w:szCs w:val="18"/>
    </w:rPr>
  </w:style>
  <w:style w:type="paragraph" w:customStyle="1" w:styleId="1123">
    <w:name w:val="正文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24">
    <w:name w:val="样式 列表框 Char Char Char Char Char + 右侧:  -0.05 字符"/>
    <w:basedOn w:val="746"/>
    <w:autoRedefine/>
    <w:qFormat/>
    <w:uiPriority w:val="0"/>
    <w:pPr>
      <w:tabs>
        <w:tab w:val="clear" w:pos="874"/>
      </w:tabs>
      <w:ind w:left="0" w:firstLine="0"/>
    </w:pPr>
    <w:rPr>
      <w:rFonts w:cs="宋体"/>
      <w:color w:val="000000"/>
      <w:szCs w:val="20"/>
    </w:rPr>
  </w:style>
  <w:style w:type="paragraph" w:customStyle="1" w:styleId="1125">
    <w:name w:val="char1"/>
    <w:basedOn w:val="1"/>
    <w:autoRedefine/>
    <w:qFormat/>
    <w:uiPriority w:val="0"/>
    <w:pPr>
      <w:widowControl/>
    </w:pPr>
    <w:rPr>
      <w:rFonts w:ascii="Tahoma" w:hAnsi="Tahoma" w:cs="Tahoma"/>
      <w:kern w:val="0"/>
      <w:sz w:val="24"/>
      <w:szCs w:val="24"/>
    </w:rPr>
  </w:style>
  <w:style w:type="paragraph" w:customStyle="1" w:styleId="1126">
    <w:name w:val="xl284"/>
    <w:basedOn w:val="1"/>
    <w:autoRedefine/>
    <w:qFormat/>
    <w:uiPriority w:val="0"/>
    <w:pPr>
      <w:widowControl/>
      <w:pBdr>
        <w:left w:val="single" w:color="auto" w:sz="4" w:space="0"/>
      </w:pBdr>
      <w:spacing w:before="100" w:beforeAutospacing="1" w:after="100" w:afterAutospacing="1"/>
      <w:jc w:val="left"/>
    </w:pPr>
    <w:rPr>
      <w:rFonts w:ascii="宋体" w:hAnsi="宋体" w:cs="宋体"/>
      <w:kern w:val="0"/>
      <w:sz w:val="20"/>
    </w:rPr>
  </w:style>
  <w:style w:type="paragraph" w:customStyle="1" w:styleId="1127">
    <w:name w:val="...."/>
    <w:basedOn w:val="1"/>
    <w:next w:val="1"/>
    <w:autoRedefine/>
    <w:qFormat/>
    <w:uiPriority w:val="0"/>
    <w:pPr>
      <w:widowControl/>
      <w:autoSpaceDE w:val="0"/>
      <w:autoSpaceDN w:val="0"/>
      <w:adjustRightInd w:val="0"/>
      <w:spacing w:after="220"/>
      <w:jc w:val="left"/>
    </w:pPr>
    <w:rPr>
      <w:rFonts w:ascii="Sim Sun" w:eastAsia="Sim Sun"/>
      <w:kern w:val="0"/>
      <w:sz w:val="24"/>
      <w:szCs w:val="24"/>
      <w:lang w:eastAsia="en-US" w:bidi="en-US"/>
    </w:rPr>
  </w:style>
  <w:style w:type="paragraph" w:customStyle="1" w:styleId="1128">
    <w:name w:val="Company Name One"/>
    <w:basedOn w:val="1025"/>
    <w:next w:val="1"/>
    <w:autoRedefine/>
    <w:qFormat/>
    <w:uiPriority w:val="0"/>
    <w:pPr>
      <w:tabs>
        <w:tab w:val="right" w:pos="7542"/>
        <w:tab w:val="clear" w:pos="2160"/>
        <w:tab w:val="clear" w:pos="7362"/>
      </w:tabs>
      <w:spacing w:before="280"/>
    </w:pPr>
  </w:style>
  <w:style w:type="paragraph" w:customStyle="1" w:styleId="1129">
    <w:name w:val="样式 列表框 Char Char Char Char Char + 右侧:  -0.05 字符 段后: 0.5 行"/>
    <w:basedOn w:val="746"/>
    <w:autoRedefine/>
    <w:qFormat/>
    <w:uiPriority w:val="0"/>
    <w:pPr>
      <w:tabs>
        <w:tab w:val="clear" w:pos="874"/>
      </w:tabs>
      <w:ind w:left="0" w:firstLine="0"/>
    </w:pPr>
    <w:rPr>
      <w:rFonts w:cs="宋体"/>
      <w:szCs w:val="20"/>
    </w:rPr>
  </w:style>
  <w:style w:type="paragraph" w:customStyle="1" w:styleId="1130">
    <w:name w:val="列项●（二级）"/>
    <w:autoRedefine/>
    <w:qFormat/>
    <w:uiPriority w:val="0"/>
    <w:pPr>
      <w:numPr>
        <w:ilvl w:val="1"/>
        <w:numId w:val="3"/>
      </w:numPr>
      <w:tabs>
        <w:tab w:val="left" w:pos="840"/>
      </w:tabs>
      <w:jc w:val="both"/>
    </w:pPr>
    <w:rPr>
      <w:rFonts w:ascii="宋体" w:hAnsi="Times New Roman" w:eastAsia="宋体" w:cs="Times New Roman"/>
      <w:sz w:val="21"/>
      <w:lang w:val="en-US" w:eastAsia="zh-CN" w:bidi="ar-SA"/>
    </w:rPr>
  </w:style>
  <w:style w:type="paragraph" w:customStyle="1" w:styleId="1131">
    <w:name w:val="X:pied_page1"/>
    <w:basedOn w:val="799"/>
    <w:autoRedefine/>
    <w:qFormat/>
    <w:uiPriority w:val="0"/>
    <w:rPr>
      <w:b/>
      <w:sz w:val="28"/>
    </w:rPr>
  </w:style>
  <w:style w:type="paragraph" w:customStyle="1" w:styleId="1132">
    <w:name w:val="样式 样式 列表框 Char Char Char Char Char + 右侧:  -0.05 字符 段后: 0.5 行 + 右..."/>
    <w:basedOn w:val="1129"/>
    <w:autoRedefine/>
    <w:qFormat/>
    <w:uiPriority w:val="0"/>
    <w:pPr/>
  </w:style>
  <w:style w:type="paragraph" w:customStyle="1" w:styleId="1133">
    <w:name w:val="xl274"/>
    <w:basedOn w:val="1"/>
    <w:autoRedefine/>
    <w:qFormat/>
    <w:uiPriority w:val="0"/>
    <w:pPr>
      <w:widowControl/>
      <w:pBdr>
        <w:top w:val="single" w:color="auto" w:sz="4" w:space="0"/>
        <w:left w:val="single" w:color="auto" w:sz="4" w:space="0"/>
        <w:bottom w:val="single" w:color="auto" w:sz="4" w:space="0"/>
        <w:right w:val="double" w:color="auto" w:sz="6" w:space="0"/>
      </w:pBdr>
      <w:shd w:val="clear" w:color="auto" w:fill="FFFF00"/>
      <w:spacing w:before="100" w:beforeAutospacing="1" w:after="100" w:afterAutospacing="1"/>
      <w:jc w:val="left"/>
    </w:pPr>
    <w:rPr>
      <w:rFonts w:ascii="宋体" w:hAnsi="宋体" w:cs="宋体"/>
      <w:color w:val="000000"/>
      <w:kern w:val="0"/>
      <w:sz w:val="18"/>
      <w:szCs w:val="18"/>
    </w:rPr>
  </w:style>
  <w:style w:type="paragraph" w:customStyle="1" w:styleId="1134">
    <w:name w:val="Enumération"/>
    <w:basedOn w:val="1135"/>
    <w:autoRedefine/>
    <w:qFormat/>
    <w:uiPriority w:val="0"/>
    <w:pPr>
      <w:spacing w:after="0"/>
    </w:pPr>
  </w:style>
  <w:style w:type="paragraph" w:customStyle="1" w:styleId="1135">
    <w:name w:val="Tiret"/>
    <w:basedOn w:val="1"/>
    <w:autoRedefine/>
    <w:qFormat/>
    <w:uiPriority w:val="0"/>
    <w:pPr>
      <w:keepLines/>
      <w:widowControl/>
      <w:overflowPunct w:val="0"/>
      <w:autoSpaceDE w:val="0"/>
      <w:autoSpaceDN w:val="0"/>
      <w:adjustRightInd w:val="0"/>
      <w:spacing w:before="20" w:after="240" w:line="240" w:lineRule="exact"/>
      <w:ind w:left="1276" w:hanging="284"/>
      <w:jc w:val="left"/>
      <w:textAlignment w:val="baseline"/>
    </w:pPr>
    <w:rPr>
      <w:rFonts w:ascii="Arial" w:hAnsi="Arial" w:eastAsia="PMingLiU"/>
      <w:kern w:val="0"/>
      <w:sz w:val="22"/>
      <w:lang w:val="en-GB" w:eastAsia="en-US" w:bidi="en-US"/>
    </w:rPr>
  </w:style>
  <w:style w:type="paragraph" w:customStyle="1" w:styleId="1136">
    <w:name w:val="图表标题"/>
    <w:basedOn w:val="1"/>
    <w:autoRedefine/>
    <w:qFormat/>
    <w:uiPriority w:val="0"/>
    <w:pPr>
      <w:spacing w:line="360" w:lineRule="auto"/>
      <w:jc w:val="center"/>
    </w:pPr>
    <w:rPr>
      <w:rFonts w:ascii="Calibri" w:hAnsi="Calibri"/>
      <w:sz w:val="24"/>
      <w:szCs w:val="22"/>
    </w:rPr>
  </w:style>
  <w:style w:type="paragraph" w:customStyle="1" w:styleId="1137">
    <w:name w:val="xl275"/>
    <w:basedOn w:val="1"/>
    <w:autoRedefine/>
    <w:qFormat/>
    <w:uiPriority w:val="0"/>
    <w:pPr>
      <w:widowControl/>
      <w:pBdr>
        <w:top w:val="single" w:color="auto" w:sz="4" w:space="0"/>
        <w:left w:val="single" w:color="auto" w:sz="4" w:space="0"/>
        <w:bottom w:val="single" w:color="auto" w:sz="4" w:space="0"/>
        <w:right w:val="double" w:color="auto" w:sz="6"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1138">
    <w:name w:val="样式 正常文本 Char Char Char Char Char Char Char Char Char Char Char C..."/>
    <w:basedOn w:val="747"/>
    <w:autoRedefine/>
    <w:qFormat/>
    <w:uiPriority w:val="0"/>
    <w:pPr>
      <w:ind w:left="1100" w:leftChars="1100"/>
    </w:pPr>
    <w:rPr>
      <w:rFonts w:cs="宋体"/>
      <w:szCs w:val="20"/>
    </w:rPr>
  </w:style>
  <w:style w:type="paragraph" w:customStyle="1" w:styleId="1139">
    <w:name w:val="Para 3rd Subpara"/>
    <w:basedOn w:val="777"/>
    <w:autoRedefine/>
    <w:qFormat/>
    <w:uiPriority w:val="0"/>
    <w:pPr>
      <w:tabs>
        <w:tab w:val="left" w:pos="360"/>
        <w:tab w:val="clear" w:pos="1138"/>
        <w:tab w:val="clear" w:pos="1699"/>
        <w:tab w:val="clear" w:pos="2261"/>
        <w:tab w:val="clear" w:pos="2822"/>
        <w:tab w:val="clear" w:pos="3384"/>
        <w:tab w:val="clear" w:pos="3946"/>
        <w:tab w:val="clear" w:pos="4507"/>
        <w:tab w:val="clear" w:pos="5069"/>
        <w:tab w:val="clear" w:pos="5630"/>
        <w:tab w:val="clear" w:pos="6192"/>
        <w:tab w:val="clear" w:pos="6754"/>
        <w:tab w:val="clear" w:pos="7315"/>
        <w:tab w:val="clear" w:pos="7877"/>
        <w:tab w:val="clear" w:pos="8438"/>
        <w:tab w:val="clear" w:pos="9000"/>
        <w:tab w:val="clear" w:pos="9562"/>
        <w:tab w:val="clear" w:pos="10123"/>
      </w:tabs>
      <w:ind w:left="2822" w:hanging="561"/>
    </w:pPr>
  </w:style>
  <w:style w:type="paragraph" w:customStyle="1" w:styleId="1140">
    <w:name w:val="样式 目录 1 + 左侧:  0 字符"/>
    <w:basedOn w:val="42"/>
    <w:next w:val="774"/>
    <w:autoRedefine/>
    <w:qFormat/>
    <w:uiPriority w:val="0"/>
    <w:pPr>
      <w:tabs>
        <w:tab w:val="left" w:pos="1680"/>
        <w:tab w:val="right" w:pos="9060"/>
      </w:tabs>
      <w:spacing w:before="0" w:after="0"/>
      <w:ind w:left="720"/>
      <w:jc w:val="both"/>
    </w:pPr>
    <w:rPr>
      <w:rFonts w:eastAsia="黑体" w:cs="宋体"/>
      <w:b w:val="0"/>
      <w:bCs w:val="0"/>
      <w:caps w:val="0"/>
      <w:szCs w:val="24"/>
    </w:rPr>
  </w:style>
  <w:style w:type="paragraph" w:customStyle="1" w:styleId="1141">
    <w:name w:val="xl278"/>
    <w:basedOn w:val="1"/>
    <w:autoRedefine/>
    <w:qFormat/>
    <w:uiPriority w:val="0"/>
    <w:pPr>
      <w:widowControl/>
      <w:pBdr>
        <w:left w:val="single" w:color="auto" w:sz="4" w:space="0"/>
      </w:pBdr>
      <w:spacing w:before="100" w:beforeAutospacing="1" w:after="100" w:afterAutospacing="1"/>
      <w:jc w:val="left"/>
    </w:pPr>
    <w:rPr>
      <w:rFonts w:ascii="宋体" w:hAnsi="宋体" w:cs="宋体"/>
      <w:kern w:val="0"/>
      <w:sz w:val="20"/>
    </w:rPr>
  </w:style>
  <w:style w:type="paragraph" w:customStyle="1" w:styleId="1142">
    <w:name w:val="表格文字小 (左对齐)"/>
    <w:basedOn w:val="1"/>
    <w:autoRedefine/>
    <w:qFormat/>
    <w:uiPriority w:val="0"/>
    <w:pPr>
      <w:widowControl/>
      <w:adjustRightInd w:val="0"/>
      <w:spacing w:line="240" w:lineRule="atLeast"/>
      <w:jc w:val="left"/>
      <w:textAlignment w:val="baseline"/>
    </w:pPr>
    <w:rPr>
      <w:rFonts w:ascii="宋体"/>
      <w:kern w:val="0"/>
      <w:sz w:val="18"/>
      <w:szCs w:val="18"/>
      <w:lang w:eastAsia="en-US" w:bidi="en-US"/>
    </w:rPr>
  </w:style>
  <w:style w:type="paragraph" w:customStyle="1" w:styleId="1143">
    <w:name w:val="_Style 134"/>
    <w:basedOn w:val="1"/>
    <w:autoRedefine/>
    <w:qFormat/>
    <w:uiPriority w:val="0"/>
    <w:pPr>
      <w:widowControl/>
      <w:jc w:val="left"/>
    </w:pPr>
    <w:rPr>
      <w:kern w:val="0"/>
      <w:sz w:val="24"/>
      <w:szCs w:val="24"/>
      <w:lang w:eastAsia="en-US" w:bidi="en-US"/>
    </w:rPr>
  </w:style>
  <w:style w:type="paragraph" w:customStyle="1" w:styleId="1144">
    <w:name w:val="6"/>
    <w:autoRedefine/>
    <w:unhideWhenUsed/>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1145">
    <w:name w:val="_Style 146"/>
    <w:basedOn w:val="1"/>
    <w:autoRedefine/>
    <w:qFormat/>
    <w:uiPriority w:val="0"/>
    <w:pPr>
      <w:widowControl/>
      <w:jc w:val="left"/>
    </w:pPr>
    <w:rPr>
      <w:kern w:val="0"/>
      <w:sz w:val="24"/>
      <w:szCs w:val="24"/>
      <w:lang w:eastAsia="en-US" w:bidi="en-US"/>
    </w:rPr>
  </w:style>
  <w:style w:type="paragraph" w:customStyle="1" w:styleId="1146">
    <w:name w:val="xl283"/>
    <w:basedOn w:val="1"/>
    <w:autoRedefine/>
    <w:qFormat/>
    <w:uiPriority w:val="0"/>
    <w:pPr>
      <w:widowControl/>
      <w:pBdr>
        <w:left w:val="single" w:color="auto" w:sz="4" w:space="0"/>
      </w:pBdr>
      <w:shd w:val="clear" w:color="auto" w:fill="FFFFFF"/>
      <w:spacing w:before="100" w:beforeAutospacing="1" w:after="100" w:afterAutospacing="1"/>
      <w:jc w:val="left"/>
    </w:pPr>
    <w:rPr>
      <w:rFonts w:ascii="宋体" w:hAnsi="宋体" w:cs="宋体"/>
      <w:kern w:val="0"/>
      <w:sz w:val="20"/>
    </w:rPr>
  </w:style>
  <w:style w:type="paragraph" w:customStyle="1" w:styleId="1147">
    <w:name w:val="Appendix1"/>
    <w:basedOn w:val="1"/>
    <w:next w:val="1"/>
    <w:autoRedefine/>
    <w:qFormat/>
    <w:uiPriority w:val="0"/>
    <w:pPr>
      <w:keepNext/>
      <w:keepLines/>
      <w:widowControl/>
      <w:spacing w:before="4000" w:after="240" w:line="240" w:lineRule="exact"/>
      <w:ind w:left="992"/>
      <w:jc w:val="center"/>
    </w:pPr>
    <w:rPr>
      <w:rFonts w:ascii="Arial" w:hAnsi="Arial"/>
      <w:b/>
      <w:caps/>
      <w:kern w:val="0"/>
      <w:sz w:val="40"/>
      <w:u w:val="single"/>
      <w:lang w:val="en-GB" w:eastAsia="en-US" w:bidi="en-US"/>
    </w:rPr>
  </w:style>
  <w:style w:type="paragraph" w:customStyle="1" w:styleId="1148">
    <w:name w:val="默认段落字体 Para Char"/>
    <w:basedOn w:val="1"/>
    <w:next w:val="1"/>
    <w:autoRedefine/>
    <w:qFormat/>
    <w:uiPriority w:val="0"/>
    <w:pPr>
      <w:widowControl/>
      <w:adjustRightInd w:val="0"/>
      <w:spacing w:line="360" w:lineRule="auto"/>
      <w:ind w:firstLine="200" w:firstLineChars="200"/>
      <w:jc w:val="left"/>
    </w:pPr>
    <w:rPr>
      <w:rFonts w:ascii="Arial" w:hAnsi="Arial"/>
      <w:kern w:val="0"/>
      <w:sz w:val="24"/>
      <w:lang w:eastAsia="en-US" w:bidi="en-US"/>
    </w:rPr>
  </w:style>
  <w:style w:type="paragraph" w:customStyle="1" w:styleId="1149">
    <w:name w:val="Char Char Char Char Char1 Char Char Char Char Char Char"/>
    <w:autoRedefine/>
    <w:qFormat/>
    <w:uiPriority w:val="0"/>
    <w:pPr>
      <w:widowControl w:val="0"/>
      <w:spacing w:after="200" w:line="276" w:lineRule="auto"/>
      <w:jc w:val="both"/>
    </w:pPr>
    <w:rPr>
      <w:rFonts w:ascii="Lucida Grande" w:hAnsi="Lucida Grande" w:eastAsia="ヒラギノ角ゴ Pro W3" w:cs="Times New Roman"/>
      <w:color w:val="000000"/>
      <w:sz w:val="22"/>
      <w:lang w:val="en-US" w:eastAsia="en-US" w:bidi="en-US"/>
    </w:rPr>
  </w:style>
  <w:style w:type="paragraph" w:customStyle="1" w:styleId="1150">
    <w:name w:val="X:copyright"/>
    <w:basedOn w:val="1"/>
    <w:autoRedefine/>
    <w:qFormat/>
    <w:uiPriority w:val="0"/>
    <w:pPr>
      <w:widowControl/>
      <w:jc w:val="left"/>
    </w:pPr>
    <w:rPr>
      <w:rFonts w:ascii="Helvetica" w:hAnsi="Helvetica"/>
      <w:kern w:val="0"/>
      <w:sz w:val="12"/>
      <w:lang w:eastAsia="fr-FR" w:bidi="en-US"/>
    </w:rPr>
  </w:style>
  <w:style w:type="paragraph" w:customStyle="1" w:styleId="1151">
    <w:name w:val="X:entete"/>
    <w:basedOn w:val="799"/>
    <w:autoRedefine/>
    <w:qFormat/>
    <w:uiPriority w:val="0"/>
    <w:rPr>
      <w:sz w:val="20"/>
    </w:rPr>
  </w:style>
  <w:style w:type="paragraph" w:customStyle="1" w:styleId="1152">
    <w:name w:val="样式 目录 2 + 左侧:  0.96 字符"/>
    <w:basedOn w:val="55"/>
    <w:autoRedefine/>
    <w:qFormat/>
    <w:uiPriority w:val="0"/>
    <w:pPr>
      <w:tabs>
        <w:tab w:val="left" w:pos="697"/>
        <w:tab w:val="left" w:pos="1680"/>
        <w:tab w:val="right" w:leader="dot" w:pos="9059"/>
      </w:tabs>
      <w:autoSpaceDN w:val="0"/>
      <w:ind w:left="400" w:leftChars="400"/>
      <w:jc w:val="both"/>
    </w:pPr>
    <w:rPr>
      <w:rFonts w:ascii="Arial" w:hAnsi="Arial" w:cs="宋体"/>
      <w:smallCaps w:val="0"/>
    </w:rPr>
  </w:style>
  <w:style w:type="paragraph" w:customStyle="1" w:styleId="1153">
    <w:name w:val="样式 列表框1 + 右侧:  -0.05 字符"/>
    <w:basedOn w:val="141"/>
    <w:autoRedefine/>
    <w:qFormat/>
    <w:uiPriority w:val="0"/>
    <w:pPr>
      <w:tabs>
        <w:tab w:val="left" w:pos="480"/>
        <w:tab w:val="left" w:pos="2618"/>
        <w:tab w:val="clear" w:pos="1628"/>
        <w:tab w:val="clear" w:pos="2086"/>
      </w:tabs>
      <w:spacing w:after="50"/>
      <w:ind w:left="0" w:leftChars="0" w:right="-5" w:rightChars="-5" w:firstLine="0" w:firstLineChars="0"/>
      <w:jc w:val="left"/>
    </w:pPr>
    <w:rPr>
      <w:rFonts w:ascii="Times New Roman" w:hAnsi="Times New Roman" w:cs="宋体"/>
      <w:spacing w:val="0"/>
      <w:szCs w:val="22"/>
    </w:rPr>
  </w:style>
  <w:style w:type="paragraph" w:customStyle="1" w:styleId="1154">
    <w:name w:val="样式 标题 5 + 左侧:  0 厘米 首行缩进:  1.6 厘米"/>
    <w:basedOn w:val="8"/>
    <w:autoRedefine/>
    <w:qFormat/>
    <w:uiPriority w:val="0"/>
    <w:pPr>
      <w:widowControl w:val="0"/>
      <w:tabs>
        <w:tab w:val="left" w:pos="840"/>
        <w:tab w:val="left" w:pos="1050"/>
        <w:tab w:val="left" w:pos="1134"/>
      </w:tabs>
      <w:adjustRightInd w:val="0"/>
      <w:spacing w:before="480" w:line="376" w:lineRule="atLeast"/>
      <w:ind w:left="1758" w:hanging="1531"/>
      <w:jc w:val="both"/>
      <w:textAlignment w:val="baseline"/>
    </w:pPr>
    <w:rPr>
      <w:rFonts w:ascii="Times New Roman" w:hAnsi="Times New Roman" w:cs="宋体"/>
      <w:bCs/>
      <w:sz w:val="21"/>
      <w:szCs w:val="21"/>
    </w:rPr>
  </w:style>
  <w:style w:type="paragraph" w:customStyle="1" w:styleId="1155">
    <w:name w:val="正文列表框"/>
    <w:basedOn w:val="1"/>
    <w:autoRedefine/>
    <w:qFormat/>
    <w:uiPriority w:val="0"/>
    <w:pPr>
      <w:numPr>
        <w:ilvl w:val="0"/>
        <w:numId w:val="10"/>
      </w:numPr>
      <w:spacing w:afterLines="50" w:line="320" w:lineRule="exact"/>
    </w:pPr>
    <w:rPr>
      <w:rFonts w:ascii="宋体" w:hAnsi="Arial" w:cs="Arial"/>
      <w:snapToGrid w:val="0"/>
      <w:color w:val="000000"/>
      <w:kern w:val="0"/>
      <w:szCs w:val="21"/>
      <w:lang w:val="en-GB"/>
    </w:rPr>
  </w:style>
  <w:style w:type="paragraph" w:customStyle="1" w:styleId="1156">
    <w:name w:val="正文条款"/>
    <w:basedOn w:val="1"/>
    <w:next w:val="1"/>
    <w:autoRedefine/>
    <w:qFormat/>
    <w:uiPriority w:val="0"/>
    <w:pPr>
      <w:spacing w:afterLines="50" w:line="320" w:lineRule="exact"/>
      <w:ind w:left="200" w:leftChars="200" w:firstLine="200" w:firstLineChars="200"/>
    </w:pPr>
    <w:rPr>
      <w:rFonts w:ascii="Arial" w:hAnsi="Arial" w:cs="Arial"/>
      <w:snapToGrid w:val="0"/>
      <w:color w:val="0000FF"/>
      <w:kern w:val="0"/>
      <w:szCs w:val="21"/>
      <w:lang w:val="en-GB"/>
    </w:rPr>
  </w:style>
  <w:style w:type="paragraph" w:customStyle="1" w:styleId="1157">
    <w:name w:val="p18"/>
    <w:basedOn w:val="1"/>
    <w:autoRedefine/>
    <w:qFormat/>
    <w:uiPriority w:val="0"/>
    <w:pPr>
      <w:widowControl/>
      <w:spacing w:line="360" w:lineRule="auto"/>
      <w:ind w:firstLine="420"/>
    </w:pPr>
    <w:rPr>
      <w:rFonts w:hint="eastAsia"/>
    </w:rPr>
  </w:style>
  <w:style w:type="paragraph" w:customStyle="1" w:styleId="1158">
    <w:name w:val="bodytext"/>
    <w:basedOn w:val="1"/>
    <w:autoRedefine/>
    <w:qFormat/>
    <w:uiPriority w:val="0"/>
    <w:pPr>
      <w:widowControl/>
      <w:spacing w:before="170" w:line="300" w:lineRule="atLeast"/>
      <w:ind w:left="1134"/>
    </w:pPr>
    <w:rPr>
      <w:color w:val="000000"/>
      <w:kern w:val="0"/>
      <w:sz w:val="24"/>
      <w:szCs w:val="24"/>
    </w:rPr>
  </w:style>
  <w:style w:type="paragraph" w:customStyle="1" w:styleId="1159">
    <w:name w:val="说明文字"/>
    <w:basedOn w:val="1"/>
    <w:autoRedefine/>
    <w:qFormat/>
    <w:uiPriority w:val="0"/>
    <w:pPr>
      <w:widowControl/>
      <w:jc w:val="left"/>
    </w:pPr>
    <w:rPr>
      <w:rFonts w:ascii="Tahoma" w:hAnsi="Tahoma"/>
      <w:kern w:val="0"/>
      <w:sz w:val="24"/>
      <w:lang w:eastAsia="en-US" w:bidi="en-US"/>
    </w:rPr>
  </w:style>
  <w:style w:type="paragraph" w:customStyle="1" w:styleId="1160">
    <w:name w:val="a4"/>
    <w:basedOn w:val="1"/>
    <w:autoRedefine/>
    <w:qFormat/>
    <w:uiPriority w:val="0"/>
    <w:pPr>
      <w:widowControl/>
      <w:spacing w:line="360" w:lineRule="auto"/>
      <w:jc w:val="center"/>
    </w:pPr>
    <w:rPr>
      <w:kern w:val="0"/>
      <w:szCs w:val="21"/>
    </w:rPr>
  </w:style>
  <w:style w:type="paragraph" w:customStyle="1" w:styleId="1161">
    <w:name w:val="charcharcharcharcharcharcharcharcharcharcharcharchar"/>
    <w:basedOn w:val="1"/>
    <w:autoRedefine/>
    <w:qFormat/>
    <w:uiPriority w:val="0"/>
    <w:pPr>
      <w:widowControl/>
      <w:ind w:left="567" w:hanging="279"/>
    </w:pPr>
    <w:rPr>
      <w:kern w:val="0"/>
      <w:sz w:val="24"/>
      <w:szCs w:val="24"/>
    </w:rPr>
  </w:style>
  <w:style w:type="paragraph" w:customStyle="1" w:styleId="1162">
    <w:name w:val="capability style"/>
    <w:basedOn w:val="1"/>
    <w:autoRedefine/>
    <w:qFormat/>
    <w:uiPriority w:val="0"/>
    <w:pPr>
      <w:widowControl/>
      <w:spacing w:before="50" w:after="50" w:line="280" w:lineRule="exact"/>
      <w:jc w:val="left"/>
    </w:pPr>
    <w:rPr>
      <w:rFonts w:ascii="Arial" w:hAnsi="Arial"/>
      <w:color w:val="008000"/>
      <w:kern w:val="0"/>
      <w:sz w:val="20"/>
      <w:lang w:eastAsia="fr-FR" w:bidi="en-US"/>
    </w:rPr>
  </w:style>
  <w:style w:type="paragraph" w:customStyle="1" w:styleId="1163">
    <w:name w:val="Section Title"/>
    <w:basedOn w:val="1"/>
    <w:next w:val="1"/>
    <w:autoRedefine/>
    <w:qFormat/>
    <w:uiPriority w:val="0"/>
    <w:pPr>
      <w:widowControl/>
      <w:spacing w:line="220" w:lineRule="atLeast"/>
      <w:jc w:val="left"/>
    </w:pPr>
    <w:rPr>
      <w:rFonts w:ascii="Arial Black" w:hAnsi="Arial Black" w:eastAsia="PMingLiU"/>
      <w:spacing w:val="-10"/>
      <w:kern w:val="0"/>
      <w:sz w:val="20"/>
      <w:lang w:eastAsia="en-US" w:bidi="en-US"/>
    </w:rPr>
  </w:style>
  <w:style w:type="paragraph" w:customStyle="1" w:styleId="1164">
    <w:name w:val="List  2"/>
    <w:basedOn w:val="1"/>
    <w:autoRedefine/>
    <w:qFormat/>
    <w:uiPriority w:val="0"/>
    <w:pPr>
      <w:widowControl/>
      <w:spacing w:before="20" w:after="60" w:line="240" w:lineRule="atLeast"/>
      <w:ind w:left="1559" w:hanging="283"/>
      <w:jc w:val="left"/>
    </w:pPr>
    <w:rPr>
      <w:rFonts w:ascii="Arial" w:hAnsi="Arial" w:eastAsia="PMingLiU"/>
      <w:kern w:val="0"/>
      <w:sz w:val="24"/>
      <w:lang w:val="en-GB" w:eastAsia="en-US" w:bidi="en-US"/>
    </w:rPr>
  </w:style>
  <w:style w:type="paragraph" w:customStyle="1" w:styleId="1165">
    <w:name w:val="List  1"/>
    <w:basedOn w:val="1"/>
    <w:autoRedefine/>
    <w:qFormat/>
    <w:uiPriority w:val="0"/>
    <w:pPr>
      <w:widowControl/>
      <w:tabs>
        <w:tab w:val="left" w:pos="1276"/>
      </w:tabs>
      <w:spacing w:before="20" w:after="60" w:line="240" w:lineRule="exact"/>
      <w:ind w:left="1276" w:hanging="283"/>
      <w:jc w:val="left"/>
    </w:pPr>
    <w:rPr>
      <w:rFonts w:ascii="Arial" w:hAnsi="Arial" w:eastAsia="PMingLiU"/>
      <w:kern w:val="0"/>
      <w:sz w:val="22"/>
      <w:lang w:val="en-GB" w:eastAsia="en-US" w:bidi="en-US"/>
    </w:rPr>
  </w:style>
  <w:style w:type="paragraph" w:customStyle="1" w:styleId="1166">
    <w:name w:val="wsaFooter"/>
    <w:basedOn w:val="1"/>
    <w:autoRedefine/>
    <w:qFormat/>
    <w:uiPriority w:val="0"/>
    <w:pPr>
      <w:widowControl/>
      <w:jc w:val="right"/>
    </w:pPr>
    <w:rPr>
      <w:rFonts w:ascii="Invensys Andale" w:hAnsi="Invensys Andale"/>
      <w:color w:val="FFFFFF"/>
      <w:kern w:val="0"/>
      <w:sz w:val="16"/>
      <w:szCs w:val="16"/>
      <w:lang w:val="en-AU" w:eastAsia="en-US" w:bidi="en-US"/>
    </w:rPr>
  </w:style>
  <w:style w:type="paragraph" w:customStyle="1" w:styleId="1167">
    <w:name w:val="Char Char Char Char Char Char1 Char Char Char Char"/>
    <w:basedOn w:val="1"/>
    <w:autoRedefine/>
    <w:qFormat/>
    <w:uiPriority w:val="0"/>
    <w:pPr>
      <w:widowControl/>
      <w:jc w:val="left"/>
    </w:pPr>
    <w:rPr>
      <w:rFonts w:ascii="仿宋_GB2312" w:eastAsia="仿宋_GB2312"/>
      <w:b/>
      <w:kern w:val="0"/>
      <w:sz w:val="32"/>
      <w:szCs w:val="32"/>
      <w:lang w:eastAsia="en-US" w:bidi="en-US"/>
    </w:rPr>
  </w:style>
  <w:style w:type="paragraph" w:customStyle="1" w:styleId="1168">
    <w:name w:val="样式 标题 4Para4CDR_Lev 4Title3h44 dashddash3 dash3rd order..."/>
    <w:basedOn w:val="7"/>
    <w:autoRedefine/>
    <w:qFormat/>
    <w:uiPriority w:val="0"/>
    <w:pPr>
      <w:keepLines w:val="0"/>
      <w:spacing w:before="480" w:after="60"/>
      <w:jc w:val="both"/>
    </w:pPr>
    <w:rPr>
      <w:rFonts w:eastAsia="宋体" w:cs="宋体"/>
      <w:b/>
      <w:bCs/>
      <w:kern w:val="0"/>
      <w:sz w:val="20"/>
      <w:szCs w:val="20"/>
    </w:rPr>
  </w:style>
  <w:style w:type="paragraph" w:customStyle="1" w:styleId="1169">
    <w:name w:val="Char Char4"/>
    <w:basedOn w:val="1"/>
    <w:autoRedefine/>
    <w:qFormat/>
    <w:uiPriority w:val="0"/>
    <w:pPr>
      <w:widowControl/>
      <w:ind w:firstLine="360" w:firstLineChars="150"/>
      <w:jc w:val="left"/>
    </w:pPr>
    <w:rPr>
      <w:rFonts w:ascii="Tahoma" w:hAnsi="Tahoma"/>
      <w:kern w:val="0"/>
      <w:sz w:val="24"/>
      <w:lang w:eastAsia="en-US" w:bidi="en-US"/>
    </w:rPr>
  </w:style>
  <w:style w:type="paragraph" w:customStyle="1" w:styleId="1170">
    <w:name w:val="样式 标题 3第二层条第三层论文标题 21.1.1 标题 3正文 + 标题 31.1.1 标题 3 + 宋体五号..."/>
    <w:basedOn w:val="5"/>
    <w:autoRedefine/>
    <w:qFormat/>
    <w:uiPriority w:val="0"/>
    <w:pPr>
      <w:keepLines w:val="0"/>
      <w:tabs>
        <w:tab w:val="left" w:pos="720"/>
      </w:tabs>
      <w:spacing w:before="480" w:line="240" w:lineRule="auto"/>
      <w:ind w:left="720" w:hanging="720"/>
      <w:jc w:val="left"/>
    </w:pPr>
    <w:rPr>
      <w:rFonts w:ascii="宋体" w:hAnsi="宋体" w:cs="Arial"/>
      <w:bCs/>
      <w:sz w:val="26"/>
      <w:szCs w:val="28"/>
      <w:lang w:eastAsia="en-US" w:bidi="en-US"/>
    </w:rPr>
  </w:style>
  <w:style w:type="paragraph" w:customStyle="1" w:styleId="1171">
    <w:name w:val="样式 (符号) 宋体 行距: 1.5 倍行距"/>
    <w:basedOn w:val="1"/>
    <w:autoRedefine/>
    <w:qFormat/>
    <w:uiPriority w:val="0"/>
    <w:pPr>
      <w:widowControl/>
      <w:spacing w:line="360" w:lineRule="auto"/>
      <w:jc w:val="left"/>
    </w:pPr>
    <w:rPr>
      <w:rFonts w:hAnsi="宋体" w:cs="宋体"/>
      <w:kern w:val="0"/>
      <w:sz w:val="24"/>
      <w:lang w:eastAsia="en-US" w:bidi="en-US"/>
    </w:rPr>
  </w:style>
  <w:style w:type="paragraph" w:customStyle="1" w:styleId="1172">
    <w:name w:val="样式 标题 3Para3Title2h333 bulletbulletbullets2nd order hd2..."/>
    <w:basedOn w:val="5"/>
    <w:autoRedefine/>
    <w:qFormat/>
    <w:uiPriority w:val="0"/>
    <w:pPr>
      <w:keepLines w:val="0"/>
      <w:spacing w:before="480" w:line="240" w:lineRule="auto"/>
      <w:jc w:val="left"/>
    </w:pPr>
    <w:rPr>
      <w:rFonts w:ascii="Cambria" w:hAnsi="Cambria" w:cs="宋体"/>
      <w:bCs/>
      <w:sz w:val="26"/>
      <w:lang w:eastAsia="en-US" w:bidi="en-US"/>
    </w:rPr>
  </w:style>
  <w:style w:type="paragraph" w:customStyle="1" w:styleId="1173">
    <w:name w:val="X:titre"/>
    <w:basedOn w:val="1"/>
    <w:autoRedefine/>
    <w:qFormat/>
    <w:uiPriority w:val="0"/>
    <w:pPr>
      <w:widowControl/>
      <w:spacing w:after="120"/>
      <w:jc w:val="center"/>
    </w:pPr>
    <w:rPr>
      <w:rFonts w:ascii="Arial" w:hAnsi="Arial"/>
      <w:b/>
      <w:kern w:val="0"/>
      <w:sz w:val="36"/>
      <w:lang w:eastAsia="fr-FR" w:bidi="en-US"/>
    </w:rPr>
  </w:style>
  <w:style w:type="paragraph" w:customStyle="1" w:styleId="1174">
    <w:name w:val="X:doc_lang"/>
    <w:basedOn w:val="1"/>
    <w:autoRedefine/>
    <w:qFormat/>
    <w:uiPriority w:val="0"/>
    <w:pPr>
      <w:widowControl/>
      <w:jc w:val="right"/>
    </w:pPr>
    <w:rPr>
      <w:rFonts w:ascii="Helvetica" w:hAnsi="Helvetica"/>
      <w:b/>
      <w:kern w:val="0"/>
      <w:sz w:val="24"/>
      <w:lang w:eastAsia="fr-FR" w:bidi="en-US"/>
    </w:rPr>
  </w:style>
  <w:style w:type="paragraph" w:customStyle="1" w:styleId="1175">
    <w:name w:val="Normal_table_10"/>
    <w:basedOn w:val="1"/>
    <w:autoRedefine/>
    <w:qFormat/>
    <w:uiPriority w:val="0"/>
    <w:pPr>
      <w:widowControl/>
      <w:spacing w:before="20" w:after="40" w:line="360" w:lineRule="auto"/>
      <w:jc w:val="left"/>
    </w:pPr>
    <w:rPr>
      <w:rFonts w:ascii="Arial" w:hAnsi="Arial" w:eastAsia="Times New Roman"/>
      <w:kern w:val="0"/>
      <w:sz w:val="20"/>
      <w:lang w:eastAsia="en-US" w:bidi="en-US"/>
    </w:rPr>
  </w:style>
  <w:style w:type="paragraph" w:customStyle="1" w:styleId="1176">
    <w:name w:val="Char Char Char Char1 Char Char Char"/>
    <w:basedOn w:val="1"/>
    <w:autoRedefine/>
    <w:qFormat/>
    <w:uiPriority w:val="0"/>
    <w:pPr>
      <w:widowControl/>
      <w:jc w:val="left"/>
    </w:pPr>
    <w:rPr>
      <w:rFonts w:ascii="Tahoma" w:hAnsi="Tahoma"/>
      <w:kern w:val="0"/>
      <w:sz w:val="24"/>
      <w:lang w:eastAsia="en-US" w:bidi="en-US"/>
    </w:rPr>
  </w:style>
  <w:style w:type="paragraph" w:customStyle="1" w:styleId="1177">
    <w:name w:val="Enumeration1"/>
    <w:basedOn w:val="1"/>
    <w:autoRedefine/>
    <w:qFormat/>
    <w:uiPriority w:val="0"/>
    <w:pPr>
      <w:widowControl/>
      <w:tabs>
        <w:tab w:val="left" w:pos="1418"/>
      </w:tabs>
      <w:ind w:left="397" w:hanging="397"/>
      <w:jc w:val="left"/>
    </w:pPr>
    <w:rPr>
      <w:rFonts w:ascii="Arial" w:hAnsi="Arial" w:eastAsia="Times New Roman"/>
      <w:kern w:val="0"/>
      <w:sz w:val="22"/>
      <w:lang w:val="fr-FR" w:eastAsia="fr-FR" w:bidi="en-US"/>
    </w:rPr>
  </w:style>
  <w:style w:type="paragraph" w:customStyle="1" w:styleId="1178">
    <w:name w:val="样式 8 磅 加粗 左侧:  0 厘米 段前: 0 磅 段后: 0 磅"/>
    <w:basedOn w:val="1"/>
    <w:autoRedefine/>
    <w:qFormat/>
    <w:uiPriority w:val="0"/>
    <w:pPr>
      <w:widowControl/>
      <w:jc w:val="left"/>
    </w:pPr>
    <w:rPr>
      <w:rFonts w:ascii="Arial" w:hAnsi="Arial" w:cs="宋体"/>
      <w:bCs/>
      <w:kern w:val="0"/>
      <w:sz w:val="24"/>
      <w:lang w:val="en-GB" w:eastAsia="en-US" w:bidi="en-US"/>
    </w:rPr>
  </w:style>
  <w:style w:type="paragraph" w:customStyle="1" w:styleId="1179">
    <w:name w:val="样式 8 磅 加粗 全部大写 居中 左侧:  0 厘米"/>
    <w:basedOn w:val="1"/>
    <w:autoRedefine/>
    <w:qFormat/>
    <w:uiPriority w:val="0"/>
    <w:pPr>
      <w:widowControl/>
      <w:spacing w:before="120" w:after="120"/>
      <w:jc w:val="center"/>
    </w:pPr>
    <w:rPr>
      <w:rFonts w:ascii="Arial" w:hAnsi="Arial" w:cs="宋体"/>
      <w:bCs/>
      <w:caps/>
      <w:kern w:val="0"/>
      <w:sz w:val="24"/>
      <w:lang w:val="en-GB" w:eastAsia="en-US" w:bidi="en-US"/>
    </w:rPr>
  </w:style>
  <w:style w:type="paragraph" w:customStyle="1" w:styleId="1180">
    <w:name w:val="&gt;1:remarque"/>
    <w:basedOn w:val="1090"/>
    <w:autoRedefine/>
    <w:qFormat/>
    <w:uiPriority w:val="0"/>
    <w:pPr>
      <w:tabs>
        <w:tab w:val="clear" w:pos="351"/>
        <w:tab w:val="clear" w:pos="709"/>
        <w:tab w:val="clear" w:pos="1061"/>
        <w:tab w:val="clear" w:pos="1418"/>
      </w:tabs>
      <w:ind w:left="1276" w:hanging="1276"/>
    </w:pPr>
    <w:rPr>
      <w:i w:val="0"/>
    </w:rPr>
  </w:style>
  <w:style w:type="paragraph" w:customStyle="1" w:styleId="1181">
    <w:name w:val="样式 8 磅 加粗 左侧:  -0.01 厘米 段前: 0 磅 段后: 0 磅"/>
    <w:basedOn w:val="1"/>
    <w:autoRedefine/>
    <w:qFormat/>
    <w:uiPriority w:val="0"/>
    <w:pPr>
      <w:widowControl/>
      <w:ind w:left="-6"/>
      <w:jc w:val="left"/>
    </w:pPr>
    <w:rPr>
      <w:rFonts w:ascii="Arial" w:hAnsi="Arial" w:cs="宋体"/>
      <w:bCs/>
      <w:kern w:val="0"/>
      <w:sz w:val="24"/>
      <w:lang w:val="en-GB" w:eastAsia="en-US" w:bidi="en-US"/>
    </w:rPr>
  </w:style>
  <w:style w:type="paragraph" w:customStyle="1" w:styleId="1182">
    <w:name w:val="样式 8 磅 加粗 两端对齐 左侧:  -0.01 厘米 段前: 0 磅 段后: 0 磅"/>
    <w:basedOn w:val="1"/>
    <w:autoRedefine/>
    <w:qFormat/>
    <w:uiPriority w:val="0"/>
    <w:pPr>
      <w:widowControl/>
      <w:ind w:left="-6"/>
      <w:jc w:val="left"/>
    </w:pPr>
    <w:rPr>
      <w:rFonts w:ascii="Arial" w:hAnsi="Arial" w:cs="宋体"/>
      <w:bCs/>
      <w:kern w:val="0"/>
      <w:sz w:val="24"/>
      <w:lang w:val="en-GB" w:eastAsia="en-US" w:bidi="en-US"/>
    </w:rPr>
  </w:style>
  <w:style w:type="paragraph" w:customStyle="1" w:styleId="1183">
    <w:name w:val="样式 8 磅 加粗 两端对齐 左侧:  -0.01 厘米 段前: 0 磅 段后: 0 磅1"/>
    <w:basedOn w:val="1"/>
    <w:autoRedefine/>
    <w:qFormat/>
    <w:uiPriority w:val="0"/>
    <w:pPr>
      <w:widowControl/>
      <w:ind w:left="-3"/>
      <w:jc w:val="left"/>
    </w:pPr>
    <w:rPr>
      <w:rFonts w:ascii="Arial" w:hAnsi="Arial" w:cs="宋体"/>
      <w:bCs/>
      <w:kern w:val="0"/>
      <w:sz w:val="24"/>
      <w:lang w:val="en-GB" w:eastAsia="en-US" w:bidi="en-US"/>
    </w:rPr>
  </w:style>
  <w:style w:type="paragraph" w:customStyle="1" w:styleId="1184">
    <w:name w:val="样式 8 磅 加粗 全部大写 居中 左侧:  -0.19 厘米 右侧:  -0.19 厘米"/>
    <w:basedOn w:val="1"/>
    <w:autoRedefine/>
    <w:qFormat/>
    <w:uiPriority w:val="0"/>
    <w:pPr>
      <w:widowControl/>
      <w:spacing w:before="120" w:after="120"/>
      <w:ind w:left="-108" w:right="-108"/>
      <w:jc w:val="center"/>
    </w:pPr>
    <w:rPr>
      <w:rFonts w:ascii="Arial" w:hAnsi="Arial" w:cs="宋体"/>
      <w:bCs/>
      <w:caps/>
      <w:kern w:val="0"/>
      <w:sz w:val="24"/>
      <w:lang w:val="en-GB" w:eastAsia="en-US" w:bidi="en-US"/>
    </w:rPr>
  </w:style>
  <w:style w:type="paragraph" w:customStyle="1" w:styleId="1185">
    <w:name w:val="样式 Textttexttest + 8 磅 加粗 左侧:  0.05 厘米"/>
    <w:basedOn w:val="585"/>
    <w:autoRedefine/>
    <w:qFormat/>
    <w:uiPriority w:val="0"/>
    <w:pPr>
      <w:ind w:left="31"/>
    </w:pPr>
    <w:rPr>
      <w:rFonts w:cs="宋体"/>
      <w:bCs/>
      <w:sz w:val="21"/>
    </w:rPr>
  </w:style>
  <w:style w:type="paragraph" w:customStyle="1" w:styleId="1186">
    <w:name w:val="样式 Textttexttest + 8 磅 加粗"/>
    <w:basedOn w:val="585"/>
    <w:autoRedefine/>
    <w:qFormat/>
    <w:uiPriority w:val="0"/>
    <w:rPr>
      <w:bCs/>
      <w:sz w:val="21"/>
    </w:rPr>
  </w:style>
  <w:style w:type="paragraph" w:customStyle="1" w:styleId="1187">
    <w:name w:val="样式 8 磅 加粗 居中 左侧:  0.05 厘米"/>
    <w:basedOn w:val="1"/>
    <w:autoRedefine/>
    <w:qFormat/>
    <w:uiPriority w:val="0"/>
    <w:pPr>
      <w:widowControl/>
      <w:spacing w:before="120" w:after="120"/>
      <w:ind w:left="31"/>
      <w:jc w:val="center"/>
    </w:pPr>
    <w:rPr>
      <w:rFonts w:ascii="Arial" w:hAnsi="Arial" w:cs="宋体"/>
      <w:bCs/>
      <w:kern w:val="0"/>
      <w:sz w:val="24"/>
      <w:lang w:val="en-GB" w:eastAsia="en-US" w:bidi="en-US"/>
    </w:rPr>
  </w:style>
  <w:style w:type="paragraph" w:customStyle="1" w:styleId="1188">
    <w:name w:val="样式 Textttexttest + 8 磅 加粗 左侧:  0.05 厘米1"/>
    <w:basedOn w:val="585"/>
    <w:autoRedefine/>
    <w:qFormat/>
    <w:uiPriority w:val="0"/>
    <w:pPr>
      <w:ind w:left="31"/>
    </w:pPr>
    <w:rPr>
      <w:rFonts w:cs="宋体"/>
      <w:bCs/>
      <w:sz w:val="21"/>
    </w:rPr>
  </w:style>
  <w:style w:type="paragraph" w:customStyle="1" w:styleId="1189">
    <w:name w:val="样式 Textttexttest + 8 磅 加粗 左侧:  0.05 厘米2"/>
    <w:basedOn w:val="585"/>
    <w:autoRedefine/>
    <w:qFormat/>
    <w:uiPriority w:val="0"/>
    <w:pPr>
      <w:ind w:left="31"/>
    </w:pPr>
    <w:rPr>
      <w:rFonts w:cs="宋体"/>
      <w:bCs/>
      <w:sz w:val="21"/>
    </w:rPr>
  </w:style>
  <w:style w:type="paragraph" w:customStyle="1" w:styleId="1190">
    <w:name w:val="样式 宋体 小四 左 行距: 固定值 25 磅"/>
    <w:basedOn w:val="1"/>
    <w:autoRedefine/>
    <w:qFormat/>
    <w:uiPriority w:val="0"/>
    <w:pPr>
      <w:widowControl/>
      <w:tabs>
        <w:tab w:val="left" w:pos="876"/>
      </w:tabs>
      <w:spacing w:line="500" w:lineRule="exact"/>
      <w:ind w:left="1191" w:hanging="735"/>
      <w:jc w:val="left"/>
    </w:pPr>
    <w:rPr>
      <w:rFonts w:ascii="宋体" w:hAnsi="宋体" w:cs="宋体"/>
      <w:kern w:val="0"/>
      <w:sz w:val="24"/>
      <w:lang w:eastAsia="en-US" w:bidi="en-US"/>
    </w:rPr>
  </w:style>
  <w:style w:type="paragraph" w:customStyle="1" w:styleId="1191">
    <w:name w:val="&gt;div:listing"/>
    <w:basedOn w:val="1"/>
    <w:autoRedefine/>
    <w:qFormat/>
    <w:uiPriority w:val="0"/>
    <w:pPr>
      <w:widowControl/>
      <w:spacing w:line="240" w:lineRule="exact"/>
      <w:jc w:val="left"/>
    </w:pPr>
    <w:rPr>
      <w:rFonts w:ascii="Courier" w:hAnsi="Courier"/>
      <w:b/>
      <w:kern w:val="0"/>
      <w:sz w:val="20"/>
      <w:lang w:eastAsia="fr-FR" w:bidi="en-US"/>
    </w:rPr>
  </w:style>
  <w:style w:type="paragraph" w:customStyle="1" w:styleId="1192">
    <w:name w:val="Normal_table_8"/>
    <w:basedOn w:val="1"/>
    <w:autoRedefine/>
    <w:qFormat/>
    <w:uiPriority w:val="0"/>
    <w:pPr>
      <w:keepLines/>
      <w:widowControl/>
      <w:spacing w:before="20" w:after="40" w:line="360" w:lineRule="auto"/>
      <w:jc w:val="left"/>
    </w:pPr>
    <w:rPr>
      <w:rFonts w:ascii="Arial" w:hAnsi="Arial" w:eastAsia="Times New Roman"/>
      <w:kern w:val="0"/>
      <w:sz w:val="16"/>
      <w:lang w:eastAsia="en-US" w:bidi="en-US"/>
    </w:rPr>
  </w:style>
  <w:style w:type="paragraph" w:customStyle="1" w:styleId="1193">
    <w:name w:val="Para Bullet"/>
    <w:basedOn w:val="742"/>
    <w:autoRedefine/>
    <w:qFormat/>
    <w:uiPriority w:val="0"/>
    <w:pPr>
      <w:tabs>
        <w:tab w:val="left" w:pos="360"/>
        <w:tab w:val="clear" w:pos="1138"/>
        <w:tab w:val="clear" w:pos="1699"/>
        <w:tab w:val="clear" w:pos="2261"/>
        <w:tab w:val="clear" w:pos="2822"/>
        <w:tab w:val="clear" w:pos="3384"/>
        <w:tab w:val="clear" w:pos="3946"/>
        <w:tab w:val="clear" w:pos="4507"/>
        <w:tab w:val="clear" w:pos="5069"/>
        <w:tab w:val="clear" w:pos="5630"/>
        <w:tab w:val="clear" w:pos="6192"/>
        <w:tab w:val="clear" w:pos="6754"/>
        <w:tab w:val="clear" w:pos="7315"/>
        <w:tab w:val="clear" w:pos="7877"/>
        <w:tab w:val="clear" w:pos="8438"/>
        <w:tab w:val="clear" w:pos="9000"/>
        <w:tab w:val="clear" w:pos="9562"/>
        <w:tab w:val="clear" w:pos="10123"/>
      </w:tabs>
      <w:ind w:left="1700" w:hanging="562"/>
    </w:pPr>
  </w:style>
  <w:style w:type="paragraph" w:customStyle="1" w:styleId="1194">
    <w:name w:val="Column Title"/>
    <w:basedOn w:val="1"/>
    <w:autoRedefine/>
    <w:qFormat/>
    <w:uiPriority w:val="0"/>
    <w:pPr>
      <w:widowControl/>
      <w:spacing w:line="240" w:lineRule="exact"/>
      <w:jc w:val="left"/>
    </w:pPr>
    <w:rPr>
      <w:rFonts w:ascii="Arial" w:hAnsi="Arial"/>
      <w:b/>
      <w:kern w:val="0"/>
      <w:sz w:val="20"/>
      <w:lang w:eastAsia="fr-FR" w:bidi="en-US"/>
    </w:rPr>
  </w:style>
  <w:style w:type="paragraph" w:customStyle="1" w:styleId="1195">
    <w:name w:val="&gt;caution"/>
    <w:basedOn w:val="1090"/>
    <w:autoRedefine/>
    <w:qFormat/>
    <w:uiPriority w:val="0"/>
    <w:pPr>
      <w:tabs>
        <w:tab w:val="clear" w:pos="351"/>
        <w:tab w:val="clear" w:pos="709"/>
        <w:tab w:val="clear" w:pos="1061"/>
        <w:tab w:val="clear" w:pos="1418"/>
      </w:tabs>
      <w:spacing w:before="10"/>
      <w:ind w:left="0"/>
    </w:pPr>
    <w:rPr>
      <w:b/>
    </w:rPr>
  </w:style>
  <w:style w:type="paragraph" w:customStyle="1" w:styleId="1196">
    <w:name w:val="Column Cell"/>
    <w:basedOn w:val="1194"/>
    <w:autoRedefine/>
    <w:qFormat/>
    <w:uiPriority w:val="0"/>
    <w:rPr>
      <w:b w:val="0"/>
      <w:sz w:val="16"/>
    </w:rPr>
  </w:style>
  <w:style w:type="paragraph" w:customStyle="1" w:styleId="1197">
    <w:name w:val="info"/>
    <w:basedOn w:val="1"/>
    <w:autoRedefine/>
    <w:qFormat/>
    <w:uiPriority w:val="0"/>
    <w:pPr>
      <w:widowControl/>
      <w:jc w:val="center"/>
    </w:pPr>
    <w:rPr>
      <w:rFonts w:ascii="Arial" w:hAnsi="Arial"/>
      <w:b/>
      <w:vanish/>
      <w:color w:val="FF0000"/>
      <w:kern w:val="0"/>
      <w:sz w:val="20"/>
      <w:lang w:eastAsia="fr-FR" w:bidi="en-US"/>
    </w:rPr>
  </w:style>
  <w:style w:type="paragraph" w:customStyle="1" w:styleId="1198">
    <w:name w:val="M:VAR:doc_nom"/>
    <w:basedOn w:val="1"/>
    <w:next w:val="1"/>
    <w:autoRedefine/>
    <w:qFormat/>
    <w:uiPriority w:val="0"/>
    <w:pPr>
      <w:widowControl/>
      <w:spacing w:before="1680" w:after="120"/>
      <w:jc w:val="center"/>
    </w:pPr>
    <w:rPr>
      <w:rFonts w:ascii="Arial" w:hAnsi="Arial"/>
      <w:b/>
      <w:kern w:val="0"/>
      <w:sz w:val="28"/>
      <w:lang w:eastAsia="fr-FR" w:bidi="en-US"/>
    </w:rPr>
  </w:style>
  <w:style w:type="paragraph" w:customStyle="1" w:styleId="1199">
    <w:name w:val="M:VAR:num_mod"/>
    <w:basedOn w:val="1"/>
    <w:autoRedefine/>
    <w:qFormat/>
    <w:uiPriority w:val="0"/>
    <w:pPr>
      <w:widowControl/>
      <w:spacing w:before="120" w:after="120"/>
      <w:jc w:val="center"/>
    </w:pPr>
    <w:rPr>
      <w:rFonts w:ascii="Arial" w:hAnsi="Arial"/>
      <w:b/>
      <w:kern w:val="0"/>
      <w:sz w:val="20"/>
      <w:lang w:eastAsia="fr-FR" w:bidi="en-US"/>
    </w:rPr>
  </w:style>
  <w:style w:type="paragraph" w:customStyle="1" w:styleId="1200">
    <w:name w:val="M:VAR:doc_securit"/>
    <w:basedOn w:val="1199"/>
    <w:autoRedefine/>
    <w:qFormat/>
    <w:uiPriority w:val="0"/>
    <w:pPr>
      <w:spacing w:before="0"/>
    </w:pPr>
    <w:rPr>
      <w:b w:val="0"/>
      <w:caps/>
    </w:rPr>
  </w:style>
  <w:style w:type="paragraph" w:customStyle="1" w:styleId="1201">
    <w:name w:val="M:VAR:titre title"/>
    <w:basedOn w:val="1"/>
    <w:autoRedefine/>
    <w:qFormat/>
    <w:uiPriority w:val="0"/>
    <w:pPr>
      <w:widowControl/>
      <w:spacing w:before="1600" w:line="900" w:lineRule="exact"/>
      <w:jc w:val="center"/>
    </w:pPr>
    <w:rPr>
      <w:rFonts w:ascii="Arial" w:hAnsi="Arial"/>
      <w:b/>
      <w:caps/>
      <w:kern w:val="0"/>
      <w:sz w:val="48"/>
      <w:lang w:eastAsia="fr-FR" w:bidi="en-US"/>
    </w:rPr>
  </w:style>
  <w:style w:type="paragraph" w:customStyle="1" w:styleId="1202">
    <w:name w:val="M:VAR:titre suite title"/>
    <w:basedOn w:val="1201"/>
    <w:autoRedefine/>
    <w:qFormat/>
    <w:uiPriority w:val="0"/>
    <w:pPr>
      <w:spacing w:before="600"/>
    </w:pPr>
  </w:style>
  <w:style w:type="paragraph" w:customStyle="1" w:styleId="1203">
    <w:name w:val="requirement style"/>
    <w:basedOn w:val="779"/>
    <w:autoRedefine/>
    <w:qFormat/>
    <w:uiPriority w:val="0"/>
    <w:rPr>
      <w:color w:val="0000FF"/>
      <w:sz w:val="24"/>
    </w:rPr>
  </w:style>
  <w:style w:type="paragraph" w:customStyle="1" w:styleId="1204">
    <w:name w:val="M:VAR:num_ref"/>
    <w:basedOn w:val="1199"/>
    <w:autoRedefine/>
    <w:qFormat/>
    <w:uiPriority w:val="0"/>
    <w:pPr>
      <w:spacing w:before="0" w:after="0"/>
      <w:ind w:right="57"/>
      <w:jc w:val="right"/>
    </w:pPr>
    <w:rPr>
      <w:b w:val="0"/>
      <w:sz w:val="16"/>
    </w:rPr>
  </w:style>
  <w:style w:type="paragraph" w:customStyle="1" w:styleId="1205">
    <w:name w:val="Tab_text2li"/>
    <w:basedOn w:val="799"/>
    <w:autoRedefine/>
    <w:qFormat/>
    <w:uiPriority w:val="0"/>
    <w:pPr>
      <w:spacing w:before="120"/>
    </w:pPr>
    <w:rPr>
      <w:rFonts w:ascii="Arial" w:hAnsi="Arial"/>
      <w:sz w:val="20"/>
    </w:rPr>
  </w:style>
  <w:style w:type="paragraph" w:customStyle="1" w:styleId="1206">
    <w:name w:val="PUID"/>
    <w:basedOn w:val="779"/>
    <w:autoRedefine/>
    <w:qFormat/>
    <w:uiPriority w:val="0"/>
    <w:pPr>
      <w:pBdr>
        <w:top w:val="single" w:color="auto" w:sz="4" w:space="1"/>
        <w:left w:val="single" w:color="auto" w:sz="4" w:space="4"/>
        <w:bottom w:val="single" w:color="auto" w:sz="4" w:space="1"/>
        <w:right w:val="single" w:color="auto" w:sz="4" w:space="4"/>
      </w:pBdr>
      <w:shd w:val="pct5" w:color="auto" w:fill="auto"/>
      <w:spacing w:after="0"/>
    </w:pPr>
    <w:rPr>
      <w:b/>
      <w:i/>
      <w:sz w:val="16"/>
    </w:rPr>
  </w:style>
  <w:style w:type="paragraph" w:customStyle="1" w:styleId="1207">
    <w:name w:val="Tableau_norm1"/>
    <w:basedOn w:val="809"/>
    <w:autoRedefine/>
    <w:qFormat/>
    <w:uiPriority w:val="0"/>
    <w:pPr>
      <w:spacing w:before="40"/>
    </w:pPr>
    <w:rPr>
      <w:rFonts w:ascii="Arial" w:hAnsi="Arial"/>
    </w:rPr>
  </w:style>
  <w:style w:type="paragraph" w:customStyle="1" w:styleId="1208">
    <w:name w:val="Tab_text1li"/>
    <w:basedOn w:val="1194"/>
    <w:autoRedefine/>
    <w:qFormat/>
    <w:uiPriority w:val="0"/>
    <w:pPr>
      <w:spacing w:before="180" w:after="180" w:line="280" w:lineRule="exact"/>
      <w:jc w:val="center"/>
    </w:pPr>
  </w:style>
  <w:style w:type="paragraph" w:customStyle="1" w:styleId="1209">
    <w:name w:val="Tableau_norm2centré"/>
    <w:basedOn w:val="799"/>
    <w:autoRedefine/>
    <w:qFormat/>
    <w:uiPriority w:val="0"/>
    <w:pPr>
      <w:ind w:right="3"/>
    </w:pPr>
    <w:rPr>
      <w:rFonts w:ascii="Arial" w:hAnsi="Arial"/>
      <w:sz w:val="24"/>
    </w:rPr>
  </w:style>
  <w:style w:type="paragraph" w:customStyle="1" w:styleId="1210">
    <w:name w:val="Tableau_textecentré"/>
    <w:basedOn w:val="799"/>
    <w:autoRedefine/>
    <w:qFormat/>
    <w:uiPriority w:val="0"/>
    <w:rPr>
      <w:rFonts w:ascii="Arial" w:hAnsi="Arial"/>
      <w:sz w:val="20"/>
    </w:rPr>
  </w:style>
  <w:style w:type="paragraph" w:customStyle="1" w:styleId="1211">
    <w:name w:val="Tableau_titre"/>
    <w:autoRedefine/>
    <w:qFormat/>
    <w:uiPriority w:val="0"/>
    <w:pPr>
      <w:spacing w:before="240" w:after="240" w:line="276" w:lineRule="auto"/>
      <w:jc w:val="center"/>
    </w:pPr>
    <w:rPr>
      <w:rFonts w:ascii="Times New Roman" w:hAnsi="Times New Roman" w:eastAsia="宋体" w:cs="Times New Roman"/>
      <w:b/>
      <w:caps/>
      <w:sz w:val="36"/>
      <w:lang w:val="fr-FR" w:eastAsia="fr-FR" w:bidi="en-US"/>
    </w:rPr>
  </w:style>
  <w:style w:type="paragraph" w:customStyle="1" w:styleId="1212">
    <w:name w:val="Titre 2 lignes titre doc"/>
    <w:basedOn w:val="1"/>
    <w:autoRedefine/>
    <w:qFormat/>
    <w:uiPriority w:val="0"/>
    <w:pPr>
      <w:widowControl/>
      <w:spacing w:after="240"/>
      <w:jc w:val="center"/>
    </w:pPr>
    <w:rPr>
      <w:rFonts w:ascii="Arial" w:hAnsi="Arial"/>
      <w:b/>
      <w:caps/>
      <w:kern w:val="0"/>
      <w:sz w:val="24"/>
      <w:lang w:eastAsia="fr-FR" w:bidi="en-US"/>
    </w:rPr>
  </w:style>
  <w:style w:type="paragraph" w:customStyle="1" w:styleId="1213">
    <w:name w:val="Heading #2"/>
    <w:basedOn w:val="41"/>
    <w:autoRedefine/>
    <w:qFormat/>
    <w:uiPriority w:val="0"/>
    <w:pPr>
      <w:pBdr>
        <w:bottom w:val="single" w:color="auto" w:sz="4" w:space="1"/>
      </w:pBdr>
      <w:tabs>
        <w:tab w:val="left" w:pos="851"/>
        <w:tab w:val="clear" w:pos="4153"/>
        <w:tab w:val="clear" w:pos="8306"/>
      </w:tabs>
      <w:snapToGrid/>
      <w:jc w:val="both"/>
    </w:pPr>
    <w:rPr>
      <w:rFonts w:ascii="Arial" w:hAnsi="Arial" w:eastAsia="PMingLiU"/>
      <w:b/>
      <w:kern w:val="0"/>
      <w:sz w:val="24"/>
      <w:szCs w:val="20"/>
      <w:lang w:val="en-AU"/>
    </w:rPr>
  </w:style>
  <w:style w:type="paragraph" w:customStyle="1" w:styleId="1214">
    <w:name w:val="IndentParaLevel1"/>
    <w:basedOn w:val="1"/>
    <w:autoRedefine/>
    <w:qFormat/>
    <w:uiPriority w:val="0"/>
    <w:pPr>
      <w:widowControl/>
      <w:spacing w:after="200"/>
      <w:ind w:left="709"/>
      <w:jc w:val="left"/>
    </w:pPr>
    <w:rPr>
      <w:rFonts w:eastAsia="PMingLiU"/>
      <w:kern w:val="0"/>
      <w:sz w:val="24"/>
      <w:szCs w:val="24"/>
      <w:lang w:val="en-AU" w:eastAsia="en-US" w:bidi="en-US"/>
    </w:rPr>
  </w:style>
  <w:style w:type="paragraph" w:customStyle="1" w:styleId="1215">
    <w:name w:val="SecurityClassification"/>
    <w:basedOn w:val="41"/>
    <w:next w:val="41"/>
    <w:autoRedefine/>
    <w:qFormat/>
    <w:uiPriority w:val="0"/>
    <w:pPr>
      <w:pBdr>
        <w:bottom w:val="single" w:color="auto" w:sz="4" w:space="1"/>
      </w:pBdr>
      <w:tabs>
        <w:tab w:val="center" w:pos="4320"/>
        <w:tab w:val="right" w:pos="8640"/>
        <w:tab w:val="clear" w:pos="4153"/>
        <w:tab w:val="clear" w:pos="8306"/>
      </w:tabs>
      <w:snapToGrid/>
      <w:spacing w:before="480"/>
    </w:pPr>
    <w:rPr>
      <w:rFonts w:ascii="Arial" w:hAnsi="Arial" w:eastAsia="PMingLiU"/>
      <w:b/>
      <w:kern w:val="0"/>
      <w:szCs w:val="20"/>
      <w:lang w:val="en-AU"/>
    </w:rPr>
  </w:style>
  <w:style w:type="paragraph" w:customStyle="1" w:styleId="1216">
    <w:name w:val="Table Bullet"/>
    <w:basedOn w:val="1217"/>
    <w:autoRedefine/>
    <w:qFormat/>
    <w:uiPriority w:val="0"/>
    <w:pPr>
      <w:keepNext/>
      <w:tabs>
        <w:tab w:val="left" w:pos="198"/>
        <w:tab w:val="left" w:pos="360"/>
      </w:tabs>
      <w:ind w:left="360" w:hanging="360"/>
    </w:pPr>
  </w:style>
  <w:style w:type="paragraph" w:customStyle="1" w:styleId="1217">
    <w:name w:val="TableText"/>
    <w:basedOn w:val="1"/>
    <w:autoRedefine/>
    <w:qFormat/>
    <w:uiPriority w:val="0"/>
    <w:pPr>
      <w:widowControl/>
      <w:spacing w:before="40" w:after="40"/>
      <w:ind w:right="113"/>
      <w:jc w:val="left"/>
    </w:pPr>
    <w:rPr>
      <w:rFonts w:ascii="Arial" w:hAnsi="Arial" w:eastAsia="PMingLiU"/>
      <w:snapToGrid w:val="0"/>
      <w:kern w:val="0"/>
      <w:sz w:val="18"/>
      <w:lang w:val="en-AU" w:eastAsia="en-US" w:bidi="en-US"/>
    </w:rPr>
  </w:style>
  <w:style w:type="paragraph" w:customStyle="1" w:styleId="1218">
    <w:name w:val="Schedule Heading"/>
    <w:basedOn w:val="1"/>
    <w:autoRedefine/>
    <w:qFormat/>
    <w:uiPriority w:val="0"/>
    <w:pPr>
      <w:widowControl/>
      <w:spacing w:after="200" w:line="360" w:lineRule="auto"/>
      <w:jc w:val="center"/>
    </w:pPr>
    <w:rPr>
      <w:rFonts w:eastAsia="PMingLiU"/>
      <w:b/>
      <w:kern w:val="0"/>
      <w:sz w:val="24"/>
      <w:szCs w:val="24"/>
      <w:lang w:val="en-AU" w:eastAsia="en-US" w:bidi="en-US"/>
    </w:rPr>
  </w:style>
  <w:style w:type="paragraph" w:customStyle="1" w:styleId="1219">
    <w:name w:val="TX/EXP/1"/>
    <w:basedOn w:val="1"/>
    <w:autoRedefine/>
    <w:qFormat/>
    <w:uiPriority w:val="0"/>
    <w:pPr>
      <w:widowControl/>
      <w:tabs>
        <w:tab w:val="left" w:pos="1700"/>
        <w:tab w:val="left" w:pos="3140"/>
        <w:tab w:val="left" w:pos="3420"/>
      </w:tabs>
      <w:spacing w:line="280" w:lineRule="atLeast"/>
      <w:ind w:left="2820" w:hanging="2820"/>
      <w:jc w:val="left"/>
    </w:pPr>
    <w:rPr>
      <w:rFonts w:ascii="FuturaA Bk BT" w:hAnsi="FuturaA Bk BT" w:eastAsia="PMingLiU"/>
      <w:kern w:val="0"/>
      <w:sz w:val="20"/>
      <w:lang w:val="en-GB" w:eastAsia="en-US" w:bidi="en-US"/>
    </w:rPr>
  </w:style>
  <w:style w:type="paragraph" w:customStyle="1" w:styleId="1220">
    <w:name w:val="Para 2nd Subpara"/>
    <w:basedOn w:val="777"/>
    <w:autoRedefine/>
    <w:qFormat/>
    <w:uiPriority w:val="0"/>
    <w:pPr>
      <w:tabs>
        <w:tab w:val="left" w:pos="360"/>
        <w:tab w:val="clear" w:pos="1138"/>
        <w:tab w:val="clear" w:pos="1699"/>
        <w:tab w:val="clear" w:pos="2261"/>
        <w:tab w:val="clear" w:pos="2822"/>
        <w:tab w:val="clear" w:pos="3384"/>
        <w:tab w:val="clear" w:pos="3946"/>
        <w:tab w:val="clear" w:pos="4507"/>
        <w:tab w:val="clear" w:pos="5069"/>
        <w:tab w:val="clear" w:pos="5630"/>
        <w:tab w:val="clear" w:pos="6192"/>
        <w:tab w:val="clear" w:pos="6754"/>
        <w:tab w:val="clear" w:pos="7315"/>
        <w:tab w:val="clear" w:pos="7877"/>
        <w:tab w:val="clear" w:pos="8438"/>
        <w:tab w:val="clear" w:pos="9000"/>
        <w:tab w:val="clear" w:pos="9562"/>
        <w:tab w:val="clear" w:pos="10123"/>
      </w:tabs>
      <w:ind w:left="2261"/>
    </w:pPr>
  </w:style>
  <w:style w:type="paragraph" w:customStyle="1" w:styleId="1221">
    <w:name w:val="FrontPageVersion"/>
    <w:basedOn w:val="1"/>
    <w:autoRedefine/>
    <w:qFormat/>
    <w:uiPriority w:val="0"/>
    <w:pPr>
      <w:widowControl/>
      <w:tabs>
        <w:tab w:val="left" w:pos="1134"/>
      </w:tabs>
      <w:spacing w:line="280" w:lineRule="atLeast"/>
      <w:jc w:val="left"/>
    </w:pPr>
    <w:rPr>
      <w:rFonts w:ascii="Invensys Andale" w:hAnsi="Invensys Andale"/>
      <w:kern w:val="0"/>
      <w:sz w:val="20"/>
      <w:szCs w:val="21"/>
      <w:lang w:val="en-AU" w:eastAsia="en-US" w:bidi="en-US"/>
    </w:rPr>
  </w:style>
  <w:style w:type="paragraph" w:customStyle="1" w:styleId="1222">
    <w:name w:val="TOC 标题2"/>
    <w:basedOn w:val="3"/>
    <w:next w:val="1"/>
    <w:autoRedefine/>
    <w:qFormat/>
    <w:uiPriority w:val="39"/>
    <w:pPr>
      <w:keepNext w:val="0"/>
      <w:tabs>
        <w:tab w:val="clear" w:pos="885"/>
      </w:tabs>
      <w:adjustRightInd w:val="0"/>
      <w:snapToGrid w:val="0"/>
      <w:spacing w:before="240" w:beforeLines="100"/>
      <w:ind w:left="0" w:firstLine="207" w:firstLineChars="98"/>
      <w:jc w:val="both"/>
      <w:outlineLvl w:val="9"/>
    </w:pPr>
    <w:rPr>
      <w:rFonts w:ascii="Cambria" w:hAnsi="Cambria" w:eastAsia="宋体"/>
      <w:bCs/>
      <w:kern w:val="32"/>
      <w:sz w:val="28"/>
      <w:szCs w:val="28"/>
      <w:lang w:eastAsia="en-US" w:bidi="en-US"/>
    </w:rPr>
  </w:style>
  <w:style w:type="paragraph" w:customStyle="1" w:styleId="1223">
    <w:name w:val="1.5行距正文"/>
    <w:basedOn w:val="1"/>
    <w:autoRedefine/>
    <w:qFormat/>
    <w:uiPriority w:val="0"/>
    <w:pPr>
      <w:widowControl/>
      <w:spacing w:line="360" w:lineRule="auto"/>
      <w:ind w:firstLine="200" w:firstLineChars="200"/>
      <w:jc w:val="left"/>
    </w:pPr>
    <w:rPr>
      <w:kern w:val="0"/>
      <w:sz w:val="24"/>
      <w:szCs w:val="24"/>
      <w:lang w:eastAsia="en-US" w:bidi="en-US"/>
    </w:rPr>
  </w:style>
  <w:style w:type="paragraph" w:customStyle="1" w:styleId="1224">
    <w:name w:val="TX/EXP/2"/>
    <w:basedOn w:val="1219"/>
    <w:autoRedefine/>
    <w:qFormat/>
    <w:uiPriority w:val="0"/>
    <w:pPr>
      <w:tabs>
        <w:tab w:val="left" w:pos="2820"/>
        <w:tab w:val="left" w:pos="3700"/>
        <w:tab w:val="clear" w:pos="1700"/>
        <w:tab w:val="clear" w:pos="3140"/>
        <w:tab w:val="clear" w:pos="3420"/>
      </w:tabs>
      <w:overflowPunct w:val="0"/>
      <w:autoSpaceDE w:val="0"/>
      <w:autoSpaceDN w:val="0"/>
      <w:adjustRightInd w:val="0"/>
      <w:ind w:left="3100" w:hanging="3100"/>
      <w:textAlignment w:val="baseline"/>
    </w:pPr>
    <w:rPr>
      <w:lang w:val="fr-FR"/>
    </w:rPr>
  </w:style>
  <w:style w:type="paragraph" w:customStyle="1" w:styleId="1225">
    <w:name w:val="NOM"/>
    <w:basedOn w:val="1"/>
    <w:autoRedefine/>
    <w:qFormat/>
    <w:uiPriority w:val="0"/>
    <w:pPr>
      <w:pageBreakBefore/>
      <w:widowControl/>
      <w:pBdr>
        <w:top w:val="single" w:color="auto" w:sz="6" w:space="15"/>
        <w:left w:val="single" w:color="auto" w:sz="6" w:space="0"/>
        <w:bottom w:val="single" w:color="auto" w:sz="6" w:space="15"/>
        <w:right w:val="single" w:color="auto" w:sz="6" w:space="1"/>
      </w:pBdr>
      <w:shd w:val="pct10" w:color="00FFFF" w:fill="auto"/>
      <w:overflowPunct w:val="0"/>
      <w:autoSpaceDE w:val="0"/>
      <w:autoSpaceDN w:val="0"/>
      <w:adjustRightInd w:val="0"/>
      <w:jc w:val="center"/>
      <w:textAlignment w:val="baseline"/>
    </w:pPr>
    <w:rPr>
      <w:rFonts w:ascii="Arial" w:hAnsi="Arial" w:eastAsia="PMingLiU"/>
      <w:b/>
      <w:kern w:val="0"/>
      <w:sz w:val="36"/>
      <w:lang w:val="en-AU" w:eastAsia="en-US" w:bidi="en-US"/>
    </w:rPr>
  </w:style>
  <w:style w:type="paragraph" w:customStyle="1" w:styleId="1226">
    <w:name w:val="FONCTIONS/EXP."/>
    <w:basedOn w:val="1"/>
    <w:autoRedefine/>
    <w:qFormat/>
    <w:uiPriority w:val="0"/>
    <w:pPr>
      <w:pageBreakBefore/>
      <w:widowControl/>
      <w:pBdr>
        <w:top w:val="single" w:color="auto" w:sz="6" w:space="5"/>
        <w:left w:val="single" w:color="auto" w:sz="6" w:space="5"/>
        <w:bottom w:val="single" w:color="auto" w:sz="6" w:space="5"/>
        <w:right w:val="single" w:color="auto" w:sz="6" w:space="5"/>
      </w:pBdr>
      <w:tabs>
        <w:tab w:val="center" w:pos="8720"/>
      </w:tabs>
      <w:overflowPunct w:val="0"/>
      <w:autoSpaceDE w:val="0"/>
      <w:autoSpaceDN w:val="0"/>
      <w:adjustRightInd w:val="0"/>
      <w:spacing w:after="120" w:line="400" w:lineRule="atLeast"/>
      <w:ind w:left="23"/>
      <w:jc w:val="left"/>
      <w:textAlignment w:val="baseline"/>
    </w:pPr>
    <w:rPr>
      <w:rFonts w:ascii="Arial" w:hAnsi="Arial" w:eastAsia="PMingLiU"/>
      <w:b/>
      <w:caps/>
      <w:kern w:val="0"/>
      <w:sz w:val="24"/>
      <w:lang w:val="en-GB" w:eastAsia="en-US" w:bidi="en-US"/>
    </w:rPr>
  </w:style>
  <w:style w:type="paragraph" w:customStyle="1" w:styleId="1227">
    <w:name w:val="表格文字小 (居中)"/>
    <w:basedOn w:val="1"/>
    <w:autoRedefine/>
    <w:qFormat/>
    <w:uiPriority w:val="0"/>
    <w:pPr>
      <w:widowControl/>
      <w:adjustRightInd w:val="0"/>
      <w:spacing w:line="240" w:lineRule="atLeast"/>
      <w:jc w:val="center"/>
      <w:textAlignment w:val="baseline"/>
    </w:pPr>
    <w:rPr>
      <w:rFonts w:ascii="宋体"/>
      <w:kern w:val="0"/>
      <w:sz w:val="18"/>
      <w:szCs w:val="18"/>
      <w:lang w:eastAsia="en-US" w:bidi="en-US"/>
    </w:rPr>
  </w:style>
  <w:style w:type="paragraph" w:customStyle="1" w:styleId="1228">
    <w:name w:val="表标题(小)"/>
    <w:basedOn w:val="1"/>
    <w:next w:val="25"/>
    <w:autoRedefine/>
    <w:qFormat/>
    <w:uiPriority w:val="0"/>
    <w:pPr>
      <w:keepNext/>
      <w:widowControl/>
      <w:spacing w:line="360" w:lineRule="auto"/>
      <w:jc w:val="center"/>
      <w:outlineLvl w:val="8"/>
    </w:pPr>
    <w:rPr>
      <w:rFonts w:ascii="宋体"/>
      <w:kern w:val="0"/>
      <w:sz w:val="18"/>
      <w:szCs w:val="18"/>
      <w:lang w:eastAsia="en-US" w:bidi="en-US"/>
    </w:rPr>
  </w:style>
  <w:style w:type="paragraph" w:customStyle="1" w:styleId="1229">
    <w:name w:val="Normal Content"/>
    <w:basedOn w:val="1"/>
    <w:autoRedefine/>
    <w:qFormat/>
    <w:uiPriority w:val="0"/>
    <w:pPr>
      <w:widowControl/>
      <w:wordWrap w:val="0"/>
      <w:autoSpaceDE w:val="0"/>
      <w:autoSpaceDN w:val="0"/>
      <w:jc w:val="left"/>
    </w:pPr>
    <w:rPr>
      <w:kern w:val="0"/>
      <w:sz w:val="24"/>
      <w:szCs w:val="21"/>
      <w:lang w:eastAsia="ko-KR" w:bidi="en-US"/>
    </w:rPr>
  </w:style>
  <w:style w:type="paragraph" w:customStyle="1" w:styleId="1230">
    <w:name w:val="广六-正文"/>
    <w:basedOn w:val="1"/>
    <w:next w:val="1"/>
    <w:autoRedefine/>
    <w:qFormat/>
    <w:uiPriority w:val="0"/>
    <w:pPr>
      <w:widowControl/>
      <w:snapToGrid w:val="0"/>
      <w:spacing w:afterLines="40" w:line="288" w:lineRule="auto"/>
      <w:jc w:val="left"/>
    </w:pPr>
    <w:rPr>
      <w:rFonts w:ascii="FuturaA Bk BT" w:hAnsi="FuturaA Bk BT" w:cs="宋体"/>
      <w:kern w:val="21"/>
      <w:sz w:val="18"/>
      <w:szCs w:val="18"/>
      <w:lang w:eastAsia="en-US" w:bidi="en-US"/>
    </w:rPr>
  </w:style>
  <w:style w:type="paragraph" w:customStyle="1" w:styleId="1231">
    <w:name w:val="页码2"/>
    <w:basedOn w:val="1"/>
    <w:next w:val="1"/>
    <w:autoRedefine/>
    <w:qFormat/>
    <w:uiPriority w:val="0"/>
    <w:pPr>
      <w:widowControl/>
      <w:jc w:val="left"/>
    </w:pPr>
    <w:rPr>
      <w:color w:val="000000"/>
      <w:kern w:val="0"/>
      <w:sz w:val="24"/>
      <w:lang w:eastAsia="fr-FR"/>
    </w:rPr>
  </w:style>
  <w:style w:type="paragraph" w:customStyle="1" w:styleId="1232">
    <w:name w:val="列项——（一级）"/>
    <w:autoRedefine/>
    <w:qFormat/>
    <w:uiPriority w:val="0"/>
    <w:pPr>
      <w:widowControl w:val="0"/>
      <w:numPr>
        <w:ilvl w:val="0"/>
        <w:numId w:val="3"/>
      </w:numPr>
      <w:jc w:val="both"/>
    </w:pPr>
    <w:rPr>
      <w:rFonts w:ascii="宋体" w:hAnsi="Times New Roman" w:eastAsia="宋体" w:cs="Times New Roman"/>
      <w:sz w:val="21"/>
      <w:lang w:val="en-US" w:eastAsia="zh-CN" w:bidi="ar-SA"/>
    </w:rPr>
  </w:style>
  <w:style w:type="paragraph" w:customStyle="1" w:styleId="1233">
    <w:name w:val="数字编号列项（二级）"/>
    <w:autoRedefine/>
    <w:qFormat/>
    <w:uiPriority w:val="0"/>
    <w:pPr>
      <w:numPr>
        <w:ilvl w:val="1"/>
        <w:numId w:val="4"/>
      </w:numPr>
      <w:jc w:val="both"/>
    </w:pPr>
    <w:rPr>
      <w:rFonts w:ascii="宋体" w:hAnsi="Times New Roman" w:eastAsia="宋体" w:cs="Times New Roman"/>
      <w:sz w:val="21"/>
      <w:lang w:val="en-US" w:eastAsia="zh-CN" w:bidi="ar-SA"/>
    </w:rPr>
  </w:style>
  <w:style w:type="paragraph" w:customStyle="1" w:styleId="1234">
    <w:name w:val="编号列项（三级）"/>
    <w:autoRedefine/>
    <w:qFormat/>
    <w:uiPriority w:val="0"/>
    <w:pPr>
      <w:numPr>
        <w:ilvl w:val="2"/>
        <w:numId w:val="4"/>
      </w:numPr>
    </w:pPr>
    <w:rPr>
      <w:rFonts w:ascii="宋体" w:hAnsi="Times New Roman" w:eastAsia="宋体" w:cs="Times New Roman"/>
      <w:sz w:val="21"/>
      <w:lang w:val="en-US" w:eastAsia="zh-CN" w:bidi="ar-SA"/>
    </w:rPr>
  </w:style>
  <w:style w:type="paragraph" w:customStyle="1" w:styleId="1235">
    <w:name w:val="样式5"/>
    <w:basedOn w:val="4"/>
    <w:autoRedefine/>
    <w:qFormat/>
    <w:uiPriority w:val="0"/>
    <w:pPr>
      <w:widowControl w:val="0"/>
      <w:numPr>
        <w:ilvl w:val="1"/>
        <w:numId w:val="11"/>
      </w:numPr>
      <w:autoSpaceDE w:val="0"/>
      <w:autoSpaceDN w:val="0"/>
      <w:adjustRightInd w:val="0"/>
      <w:spacing w:before="0" w:after="0" w:line="360" w:lineRule="auto"/>
      <w:jc w:val="both"/>
      <w:textAlignment w:val="baseline"/>
      <w:outlineLvl w:val="3"/>
    </w:pPr>
    <w:rPr>
      <w:rFonts w:ascii="宋体" w:hAnsi="宋体" w:eastAsia="宋体"/>
      <w:b w:val="0"/>
      <w:sz w:val="20"/>
      <w:szCs w:val="21"/>
    </w:rPr>
  </w:style>
  <w:style w:type="paragraph" w:customStyle="1" w:styleId="1236">
    <w:name w:val="xl2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kern w:val="0"/>
      <w:sz w:val="20"/>
    </w:rPr>
  </w:style>
  <w:style w:type="paragraph" w:customStyle="1" w:styleId="1237">
    <w:name w:val="日期 New"/>
    <w:basedOn w:val="1123"/>
    <w:next w:val="1123"/>
    <w:autoRedefine/>
    <w:qFormat/>
    <w:uiPriority w:val="0"/>
  </w:style>
  <w:style w:type="paragraph" w:customStyle="1" w:styleId="1238">
    <w:name w:val="Char Char Char Char Char Char Char Char Char Char Char Char Char1"/>
    <w:basedOn w:val="1"/>
    <w:autoRedefine/>
    <w:qFormat/>
    <w:uiPriority w:val="0"/>
    <w:pPr>
      <w:ind w:left="567" w:hanging="279"/>
    </w:pPr>
    <w:rPr>
      <w:sz w:val="24"/>
      <w:szCs w:val="24"/>
    </w:rPr>
  </w:style>
  <w:style w:type="paragraph" w:customStyle="1" w:styleId="1239">
    <w:name w:val="合同1"/>
    <w:basedOn w:val="3"/>
    <w:autoRedefine/>
    <w:qFormat/>
    <w:uiPriority w:val="0"/>
    <w:pPr>
      <w:keepNext w:val="0"/>
      <w:widowControl w:val="0"/>
      <w:tabs>
        <w:tab w:val="clear" w:pos="885"/>
      </w:tabs>
      <w:adjustRightInd w:val="0"/>
      <w:snapToGrid w:val="0"/>
      <w:spacing w:before="240" w:beforeLines="100"/>
      <w:ind w:left="-359" w:firstLine="207" w:firstLineChars="98"/>
      <w:jc w:val="both"/>
    </w:pPr>
    <w:rPr>
      <w:rFonts w:ascii="宋体" w:hAnsi="宋体" w:eastAsia="宋体" w:cs="Arial"/>
      <w:color w:val="000000"/>
      <w:sz w:val="28"/>
    </w:rPr>
  </w:style>
  <w:style w:type="paragraph" w:customStyle="1" w:styleId="1240">
    <w:name w:val="标题2"/>
    <w:basedOn w:val="4"/>
    <w:autoRedefine/>
    <w:qFormat/>
    <w:uiPriority w:val="0"/>
    <w:pPr>
      <w:widowControl w:val="0"/>
      <w:spacing w:before="0" w:after="0" w:line="360" w:lineRule="auto"/>
      <w:jc w:val="both"/>
    </w:pPr>
    <w:rPr>
      <w:rFonts w:ascii="宋体" w:hAnsi="宋体" w:eastAsia="宋体"/>
      <w:bCs/>
      <w:color w:val="000000"/>
      <w:sz w:val="28"/>
    </w:rPr>
  </w:style>
  <w:style w:type="paragraph" w:customStyle="1" w:styleId="1241">
    <w:name w:val="Char Char Char Char1"/>
    <w:basedOn w:val="1"/>
    <w:autoRedefine/>
    <w:qFormat/>
    <w:uiPriority w:val="99"/>
    <w:pPr>
      <w:spacing w:line="360" w:lineRule="auto"/>
      <w:ind w:firstLine="640" w:firstLineChars="200"/>
      <w:jc w:val="left"/>
    </w:pPr>
    <w:rPr>
      <w:b/>
      <w:sz w:val="24"/>
      <w:szCs w:val="24"/>
    </w:rPr>
  </w:style>
  <w:style w:type="paragraph" w:customStyle="1" w:styleId="1242">
    <w:name w:val="表格对中"/>
    <w:basedOn w:val="1"/>
    <w:autoRedefine/>
    <w:qFormat/>
    <w:uiPriority w:val="0"/>
    <w:pPr>
      <w:spacing w:line="240" w:lineRule="exact"/>
      <w:jc w:val="center"/>
    </w:pPr>
    <w:rPr>
      <w:rFonts w:ascii="宋体" w:hAnsi="宋体"/>
      <w:sz w:val="24"/>
      <w:szCs w:val="18"/>
    </w:rPr>
  </w:style>
  <w:style w:type="paragraph" w:customStyle="1" w:styleId="1243">
    <w:name w:val="xl380"/>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44">
    <w:name w:val="xl381"/>
    <w:basedOn w:val="1"/>
    <w:autoRedefine/>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245">
    <w:name w:val="xl383"/>
    <w:basedOn w:val="1"/>
    <w:autoRedefine/>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46">
    <w:name w:val="xl384"/>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1247">
    <w:name w:val="xl385"/>
    <w:basedOn w:val="1"/>
    <w:autoRedefine/>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1248">
    <w:name w:val="xl386"/>
    <w:basedOn w:val="1"/>
    <w:autoRedefine/>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1249">
    <w:name w:val="xl387"/>
    <w:basedOn w:val="1"/>
    <w:autoRedefine/>
    <w:qFormat/>
    <w:uiPriority w:val="0"/>
    <w:pPr>
      <w:widowControl/>
      <w:pBdr>
        <w:top w:val="single" w:color="000000" w:sz="4" w:space="0"/>
        <w:left w:val="single" w:color="000000" w:sz="4" w:space="0"/>
        <w:bottom w:val="single" w:color="000000" w:sz="8" w:space="0"/>
        <w:right w:val="single" w:color="000000" w:sz="8"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1250">
    <w:name w:val="xl3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18"/>
      <w:szCs w:val="18"/>
    </w:rPr>
  </w:style>
  <w:style w:type="paragraph" w:customStyle="1" w:styleId="1251">
    <w:name w:val="xl3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52">
    <w:name w:val="xl3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53">
    <w:name w:val="xl3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18"/>
      <w:szCs w:val="18"/>
    </w:rPr>
  </w:style>
  <w:style w:type="paragraph" w:customStyle="1" w:styleId="1254">
    <w:name w:val="xl3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255">
    <w:name w:val="xl3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56">
    <w:name w:val="xl39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57">
    <w:name w:val="xl3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18"/>
      <w:szCs w:val="18"/>
    </w:rPr>
  </w:style>
  <w:style w:type="paragraph" w:customStyle="1" w:styleId="1258">
    <w:name w:val="xl396"/>
    <w:basedOn w:val="1"/>
    <w:autoRedefine/>
    <w:qFormat/>
    <w:uiPriority w:val="0"/>
    <w:pPr>
      <w:widowControl/>
      <w:pBdr>
        <w:top w:val="single" w:color="000000" w:sz="4" w:space="0"/>
        <w:left w:val="single" w:color="000000" w:sz="8" w:space="0"/>
        <w:bottom w:val="single" w:color="000000" w:sz="8" w:space="0"/>
        <w:right w:val="single" w:color="000000"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59">
    <w:name w:val="xl397"/>
    <w:basedOn w:val="1"/>
    <w:autoRedefine/>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60">
    <w:name w:val="xl398"/>
    <w:basedOn w:val="1"/>
    <w:autoRedefine/>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61">
    <w:name w:val="xl399"/>
    <w:basedOn w:val="1"/>
    <w:autoRedefine/>
    <w:qFormat/>
    <w:uiPriority w:val="0"/>
    <w:pPr>
      <w:widowControl/>
      <w:pBdr>
        <w:top w:val="single" w:color="000000" w:sz="4" w:space="0"/>
        <w:left w:val="single" w:color="000000" w:sz="4" w:space="0"/>
        <w:bottom w:val="single" w:color="000000"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62">
    <w:name w:val="xl4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263">
    <w:name w:val="xl4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18"/>
      <w:szCs w:val="18"/>
    </w:rPr>
  </w:style>
  <w:style w:type="paragraph" w:customStyle="1" w:styleId="1264">
    <w:name w:val="f12"/>
    <w:basedOn w:val="1"/>
    <w:autoRedefine/>
    <w:qFormat/>
    <w:uiPriority w:val="99"/>
    <w:pPr>
      <w:widowControl/>
      <w:spacing w:before="100" w:beforeAutospacing="1" w:after="100" w:afterAutospacing="1"/>
      <w:jc w:val="left"/>
    </w:pPr>
    <w:rPr>
      <w:rFonts w:ascii="_GB2312" w:hAnsi="_GB2312"/>
      <w:color w:val="000000"/>
      <w:kern w:val="0"/>
      <w:szCs w:val="21"/>
    </w:rPr>
  </w:style>
  <w:style w:type="paragraph" w:customStyle="1" w:styleId="1265">
    <w:name w:val="xl4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66">
    <w:name w:val="xl4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267">
    <w:name w:val="xl404"/>
    <w:basedOn w:val="1"/>
    <w:autoRedefine/>
    <w:qFormat/>
    <w:uiPriority w:val="0"/>
    <w:pPr>
      <w:widowControl/>
      <w:pBdr>
        <w:bottom w:val="single" w:color="FFFFFF" w:sz="4" w:space="0"/>
        <w:right w:val="single" w:color="FFFFFF" w:sz="4" w:space="0"/>
      </w:pBdr>
      <w:spacing w:before="100" w:beforeAutospacing="1" w:after="100" w:afterAutospacing="1"/>
      <w:jc w:val="left"/>
      <w:textAlignment w:val="bottom"/>
    </w:pPr>
    <w:rPr>
      <w:rFonts w:ascii="宋体" w:hAnsi="宋体" w:cs="宋体"/>
      <w:color w:val="000000"/>
      <w:kern w:val="0"/>
      <w:sz w:val="18"/>
      <w:szCs w:val="18"/>
    </w:rPr>
  </w:style>
  <w:style w:type="paragraph" w:customStyle="1" w:styleId="1268">
    <w:name w:val="xl40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269">
    <w:name w:val="xl40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270">
    <w:name w:val="xl407"/>
    <w:basedOn w:val="1"/>
    <w:autoRedefine/>
    <w:qFormat/>
    <w:uiPriority w:val="0"/>
    <w:pPr>
      <w:widowControl/>
      <w:pBdr>
        <w:bottom w:val="single" w:color="FFFFFF" w:sz="4" w:space="0"/>
      </w:pBdr>
      <w:spacing w:before="100" w:beforeAutospacing="1" w:after="100" w:afterAutospacing="1"/>
      <w:jc w:val="left"/>
      <w:textAlignment w:val="bottom"/>
    </w:pPr>
    <w:rPr>
      <w:rFonts w:ascii="宋体" w:hAnsi="宋体" w:cs="宋体"/>
      <w:color w:val="000000"/>
      <w:kern w:val="0"/>
      <w:sz w:val="18"/>
      <w:szCs w:val="18"/>
    </w:rPr>
  </w:style>
  <w:style w:type="paragraph" w:customStyle="1" w:styleId="1271">
    <w:name w:val="一级条标题"/>
    <w:basedOn w:val="358"/>
    <w:next w:val="1"/>
    <w:autoRedefine/>
    <w:qFormat/>
    <w:uiPriority w:val="99"/>
    <w:pPr>
      <w:spacing w:beforeLines="0" w:afterLines="0"/>
      <w:ind w:left="105"/>
      <w:outlineLvl w:val="2"/>
    </w:pPr>
    <w:rPr>
      <w:rFonts w:hAnsiTheme="minorHAnsi" w:cstheme="minorBidi"/>
      <w:kern w:val="2"/>
      <w:szCs w:val="21"/>
    </w:rPr>
  </w:style>
  <w:style w:type="paragraph" w:customStyle="1" w:styleId="1272">
    <w:name w:val="xl40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color w:val="000000"/>
      <w:kern w:val="0"/>
      <w:sz w:val="18"/>
      <w:szCs w:val="18"/>
    </w:rPr>
  </w:style>
  <w:style w:type="paragraph" w:customStyle="1" w:styleId="1273">
    <w:name w:val="xl40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18"/>
      <w:szCs w:val="18"/>
    </w:rPr>
  </w:style>
  <w:style w:type="paragraph" w:customStyle="1" w:styleId="1274">
    <w:name w:val="xl41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18"/>
      <w:szCs w:val="18"/>
    </w:rPr>
  </w:style>
  <w:style w:type="paragraph" w:customStyle="1" w:styleId="1275">
    <w:name w:val="条文 1"/>
    <w:next w:val="1"/>
    <w:autoRedefine/>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1276">
    <w:name w:val="xl4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color w:val="FF0000"/>
      <w:kern w:val="0"/>
      <w:sz w:val="18"/>
      <w:szCs w:val="18"/>
    </w:rPr>
  </w:style>
  <w:style w:type="paragraph" w:customStyle="1" w:styleId="1277">
    <w:name w:val="xl413"/>
    <w:basedOn w:val="1"/>
    <w:autoRedefine/>
    <w:qFormat/>
    <w:uiPriority w:val="0"/>
    <w:pPr>
      <w:widowControl/>
      <w:pBdr>
        <w:top w:val="single" w:color="000000" w:sz="4" w:space="0"/>
        <w:bottom w:val="single" w:color="000000" w:sz="4" w:space="0"/>
        <w:right w:val="single" w:color="000000" w:sz="4" w:space="0"/>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1278">
    <w:name w:val="xl416"/>
    <w:basedOn w:val="1"/>
    <w:autoRedefine/>
    <w:qFormat/>
    <w:uiPriority w:val="0"/>
    <w:pPr>
      <w:widowControl/>
      <w:pBdr>
        <w:left w:val="single" w:color="000000" w:sz="8" w:space="0"/>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279">
    <w:name w:val="xl417"/>
    <w:basedOn w:val="1"/>
    <w:autoRedefine/>
    <w:qFormat/>
    <w:uiPriority w:val="0"/>
    <w:pPr>
      <w:widowControl/>
      <w:pBdr>
        <w:left w:val="single" w:color="000000" w:sz="4" w:space="0"/>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280">
    <w:name w:val="xl418"/>
    <w:basedOn w:val="1"/>
    <w:autoRedefine/>
    <w:qFormat/>
    <w:uiPriority w:val="0"/>
    <w:pPr>
      <w:widowControl/>
      <w:pBdr>
        <w:left w:val="single" w:color="000000" w:sz="4" w:space="0"/>
        <w:bottom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281">
    <w:name w:val="xl419"/>
    <w:basedOn w:val="1"/>
    <w:autoRedefine/>
    <w:qFormat/>
    <w:uiPriority w:val="0"/>
    <w:pPr>
      <w:widowControl/>
      <w:pBdr>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282">
    <w:name w:val="_Style 131"/>
    <w:next w:val="1"/>
    <w:autoRedefine/>
    <w:qFormat/>
    <w:uiPriority w:val="99"/>
    <w:pPr>
      <w:widowControl w:val="0"/>
      <w:spacing w:line="240" w:lineRule="exact"/>
      <w:jc w:val="both"/>
    </w:pPr>
    <w:rPr>
      <w:rFonts w:ascii="Calibri" w:hAnsi="Calibri" w:eastAsia="宋体" w:cs="宋体"/>
      <w:kern w:val="2"/>
      <w:sz w:val="21"/>
      <w:szCs w:val="22"/>
      <w:lang w:val="en-US" w:eastAsia="zh-CN" w:bidi="ar-SA"/>
    </w:rPr>
  </w:style>
  <w:style w:type="paragraph" w:customStyle="1" w:styleId="1283">
    <w:name w:val="xl422"/>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color w:val="000000"/>
      <w:kern w:val="0"/>
      <w:sz w:val="18"/>
      <w:szCs w:val="18"/>
    </w:rPr>
  </w:style>
  <w:style w:type="paragraph" w:customStyle="1" w:styleId="1284">
    <w:name w:val="_Style 133"/>
    <w:next w:val="1"/>
    <w:autoRedefine/>
    <w:qFormat/>
    <w:uiPriority w:val="99"/>
    <w:pPr>
      <w:widowControl w:val="0"/>
      <w:spacing w:line="240" w:lineRule="exact"/>
      <w:jc w:val="both"/>
    </w:pPr>
    <w:rPr>
      <w:rFonts w:ascii="Calibri" w:hAnsi="Calibri" w:eastAsia="宋体" w:cs="宋体"/>
      <w:kern w:val="2"/>
      <w:sz w:val="21"/>
      <w:szCs w:val="22"/>
      <w:lang w:val="en-US" w:eastAsia="zh-CN" w:bidi="ar-SA"/>
    </w:rPr>
  </w:style>
  <w:style w:type="paragraph" w:customStyle="1" w:styleId="1285">
    <w:name w:val="xl42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8"/>
      <w:szCs w:val="18"/>
    </w:rPr>
  </w:style>
  <w:style w:type="paragraph" w:customStyle="1" w:styleId="1286">
    <w:name w:val="_Style 130"/>
    <w:next w:val="1"/>
    <w:autoRedefine/>
    <w:qFormat/>
    <w:uiPriority w:val="99"/>
    <w:pPr>
      <w:widowControl w:val="0"/>
      <w:spacing w:line="240" w:lineRule="exact"/>
      <w:jc w:val="both"/>
    </w:pPr>
    <w:rPr>
      <w:rFonts w:ascii="Calibri" w:hAnsi="Calibri" w:eastAsia="宋体" w:cs="宋体"/>
      <w:kern w:val="2"/>
      <w:sz w:val="21"/>
      <w:szCs w:val="22"/>
      <w:lang w:val="en-US" w:eastAsia="zh-CN" w:bidi="ar-SA"/>
    </w:rPr>
  </w:style>
  <w:style w:type="paragraph" w:customStyle="1" w:styleId="1287">
    <w:name w:val="xl424"/>
    <w:basedOn w:val="1"/>
    <w:autoRedefine/>
    <w:qFormat/>
    <w:uiPriority w:val="0"/>
    <w:pPr>
      <w:widowControl/>
      <w:pBdr>
        <w:bottom w:val="single" w:color="000000" w:sz="4" w:space="0"/>
        <w:right w:val="single" w:color="000000" w:sz="4" w:space="0"/>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1288">
    <w:name w:val="Char Char Char2"/>
    <w:basedOn w:val="1"/>
    <w:autoRedefine/>
    <w:qFormat/>
    <w:uiPriority w:val="99"/>
    <w:pPr>
      <w:widowControl/>
      <w:spacing w:line="240" w:lineRule="exact"/>
      <w:jc w:val="left"/>
    </w:pPr>
    <w:rPr>
      <w:rFonts w:ascii="宋体" w:cs="宋体"/>
      <w:kern w:val="0"/>
      <w:sz w:val="20"/>
      <w:szCs w:val="24"/>
    </w:rPr>
  </w:style>
  <w:style w:type="paragraph" w:customStyle="1" w:styleId="1289">
    <w:name w:val="xl425"/>
    <w:basedOn w:val="1"/>
    <w:autoRedefine/>
    <w:qFormat/>
    <w:uiPriority w:val="0"/>
    <w:pPr>
      <w:widowControl/>
      <w:pBdr>
        <w:left w:val="single" w:color="000000" w:sz="4" w:space="0"/>
        <w:bottom w:val="single" w:color="000000" w:sz="4" w:space="0"/>
        <w:right w:val="single" w:color="000000" w:sz="4"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1290">
    <w:name w:val="xl426"/>
    <w:basedOn w:val="1"/>
    <w:autoRedefine/>
    <w:qFormat/>
    <w:uiPriority w:val="0"/>
    <w:pPr>
      <w:widowControl/>
      <w:pBdr>
        <w:left w:val="single" w:color="000000" w:sz="4" w:space="0"/>
        <w:bottom w:val="single" w:color="000000" w:sz="4" w:space="0"/>
        <w:right w:val="single" w:color="000000" w:sz="8" w:space="0"/>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1291">
    <w:name w:val="xl42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color w:val="000000"/>
      <w:kern w:val="0"/>
      <w:sz w:val="18"/>
      <w:szCs w:val="18"/>
    </w:rPr>
  </w:style>
  <w:style w:type="paragraph" w:customStyle="1" w:styleId="1292">
    <w:name w:val="xl4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8"/>
      <w:szCs w:val="18"/>
    </w:rPr>
  </w:style>
  <w:style w:type="paragraph" w:customStyle="1" w:styleId="1293">
    <w:name w:val="合同2"/>
    <w:basedOn w:val="3"/>
    <w:autoRedefine/>
    <w:qFormat/>
    <w:uiPriority w:val="99"/>
    <w:pPr>
      <w:keepNext w:val="0"/>
      <w:widowControl w:val="0"/>
      <w:tabs>
        <w:tab w:val="clear" w:pos="885"/>
      </w:tabs>
      <w:adjustRightInd w:val="0"/>
      <w:snapToGrid w:val="0"/>
      <w:spacing w:before="240" w:beforeLines="100"/>
      <w:ind w:left="0" w:firstLine="207" w:firstLineChars="98"/>
      <w:jc w:val="both"/>
    </w:pPr>
    <w:rPr>
      <w:rFonts w:ascii="宋体" w:hAnsi="宋体" w:eastAsia="宋体" w:cs="Arial"/>
      <w:bCs/>
      <w:sz w:val="28"/>
    </w:rPr>
  </w:style>
  <w:style w:type="paragraph" w:customStyle="1" w:styleId="1294">
    <w:name w:val="p19"/>
    <w:basedOn w:val="1"/>
    <w:autoRedefine/>
    <w:qFormat/>
    <w:uiPriority w:val="0"/>
    <w:pPr>
      <w:widowControl/>
      <w:jc w:val="left"/>
    </w:pPr>
    <w:rPr>
      <w:color w:val="FF0000"/>
      <w:kern w:val="0"/>
      <w:szCs w:val="21"/>
    </w:rPr>
  </w:style>
  <w:style w:type="paragraph" w:customStyle="1" w:styleId="1295">
    <w:name w:val="f12pt1"/>
    <w:basedOn w:val="1"/>
    <w:autoRedefine/>
    <w:qFormat/>
    <w:uiPriority w:val="99"/>
    <w:pPr>
      <w:widowControl/>
      <w:spacing w:before="100" w:beforeAutospacing="1" w:after="100" w:afterAutospacing="1"/>
      <w:jc w:val="left"/>
    </w:pPr>
    <w:rPr>
      <w:rFonts w:ascii="_GB2312" w:hAnsi="_GB2312"/>
      <w:color w:val="000000"/>
      <w:kern w:val="0"/>
      <w:szCs w:val="21"/>
    </w:rPr>
  </w:style>
  <w:style w:type="paragraph" w:customStyle="1" w:styleId="1296">
    <w:name w:val="正文文本11"/>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1297">
    <w:name w:val="需求书用目录1"/>
    <w:basedOn w:val="1"/>
    <w:autoRedefine/>
    <w:qFormat/>
    <w:uiPriority w:val="99"/>
    <w:pPr>
      <w:spacing w:before="360" w:after="40"/>
      <w:outlineLvl w:val="0"/>
    </w:pPr>
    <w:rPr>
      <w:rFonts w:ascii="宋体" w:hAnsi="宋体" w:cs="宋体"/>
      <w:szCs w:val="21"/>
    </w:rPr>
  </w:style>
  <w:style w:type="paragraph" w:customStyle="1" w:styleId="1298">
    <w:name w:val="130"/>
    <w:basedOn w:val="1"/>
    <w:autoRedefine/>
    <w:qFormat/>
    <w:uiPriority w:val="99"/>
    <w:pPr>
      <w:widowControl/>
      <w:spacing w:before="100" w:beforeAutospacing="1" w:after="100" w:afterAutospacing="1" w:line="324" w:lineRule="auto"/>
      <w:jc w:val="left"/>
    </w:pPr>
    <w:rPr>
      <w:rFonts w:ascii="宋体" w:hAnsi="宋体"/>
      <w:color w:val="000000"/>
      <w:kern w:val="0"/>
      <w:sz w:val="24"/>
      <w:szCs w:val="24"/>
    </w:rPr>
  </w:style>
  <w:style w:type="paragraph" w:customStyle="1" w:styleId="1299">
    <w:name w:val="Char Char Char Char Char Char1 Char"/>
    <w:basedOn w:val="1"/>
    <w:autoRedefine/>
    <w:qFormat/>
    <w:uiPriority w:val="99"/>
    <w:pPr>
      <w:widowControl/>
      <w:spacing w:after="160" w:line="240" w:lineRule="exact"/>
      <w:jc w:val="left"/>
    </w:pPr>
    <w:rPr>
      <w:rFonts w:ascii="Verdana" w:hAnsi="Verdana" w:eastAsia="仿宋_GB2312"/>
      <w:kern w:val="0"/>
      <w:sz w:val="24"/>
      <w:lang w:eastAsia="en-US"/>
    </w:rPr>
  </w:style>
  <w:style w:type="paragraph" w:customStyle="1" w:styleId="1300">
    <w:name w:val="环小四表格内容"/>
    <w:basedOn w:val="1"/>
    <w:autoRedefine/>
    <w:qFormat/>
    <w:uiPriority w:val="0"/>
    <w:pPr>
      <w:spacing w:line="240" w:lineRule="exact"/>
      <w:jc w:val="center"/>
    </w:pPr>
    <w:rPr>
      <w:rFonts w:ascii="宋体" w:hAnsi="宋体"/>
      <w:bCs/>
      <w:sz w:val="18"/>
      <w:szCs w:val="18"/>
    </w:rPr>
  </w:style>
  <w:style w:type="paragraph" w:customStyle="1" w:styleId="1301">
    <w:name w:val="f11"/>
    <w:basedOn w:val="1"/>
    <w:autoRedefine/>
    <w:qFormat/>
    <w:uiPriority w:val="99"/>
    <w:pPr>
      <w:widowControl/>
      <w:spacing w:before="100" w:beforeAutospacing="1" w:after="100" w:afterAutospacing="1" w:line="320" w:lineRule="atLeast"/>
      <w:jc w:val="left"/>
    </w:pPr>
    <w:rPr>
      <w:rFonts w:ascii="_GB2312" w:hAnsi="_GB2312"/>
      <w:color w:val="000000"/>
      <w:kern w:val="0"/>
      <w:sz w:val="28"/>
      <w:szCs w:val="28"/>
    </w:rPr>
  </w:style>
  <w:style w:type="paragraph" w:customStyle="1" w:styleId="1302">
    <w:name w:val="索引 12"/>
    <w:basedOn w:val="1"/>
    <w:next w:val="1"/>
    <w:autoRedefine/>
    <w:qFormat/>
    <w:uiPriority w:val="0"/>
    <w:pPr>
      <w:jc w:val="center"/>
    </w:pPr>
    <w:rPr>
      <w:rFonts w:ascii="仿宋_GB2312" w:eastAsia="仿宋_GB2312"/>
      <w:bCs/>
      <w:szCs w:val="21"/>
    </w:rPr>
  </w:style>
  <w:style w:type="paragraph" w:customStyle="1" w:styleId="1303">
    <w:name w:val="Char Char Char Char Char Char Char Char Char Char2"/>
    <w:basedOn w:val="1"/>
    <w:autoRedefine/>
    <w:qFormat/>
    <w:uiPriority w:val="99"/>
    <w:rPr>
      <w:rFonts w:ascii="Tahoma" w:hAnsi="Tahoma"/>
      <w:sz w:val="24"/>
      <w:szCs w:val="24"/>
    </w:rPr>
  </w:style>
  <w:style w:type="paragraph" w:customStyle="1" w:styleId="1304">
    <w:name w:val="f14"/>
    <w:basedOn w:val="1"/>
    <w:autoRedefine/>
    <w:qFormat/>
    <w:uiPriority w:val="99"/>
    <w:pPr>
      <w:widowControl/>
      <w:spacing w:before="100" w:beforeAutospacing="1" w:after="100" w:afterAutospacing="1"/>
      <w:jc w:val="left"/>
    </w:pPr>
    <w:rPr>
      <w:rFonts w:ascii="_GB2312" w:hAnsi="_GB2312"/>
      <w:color w:val="000000"/>
      <w:kern w:val="0"/>
      <w:sz w:val="28"/>
      <w:szCs w:val="28"/>
    </w:rPr>
  </w:style>
  <w:style w:type="paragraph" w:customStyle="1" w:styleId="1305">
    <w:name w:val="表格1"/>
    <w:basedOn w:val="1"/>
    <w:autoRedefine/>
    <w:qFormat/>
    <w:uiPriority w:val="0"/>
    <w:pPr>
      <w:tabs>
        <w:tab w:val="left" w:pos="3105"/>
      </w:tabs>
      <w:spacing w:line="240" w:lineRule="exact"/>
      <w:jc w:val="center"/>
    </w:pPr>
    <w:rPr>
      <w:rFonts w:ascii="宋体" w:hAnsi="宋体"/>
      <w:sz w:val="18"/>
      <w:szCs w:val="21"/>
    </w:rPr>
  </w:style>
  <w:style w:type="paragraph" w:customStyle="1" w:styleId="1306">
    <w:name w:val="Char Char Char Char Char Char Char Char Char Char1"/>
    <w:basedOn w:val="1"/>
    <w:autoRedefine/>
    <w:qFormat/>
    <w:uiPriority w:val="99"/>
    <w:rPr>
      <w:rFonts w:ascii="Tahoma" w:hAnsi="Tahoma"/>
      <w:sz w:val="24"/>
      <w:szCs w:val="24"/>
    </w:rPr>
  </w:style>
  <w:style w:type="paragraph" w:customStyle="1" w:styleId="1307">
    <w:name w:val="Char Char Char Char Char Char Char Char Char Char"/>
    <w:basedOn w:val="1"/>
    <w:autoRedefine/>
    <w:qFormat/>
    <w:uiPriority w:val="99"/>
    <w:rPr>
      <w:rFonts w:ascii="Tahoma" w:hAnsi="Tahoma"/>
      <w:sz w:val="24"/>
      <w:szCs w:val="24"/>
    </w:rPr>
  </w:style>
  <w:style w:type="paragraph" w:customStyle="1" w:styleId="1308">
    <w:name w:val="图"/>
    <w:basedOn w:val="1"/>
    <w:autoRedefine/>
    <w:qFormat/>
    <w:uiPriority w:val="99"/>
    <w:pPr>
      <w:keepNext/>
      <w:adjustRightInd w:val="0"/>
      <w:spacing w:before="60" w:after="60" w:line="300" w:lineRule="auto"/>
      <w:jc w:val="center"/>
      <w:textAlignment w:val="center"/>
    </w:pPr>
    <w:rPr>
      <w:snapToGrid w:val="0"/>
      <w:spacing w:val="20"/>
      <w:kern w:val="0"/>
      <w:sz w:val="24"/>
    </w:rPr>
  </w:style>
  <w:style w:type="paragraph" w:customStyle="1" w:styleId="1309">
    <w:name w:val="前言、引言标题"/>
    <w:next w:val="1"/>
    <w:autoRedefine/>
    <w:qFormat/>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310">
    <w:name w:val="正文缩进2格"/>
    <w:basedOn w:val="1"/>
    <w:autoRedefine/>
    <w:qFormat/>
    <w:uiPriority w:val="99"/>
    <w:pPr>
      <w:spacing w:line="600" w:lineRule="exact"/>
      <w:ind w:firstLine="639" w:firstLineChars="206"/>
    </w:pPr>
    <w:rPr>
      <w:rFonts w:ascii="仿宋_GB2312" w:hAnsi="宋体" w:eastAsia="仿宋_GB2312"/>
      <w:sz w:val="31"/>
      <w:szCs w:val="28"/>
    </w:rPr>
  </w:style>
  <w:style w:type="paragraph" w:customStyle="1" w:styleId="1311">
    <w:name w:val="f10"/>
    <w:basedOn w:val="1"/>
    <w:autoRedefine/>
    <w:qFormat/>
    <w:uiPriority w:val="99"/>
    <w:pPr>
      <w:widowControl/>
      <w:spacing w:before="100" w:beforeAutospacing="1" w:after="100" w:afterAutospacing="1" w:line="260" w:lineRule="atLeast"/>
      <w:jc w:val="left"/>
    </w:pPr>
    <w:rPr>
      <w:rFonts w:ascii="_GB2312" w:hAnsi="_GB2312"/>
      <w:color w:val="000000"/>
      <w:kern w:val="0"/>
      <w:sz w:val="18"/>
      <w:szCs w:val="18"/>
    </w:rPr>
  </w:style>
  <w:style w:type="paragraph" w:customStyle="1" w:styleId="1312">
    <w:name w:val="题注4"/>
    <w:basedOn w:val="1"/>
    <w:next w:val="17"/>
    <w:autoRedefine/>
    <w:qFormat/>
    <w:uiPriority w:val="99"/>
    <w:pPr>
      <w:ind w:left="-132" w:leftChars="-64" w:right="-105" w:rightChars="-50" w:hanging="2"/>
      <w:jc w:val="center"/>
    </w:pPr>
    <w:rPr>
      <w:rFonts w:ascii="宋体"/>
      <w:b/>
      <w:color w:val="FF0000"/>
      <w:szCs w:val="21"/>
      <w:lang w:val="en-GB"/>
    </w:rPr>
  </w:style>
  <w:style w:type="paragraph" w:customStyle="1" w:styleId="1313">
    <w:name w:val="须知1"/>
    <w:basedOn w:val="5"/>
    <w:autoRedefine/>
    <w:qFormat/>
    <w:uiPriority w:val="99"/>
    <w:pPr>
      <w:widowControl w:val="0"/>
      <w:spacing w:before="260" w:after="312" w:line="240" w:lineRule="auto"/>
      <w:jc w:val="both"/>
    </w:pPr>
    <w:rPr>
      <w:rFonts w:ascii="宋体" w:hAnsi="宋体" w:cs="宋体"/>
      <w:bCs/>
      <w:sz w:val="24"/>
      <w:szCs w:val="24"/>
    </w:rPr>
  </w:style>
  <w:style w:type="paragraph" w:customStyle="1" w:styleId="1314">
    <w:name w:val="150"/>
    <w:basedOn w:val="1"/>
    <w:autoRedefine/>
    <w:qFormat/>
    <w:uiPriority w:val="99"/>
    <w:pPr>
      <w:widowControl/>
      <w:spacing w:before="100" w:beforeAutospacing="1" w:after="100" w:afterAutospacing="1" w:line="360" w:lineRule="auto"/>
      <w:jc w:val="left"/>
    </w:pPr>
    <w:rPr>
      <w:rFonts w:ascii="宋体" w:hAnsi="宋体"/>
      <w:color w:val="000000"/>
      <w:kern w:val="0"/>
      <w:sz w:val="24"/>
      <w:szCs w:val="24"/>
    </w:rPr>
  </w:style>
  <w:style w:type="paragraph" w:customStyle="1" w:styleId="1315">
    <w:name w:val="Char Char Char Char Char1 Char1"/>
    <w:basedOn w:val="1"/>
    <w:autoRedefine/>
    <w:qFormat/>
    <w:uiPriority w:val="99"/>
    <w:rPr>
      <w:rFonts w:ascii="Tahoma" w:hAnsi="Tahoma"/>
      <w:sz w:val="24"/>
      <w:szCs w:val="24"/>
    </w:rPr>
  </w:style>
  <w:style w:type="paragraph" w:customStyle="1" w:styleId="1316">
    <w:name w:val="Char Char Char Char Char1 Char"/>
    <w:basedOn w:val="1"/>
    <w:autoRedefine/>
    <w:qFormat/>
    <w:uiPriority w:val="99"/>
    <w:rPr>
      <w:rFonts w:ascii="Tahoma" w:hAnsi="Tahoma"/>
      <w:sz w:val="24"/>
      <w:szCs w:val="24"/>
    </w:rPr>
  </w:style>
  <w:style w:type="paragraph" w:customStyle="1" w:styleId="1317">
    <w:name w:val="Char Char Char Char Char Char1 Char1"/>
    <w:basedOn w:val="1"/>
    <w:autoRedefine/>
    <w:qFormat/>
    <w:uiPriority w:val="99"/>
    <w:pPr>
      <w:widowControl/>
      <w:spacing w:after="160" w:line="240" w:lineRule="exact"/>
      <w:jc w:val="left"/>
    </w:pPr>
    <w:rPr>
      <w:rFonts w:ascii="Verdana" w:hAnsi="Verdana" w:eastAsia="仿宋_GB2312"/>
      <w:kern w:val="0"/>
      <w:sz w:val="24"/>
      <w:lang w:eastAsia="en-US"/>
    </w:rPr>
  </w:style>
  <w:style w:type="paragraph" w:customStyle="1" w:styleId="1318">
    <w:name w:val="c03"/>
    <w:basedOn w:val="1"/>
    <w:autoRedefine/>
    <w:qFormat/>
    <w:uiPriority w:val="99"/>
    <w:pPr>
      <w:widowControl/>
      <w:spacing w:before="100" w:beforeAutospacing="1" w:after="100" w:afterAutospacing="1"/>
      <w:jc w:val="left"/>
    </w:pPr>
    <w:rPr>
      <w:rFonts w:ascii="宋体" w:hAnsi="宋体"/>
      <w:color w:val="000000"/>
      <w:kern w:val="0"/>
      <w:sz w:val="24"/>
      <w:szCs w:val="24"/>
    </w:rPr>
  </w:style>
  <w:style w:type="paragraph" w:customStyle="1" w:styleId="1319">
    <w:name w:val="TOC 标题21"/>
    <w:basedOn w:val="3"/>
    <w:next w:val="1"/>
    <w:autoRedefine/>
    <w:qFormat/>
    <w:uiPriority w:val="99"/>
    <w:pPr>
      <w:keepLines/>
      <w:tabs>
        <w:tab w:val="clear" w:pos="885"/>
      </w:tabs>
      <w:spacing w:before="480" w:line="276" w:lineRule="auto"/>
      <w:ind w:left="0" w:firstLine="0"/>
      <w:jc w:val="left"/>
      <w:outlineLvl w:val="9"/>
    </w:pPr>
    <w:rPr>
      <w:rFonts w:ascii="Cambria" w:hAnsi="Cambria" w:eastAsia="宋体"/>
      <w:bCs/>
      <w:color w:val="365F91"/>
      <w:kern w:val="0"/>
      <w:sz w:val="28"/>
      <w:szCs w:val="28"/>
    </w:rPr>
  </w:style>
  <w:style w:type="paragraph" w:customStyle="1" w:styleId="1320">
    <w:name w:val=".o.a"/>
    <w:basedOn w:val="80"/>
    <w:next w:val="80"/>
    <w:autoRedefine/>
    <w:qFormat/>
    <w:uiPriority w:val="99"/>
    <w:rPr>
      <w:rFonts w:ascii="宋体" w:eastAsia="宋体" w:cstheme="minorBidi"/>
      <w:color w:val="auto"/>
      <w:kern w:val="2"/>
      <w:lang w:eastAsia="en-US"/>
    </w:rPr>
  </w:style>
  <w:style w:type="paragraph" w:customStyle="1" w:styleId="1321">
    <w:name w:val="_Style 84"/>
    <w:basedOn w:val="1"/>
    <w:autoRedefine/>
    <w:qFormat/>
    <w:uiPriority w:val="99"/>
    <w:rPr>
      <w:rFonts w:ascii="Tahoma" w:hAnsi="Tahoma"/>
      <w:sz w:val="24"/>
      <w:szCs w:val="24"/>
    </w:rPr>
  </w:style>
  <w:style w:type="paragraph" w:customStyle="1" w:styleId="1322">
    <w:name w:val="题注5"/>
    <w:basedOn w:val="1"/>
    <w:next w:val="17"/>
    <w:autoRedefine/>
    <w:qFormat/>
    <w:uiPriority w:val="99"/>
    <w:pPr>
      <w:jc w:val="center"/>
    </w:pPr>
    <w:rPr>
      <w:rFonts w:ascii="宋体"/>
      <w:b/>
      <w:color w:val="000000"/>
      <w:sz w:val="24"/>
      <w:szCs w:val="21"/>
    </w:rPr>
  </w:style>
  <w:style w:type="paragraph" w:customStyle="1" w:styleId="1323">
    <w:name w:val="条文 0"/>
    <w:next w:val="1"/>
    <w:autoRedefine/>
    <w:qFormat/>
    <w:uiPriority w:val="0"/>
    <w:pPr>
      <w:spacing w:before="240" w:after="240"/>
    </w:pPr>
    <w:rPr>
      <w:rFonts w:ascii="Times New Roman" w:hAnsi="Times New Roman" w:eastAsia="黑体" w:cs="Times New Roman"/>
      <w:sz w:val="21"/>
      <w:lang w:val="en-US" w:eastAsia="zh-CN" w:bidi="ar-SA"/>
    </w:rPr>
  </w:style>
  <w:style w:type="paragraph" w:customStyle="1" w:styleId="1324">
    <w:name w:val="条文 4"/>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1325">
    <w:name w:val="条文 5"/>
    <w:next w:val="1"/>
    <w:autoRedefine/>
    <w:qFormat/>
    <w:uiPriority w:val="0"/>
    <w:pPr>
      <w:spacing w:line="310" w:lineRule="exact"/>
    </w:pPr>
    <w:rPr>
      <w:rFonts w:ascii="Times New Roman" w:hAnsi="Times New Roman" w:eastAsia="黑体" w:cs="Times New Roman"/>
      <w:sz w:val="21"/>
      <w:lang w:val="en-US" w:eastAsia="zh-CN" w:bidi="ar-SA"/>
    </w:rPr>
  </w:style>
  <w:style w:type="paragraph" w:customStyle="1" w:styleId="1326">
    <w:name w:val="Char Char Char11"/>
    <w:basedOn w:val="1"/>
    <w:autoRedefine/>
    <w:qFormat/>
    <w:uiPriority w:val="99"/>
    <w:pPr>
      <w:widowControl/>
      <w:spacing w:line="240" w:lineRule="exact"/>
      <w:jc w:val="left"/>
    </w:pPr>
    <w:rPr>
      <w:rFonts w:ascii="宋体" w:cs="宋体"/>
      <w:kern w:val="0"/>
      <w:sz w:val="20"/>
      <w:szCs w:val="24"/>
    </w:rPr>
  </w:style>
  <w:style w:type="paragraph" w:customStyle="1" w:styleId="1327">
    <w:name w:val="8"/>
    <w:autoRedefine/>
    <w:qFormat/>
    <w:uiPriority w:val="99"/>
    <w:pPr>
      <w:widowControl w:val="0"/>
      <w:spacing w:line="240" w:lineRule="exact"/>
      <w:jc w:val="both"/>
    </w:pPr>
    <w:rPr>
      <w:rFonts w:ascii="Times New Roman" w:hAnsi="Times New Roman" w:eastAsia="宋体" w:cs="Times New Roman"/>
      <w:kern w:val="2"/>
      <w:sz w:val="21"/>
      <w:szCs w:val="24"/>
      <w:lang w:val="en-US" w:eastAsia="zh-CN" w:bidi="ar-SA"/>
    </w:rPr>
  </w:style>
  <w:style w:type="paragraph" w:customStyle="1" w:styleId="1328">
    <w:name w:val="Char12"/>
    <w:basedOn w:val="1"/>
    <w:autoRedefine/>
    <w:qFormat/>
    <w:uiPriority w:val="99"/>
    <w:pPr>
      <w:widowControl/>
      <w:spacing w:line="240" w:lineRule="exact"/>
      <w:jc w:val="left"/>
    </w:pPr>
    <w:rPr>
      <w:rFonts w:ascii="Calibri" w:hAnsi="Calibri"/>
      <w:kern w:val="0"/>
      <w:sz w:val="24"/>
      <w:szCs w:val="24"/>
    </w:rPr>
  </w:style>
  <w:style w:type="paragraph" w:customStyle="1" w:styleId="1329">
    <w:name w:val="7"/>
    <w:autoRedefine/>
    <w:qFormat/>
    <w:uiPriority w:val="99"/>
    <w:pPr>
      <w:widowControl w:val="0"/>
      <w:spacing w:line="240" w:lineRule="exact"/>
      <w:jc w:val="both"/>
    </w:pPr>
    <w:rPr>
      <w:rFonts w:ascii="Times New Roman" w:hAnsi="Times New Roman" w:eastAsia="宋体" w:cs="Times New Roman"/>
      <w:kern w:val="2"/>
      <w:sz w:val="21"/>
      <w:szCs w:val="24"/>
      <w:lang w:val="en-US" w:eastAsia="zh-CN" w:bidi="ar-SA"/>
    </w:rPr>
  </w:style>
  <w:style w:type="paragraph" w:customStyle="1" w:styleId="1330">
    <w:name w:val="9"/>
    <w:basedOn w:val="25"/>
    <w:next w:val="63"/>
    <w:autoRedefine/>
    <w:qFormat/>
    <w:uiPriority w:val="0"/>
    <w:pPr>
      <w:overflowPunct/>
      <w:autoSpaceDE/>
      <w:autoSpaceDN/>
      <w:adjustRightInd/>
      <w:spacing w:after="120" w:line="240" w:lineRule="auto"/>
      <w:ind w:left="420" w:leftChars="200" w:firstLine="420" w:firstLineChars="200"/>
      <w:jc w:val="left"/>
      <w:textAlignment w:val="auto"/>
    </w:pPr>
    <w:rPr>
      <w:rFonts w:ascii="Times New Roman" w:hAnsi="Times New Roman"/>
      <w:spacing w:val="0"/>
      <w:kern w:val="2"/>
      <w:sz w:val="21"/>
      <w:szCs w:val="22"/>
    </w:rPr>
  </w:style>
  <w:style w:type="paragraph" w:customStyle="1" w:styleId="1331">
    <w:name w:val="正文_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32">
    <w:name w:val="表格内文字"/>
    <w:basedOn w:val="730"/>
    <w:autoRedefine/>
    <w:qFormat/>
    <w:uiPriority w:val="0"/>
    <w:pPr>
      <w:ind w:firstLine="0"/>
      <w:jc w:val="center"/>
    </w:pPr>
    <w:rPr>
      <w:rFonts w:ascii="黑体" w:eastAsia="黑体"/>
      <w:sz w:val="20"/>
      <w:szCs w:val="21"/>
    </w:rPr>
  </w:style>
  <w:style w:type="paragraph" w:customStyle="1" w:styleId="1333">
    <w:name w:val="索引 11"/>
    <w:basedOn w:val="1"/>
    <w:next w:val="1"/>
    <w:autoRedefine/>
    <w:qFormat/>
    <w:uiPriority w:val="0"/>
    <w:pPr>
      <w:jc w:val="center"/>
    </w:pPr>
    <w:rPr>
      <w:rFonts w:ascii="仿宋_GB2312" w:eastAsia="仿宋_GB2312"/>
      <w:bCs/>
      <w:szCs w:val="21"/>
    </w:rPr>
  </w:style>
  <w:style w:type="paragraph" w:customStyle="1" w:styleId="1334">
    <w:name w:val="环小四表内容"/>
    <w:basedOn w:val="1"/>
    <w:autoRedefine/>
    <w:qFormat/>
    <w:uiPriority w:val="0"/>
    <w:pPr>
      <w:wordWrap w:val="0"/>
      <w:spacing w:line="240" w:lineRule="exact"/>
      <w:jc w:val="center"/>
    </w:pPr>
    <w:rPr>
      <w:rFonts w:ascii="宋体" w:hAnsi="宋体"/>
      <w:sz w:val="18"/>
      <w:szCs w:val="21"/>
    </w:rPr>
  </w:style>
  <w:style w:type="paragraph" w:customStyle="1" w:styleId="1335">
    <w:name w:val="样式 WG标题3 + 行距: 固定值 18 磅"/>
    <w:basedOn w:val="1"/>
    <w:autoRedefine/>
    <w:qFormat/>
    <w:uiPriority w:val="0"/>
    <w:pPr>
      <w:autoSpaceDE w:val="0"/>
      <w:autoSpaceDN w:val="0"/>
      <w:adjustRightInd w:val="0"/>
      <w:spacing w:line="360" w:lineRule="exact"/>
      <w:textAlignment w:val="baseline"/>
      <w:outlineLvl w:val="2"/>
    </w:pPr>
    <w:rPr>
      <w:rFonts w:ascii="宋体" w:hAnsi="宋体" w:cs="宋体"/>
      <w:b/>
      <w:bCs/>
      <w:color w:val="000000"/>
      <w:kern w:val="20"/>
      <w:sz w:val="24"/>
    </w:rPr>
  </w:style>
  <w:style w:type="paragraph" w:customStyle="1" w:styleId="1336">
    <w:name w:val="TOC 标题3"/>
    <w:basedOn w:val="3"/>
    <w:next w:val="1"/>
    <w:autoRedefine/>
    <w:unhideWhenUsed/>
    <w:qFormat/>
    <w:uiPriority w:val="39"/>
    <w:pPr>
      <w:keepLines/>
      <w:tabs>
        <w:tab w:val="clear" w:pos="885"/>
      </w:tabs>
      <w:spacing w:before="480" w:line="276" w:lineRule="auto"/>
      <w:ind w:left="0" w:firstLine="0"/>
      <w:jc w:val="left"/>
      <w:outlineLvl w:val="9"/>
    </w:pPr>
    <w:rPr>
      <w:rFonts w:ascii="Cambria" w:hAnsi="Cambria" w:eastAsia="宋体"/>
      <w:bCs/>
      <w:color w:val="366091"/>
      <w:kern w:val="0"/>
      <w:sz w:val="28"/>
      <w:szCs w:val="28"/>
    </w:rPr>
  </w:style>
  <w:style w:type="paragraph" w:customStyle="1" w:styleId="1337">
    <w:name w:val="W表格内容"/>
    <w:basedOn w:val="1"/>
    <w:autoRedefine/>
    <w:qFormat/>
    <w:uiPriority w:val="0"/>
    <w:pPr>
      <w:spacing w:line="240" w:lineRule="exact"/>
      <w:jc w:val="center"/>
    </w:pPr>
    <w:rPr>
      <w:rFonts w:ascii="宋体" w:hAnsi="宋体" w:eastAsia="Times New Roman"/>
      <w:bCs/>
      <w:sz w:val="18"/>
      <w:szCs w:val="18"/>
    </w:rPr>
  </w:style>
  <w:style w:type="paragraph" w:customStyle="1" w:styleId="1338">
    <w:name w:val="xl379"/>
    <w:basedOn w:val="1"/>
    <w:autoRedefine/>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left"/>
    </w:pPr>
    <w:rPr>
      <w:kern w:val="0"/>
      <w:sz w:val="20"/>
    </w:rPr>
  </w:style>
  <w:style w:type="paragraph" w:customStyle="1" w:styleId="1339">
    <w:name w:val="正文文本3"/>
    <w:autoRedefine/>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1340">
    <w:name w:val="列表段落1"/>
    <w:basedOn w:val="1"/>
    <w:autoRedefine/>
    <w:qFormat/>
    <w:uiPriority w:val="0"/>
    <w:pPr>
      <w:ind w:firstLine="420" w:firstLineChars="200"/>
    </w:pPr>
    <w:rPr>
      <w:rFonts w:ascii="Calibri" w:hAnsi="Calibri"/>
      <w:szCs w:val="22"/>
    </w:rPr>
  </w:style>
  <w:style w:type="paragraph" w:customStyle="1" w:styleId="1341">
    <w:name w:val="dash666e_901a_8868_683c1"/>
    <w:basedOn w:val="1"/>
    <w:autoRedefine/>
    <w:qFormat/>
    <w:uiPriority w:val="0"/>
    <w:pPr>
      <w:widowControl/>
      <w:jc w:val="left"/>
    </w:pPr>
    <w:rPr>
      <w:rFonts w:ascii="宋体" w:hAnsi="宋体" w:cs="宋体"/>
      <w:kern w:val="0"/>
      <w:sz w:val="24"/>
      <w:szCs w:val="24"/>
    </w:rPr>
  </w:style>
  <w:style w:type="table" w:customStyle="1" w:styleId="1342">
    <w:name w:val="网格型2"/>
    <w:basedOn w:val="64"/>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3">
    <w:name w:val="网格型11"/>
    <w:basedOn w:val="64"/>
    <w:autoRedefine/>
    <w:qFormat/>
    <w:uiPriority w:val="0"/>
    <w:pPr>
      <w:widowControl w:val="0"/>
      <w:spacing w:line="400" w:lineRule="exact"/>
      <w:jc w:val="both"/>
    </w:pPr>
    <w:tblP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
    <w:tcPr>
      <w:vAlign w:val="center"/>
    </w:tcPr>
    <w:tblStylePr w:type="firstRow">
      <w:pPr>
        <w:wordWrap/>
        <w:jc w:val="center"/>
      </w:pPr>
      <w:tcPr>
        <w:tcBorders>
          <w:top w:val="single" w:color="auto" w:sz="12" w:space="0"/>
          <w:left w:val="single" w:color="auto" w:sz="12" w:space="0"/>
          <w:bottom w:val="single" w:color="auto" w:sz="2" w:space="0"/>
          <w:right w:val="single" w:color="auto" w:sz="12" w:space="0"/>
          <w:insideH w:val="nil"/>
          <w:insideV w:val="single" w:sz="2" w:space="0"/>
          <w:tl2br w:val="nil"/>
          <w:tr2bl w:val="nil"/>
        </w:tcBorders>
        <w:shd w:val="pct10" w:color="auto" w:fill="auto"/>
      </w:tcPr>
    </w:tblStylePr>
  </w:style>
  <w:style w:type="table" w:customStyle="1" w:styleId="1344">
    <w:name w:val="表格主题1"/>
    <w:basedOn w:val="6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5">
    <w:name w:val="网格型3"/>
    <w:basedOn w:val="64"/>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6">
    <w:name w:val="网格型4"/>
    <w:basedOn w:val="64"/>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47">
    <w:name w:val="nth-child(1)"/>
    <w:basedOn w:val="70"/>
    <w:autoRedefine/>
    <w:qFormat/>
    <w:uiPriority w:val="0"/>
    <w:rPr>
      <w:color w:val="111111"/>
      <w:sz w:val="24"/>
      <w:szCs w:val="24"/>
    </w:rPr>
  </w:style>
  <w:style w:type="character" w:customStyle="1" w:styleId="1348">
    <w:name w:val="nth-child(2)"/>
    <w:basedOn w:val="70"/>
    <w:autoRedefine/>
    <w:qFormat/>
    <w:uiPriority w:val="0"/>
    <w:rPr>
      <w:color w:val="4D4D4D"/>
      <w:sz w:val="18"/>
      <w:szCs w:val="18"/>
    </w:rPr>
  </w:style>
  <w:style w:type="character" w:customStyle="1" w:styleId="1349">
    <w:name w:val="hover"/>
    <w:basedOn w:val="70"/>
    <w:autoRedefine/>
    <w:qFormat/>
    <w:uiPriority w:val="0"/>
    <w:rPr>
      <w:color w:val="5FB878"/>
    </w:rPr>
  </w:style>
  <w:style w:type="character" w:customStyle="1" w:styleId="1350">
    <w:name w:val="hover1"/>
    <w:basedOn w:val="70"/>
    <w:autoRedefine/>
    <w:qFormat/>
    <w:uiPriority w:val="0"/>
    <w:rPr>
      <w:color w:val="5FB878"/>
    </w:rPr>
  </w:style>
  <w:style w:type="character" w:customStyle="1" w:styleId="1351">
    <w:name w:val="hover2"/>
    <w:basedOn w:val="70"/>
    <w:autoRedefine/>
    <w:qFormat/>
    <w:uiPriority w:val="0"/>
    <w:rPr>
      <w:color w:val="FFFFFF"/>
    </w:rPr>
  </w:style>
  <w:style w:type="character" w:customStyle="1" w:styleId="1352">
    <w:name w:val="last-child"/>
    <w:basedOn w:val="70"/>
    <w:autoRedefine/>
    <w:qFormat/>
    <w:uiPriority w:val="0"/>
    <w:rPr>
      <w:color w:val="777777"/>
    </w:rPr>
  </w:style>
  <w:style w:type="character" w:customStyle="1" w:styleId="1353">
    <w:name w:val="layui-this2"/>
    <w:basedOn w:val="70"/>
    <w:autoRedefine/>
    <w:qFormat/>
    <w:uiPriority w:val="0"/>
    <w:rPr>
      <w:bdr w:val="single" w:color="EEEEEE" w:sz="6" w:space="0"/>
      <w:shd w:val="clear" w:fill="FFFFFF"/>
    </w:rPr>
  </w:style>
  <w:style w:type="character" w:customStyle="1" w:styleId="1354">
    <w:name w:val="first-child"/>
    <w:basedOn w:val="70"/>
    <w:autoRedefine/>
    <w:qFormat/>
    <w:uiPriority w:val="0"/>
  </w:style>
  <w:style w:type="character" w:customStyle="1" w:styleId="1355">
    <w:name w:val="flatpickr-weekday2"/>
    <w:basedOn w:val="70"/>
    <w:autoRedefine/>
    <w:qFormat/>
    <w:uiPriority w:val="0"/>
    <w:rPr>
      <w:b/>
      <w:bCs/>
      <w:sz w:val="21"/>
      <w:szCs w:val="21"/>
    </w:rPr>
  </w:style>
  <w:style w:type="character" w:customStyle="1" w:styleId="1356">
    <w:name w:val="flatpickr-day2"/>
    <w:basedOn w:val="70"/>
    <w:autoRedefine/>
    <w:qFormat/>
    <w:uiPriority w:val="0"/>
  </w:style>
  <w:style w:type="character" w:customStyle="1" w:styleId="1357">
    <w:name w:val="nth-child(1)6"/>
    <w:basedOn w:val="70"/>
    <w:autoRedefine/>
    <w:qFormat/>
    <w:uiPriority w:val="0"/>
    <w:rPr>
      <w:color w:val="111111"/>
      <w:sz w:val="24"/>
      <w:szCs w:val="24"/>
    </w:rPr>
  </w:style>
  <w:style w:type="character" w:customStyle="1" w:styleId="1358">
    <w:name w:val="nth-child(2)4"/>
    <w:basedOn w:val="70"/>
    <w:autoRedefine/>
    <w:qFormat/>
    <w:uiPriority w:val="0"/>
    <w:rPr>
      <w:color w:val="4D4D4D"/>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145</Pages>
  <Words>81856</Words>
  <Characters>86148</Characters>
  <Lines>54</Lines>
  <Paragraphs>79</Paragraphs>
  <TotalTime>12</TotalTime>
  <ScaleCrop>false</ScaleCrop>
  <LinksUpToDate>false</LinksUpToDate>
  <CharactersWithSpaces>90409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2022-05-10T02:27:00Z</dcterms:created>
  <dc:creator>Administrator</dc:creator>
  <cp:lastModifiedBy>Liao@廖-mm</cp:lastModifiedBy>
  <cp:lastPrinted>2025-10-28T06:40:00Z</cp:lastPrinted>
  <dcterms:modified xsi:type="dcterms:W3CDTF">2025-10-29T06:48:26Z</dcterms:modified>
  <cp:revision>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0CEFDF5901804FC0887D9955F7957624_13</vt:lpwstr>
  </property>
  <property fmtid="{D5CDD505-2E9C-101B-9397-08002B2CF9AE}" pid="4" name="commondata">
    <vt:lpwstr>eyJoZGlkIjoiYWJmMjA3MzdjYzk4NmUzZTZkZGFmZTBkMThkZWIxMzQifQ==</vt:lpwstr>
  </property>
  <property fmtid="{D5CDD505-2E9C-101B-9397-08002B2CF9AE}" pid="5" name="KSOTemplateDocerSaveRecord">
    <vt:lpwstr>eyJoZGlkIjoiNWM5ZjJlOGYyYjE1ZGFkNDk1MTFiMmY0NTlhNjFjMDYiLCJ1c2VySWQiOiIyMDYyMDA2MjIifQ==</vt:lpwstr>
  </property>
</Properties>
</file>