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BFA0F">
      <w:pPr>
        <w:rPr>
          <w:rFonts w:ascii="宋体" w:hAnsi="宋体"/>
          <w:b/>
          <w:sz w:val="28"/>
        </w:rPr>
      </w:pPr>
    </w:p>
    <w:p w14:paraId="1C4482EC">
      <w:pPr>
        <w:rPr>
          <w:rFonts w:ascii="宋体" w:hAnsi="宋体"/>
          <w:b/>
          <w:sz w:val="28"/>
        </w:rPr>
      </w:pPr>
    </w:p>
    <w:p w14:paraId="57746F79">
      <w:pPr>
        <w:rPr>
          <w:rFonts w:ascii="宋体" w:hAnsi="宋体"/>
          <w:b/>
          <w:sz w:val="28"/>
        </w:rPr>
      </w:pPr>
    </w:p>
    <w:p w14:paraId="2BAFB048">
      <w:pPr>
        <w:rPr>
          <w:rFonts w:ascii="宋体" w:hAnsi="宋体"/>
          <w:b/>
          <w:sz w:val="28"/>
        </w:rPr>
      </w:pPr>
    </w:p>
    <w:p w14:paraId="592CD045">
      <w:pPr>
        <w:jc w:val="center"/>
        <w:rPr>
          <w:rFonts w:ascii="黑体" w:hAnsi="黑体" w:eastAsia="黑体"/>
          <w:b/>
          <w:sz w:val="44"/>
          <w:szCs w:val="44"/>
        </w:rPr>
      </w:pPr>
    </w:p>
    <w:p w14:paraId="65DD3EA5">
      <w:pPr>
        <w:pStyle w:val="43"/>
        <w:spacing w:before="156" w:after="156"/>
      </w:pPr>
    </w:p>
    <w:p w14:paraId="2497C0DA">
      <w:pPr>
        <w:jc w:val="center"/>
        <w:rPr>
          <w:rFonts w:ascii="黑体" w:hAnsi="黑体" w:eastAsia="黑体"/>
          <w:b/>
          <w:sz w:val="44"/>
          <w:szCs w:val="44"/>
        </w:rPr>
      </w:pPr>
      <w:r>
        <w:rPr>
          <w:rFonts w:hint="eastAsia" w:ascii="黑体" w:hAnsi="黑体" w:eastAsia="黑体"/>
          <w:b/>
          <w:sz w:val="44"/>
          <w:szCs w:val="44"/>
        </w:rPr>
        <w:t>长沙市轨道交通6号线电客车架大修工艺设备采购及安装项目用户需求书</w:t>
      </w:r>
    </w:p>
    <w:p w14:paraId="2D58DD8E">
      <w:pPr>
        <w:jc w:val="center"/>
        <w:rPr>
          <w:rFonts w:ascii="黑体" w:hAnsi="黑体" w:eastAsia="黑体"/>
          <w:b/>
          <w:sz w:val="44"/>
          <w:szCs w:val="44"/>
        </w:rPr>
      </w:pPr>
    </w:p>
    <w:p w14:paraId="6B4D8CB4">
      <w:pPr>
        <w:jc w:val="center"/>
        <w:rPr>
          <w:rFonts w:ascii="黑体" w:hAnsi="黑体" w:eastAsia="黑体"/>
          <w:b/>
          <w:sz w:val="44"/>
          <w:szCs w:val="44"/>
        </w:rPr>
      </w:pPr>
    </w:p>
    <w:p w14:paraId="3FAFC2B3">
      <w:pPr>
        <w:jc w:val="center"/>
        <w:rPr>
          <w:rFonts w:ascii="黑体" w:hAnsi="黑体" w:eastAsia="黑体"/>
          <w:b/>
          <w:sz w:val="44"/>
          <w:szCs w:val="44"/>
        </w:rPr>
      </w:pPr>
    </w:p>
    <w:p w14:paraId="2F23E24B">
      <w:pPr>
        <w:jc w:val="center"/>
        <w:rPr>
          <w:rFonts w:ascii="黑体" w:hAnsi="黑体" w:eastAsia="黑体"/>
          <w:b/>
          <w:sz w:val="44"/>
          <w:szCs w:val="44"/>
        </w:rPr>
      </w:pPr>
    </w:p>
    <w:p w14:paraId="38871625">
      <w:pPr>
        <w:jc w:val="center"/>
        <w:rPr>
          <w:rFonts w:ascii="黑体" w:hAnsi="黑体" w:eastAsia="黑体"/>
          <w:b/>
          <w:sz w:val="44"/>
          <w:szCs w:val="44"/>
        </w:rPr>
      </w:pPr>
    </w:p>
    <w:p w14:paraId="6D3F0290">
      <w:pPr>
        <w:jc w:val="center"/>
        <w:rPr>
          <w:rFonts w:ascii="黑体" w:hAnsi="黑体" w:eastAsia="黑体"/>
          <w:b/>
          <w:sz w:val="44"/>
          <w:szCs w:val="44"/>
        </w:rPr>
      </w:pPr>
    </w:p>
    <w:p w14:paraId="6FCB09AA">
      <w:pPr>
        <w:jc w:val="center"/>
        <w:rPr>
          <w:rFonts w:ascii="黑体" w:hAnsi="黑体" w:eastAsia="黑体"/>
          <w:b/>
          <w:sz w:val="44"/>
          <w:szCs w:val="44"/>
        </w:rPr>
      </w:pPr>
    </w:p>
    <w:p w14:paraId="23C3718E">
      <w:pPr>
        <w:jc w:val="center"/>
        <w:rPr>
          <w:rFonts w:ascii="黑体" w:hAnsi="黑体" w:eastAsia="黑体"/>
          <w:b/>
          <w:sz w:val="44"/>
          <w:szCs w:val="44"/>
        </w:rPr>
      </w:pPr>
    </w:p>
    <w:p w14:paraId="2B3FE6A3">
      <w:pPr>
        <w:jc w:val="center"/>
        <w:rPr>
          <w:rFonts w:ascii="黑体" w:hAnsi="黑体" w:eastAsia="黑体"/>
          <w:b/>
          <w:sz w:val="44"/>
          <w:szCs w:val="44"/>
        </w:rPr>
      </w:pPr>
    </w:p>
    <w:p w14:paraId="52CA1015">
      <w:pPr>
        <w:jc w:val="center"/>
        <w:rPr>
          <w:rFonts w:ascii="黑体" w:hAnsi="黑体" w:eastAsia="黑体"/>
          <w:b/>
          <w:sz w:val="44"/>
          <w:szCs w:val="44"/>
        </w:rPr>
      </w:pPr>
    </w:p>
    <w:p w14:paraId="160BE05D">
      <w:pPr>
        <w:jc w:val="center"/>
        <w:rPr>
          <w:rFonts w:ascii="黑体" w:hAnsi="黑体" w:eastAsia="黑体"/>
          <w:bCs/>
          <w:sz w:val="32"/>
          <w:szCs w:val="32"/>
        </w:rPr>
      </w:pPr>
      <w:r>
        <w:rPr>
          <w:rFonts w:hint="eastAsia" w:ascii="黑体" w:hAnsi="黑体" w:eastAsia="黑体"/>
          <w:bCs/>
          <w:sz w:val="32"/>
          <w:szCs w:val="32"/>
        </w:rPr>
        <w:t>长沙穗城轨道交通有限公司</w:t>
      </w:r>
    </w:p>
    <w:p w14:paraId="5CF1CDC0">
      <w:pPr>
        <w:jc w:val="center"/>
        <w:rPr>
          <w:rFonts w:ascii="黑体" w:hAnsi="黑体" w:eastAsia="黑体"/>
          <w:bCs/>
          <w:sz w:val="32"/>
          <w:szCs w:val="32"/>
        </w:rPr>
      </w:pPr>
      <w:r>
        <w:rPr>
          <w:rFonts w:hint="eastAsia" w:ascii="黑体" w:hAnsi="黑体" w:eastAsia="黑体"/>
          <w:bCs/>
          <w:sz w:val="32"/>
          <w:szCs w:val="32"/>
        </w:rPr>
        <w:t>2025年</w:t>
      </w:r>
      <w:r>
        <w:rPr>
          <w:rFonts w:ascii="黑体" w:hAnsi="黑体" w:eastAsia="黑体"/>
          <w:bCs/>
          <w:sz w:val="32"/>
          <w:szCs w:val="32"/>
        </w:rPr>
        <w:t>6</w:t>
      </w:r>
      <w:r>
        <w:rPr>
          <w:rFonts w:hint="eastAsia" w:ascii="黑体" w:hAnsi="黑体" w:eastAsia="黑体"/>
          <w:bCs/>
          <w:sz w:val="32"/>
          <w:szCs w:val="32"/>
        </w:rPr>
        <w:t>月</w:t>
      </w:r>
    </w:p>
    <w:p w14:paraId="7EA2B07D">
      <w:pPr>
        <w:widowControl/>
        <w:jc w:val="left"/>
        <w:rPr>
          <w:rFonts w:ascii="黑体" w:hAnsi="黑体" w:eastAsia="黑体"/>
          <w:b/>
          <w:sz w:val="44"/>
          <w:szCs w:val="44"/>
        </w:rPr>
      </w:pPr>
    </w:p>
    <w:p w14:paraId="753823C3">
      <w:pPr>
        <w:rPr>
          <w:rFonts w:ascii="黑体" w:hAnsi="黑体" w:eastAsia="黑体"/>
          <w:szCs w:val="21"/>
        </w:rPr>
      </w:pPr>
      <w:r>
        <w:rPr>
          <w:rFonts w:hint="eastAsia" w:ascii="黑体" w:hAnsi="黑体" w:eastAsia="黑体"/>
          <w:szCs w:val="21"/>
        </w:rPr>
        <w:br w:type="page"/>
      </w:r>
    </w:p>
    <w:p w14:paraId="0B148D90">
      <w:pPr>
        <w:jc w:val="center"/>
        <w:rPr>
          <w:b/>
          <w:bCs/>
        </w:rPr>
      </w:pPr>
      <w:r>
        <w:rPr>
          <w:rFonts w:ascii="宋体" w:hAnsi="宋体"/>
          <w:b/>
          <w:bCs/>
        </w:rPr>
        <w:t>目</w:t>
      </w:r>
      <w:r>
        <w:rPr>
          <w:rFonts w:hint="eastAsia" w:ascii="宋体" w:hAnsi="宋体"/>
          <w:b/>
          <w:bCs/>
        </w:rPr>
        <w:t xml:space="preserve">  </w:t>
      </w:r>
      <w:r>
        <w:rPr>
          <w:rFonts w:ascii="宋体" w:hAnsi="宋体"/>
          <w:b/>
          <w:bCs/>
        </w:rPr>
        <w:t>录</w:t>
      </w:r>
    </w:p>
    <w:p w14:paraId="69C571D5">
      <w:pPr>
        <w:pStyle w:val="18"/>
        <w:tabs>
          <w:tab w:val="right" w:leader="dot" w:pos="8306"/>
        </w:tabs>
      </w:pPr>
      <w:r>
        <w:rPr>
          <w:rFonts w:hint="eastAsia"/>
        </w:rPr>
        <w:fldChar w:fldCharType="begin"/>
      </w:r>
      <w:r>
        <w:rPr>
          <w:rFonts w:hint="eastAsia"/>
        </w:rPr>
        <w:instrText xml:space="preserve">TOC \o "1-2" \h \u </w:instrText>
      </w:r>
      <w:r>
        <w:rPr>
          <w:rFonts w:hint="eastAsia"/>
        </w:rPr>
        <w:fldChar w:fldCharType="separate"/>
      </w:r>
      <w:r>
        <w:fldChar w:fldCharType="begin"/>
      </w:r>
      <w:r>
        <w:instrText xml:space="preserve"> HYPERLINK \l "_Toc8136" </w:instrText>
      </w:r>
      <w:r>
        <w:fldChar w:fldCharType="separate"/>
      </w:r>
      <w:r>
        <w:rPr>
          <w:rFonts w:ascii="黑体" w:hAnsi="黑体" w:eastAsia="黑体"/>
          <w:bCs/>
          <w:szCs w:val="21"/>
        </w:rPr>
        <w:t xml:space="preserve">1. </w:t>
      </w:r>
      <w:r>
        <w:rPr>
          <w:rFonts w:hint="eastAsia" w:ascii="黑体" w:hAnsi="黑体" w:eastAsia="黑体"/>
          <w:szCs w:val="21"/>
        </w:rPr>
        <w:t>项目名称</w:t>
      </w:r>
      <w:r>
        <w:tab/>
      </w:r>
      <w:r>
        <w:fldChar w:fldCharType="begin"/>
      </w:r>
      <w:r>
        <w:instrText xml:space="preserve"> PAGEREF _Toc8136 \h </w:instrText>
      </w:r>
      <w:r>
        <w:fldChar w:fldCharType="separate"/>
      </w:r>
      <w:r>
        <w:t>1</w:t>
      </w:r>
      <w:r>
        <w:fldChar w:fldCharType="end"/>
      </w:r>
      <w:r>
        <w:fldChar w:fldCharType="end"/>
      </w:r>
    </w:p>
    <w:p w14:paraId="3C273418">
      <w:pPr>
        <w:pStyle w:val="18"/>
        <w:tabs>
          <w:tab w:val="right" w:leader="dot" w:pos="8306"/>
        </w:tabs>
      </w:pPr>
      <w:r>
        <w:fldChar w:fldCharType="begin"/>
      </w:r>
      <w:r>
        <w:instrText xml:space="preserve"> HYPERLINK \l "_Toc29481" </w:instrText>
      </w:r>
      <w:r>
        <w:fldChar w:fldCharType="separate"/>
      </w:r>
      <w:r>
        <w:rPr>
          <w:rFonts w:ascii="黑体" w:hAnsi="黑体" w:eastAsia="黑体"/>
          <w:bCs/>
          <w:szCs w:val="21"/>
        </w:rPr>
        <w:t xml:space="preserve">2. </w:t>
      </w:r>
      <w:r>
        <w:rPr>
          <w:rFonts w:hint="eastAsia" w:ascii="黑体" w:hAnsi="黑体" w:eastAsia="黑体"/>
          <w:szCs w:val="21"/>
        </w:rPr>
        <w:t>项目概况</w:t>
      </w:r>
      <w:r>
        <w:tab/>
      </w:r>
      <w:r>
        <w:fldChar w:fldCharType="begin"/>
      </w:r>
      <w:r>
        <w:instrText xml:space="preserve"> PAGEREF _Toc29481 \h </w:instrText>
      </w:r>
      <w:r>
        <w:fldChar w:fldCharType="separate"/>
      </w:r>
      <w:r>
        <w:t>1</w:t>
      </w:r>
      <w:r>
        <w:fldChar w:fldCharType="end"/>
      </w:r>
      <w:r>
        <w:fldChar w:fldCharType="end"/>
      </w:r>
    </w:p>
    <w:p w14:paraId="147A4E27">
      <w:pPr>
        <w:pStyle w:val="19"/>
        <w:tabs>
          <w:tab w:val="right" w:leader="dot" w:pos="8306"/>
        </w:tabs>
      </w:pPr>
      <w:r>
        <w:fldChar w:fldCharType="begin"/>
      </w:r>
      <w:r>
        <w:instrText xml:space="preserve"> HYPERLINK \l "_Toc17239" </w:instrText>
      </w:r>
      <w:r>
        <w:fldChar w:fldCharType="separate"/>
      </w:r>
      <w:r>
        <w:rPr>
          <w:rFonts w:hint="eastAsia" w:ascii="黑体" w:hAnsi="黑体" w:eastAsia="黑体"/>
          <w:szCs w:val="21"/>
        </w:rPr>
        <w:t>2.1 项目地点</w:t>
      </w:r>
      <w:r>
        <w:tab/>
      </w:r>
      <w:r>
        <w:fldChar w:fldCharType="begin"/>
      </w:r>
      <w:r>
        <w:instrText xml:space="preserve"> PAGEREF _Toc17239 \h </w:instrText>
      </w:r>
      <w:r>
        <w:fldChar w:fldCharType="separate"/>
      </w:r>
      <w:r>
        <w:t>1</w:t>
      </w:r>
      <w:r>
        <w:fldChar w:fldCharType="end"/>
      </w:r>
      <w:r>
        <w:fldChar w:fldCharType="end"/>
      </w:r>
    </w:p>
    <w:p w14:paraId="56A438FA">
      <w:pPr>
        <w:pStyle w:val="19"/>
        <w:tabs>
          <w:tab w:val="right" w:leader="dot" w:pos="8306"/>
        </w:tabs>
      </w:pPr>
      <w:r>
        <w:fldChar w:fldCharType="begin"/>
      </w:r>
      <w:r>
        <w:instrText xml:space="preserve"> HYPERLINK \l "_Toc18637" </w:instrText>
      </w:r>
      <w:r>
        <w:fldChar w:fldCharType="separate"/>
      </w:r>
      <w:r>
        <w:rPr>
          <w:rFonts w:hint="eastAsia" w:ascii="黑体" w:hAnsi="黑体" w:eastAsia="黑体"/>
          <w:szCs w:val="21"/>
        </w:rPr>
        <w:t>2.2 项目内容</w:t>
      </w:r>
      <w:r>
        <w:tab/>
      </w:r>
      <w:r>
        <w:fldChar w:fldCharType="begin"/>
      </w:r>
      <w:r>
        <w:instrText xml:space="preserve"> PAGEREF _Toc18637 \h </w:instrText>
      </w:r>
      <w:r>
        <w:fldChar w:fldCharType="separate"/>
      </w:r>
      <w:r>
        <w:t>1</w:t>
      </w:r>
      <w:r>
        <w:fldChar w:fldCharType="end"/>
      </w:r>
      <w:r>
        <w:fldChar w:fldCharType="end"/>
      </w:r>
    </w:p>
    <w:p w14:paraId="2909C01E">
      <w:pPr>
        <w:pStyle w:val="18"/>
        <w:tabs>
          <w:tab w:val="right" w:leader="dot" w:pos="8306"/>
        </w:tabs>
      </w:pPr>
      <w:r>
        <w:fldChar w:fldCharType="begin"/>
      </w:r>
      <w:r>
        <w:instrText xml:space="preserve"> HYPERLINK \l "_Toc6047" </w:instrText>
      </w:r>
      <w:r>
        <w:fldChar w:fldCharType="separate"/>
      </w:r>
      <w:r>
        <w:rPr>
          <w:rFonts w:ascii="黑体" w:hAnsi="黑体" w:eastAsia="黑体"/>
          <w:bCs/>
          <w:szCs w:val="21"/>
        </w:rPr>
        <w:t xml:space="preserve">3. </w:t>
      </w:r>
      <w:r>
        <w:rPr>
          <w:rFonts w:hint="eastAsia" w:ascii="黑体" w:hAnsi="黑体" w:eastAsia="黑体"/>
          <w:szCs w:val="21"/>
        </w:rPr>
        <w:t>项目条件</w:t>
      </w:r>
      <w:r>
        <w:tab/>
      </w:r>
      <w:r>
        <w:fldChar w:fldCharType="begin"/>
      </w:r>
      <w:r>
        <w:instrText xml:space="preserve"> PAGEREF _Toc6047 \h </w:instrText>
      </w:r>
      <w:r>
        <w:fldChar w:fldCharType="separate"/>
      </w:r>
      <w:r>
        <w:t>1</w:t>
      </w:r>
      <w:r>
        <w:fldChar w:fldCharType="end"/>
      </w:r>
      <w:r>
        <w:fldChar w:fldCharType="end"/>
      </w:r>
    </w:p>
    <w:p w14:paraId="1646B774">
      <w:pPr>
        <w:pStyle w:val="19"/>
        <w:tabs>
          <w:tab w:val="right" w:leader="dot" w:pos="8306"/>
        </w:tabs>
      </w:pPr>
      <w:r>
        <w:fldChar w:fldCharType="begin"/>
      </w:r>
      <w:r>
        <w:instrText xml:space="preserve"> HYPERLINK \l "_Toc2556" </w:instrText>
      </w:r>
      <w:r>
        <w:fldChar w:fldCharType="separate"/>
      </w:r>
      <w:r>
        <w:rPr>
          <w:rFonts w:hint="eastAsia" w:ascii="黑体" w:hAnsi="黑体" w:eastAsia="黑体"/>
          <w:szCs w:val="21"/>
        </w:rPr>
        <w:t>3</w:t>
      </w:r>
      <w:r>
        <w:rPr>
          <w:rFonts w:ascii="黑体" w:hAnsi="黑体" w:eastAsia="黑体"/>
          <w:szCs w:val="21"/>
        </w:rPr>
        <w:t xml:space="preserve">.1 </w:t>
      </w:r>
      <w:r>
        <w:rPr>
          <w:rFonts w:hint="eastAsia" w:ascii="黑体" w:hAnsi="黑体" w:eastAsia="黑体"/>
          <w:szCs w:val="21"/>
        </w:rPr>
        <w:t>作业限制条件</w:t>
      </w:r>
      <w:r>
        <w:tab/>
      </w:r>
      <w:r>
        <w:fldChar w:fldCharType="begin"/>
      </w:r>
      <w:r>
        <w:instrText xml:space="preserve"> PAGEREF _Toc2556 \h </w:instrText>
      </w:r>
      <w:r>
        <w:fldChar w:fldCharType="separate"/>
      </w:r>
      <w:r>
        <w:t>1</w:t>
      </w:r>
      <w:r>
        <w:fldChar w:fldCharType="end"/>
      </w:r>
      <w:r>
        <w:fldChar w:fldCharType="end"/>
      </w:r>
    </w:p>
    <w:p w14:paraId="5D2B1692">
      <w:pPr>
        <w:pStyle w:val="19"/>
        <w:tabs>
          <w:tab w:val="right" w:leader="dot" w:pos="8306"/>
        </w:tabs>
      </w:pPr>
      <w:r>
        <w:fldChar w:fldCharType="begin"/>
      </w:r>
      <w:r>
        <w:instrText xml:space="preserve"> HYPERLINK \l "_Toc24859" </w:instrText>
      </w:r>
      <w:r>
        <w:fldChar w:fldCharType="separate"/>
      </w:r>
      <w:r>
        <w:rPr>
          <w:rFonts w:ascii="黑体" w:hAnsi="黑体" w:eastAsia="黑体"/>
          <w:szCs w:val="21"/>
        </w:rPr>
        <w:t>3.2</w:t>
      </w:r>
      <w:r>
        <w:rPr>
          <w:rFonts w:hint="eastAsia" w:ascii="黑体" w:hAnsi="黑体" w:eastAsia="黑体"/>
          <w:szCs w:val="21"/>
        </w:rPr>
        <w:t>业主提供条件</w:t>
      </w:r>
      <w:r>
        <w:tab/>
      </w:r>
      <w:r>
        <w:fldChar w:fldCharType="begin"/>
      </w:r>
      <w:r>
        <w:instrText xml:space="preserve"> PAGEREF _Toc24859 \h </w:instrText>
      </w:r>
      <w:r>
        <w:fldChar w:fldCharType="separate"/>
      </w:r>
      <w:r>
        <w:t>2</w:t>
      </w:r>
      <w:r>
        <w:fldChar w:fldCharType="end"/>
      </w:r>
      <w:r>
        <w:fldChar w:fldCharType="end"/>
      </w:r>
    </w:p>
    <w:p w14:paraId="1EF6BD31">
      <w:pPr>
        <w:pStyle w:val="18"/>
        <w:tabs>
          <w:tab w:val="right" w:leader="dot" w:pos="8306"/>
        </w:tabs>
      </w:pPr>
      <w:r>
        <w:fldChar w:fldCharType="begin"/>
      </w:r>
      <w:r>
        <w:instrText xml:space="preserve"> HYPERLINK \l "_Toc12552" </w:instrText>
      </w:r>
      <w:r>
        <w:fldChar w:fldCharType="separate"/>
      </w:r>
      <w:r>
        <w:rPr>
          <w:rFonts w:ascii="黑体" w:hAnsi="黑体" w:eastAsia="黑体"/>
          <w:bCs/>
          <w:szCs w:val="21"/>
        </w:rPr>
        <w:t xml:space="preserve">4. </w:t>
      </w:r>
      <w:r>
        <w:rPr>
          <w:rFonts w:hint="eastAsia" w:ascii="黑体" w:hAnsi="黑体" w:eastAsia="黑体"/>
          <w:szCs w:val="21"/>
        </w:rPr>
        <w:t>主要人员</w:t>
      </w:r>
      <w:r>
        <w:tab/>
      </w:r>
      <w:r>
        <w:fldChar w:fldCharType="begin"/>
      </w:r>
      <w:r>
        <w:instrText xml:space="preserve"> PAGEREF _Toc12552 \h </w:instrText>
      </w:r>
      <w:r>
        <w:fldChar w:fldCharType="separate"/>
      </w:r>
      <w:r>
        <w:t>2</w:t>
      </w:r>
      <w:r>
        <w:fldChar w:fldCharType="end"/>
      </w:r>
      <w:r>
        <w:fldChar w:fldCharType="end"/>
      </w:r>
    </w:p>
    <w:p w14:paraId="3E8CAC9F">
      <w:pPr>
        <w:pStyle w:val="18"/>
        <w:tabs>
          <w:tab w:val="right" w:leader="dot" w:pos="8306"/>
        </w:tabs>
      </w:pPr>
      <w:r>
        <w:fldChar w:fldCharType="begin"/>
      </w:r>
      <w:r>
        <w:instrText xml:space="preserve"> HYPERLINK \l "_Toc24980" </w:instrText>
      </w:r>
      <w:r>
        <w:fldChar w:fldCharType="separate"/>
      </w:r>
      <w:r>
        <w:rPr>
          <w:rFonts w:ascii="黑体" w:hAnsi="黑体" w:eastAsia="黑体"/>
          <w:bCs/>
          <w:szCs w:val="21"/>
        </w:rPr>
        <w:t xml:space="preserve">5. </w:t>
      </w:r>
      <w:r>
        <w:rPr>
          <w:rFonts w:hint="eastAsia" w:ascii="黑体" w:hAnsi="黑体" w:eastAsia="黑体"/>
          <w:szCs w:val="21"/>
        </w:rPr>
        <w:t>技术要求</w:t>
      </w:r>
      <w:r>
        <w:tab/>
      </w:r>
      <w:r>
        <w:fldChar w:fldCharType="begin"/>
      </w:r>
      <w:r>
        <w:instrText xml:space="preserve"> PAGEREF _Toc24980 \h </w:instrText>
      </w:r>
      <w:r>
        <w:fldChar w:fldCharType="separate"/>
      </w:r>
      <w:r>
        <w:t>2</w:t>
      </w:r>
      <w:r>
        <w:fldChar w:fldCharType="end"/>
      </w:r>
      <w:r>
        <w:fldChar w:fldCharType="end"/>
      </w:r>
    </w:p>
    <w:p w14:paraId="74D35BE0">
      <w:pPr>
        <w:pStyle w:val="19"/>
        <w:tabs>
          <w:tab w:val="right" w:leader="dot" w:pos="8306"/>
        </w:tabs>
      </w:pPr>
      <w:r>
        <w:fldChar w:fldCharType="begin"/>
      </w:r>
      <w:r>
        <w:instrText xml:space="preserve"> HYPERLINK \l "_Toc20076" </w:instrText>
      </w:r>
      <w:r>
        <w:fldChar w:fldCharType="separate"/>
      </w:r>
      <w:r>
        <w:rPr>
          <w:rFonts w:hint="eastAsia" w:ascii="黑体" w:hAnsi="黑体" w:eastAsia="黑体"/>
          <w:szCs w:val="21"/>
        </w:rPr>
        <w:t>5</w:t>
      </w:r>
      <w:r>
        <w:rPr>
          <w:rFonts w:ascii="黑体" w:hAnsi="黑体" w:eastAsia="黑体"/>
          <w:szCs w:val="21"/>
        </w:rPr>
        <w:t xml:space="preserve">.1 </w:t>
      </w:r>
      <w:r>
        <w:rPr>
          <w:rFonts w:hint="eastAsia" w:ascii="黑体" w:hAnsi="黑体" w:eastAsia="黑体"/>
          <w:szCs w:val="21"/>
        </w:rPr>
        <w:t>项目概述</w:t>
      </w:r>
      <w:r>
        <w:tab/>
      </w:r>
      <w:r>
        <w:fldChar w:fldCharType="begin"/>
      </w:r>
      <w:r>
        <w:instrText xml:space="preserve"> PAGEREF _Toc20076 \h </w:instrText>
      </w:r>
      <w:r>
        <w:fldChar w:fldCharType="separate"/>
      </w:r>
      <w:r>
        <w:t>2</w:t>
      </w:r>
      <w:r>
        <w:fldChar w:fldCharType="end"/>
      </w:r>
      <w:r>
        <w:fldChar w:fldCharType="end"/>
      </w:r>
    </w:p>
    <w:p w14:paraId="564EADCD">
      <w:pPr>
        <w:pStyle w:val="19"/>
        <w:tabs>
          <w:tab w:val="right" w:leader="dot" w:pos="8306"/>
        </w:tabs>
      </w:pPr>
      <w:r>
        <w:fldChar w:fldCharType="begin"/>
      </w:r>
      <w:r>
        <w:instrText xml:space="preserve"> HYPERLINK \l "_Toc11806" </w:instrText>
      </w:r>
      <w:r>
        <w:fldChar w:fldCharType="separate"/>
      </w:r>
      <w:r>
        <w:rPr>
          <w:rFonts w:hint="eastAsia" w:ascii="黑体" w:hAnsi="黑体" w:eastAsia="黑体"/>
          <w:szCs w:val="21"/>
        </w:rPr>
        <w:t>5</w:t>
      </w:r>
      <w:r>
        <w:rPr>
          <w:rFonts w:ascii="黑体" w:hAnsi="黑体" w:eastAsia="黑体"/>
          <w:szCs w:val="21"/>
        </w:rPr>
        <w:t xml:space="preserve">.2 </w:t>
      </w:r>
      <w:r>
        <w:rPr>
          <w:rFonts w:hint="eastAsia" w:ascii="黑体" w:hAnsi="黑体" w:eastAsia="黑体"/>
          <w:szCs w:val="21"/>
        </w:rPr>
        <w:t>供货及服务清单</w:t>
      </w:r>
      <w:r>
        <w:tab/>
      </w:r>
      <w:r>
        <w:fldChar w:fldCharType="begin"/>
      </w:r>
      <w:r>
        <w:instrText xml:space="preserve"> PAGEREF _Toc11806 \h </w:instrText>
      </w:r>
      <w:r>
        <w:fldChar w:fldCharType="separate"/>
      </w:r>
      <w:r>
        <w:t>3</w:t>
      </w:r>
      <w:r>
        <w:fldChar w:fldCharType="end"/>
      </w:r>
      <w:r>
        <w:fldChar w:fldCharType="end"/>
      </w:r>
    </w:p>
    <w:p w14:paraId="5AD8A62F">
      <w:pPr>
        <w:pStyle w:val="19"/>
        <w:tabs>
          <w:tab w:val="right" w:leader="dot" w:pos="8306"/>
        </w:tabs>
      </w:pPr>
      <w:r>
        <w:fldChar w:fldCharType="begin"/>
      </w:r>
      <w:r>
        <w:instrText xml:space="preserve"> HYPERLINK \l "_Toc30537" </w:instrText>
      </w:r>
      <w:r>
        <w:fldChar w:fldCharType="separate"/>
      </w:r>
      <w:r>
        <w:rPr>
          <w:rFonts w:hint="eastAsia" w:ascii="黑体" w:hAnsi="黑体" w:eastAsia="黑体"/>
          <w:szCs w:val="21"/>
        </w:rPr>
        <w:t>5</w:t>
      </w:r>
      <w:r>
        <w:rPr>
          <w:rFonts w:ascii="黑体" w:hAnsi="黑体" w:eastAsia="黑体"/>
          <w:szCs w:val="21"/>
        </w:rPr>
        <w:t xml:space="preserve">.3 </w:t>
      </w:r>
      <w:r>
        <w:rPr>
          <w:rFonts w:hint="eastAsia" w:ascii="黑体" w:hAnsi="黑体" w:eastAsia="黑体"/>
          <w:szCs w:val="21"/>
        </w:rPr>
        <w:t>专业技术要求</w:t>
      </w:r>
      <w:r>
        <w:tab/>
      </w:r>
      <w:r>
        <w:fldChar w:fldCharType="begin"/>
      </w:r>
      <w:r>
        <w:instrText xml:space="preserve"> PAGEREF _Toc30537 \h </w:instrText>
      </w:r>
      <w:r>
        <w:fldChar w:fldCharType="separate"/>
      </w:r>
      <w:r>
        <w:t>5</w:t>
      </w:r>
      <w:r>
        <w:fldChar w:fldCharType="end"/>
      </w:r>
      <w:r>
        <w:fldChar w:fldCharType="end"/>
      </w:r>
    </w:p>
    <w:p w14:paraId="5C0C3594">
      <w:pPr>
        <w:pStyle w:val="19"/>
        <w:tabs>
          <w:tab w:val="right" w:leader="dot" w:pos="8306"/>
        </w:tabs>
      </w:pPr>
      <w:r>
        <w:fldChar w:fldCharType="begin"/>
      </w:r>
      <w:r>
        <w:instrText xml:space="preserve"> HYPERLINK \l "_Toc4269" </w:instrText>
      </w:r>
      <w:r>
        <w:fldChar w:fldCharType="separate"/>
      </w:r>
      <w:r>
        <w:rPr>
          <w:rFonts w:hint="eastAsia" w:ascii="黑体" w:hAnsi="黑体" w:eastAsia="黑体"/>
          <w:szCs w:val="21"/>
        </w:rPr>
        <w:t>5</w:t>
      </w:r>
      <w:r>
        <w:rPr>
          <w:rFonts w:ascii="黑体" w:hAnsi="黑体" w:eastAsia="黑体"/>
          <w:szCs w:val="21"/>
        </w:rPr>
        <w:t xml:space="preserve">.4 </w:t>
      </w:r>
      <w:r>
        <w:rPr>
          <w:rFonts w:hint="eastAsia" w:ascii="黑体" w:hAnsi="黑体" w:eastAsia="黑体"/>
          <w:szCs w:val="21"/>
        </w:rPr>
        <w:t>图纸、手册和技术文件</w:t>
      </w:r>
      <w:r>
        <w:tab/>
      </w:r>
      <w:r>
        <w:fldChar w:fldCharType="begin"/>
      </w:r>
      <w:r>
        <w:instrText xml:space="preserve"> PAGEREF _Toc4269 \h </w:instrText>
      </w:r>
      <w:r>
        <w:fldChar w:fldCharType="separate"/>
      </w:r>
      <w:r>
        <w:t>15</w:t>
      </w:r>
      <w:r>
        <w:fldChar w:fldCharType="end"/>
      </w:r>
      <w:r>
        <w:fldChar w:fldCharType="end"/>
      </w:r>
    </w:p>
    <w:p w14:paraId="258BBF9F">
      <w:pPr>
        <w:pStyle w:val="19"/>
        <w:tabs>
          <w:tab w:val="right" w:leader="dot" w:pos="8306"/>
        </w:tabs>
      </w:pPr>
      <w:r>
        <w:fldChar w:fldCharType="begin"/>
      </w:r>
      <w:r>
        <w:instrText xml:space="preserve"> HYPERLINK \l "_Toc20561" </w:instrText>
      </w:r>
      <w:r>
        <w:fldChar w:fldCharType="separate"/>
      </w:r>
      <w:r>
        <w:rPr>
          <w:rFonts w:hint="eastAsia" w:ascii="黑体" w:hAnsi="黑体" w:eastAsia="黑体"/>
          <w:szCs w:val="21"/>
        </w:rPr>
        <w:t>5</w:t>
      </w:r>
      <w:r>
        <w:rPr>
          <w:rFonts w:ascii="黑体" w:hAnsi="黑体" w:eastAsia="黑体"/>
          <w:szCs w:val="21"/>
        </w:rPr>
        <w:t xml:space="preserve">.5 </w:t>
      </w:r>
      <w:r>
        <w:rPr>
          <w:rFonts w:hint="eastAsia" w:ascii="黑体" w:hAnsi="黑体" w:eastAsia="黑体"/>
          <w:szCs w:val="21"/>
        </w:rPr>
        <w:t>设计和设计联络/审查会议</w:t>
      </w:r>
      <w:r>
        <w:tab/>
      </w:r>
      <w:r>
        <w:fldChar w:fldCharType="begin"/>
      </w:r>
      <w:r>
        <w:instrText xml:space="preserve"> PAGEREF _Toc20561 \h </w:instrText>
      </w:r>
      <w:r>
        <w:fldChar w:fldCharType="separate"/>
      </w:r>
      <w:r>
        <w:t>22</w:t>
      </w:r>
      <w:r>
        <w:fldChar w:fldCharType="end"/>
      </w:r>
      <w:r>
        <w:fldChar w:fldCharType="end"/>
      </w:r>
    </w:p>
    <w:p w14:paraId="51CA51D7">
      <w:pPr>
        <w:pStyle w:val="18"/>
        <w:tabs>
          <w:tab w:val="right" w:leader="dot" w:pos="8306"/>
        </w:tabs>
      </w:pPr>
      <w:r>
        <w:fldChar w:fldCharType="begin"/>
      </w:r>
      <w:r>
        <w:instrText xml:space="preserve"> HYPERLINK \l "_Toc9738" </w:instrText>
      </w:r>
      <w:r>
        <w:fldChar w:fldCharType="separate"/>
      </w:r>
      <w:r>
        <w:rPr>
          <w:rFonts w:ascii="黑体" w:hAnsi="黑体" w:eastAsia="黑体"/>
          <w:bCs/>
          <w:szCs w:val="21"/>
        </w:rPr>
        <w:t xml:space="preserve">6. </w:t>
      </w:r>
      <w:r>
        <w:rPr>
          <w:rFonts w:hint="eastAsia" w:ascii="黑体" w:hAnsi="黑体" w:eastAsia="黑体"/>
          <w:szCs w:val="21"/>
        </w:rPr>
        <w:t>工期要求</w:t>
      </w:r>
      <w:r>
        <w:tab/>
      </w:r>
      <w:r>
        <w:fldChar w:fldCharType="begin"/>
      </w:r>
      <w:r>
        <w:instrText xml:space="preserve"> PAGEREF _Toc9738 \h </w:instrText>
      </w:r>
      <w:r>
        <w:fldChar w:fldCharType="separate"/>
      </w:r>
      <w:r>
        <w:t>23</w:t>
      </w:r>
      <w:r>
        <w:fldChar w:fldCharType="end"/>
      </w:r>
      <w:r>
        <w:fldChar w:fldCharType="end"/>
      </w:r>
    </w:p>
    <w:p w14:paraId="3C156EAC">
      <w:pPr>
        <w:pStyle w:val="18"/>
        <w:tabs>
          <w:tab w:val="right" w:leader="dot" w:pos="8306"/>
        </w:tabs>
      </w:pPr>
      <w:r>
        <w:fldChar w:fldCharType="begin"/>
      </w:r>
      <w:r>
        <w:instrText xml:space="preserve"> HYPERLINK \l "_Toc21791" </w:instrText>
      </w:r>
      <w:r>
        <w:fldChar w:fldCharType="separate"/>
      </w:r>
      <w:r>
        <w:rPr>
          <w:rFonts w:ascii="黑体" w:hAnsi="黑体" w:eastAsia="黑体"/>
          <w:bCs/>
          <w:szCs w:val="21"/>
        </w:rPr>
        <w:t xml:space="preserve">7. </w:t>
      </w:r>
      <w:r>
        <w:rPr>
          <w:rFonts w:hint="eastAsia" w:ascii="黑体" w:hAnsi="黑体" w:eastAsia="黑体"/>
          <w:szCs w:val="21"/>
        </w:rPr>
        <w:t>工程量清单</w:t>
      </w:r>
      <w:r>
        <w:tab/>
      </w:r>
      <w:r>
        <w:fldChar w:fldCharType="begin"/>
      </w:r>
      <w:r>
        <w:instrText xml:space="preserve"> PAGEREF _Toc21791 \h </w:instrText>
      </w:r>
      <w:r>
        <w:fldChar w:fldCharType="separate"/>
      </w:r>
      <w:r>
        <w:t>23</w:t>
      </w:r>
      <w:r>
        <w:fldChar w:fldCharType="end"/>
      </w:r>
      <w:r>
        <w:fldChar w:fldCharType="end"/>
      </w:r>
    </w:p>
    <w:p w14:paraId="642FBFAD">
      <w:pPr>
        <w:pStyle w:val="18"/>
        <w:tabs>
          <w:tab w:val="right" w:leader="dot" w:pos="8306"/>
        </w:tabs>
      </w:pPr>
      <w:r>
        <w:fldChar w:fldCharType="begin"/>
      </w:r>
      <w:r>
        <w:instrText xml:space="preserve"> HYPERLINK \l "_Toc25178" </w:instrText>
      </w:r>
      <w:r>
        <w:fldChar w:fldCharType="separate"/>
      </w:r>
      <w:r>
        <w:rPr>
          <w:rFonts w:ascii="黑体" w:hAnsi="黑体" w:eastAsia="黑体"/>
          <w:bCs/>
          <w:szCs w:val="21"/>
        </w:rPr>
        <w:t xml:space="preserve">8. </w:t>
      </w:r>
      <w:r>
        <w:rPr>
          <w:rFonts w:hint="eastAsia" w:ascii="黑体" w:hAnsi="黑体" w:eastAsia="黑体"/>
          <w:szCs w:val="21"/>
        </w:rPr>
        <w:t>施工一般要求</w:t>
      </w:r>
      <w:r>
        <w:tab/>
      </w:r>
      <w:r>
        <w:fldChar w:fldCharType="begin"/>
      </w:r>
      <w:r>
        <w:instrText xml:space="preserve"> PAGEREF _Toc25178 \h </w:instrText>
      </w:r>
      <w:r>
        <w:fldChar w:fldCharType="separate"/>
      </w:r>
      <w:r>
        <w:t>23</w:t>
      </w:r>
      <w:r>
        <w:fldChar w:fldCharType="end"/>
      </w:r>
      <w:r>
        <w:fldChar w:fldCharType="end"/>
      </w:r>
    </w:p>
    <w:p w14:paraId="228FDFDF">
      <w:pPr>
        <w:pStyle w:val="18"/>
        <w:tabs>
          <w:tab w:val="right" w:leader="dot" w:pos="8306"/>
        </w:tabs>
      </w:pPr>
      <w:r>
        <w:fldChar w:fldCharType="begin"/>
      </w:r>
      <w:r>
        <w:instrText xml:space="preserve"> HYPERLINK \l "_Toc31549" </w:instrText>
      </w:r>
      <w:r>
        <w:fldChar w:fldCharType="separate"/>
      </w:r>
      <w:r>
        <w:rPr>
          <w:rFonts w:ascii="黑体" w:hAnsi="黑体" w:eastAsia="黑体"/>
          <w:bCs/>
          <w:szCs w:val="21"/>
        </w:rPr>
        <w:t xml:space="preserve">9. </w:t>
      </w:r>
      <w:r>
        <w:rPr>
          <w:rFonts w:hint="eastAsia" w:ascii="黑体" w:hAnsi="黑体" w:eastAsia="黑体"/>
          <w:szCs w:val="21"/>
        </w:rPr>
        <w:t>安全要求</w:t>
      </w:r>
      <w:r>
        <w:tab/>
      </w:r>
      <w:r>
        <w:fldChar w:fldCharType="begin"/>
      </w:r>
      <w:r>
        <w:instrText xml:space="preserve"> PAGEREF _Toc31549 \h </w:instrText>
      </w:r>
      <w:r>
        <w:fldChar w:fldCharType="separate"/>
      </w:r>
      <w:r>
        <w:t>24</w:t>
      </w:r>
      <w:r>
        <w:fldChar w:fldCharType="end"/>
      </w:r>
      <w:r>
        <w:fldChar w:fldCharType="end"/>
      </w:r>
    </w:p>
    <w:p w14:paraId="48E59242">
      <w:pPr>
        <w:pStyle w:val="18"/>
        <w:tabs>
          <w:tab w:val="right" w:leader="dot" w:pos="8306"/>
        </w:tabs>
      </w:pPr>
      <w:r>
        <w:fldChar w:fldCharType="begin"/>
      </w:r>
      <w:r>
        <w:instrText xml:space="preserve"> HYPERLINK \l "_Toc12117" </w:instrText>
      </w:r>
      <w:r>
        <w:fldChar w:fldCharType="separate"/>
      </w:r>
      <w:r>
        <w:rPr>
          <w:rFonts w:ascii="黑体" w:hAnsi="黑体" w:eastAsia="黑体"/>
          <w:szCs w:val="21"/>
        </w:rPr>
        <w:t xml:space="preserve">10. </w:t>
      </w:r>
      <w:r>
        <w:rPr>
          <w:rFonts w:hint="eastAsia" w:ascii="黑体" w:hAnsi="黑体" w:eastAsia="黑体"/>
          <w:szCs w:val="21"/>
        </w:rPr>
        <w:t>项目验收要求</w:t>
      </w:r>
      <w:r>
        <w:tab/>
      </w:r>
      <w:r>
        <w:fldChar w:fldCharType="begin"/>
      </w:r>
      <w:r>
        <w:instrText xml:space="preserve"> PAGEREF _Toc12117 \h </w:instrText>
      </w:r>
      <w:r>
        <w:fldChar w:fldCharType="separate"/>
      </w:r>
      <w:r>
        <w:t>24</w:t>
      </w:r>
      <w:r>
        <w:fldChar w:fldCharType="end"/>
      </w:r>
      <w:r>
        <w:fldChar w:fldCharType="end"/>
      </w:r>
    </w:p>
    <w:p w14:paraId="35A846AC">
      <w:pPr>
        <w:pStyle w:val="18"/>
        <w:tabs>
          <w:tab w:val="right" w:leader="dot" w:pos="8306"/>
        </w:tabs>
      </w:pPr>
      <w:r>
        <w:fldChar w:fldCharType="begin"/>
      </w:r>
      <w:r>
        <w:instrText xml:space="preserve"> HYPERLINK \l "_Toc23925" </w:instrText>
      </w:r>
      <w:r>
        <w:fldChar w:fldCharType="separate"/>
      </w:r>
      <w:r>
        <w:rPr>
          <w:rFonts w:ascii="黑体" w:hAnsi="黑体" w:eastAsia="黑体"/>
          <w:bCs/>
          <w:szCs w:val="21"/>
        </w:rPr>
        <w:t xml:space="preserve">11. </w:t>
      </w:r>
      <w:r>
        <w:rPr>
          <w:rFonts w:hint="eastAsia" w:ascii="黑体" w:hAnsi="黑体" w:eastAsia="黑体"/>
          <w:szCs w:val="21"/>
        </w:rPr>
        <w:t>质保要求</w:t>
      </w:r>
      <w:r>
        <w:tab/>
      </w:r>
      <w:r>
        <w:fldChar w:fldCharType="begin"/>
      </w:r>
      <w:r>
        <w:instrText xml:space="preserve"> PAGEREF _Toc23925 \h </w:instrText>
      </w:r>
      <w:r>
        <w:fldChar w:fldCharType="separate"/>
      </w:r>
      <w:r>
        <w:t>25</w:t>
      </w:r>
      <w:r>
        <w:fldChar w:fldCharType="end"/>
      </w:r>
      <w:r>
        <w:fldChar w:fldCharType="end"/>
      </w:r>
    </w:p>
    <w:p w14:paraId="4F00E956">
      <w:pPr>
        <w:sectPr>
          <w:footerReference r:id="rId4" w:type="first"/>
          <w:footerReference r:id="rId3" w:type="default"/>
          <w:pgSz w:w="11906" w:h="16838"/>
          <w:pgMar w:top="1440" w:right="1800" w:bottom="1440" w:left="1800" w:header="851" w:footer="992" w:gutter="0"/>
          <w:cols w:space="720" w:num="1"/>
          <w:docGrid w:type="lines" w:linePitch="312" w:charSpace="0"/>
        </w:sectPr>
      </w:pPr>
      <w:r>
        <w:rPr>
          <w:rFonts w:hint="eastAsia"/>
        </w:rPr>
        <w:fldChar w:fldCharType="end"/>
      </w:r>
      <w:bookmarkStart w:id="0" w:name="_Toc117680611"/>
      <w:bookmarkStart w:id="1" w:name="_Toc117697538"/>
      <w:bookmarkStart w:id="2" w:name="_Toc117680710"/>
      <w:bookmarkStart w:id="3" w:name="_Toc192580493"/>
    </w:p>
    <w:p w14:paraId="5C5ACEFE">
      <w:pPr>
        <w:pStyle w:val="3"/>
        <w:numPr>
          <w:ilvl w:val="0"/>
          <w:numId w:val="1"/>
        </w:numPr>
        <w:tabs>
          <w:tab w:val="left" w:pos="360"/>
        </w:tabs>
        <w:ind w:left="0" w:firstLine="0"/>
        <w:rPr>
          <w:rFonts w:ascii="黑体" w:hAnsi="黑体" w:eastAsia="黑体"/>
          <w:b w:val="0"/>
          <w:bCs w:val="0"/>
          <w:sz w:val="21"/>
          <w:szCs w:val="21"/>
        </w:rPr>
      </w:pPr>
      <w:bookmarkStart w:id="4" w:name="_Toc8136"/>
      <w:r>
        <w:rPr>
          <w:rFonts w:hint="eastAsia" w:ascii="黑体" w:hAnsi="黑体" w:eastAsia="黑体"/>
          <w:b w:val="0"/>
          <w:bCs w:val="0"/>
          <w:sz w:val="21"/>
          <w:szCs w:val="21"/>
        </w:rPr>
        <w:t>项目名称</w:t>
      </w:r>
      <w:bookmarkEnd w:id="0"/>
      <w:bookmarkEnd w:id="1"/>
      <w:bookmarkEnd w:id="2"/>
      <w:bookmarkEnd w:id="3"/>
      <w:bookmarkEnd w:id="4"/>
    </w:p>
    <w:p w14:paraId="28DD7922">
      <w:pPr>
        <w:spacing w:line="360" w:lineRule="auto"/>
        <w:ind w:firstLine="420" w:firstLineChars="200"/>
        <w:rPr>
          <w:rFonts w:ascii="宋体" w:hAnsi="宋体"/>
          <w:szCs w:val="21"/>
        </w:rPr>
      </w:pPr>
      <w:r>
        <w:rPr>
          <w:rFonts w:hint="eastAsia" w:ascii="宋体" w:hAnsi="宋体"/>
          <w:szCs w:val="21"/>
        </w:rPr>
        <w:t>长沙市轨道交通6号线电客车架大修工艺设备采购及安装项目</w:t>
      </w:r>
    </w:p>
    <w:p w14:paraId="064AB551">
      <w:pPr>
        <w:pStyle w:val="3"/>
        <w:numPr>
          <w:ilvl w:val="0"/>
          <w:numId w:val="1"/>
        </w:numPr>
        <w:tabs>
          <w:tab w:val="left" w:pos="360"/>
        </w:tabs>
        <w:ind w:left="0" w:firstLine="0"/>
        <w:rPr>
          <w:rFonts w:ascii="黑体" w:eastAsia="黑体"/>
          <w:b w:val="0"/>
          <w:sz w:val="36"/>
          <w:szCs w:val="36"/>
        </w:rPr>
      </w:pPr>
      <w:bookmarkStart w:id="5" w:name="_Toc117680612"/>
      <w:bookmarkStart w:id="6" w:name="_Toc192580494"/>
      <w:bookmarkStart w:id="7" w:name="_Toc117697539"/>
      <w:bookmarkStart w:id="8" w:name="_Toc117680711"/>
      <w:bookmarkStart w:id="9" w:name="_Toc29481"/>
      <w:r>
        <w:rPr>
          <w:rFonts w:hint="eastAsia" w:ascii="黑体" w:hAnsi="黑体" w:eastAsia="黑体"/>
          <w:b w:val="0"/>
          <w:bCs w:val="0"/>
          <w:sz w:val="21"/>
          <w:szCs w:val="21"/>
        </w:rPr>
        <w:t>项目概况</w:t>
      </w:r>
      <w:bookmarkEnd w:id="5"/>
      <w:bookmarkEnd w:id="6"/>
      <w:bookmarkEnd w:id="7"/>
      <w:bookmarkEnd w:id="8"/>
      <w:bookmarkEnd w:id="9"/>
      <w:r>
        <w:rPr>
          <w:rFonts w:hint="eastAsia" w:ascii="黑体" w:hAnsi="黑体" w:eastAsia="黑体"/>
          <w:b w:val="0"/>
          <w:bCs w:val="0"/>
          <w:sz w:val="21"/>
          <w:szCs w:val="21"/>
        </w:rPr>
        <w:t xml:space="preserve">   </w:t>
      </w:r>
      <w:r>
        <w:rPr>
          <w:rFonts w:hint="eastAsia" w:ascii="黑体" w:eastAsia="黑体"/>
          <w:b w:val="0"/>
          <w:sz w:val="36"/>
          <w:szCs w:val="36"/>
        </w:rPr>
        <w:t xml:space="preserve">                                                      </w:t>
      </w:r>
    </w:p>
    <w:p w14:paraId="15A7B270">
      <w:pPr>
        <w:pStyle w:val="4"/>
        <w:widowControl/>
        <w:numPr>
          <w:ilvl w:val="0"/>
          <w:numId w:val="2"/>
        </w:numPr>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 xml:space="preserve"> </w:t>
      </w:r>
      <w:bookmarkStart w:id="10" w:name="_Toc17239"/>
      <w:bookmarkStart w:id="11" w:name="_Toc192580495"/>
      <w:r>
        <w:rPr>
          <w:rFonts w:hint="eastAsia" w:ascii="黑体" w:hAnsi="黑体" w:eastAsia="黑体"/>
          <w:b w:val="0"/>
          <w:sz w:val="21"/>
          <w:szCs w:val="21"/>
        </w:rPr>
        <w:t>项目地点</w:t>
      </w:r>
      <w:bookmarkEnd w:id="10"/>
      <w:bookmarkEnd w:id="11"/>
    </w:p>
    <w:p w14:paraId="62A4790B">
      <w:pPr>
        <w:spacing w:line="360" w:lineRule="auto"/>
        <w:ind w:firstLine="420" w:firstLineChars="200"/>
        <w:rPr>
          <w:rFonts w:ascii="宋体" w:hAnsi="宋体"/>
          <w:szCs w:val="21"/>
        </w:rPr>
      </w:pPr>
      <w:r>
        <w:rPr>
          <w:rFonts w:hint="eastAsia" w:ascii="宋体" w:hAnsi="宋体"/>
          <w:szCs w:val="21"/>
        </w:rPr>
        <w:t>长沙市轨道交通6号线黄梨路车辆段联合检修库</w:t>
      </w:r>
    </w:p>
    <w:p w14:paraId="70BBB1FF">
      <w:pPr>
        <w:pStyle w:val="4"/>
        <w:widowControl/>
        <w:numPr>
          <w:ilvl w:val="0"/>
          <w:numId w:val="2"/>
        </w:numPr>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 xml:space="preserve"> </w:t>
      </w:r>
      <w:bookmarkStart w:id="12" w:name="_Toc192580496"/>
      <w:bookmarkStart w:id="13" w:name="_Toc18637"/>
      <w:r>
        <w:rPr>
          <w:rFonts w:hint="eastAsia" w:ascii="黑体" w:hAnsi="黑体" w:eastAsia="黑体"/>
          <w:b w:val="0"/>
          <w:sz w:val="21"/>
          <w:szCs w:val="21"/>
        </w:rPr>
        <w:t>项目内容</w:t>
      </w:r>
      <w:bookmarkEnd w:id="12"/>
      <w:bookmarkEnd w:id="13"/>
    </w:p>
    <w:p w14:paraId="26828BBD">
      <w:pPr>
        <w:spacing w:line="360" w:lineRule="auto"/>
        <w:ind w:firstLine="420" w:firstLineChars="200"/>
        <w:rPr>
          <w:rFonts w:ascii="宋体" w:hAnsi="宋体"/>
        </w:rPr>
      </w:pPr>
      <w:r>
        <w:rPr>
          <w:rFonts w:hint="eastAsia" w:ascii="宋体" w:hAnsi="宋体"/>
          <w:szCs w:val="21"/>
        </w:rPr>
        <w:t>1、</w:t>
      </w:r>
      <w:r>
        <w:rPr>
          <w:rFonts w:hint="eastAsia" w:ascii="宋体" w:hAnsi="宋体"/>
        </w:rPr>
        <w:t>设备采购</w:t>
      </w:r>
    </w:p>
    <w:p w14:paraId="57A3E76C">
      <w:pPr>
        <w:spacing w:line="360" w:lineRule="auto"/>
        <w:ind w:firstLine="420" w:firstLineChars="200"/>
        <w:rPr>
          <w:rFonts w:ascii="宋体" w:hAnsi="宋体"/>
          <w:szCs w:val="21"/>
        </w:rPr>
      </w:pPr>
      <w:r>
        <w:rPr>
          <w:rFonts w:hint="eastAsia" w:ascii="宋体" w:hAnsi="宋体"/>
          <w:szCs w:val="21"/>
        </w:rPr>
        <w:t>供货及伴随服务范围：供货指乙方根据合同规定须向甲方提供的一切设备、随机附件、专用工具、测试仪器、软件、技术文件和相应材料；伴随服务指根据合同规定乙方承担与供货有关的辅助服务，比如运输、仓储、供货、设计联络、安装督导、调试督导、提供技术援助、培训、质量保证和合同中规定乙方应承担的其它义务。</w:t>
      </w:r>
    </w:p>
    <w:p w14:paraId="01D51DE0">
      <w:pPr>
        <w:spacing w:line="360" w:lineRule="auto"/>
        <w:ind w:firstLine="420" w:firstLineChars="200"/>
        <w:rPr>
          <w:rFonts w:ascii="宋体" w:hAnsi="宋体"/>
          <w:szCs w:val="21"/>
        </w:rPr>
      </w:pPr>
      <w:r>
        <w:rPr>
          <w:rFonts w:hint="eastAsia" w:ascii="宋体" w:hAnsi="宋体"/>
          <w:szCs w:val="21"/>
        </w:rPr>
        <w:t>项目范围具体内容见合同价格清单。</w:t>
      </w:r>
    </w:p>
    <w:p w14:paraId="0DD23C7B">
      <w:pPr>
        <w:spacing w:line="360" w:lineRule="auto"/>
        <w:ind w:firstLine="420" w:firstLineChars="200"/>
        <w:rPr>
          <w:rFonts w:ascii="宋体" w:hAnsi="宋体"/>
          <w:szCs w:val="21"/>
        </w:rPr>
      </w:pPr>
      <w:r>
        <w:rPr>
          <w:rFonts w:hint="eastAsia" w:ascii="宋体" w:hAnsi="宋体"/>
          <w:szCs w:val="21"/>
        </w:rPr>
        <w:t>2、设备安装</w:t>
      </w:r>
    </w:p>
    <w:p w14:paraId="74132AA1">
      <w:pPr>
        <w:spacing w:line="360" w:lineRule="auto"/>
        <w:ind w:firstLine="420" w:firstLineChars="200"/>
        <w:rPr>
          <w:rFonts w:ascii="宋体" w:hAnsi="宋体"/>
          <w:szCs w:val="21"/>
        </w:rPr>
      </w:pPr>
      <w:r>
        <w:rPr>
          <w:rFonts w:hint="eastAsia" w:ascii="宋体" w:hAnsi="宋体"/>
          <w:szCs w:val="21"/>
        </w:rPr>
        <w:t>安装服务范围：包括转向架静载试验台、轮对跑合试验台、工艺转向架、双人工作台的到货，以及带基础设备的安装及调试。</w:t>
      </w:r>
    </w:p>
    <w:p w14:paraId="47F9BC26">
      <w:pPr>
        <w:pStyle w:val="3"/>
        <w:numPr>
          <w:ilvl w:val="0"/>
          <w:numId w:val="1"/>
        </w:numPr>
        <w:tabs>
          <w:tab w:val="left" w:pos="360"/>
        </w:tabs>
        <w:ind w:left="0" w:firstLine="0"/>
        <w:rPr>
          <w:rFonts w:ascii="黑体" w:hAnsi="黑体" w:eastAsia="黑体"/>
          <w:b w:val="0"/>
          <w:bCs w:val="0"/>
          <w:sz w:val="21"/>
          <w:szCs w:val="21"/>
        </w:rPr>
      </w:pPr>
      <w:bookmarkStart w:id="14" w:name="_Toc117697540"/>
      <w:bookmarkStart w:id="15" w:name="_Toc6047"/>
      <w:bookmarkStart w:id="16" w:name="_Toc192580497"/>
      <w:bookmarkStart w:id="17" w:name="_Toc117680712"/>
      <w:bookmarkStart w:id="18" w:name="_Toc414518797"/>
      <w:bookmarkStart w:id="19" w:name="_Toc117680613"/>
      <w:r>
        <w:rPr>
          <w:rFonts w:hint="eastAsia" w:ascii="黑体" w:hAnsi="黑体" w:eastAsia="黑体"/>
          <w:b w:val="0"/>
          <w:bCs w:val="0"/>
          <w:sz w:val="21"/>
          <w:szCs w:val="21"/>
        </w:rPr>
        <w:t>项目条件</w:t>
      </w:r>
      <w:bookmarkEnd w:id="14"/>
      <w:bookmarkEnd w:id="15"/>
      <w:bookmarkEnd w:id="16"/>
      <w:bookmarkEnd w:id="17"/>
      <w:bookmarkEnd w:id="18"/>
      <w:bookmarkEnd w:id="19"/>
      <w:r>
        <w:rPr>
          <w:rFonts w:ascii="宋体"/>
          <w:b w:val="0"/>
          <w:bCs w:val="0"/>
          <w:kern w:val="0"/>
          <w:sz w:val="21"/>
          <w:szCs w:val="21"/>
        </w:rPr>
        <w:t>（★）</w:t>
      </w:r>
    </w:p>
    <w:p w14:paraId="37F0B686">
      <w:pPr>
        <w:pStyle w:val="4"/>
        <w:widowControl/>
        <w:spacing w:before="156" w:beforeLines="50" w:after="156" w:afterLines="50" w:line="276" w:lineRule="auto"/>
        <w:jc w:val="left"/>
        <w:rPr>
          <w:rFonts w:ascii="黑体" w:hAnsi="黑体" w:eastAsia="黑体"/>
          <w:b w:val="0"/>
          <w:sz w:val="21"/>
          <w:szCs w:val="21"/>
        </w:rPr>
      </w:pPr>
      <w:bookmarkStart w:id="20" w:name="_Toc2556"/>
      <w:bookmarkStart w:id="21" w:name="_Toc192580498"/>
      <w:r>
        <w:rPr>
          <w:rFonts w:hint="eastAsia" w:ascii="黑体" w:hAnsi="黑体" w:eastAsia="黑体"/>
          <w:b w:val="0"/>
          <w:sz w:val="21"/>
          <w:szCs w:val="21"/>
        </w:rPr>
        <w:t>3</w:t>
      </w:r>
      <w:r>
        <w:rPr>
          <w:rFonts w:ascii="黑体" w:hAnsi="黑体" w:eastAsia="黑体"/>
          <w:b w:val="0"/>
          <w:sz w:val="21"/>
          <w:szCs w:val="21"/>
        </w:rPr>
        <w:t xml:space="preserve">.1 </w:t>
      </w:r>
      <w:r>
        <w:rPr>
          <w:rFonts w:hint="eastAsia" w:ascii="黑体" w:hAnsi="黑体" w:eastAsia="黑体"/>
          <w:b w:val="0"/>
          <w:sz w:val="21"/>
          <w:szCs w:val="21"/>
        </w:rPr>
        <w:t>作业限制条件</w:t>
      </w:r>
      <w:bookmarkEnd w:id="20"/>
      <w:bookmarkEnd w:id="21"/>
    </w:p>
    <w:p w14:paraId="787174FE">
      <w:pPr>
        <w:pStyle w:val="2"/>
        <w:ind w:firstLineChars="200"/>
        <w:rPr>
          <w:sz w:val="21"/>
          <w:szCs w:val="21"/>
        </w:rPr>
      </w:pPr>
      <w:r>
        <w:rPr>
          <w:sz w:val="21"/>
          <w:szCs w:val="21"/>
        </w:rPr>
        <w:t>投标人所提供的所有各种设备</w:t>
      </w:r>
      <w:r>
        <w:rPr>
          <w:rFonts w:hint="eastAsia"/>
          <w:sz w:val="21"/>
          <w:szCs w:val="21"/>
        </w:rPr>
        <w:t>需</w:t>
      </w:r>
      <w:r>
        <w:rPr>
          <w:sz w:val="21"/>
          <w:szCs w:val="21"/>
        </w:rPr>
        <w:t>满足国家、行业及</w:t>
      </w:r>
      <w:r>
        <w:rPr>
          <w:rFonts w:hint="eastAsia"/>
          <w:sz w:val="21"/>
          <w:szCs w:val="21"/>
        </w:rPr>
        <w:t>长沙</w:t>
      </w:r>
      <w:r>
        <w:rPr>
          <w:sz w:val="21"/>
          <w:szCs w:val="21"/>
        </w:rPr>
        <w:t>市</w:t>
      </w:r>
      <w:r>
        <w:rPr>
          <w:rFonts w:hint="eastAsia"/>
          <w:sz w:val="21"/>
          <w:szCs w:val="21"/>
        </w:rPr>
        <w:t>现</w:t>
      </w:r>
      <w:r>
        <w:rPr>
          <w:sz w:val="21"/>
          <w:szCs w:val="21"/>
        </w:rPr>
        <w:t>行最新的有关规范、规程和标准，如果构成本文件的规范与国家、行业及</w:t>
      </w:r>
      <w:r>
        <w:rPr>
          <w:rFonts w:hint="eastAsia"/>
          <w:sz w:val="21"/>
          <w:szCs w:val="21"/>
        </w:rPr>
        <w:t>长沙</w:t>
      </w:r>
      <w:r>
        <w:rPr>
          <w:sz w:val="21"/>
          <w:szCs w:val="21"/>
        </w:rPr>
        <w:t>市现行最新的有关规范、规程和标准之间有相互矛盾之处或不一致之处，投标人</w:t>
      </w:r>
      <w:r>
        <w:rPr>
          <w:rFonts w:hint="eastAsia"/>
          <w:sz w:val="21"/>
          <w:szCs w:val="21"/>
        </w:rPr>
        <w:t>应按</w:t>
      </w:r>
      <w:r>
        <w:rPr>
          <w:sz w:val="21"/>
          <w:szCs w:val="21"/>
        </w:rPr>
        <w:t>其中要求最严格的执行。</w:t>
      </w:r>
    </w:p>
    <w:p w14:paraId="5FC2DD43">
      <w:pPr>
        <w:pStyle w:val="2"/>
        <w:ind w:firstLineChars="200"/>
        <w:rPr>
          <w:sz w:val="21"/>
          <w:szCs w:val="21"/>
        </w:rPr>
      </w:pPr>
      <w:r>
        <w:rPr>
          <w:rFonts w:hint="eastAsia"/>
          <w:sz w:val="21"/>
          <w:szCs w:val="21"/>
        </w:rPr>
        <w:t>主要标准如下:(包括但不限于)</w:t>
      </w:r>
    </w:p>
    <w:p w14:paraId="30FC7DD8">
      <w:pPr>
        <w:pStyle w:val="2"/>
        <w:ind w:firstLineChars="200"/>
        <w:rPr>
          <w:sz w:val="21"/>
          <w:szCs w:val="21"/>
        </w:rPr>
      </w:pPr>
      <w:r>
        <w:rPr>
          <w:rFonts w:hint="eastAsia"/>
          <w:sz w:val="21"/>
          <w:szCs w:val="21"/>
        </w:rPr>
        <w:t>GB50157-2013   《地铁设计规范》；</w:t>
      </w:r>
    </w:p>
    <w:p w14:paraId="61509482">
      <w:pPr>
        <w:pStyle w:val="2"/>
        <w:ind w:firstLineChars="200"/>
        <w:rPr>
          <w:sz w:val="21"/>
          <w:szCs w:val="21"/>
        </w:rPr>
      </w:pPr>
      <w:r>
        <w:rPr>
          <w:rFonts w:hint="eastAsia"/>
          <w:sz w:val="21"/>
          <w:szCs w:val="21"/>
        </w:rPr>
        <w:t>GB1804         《公差与配合线性尺寸的未注公差》；</w:t>
      </w:r>
    </w:p>
    <w:p w14:paraId="6CF00322">
      <w:pPr>
        <w:pStyle w:val="2"/>
        <w:ind w:firstLineChars="200"/>
        <w:rPr>
          <w:sz w:val="21"/>
          <w:szCs w:val="21"/>
        </w:rPr>
      </w:pPr>
      <w:r>
        <w:rPr>
          <w:rFonts w:hint="eastAsia"/>
          <w:sz w:val="21"/>
          <w:szCs w:val="21"/>
        </w:rPr>
        <w:t>GB1184         《形状和位置公差未注公差的规定》；</w:t>
      </w:r>
    </w:p>
    <w:p w14:paraId="1853B7F9">
      <w:pPr>
        <w:pStyle w:val="2"/>
        <w:ind w:firstLineChars="200"/>
        <w:rPr>
          <w:sz w:val="21"/>
          <w:szCs w:val="21"/>
        </w:rPr>
      </w:pPr>
      <w:r>
        <w:rPr>
          <w:rFonts w:hint="eastAsia"/>
          <w:sz w:val="21"/>
          <w:szCs w:val="21"/>
        </w:rPr>
        <w:t>GB/T4064       《电器设备安全设计导则》</w:t>
      </w:r>
    </w:p>
    <w:p w14:paraId="1B9EC170">
      <w:pPr>
        <w:pStyle w:val="2"/>
        <w:ind w:firstLineChars="200"/>
        <w:rPr>
          <w:sz w:val="21"/>
          <w:szCs w:val="21"/>
        </w:rPr>
      </w:pPr>
      <w:r>
        <w:rPr>
          <w:rFonts w:hint="eastAsia"/>
          <w:sz w:val="21"/>
          <w:szCs w:val="21"/>
        </w:rPr>
        <w:t>GB/T1497       《低压电器基本标准》</w:t>
      </w:r>
    </w:p>
    <w:p w14:paraId="2D76E189">
      <w:pPr>
        <w:pStyle w:val="2"/>
        <w:ind w:firstLineChars="200"/>
        <w:rPr>
          <w:sz w:val="21"/>
          <w:szCs w:val="21"/>
        </w:rPr>
      </w:pPr>
      <w:r>
        <w:rPr>
          <w:rFonts w:hint="eastAsia"/>
          <w:sz w:val="21"/>
          <w:szCs w:val="21"/>
        </w:rPr>
        <w:t>GB50231        《机械设备安装工程及验收通用规范》</w:t>
      </w:r>
    </w:p>
    <w:p w14:paraId="3A0FFCDD">
      <w:pPr>
        <w:pStyle w:val="2"/>
        <w:ind w:firstLineChars="200"/>
        <w:rPr>
          <w:sz w:val="21"/>
          <w:szCs w:val="21"/>
        </w:rPr>
      </w:pPr>
      <w:r>
        <w:rPr>
          <w:rFonts w:hint="eastAsia"/>
          <w:sz w:val="21"/>
          <w:szCs w:val="21"/>
        </w:rPr>
        <w:t>GB50168        《电气装置安装工程电缆线路施工及验收规范》</w:t>
      </w:r>
    </w:p>
    <w:p w14:paraId="7014F997">
      <w:pPr>
        <w:pStyle w:val="2"/>
        <w:ind w:firstLineChars="200"/>
        <w:rPr>
          <w:sz w:val="21"/>
          <w:szCs w:val="21"/>
        </w:rPr>
      </w:pPr>
      <w:r>
        <w:rPr>
          <w:rFonts w:hint="eastAsia"/>
          <w:sz w:val="21"/>
          <w:szCs w:val="21"/>
        </w:rPr>
        <w:t>GB50171        《电气装置安装工程盘、柜及二次回路接线施工及验收规范》</w:t>
      </w:r>
    </w:p>
    <w:p w14:paraId="36A0786B">
      <w:pPr>
        <w:pStyle w:val="2"/>
        <w:ind w:firstLineChars="200"/>
        <w:rPr>
          <w:sz w:val="21"/>
          <w:szCs w:val="21"/>
        </w:rPr>
      </w:pPr>
      <w:r>
        <w:rPr>
          <w:rFonts w:hint="eastAsia"/>
          <w:sz w:val="21"/>
          <w:szCs w:val="21"/>
        </w:rPr>
        <w:t>GB/T 7928      《地铁车辆通用技术条件》</w:t>
      </w:r>
    </w:p>
    <w:p w14:paraId="7FF28106">
      <w:pPr>
        <w:pStyle w:val="2"/>
        <w:ind w:firstLineChars="200"/>
        <w:rPr>
          <w:sz w:val="21"/>
          <w:szCs w:val="21"/>
        </w:rPr>
      </w:pPr>
      <w:r>
        <w:rPr>
          <w:rFonts w:hint="eastAsia"/>
          <w:sz w:val="21"/>
          <w:szCs w:val="21"/>
        </w:rPr>
        <w:t>GB3098.1       《螺栓螺钉螺柱机械性能》</w:t>
      </w:r>
    </w:p>
    <w:p w14:paraId="17581315">
      <w:pPr>
        <w:pStyle w:val="2"/>
        <w:ind w:firstLineChars="200"/>
        <w:rPr>
          <w:sz w:val="21"/>
          <w:szCs w:val="21"/>
        </w:rPr>
      </w:pPr>
      <w:r>
        <w:rPr>
          <w:sz w:val="21"/>
          <w:szCs w:val="21"/>
        </w:rPr>
        <w:t>JB/T 5000</w:t>
      </w:r>
      <w:r>
        <w:rPr>
          <w:rFonts w:hint="eastAsia"/>
          <w:sz w:val="21"/>
          <w:szCs w:val="21"/>
        </w:rPr>
        <w:t xml:space="preserve">  </w:t>
      </w:r>
      <w:r>
        <w:rPr>
          <w:sz w:val="21"/>
          <w:szCs w:val="21"/>
        </w:rPr>
        <w:t xml:space="preserve"> </w:t>
      </w:r>
      <w:r>
        <w:rPr>
          <w:rFonts w:hint="eastAsia"/>
          <w:sz w:val="21"/>
          <w:szCs w:val="21"/>
        </w:rPr>
        <w:t xml:space="preserve">   </w:t>
      </w:r>
      <w:r>
        <w:rPr>
          <w:sz w:val="21"/>
          <w:szCs w:val="21"/>
        </w:rPr>
        <w:t>《重型机械通用技术条件》</w:t>
      </w:r>
    </w:p>
    <w:p w14:paraId="0BC7E214">
      <w:pPr>
        <w:pStyle w:val="2"/>
        <w:ind w:firstLineChars="200"/>
        <w:rPr>
          <w:sz w:val="21"/>
          <w:szCs w:val="21"/>
        </w:rPr>
      </w:pPr>
      <w:r>
        <w:rPr>
          <w:rFonts w:hint="eastAsia"/>
          <w:sz w:val="21"/>
          <w:szCs w:val="21"/>
        </w:rPr>
        <w:t>备注：以上标准如有最新版下发则自动按签订合同时最新标准执行</w:t>
      </w:r>
    </w:p>
    <w:p w14:paraId="34DA2BB2">
      <w:pPr>
        <w:pStyle w:val="2"/>
        <w:ind w:firstLineChars="200"/>
        <w:rPr>
          <w:sz w:val="21"/>
          <w:szCs w:val="21"/>
        </w:rPr>
      </w:pPr>
      <w:r>
        <w:rPr>
          <w:rFonts w:hint="eastAsia"/>
          <w:sz w:val="21"/>
          <w:szCs w:val="21"/>
        </w:rPr>
        <w:t>合同中按照有关标准规范规定的设备包括投标人从别处购来的设备和附件，都必须按照签订合同时标准规范和准则的最新版本执行，如果标准规范相互之间内容发生矛盾，以较高标准为准。当投标人认为需要采用其它标准时，必须事先征得业主确认，方可执行。</w:t>
      </w:r>
    </w:p>
    <w:p w14:paraId="31793F9F">
      <w:pPr>
        <w:spacing w:line="360" w:lineRule="auto"/>
        <w:ind w:firstLine="420" w:firstLineChars="200"/>
        <w:rPr>
          <w:rFonts w:ascii="宋体" w:hAnsi="宋体"/>
          <w:iCs/>
          <w:szCs w:val="21"/>
        </w:rPr>
      </w:pPr>
      <w:r>
        <w:rPr>
          <w:szCs w:val="21"/>
        </w:rPr>
        <w:t>其他标准由投标人在投标时提供。</w:t>
      </w:r>
    </w:p>
    <w:p w14:paraId="4131889E">
      <w:pPr>
        <w:pStyle w:val="4"/>
        <w:widowControl/>
        <w:spacing w:before="156" w:beforeLines="50" w:after="156" w:afterLines="50" w:line="276" w:lineRule="auto"/>
        <w:jc w:val="left"/>
        <w:rPr>
          <w:rFonts w:ascii="黑体" w:hAnsi="黑体" w:eastAsia="黑体"/>
          <w:b w:val="0"/>
          <w:sz w:val="21"/>
          <w:szCs w:val="21"/>
        </w:rPr>
      </w:pPr>
      <w:bookmarkStart w:id="22" w:name="_Toc24859"/>
      <w:bookmarkStart w:id="23" w:name="_Toc192580499"/>
      <w:r>
        <w:rPr>
          <w:rFonts w:ascii="黑体" w:hAnsi="黑体" w:eastAsia="黑体"/>
          <w:b w:val="0"/>
          <w:sz w:val="21"/>
          <w:szCs w:val="21"/>
        </w:rPr>
        <w:t>3.2</w:t>
      </w:r>
      <w:r>
        <w:fldChar w:fldCharType="begin"/>
      </w:r>
      <w:r>
        <w:instrText xml:space="preserve"> HYPERLINK \l "_Toc225319653" </w:instrText>
      </w:r>
      <w:r>
        <w:fldChar w:fldCharType="separate"/>
      </w:r>
      <w:r>
        <w:rPr>
          <w:rFonts w:hint="eastAsia" w:ascii="黑体" w:hAnsi="黑体" w:eastAsia="黑体"/>
          <w:b w:val="0"/>
          <w:sz w:val="21"/>
          <w:szCs w:val="21"/>
        </w:rPr>
        <w:t>业主提供</w:t>
      </w:r>
      <w:r>
        <w:rPr>
          <w:rFonts w:hint="eastAsia" w:ascii="黑体" w:hAnsi="黑体" w:eastAsia="黑体"/>
          <w:b w:val="0"/>
          <w:sz w:val="21"/>
          <w:szCs w:val="21"/>
        </w:rPr>
        <w:fldChar w:fldCharType="end"/>
      </w:r>
      <w:r>
        <w:rPr>
          <w:rFonts w:hint="eastAsia" w:ascii="黑体" w:hAnsi="黑体" w:eastAsia="黑体"/>
          <w:b w:val="0"/>
          <w:sz w:val="21"/>
          <w:szCs w:val="21"/>
        </w:rPr>
        <w:t>条件</w:t>
      </w:r>
      <w:bookmarkEnd w:id="22"/>
      <w:bookmarkEnd w:id="23"/>
    </w:p>
    <w:p w14:paraId="723A1DF8">
      <w:pPr>
        <w:pStyle w:val="4"/>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 xml:space="preserve">3.2.1 </w:t>
      </w:r>
      <w:r>
        <w:rPr>
          <w:rFonts w:ascii="黑体" w:hAnsi="黑体" w:eastAsia="黑体"/>
          <w:b w:val="0"/>
          <w:bCs w:val="0"/>
          <w:sz w:val="21"/>
          <w:szCs w:val="21"/>
        </w:rPr>
        <w:t>环境条件</w:t>
      </w:r>
    </w:p>
    <w:p w14:paraId="3FCB2593">
      <w:pPr>
        <w:pStyle w:val="6"/>
        <w:keepNext w:val="0"/>
        <w:keepLines w:val="0"/>
        <w:tabs>
          <w:tab w:val="left" w:pos="560"/>
          <w:tab w:val="left" w:pos="1021"/>
          <w:tab w:val="right" w:leader="middleDot" w:pos="8400"/>
        </w:tabs>
        <w:autoSpaceDE w:val="0"/>
        <w:autoSpaceDN w:val="0"/>
        <w:snapToGrid w:val="0"/>
        <w:spacing w:before="0" w:after="0" w:line="360" w:lineRule="auto"/>
        <w:ind w:firstLine="630" w:firstLineChars="300"/>
        <w:rPr>
          <w:b w:val="0"/>
          <w:bCs w:val="0"/>
          <w:sz w:val="21"/>
          <w:szCs w:val="21"/>
        </w:rPr>
      </w:pPr>
      <w:r>
        <w:rPr>
          <w:b w:val="0"/>
          <w:bCs w:val="0"/>
          <w:sz w:val="21"/>
          <w:szCs w:val="21"/>
        </w:rPr>
        <w:t xml:space="preserve">海拔高度                </w:t>
      </w:r>
      <w:r>
        <w:rPr>
          <w:rFonts w:ascii="Times New Roman" w:hAnsi="Times New Roman"/>
          <w:b w:val="0"/>
          <w:bCs w:val="0"/>
          <w:sz w:val="21"/>
          <w:szCs w:val="21"/>
        </w:rPr>
        <w:t>≤1000m</w:t>
      </w:r>
    </w:p>
    <w:p w14:paraId="27C7DB25">
      <w:pPr>
        <w:pStyle w:val="6"/>
        <w:keepNext w:val="0"/>
        <w:keepLines w:val="0"/>
        <w:tabs>
          <w:tab w:val="left" w:pos="560"/>
          <w:tab w:val="left" w:pos="1021"/>
          <w:tab w:val="right" w:leader="middleDot" w:pos="8400"/>
        </w:tabs>
        <w:autoSpaceDE w:val="0"/>
        <w:autoSpaceDN w:val="0"/>
        <w:snapToGrid w:val="0"/>
        <w:spacing w:before="0" w:after="0" w:line="360" w:lineRule="auto"/>
        <w:ind w:firstLine="630" w:firstLineChars="300"/>
        <w:rPr>
          <w:b w:val="0"/>
          <w:bCs w:val="0"/>
          <w:sz w:val="21"/>
          <w:szCs w:val="21"/>
        </w:rPr>
      </w:pPr>
      <w:r>
        <w:rPr>
          <w:b w:val="0"/>
          <w:bCs w:val="0"/>
          <w:sz w:val="21"/>
          <w:szCs w:val="21"/>
        </w:rPr>
        <w:t>气候条件</w:t>
      </w:r>
      <w:r>
        <w:rPr>
          <w:rFonts w:hint="eastAsia"/>
          <w:b w:val="0"/>
          <w:bCs w:val="0"/>
          <w:sz w:val="21"/>
          <w:szCs w:val="21"/>
        </w:rPr>
        <w:t xml:space="preserve"> </w:t>
      </w:r>
      <w:r>
        <w:rPr>
          <w:b w:val="0"/>
          <w:bCs w:val="0"/>
          <w:sz w:val="21"/>
          <w:szCs w:val="21"/>
        </w:rPr>
        <w:t xml:space="preserve">          </w:t>
      </w:r>
      <w:r>
        <w:rPr>
          <w:rFonts w:hint="eastAsia"/>
          <w:b w:val="0"/>
          <w:bCs w:val="0"/>
          <w:sz w:val="21"/>
          <w:szCs w:val="21"/>
        </w:rPr>
        <w:t>设备适用于长沙市气候条件。</w:t>
      </w:r>
    </w:p>
    <w:p w14:paraId="16A6321B">
      <w:pPr>
        <w:pStyle w:val="5"/>
        <w:keepNext w:val="0"/>
        <w:keepLines w:val="0"/>
        <w:tabs>
          <w:tab w:val="left" w:pos="560"/>
          <w:tab w:val="left" w:pos="851"/>
          <w:tab w:val="right" w:leader="middleDot" w:pos="8400"/>
        </w:tabs>
        <w:autoSpaceDE w:val="0"/>
        <w:autoSpaceDN w:val="0"/>
        <w:adjustRightInd w:val="0"/>
        <w:snapToGrid w:val="0"/>
        <w:spacing w:before="0" w:after="0" w:line="360" w:lineRule="auto"/>
        <w:rPr>
          <w:b w:val="0"/>
          <w:bCs w:val="0"/>
          <w:sz w:val="21"/>
          <w:szCs w:val="21"/>
        </w:rPr>
      </w:pPr>
      <w:r>
        <w:rPr>
          <w:rFonts w:hint="eastAsia" w:ascii="黑体" w:hAnsi="黑体" w:eastAsia="黑体"/>
          <w:b w:val="0"/>
          <w:bCs w:val="0"/>
          <w:sz w:val="21"/>
          <w:szCs w:val="21"/>
        </w:rPr>
        <w:t xml:space="preserve">3.2.2  线路轨距 </w:t>
      </w:r>
      <w:r>
        <w:rPr>
          <w:rFonts w:hint="eastAsia"/>
          <w:b w:val="0"/>
          <w:sz w:val="21"/>
          <w:szCs w:val="21"/>
        </w:rPr>
        <w:t xml:space="preserve"> </w:t>
      </w:r>
      <w:r>
        <w:rPr>
          <w:rFonts w:hint="eastAsia"/>
          <w:b w:val="0"/>
          <w:bCs w:val="0"/>
          <w:sz w:val="21"/>
          <w:szCs w:val="21"/>
        </w:rPr>
        <w:t xml:space="preserve">              </w:t>
      </w:r>
      <w:r>
        <w:rPr>
          <w:b w:val="0"/>
          <w:bCs w:val="0"/>
          <w:sz w:val="21"/>
          <w:szCs w:val="21"/>
        </w:rPr>
        <w:t>1435mm</w:t>
      </w:r>
    </w:p>
    <w:p w14:paraId="3412B8F4">
      <w:pPr>
        <w:pStyle w:val="5"/>
        <w:keepNext w:val="0"/>
        <w:keepLines w:val="0"/>
        <w:tabs>
          <w:tab w:val="left" w:pos="560"/>
          <w:tab w:val="left" w:pos="851"/>
          <w:tab w:val="right" w:leader="middleDot" w:pos="8400"/>
        </w:tabs>
        <w:autoSpaceDE w:val="0"/>
        <w:autoSpaceDN w:val="0"/>
        <w:adjustRightInd w:val="0"/>
        <w:snapToGrid w:val="0"/>
        <w:spacing w:before="0" w:after="0" w:line="360" w:lineRule="auto"/>
        <w:ind w:firstLine="630" w:firstLineChars="300"/>
        <w:rPr>
          <w:b w:val="0"/>
          <w:sz w:val="21"/>
          <w:szCs w:val="21"/>
        </w:rPr>
      </w:pPr>
      <w:r>
        <w:rPr>
          <w:b w:val="0"/>
          <w:sz w:val="21"/>
          <w:szCs w:val="21"/>
        </w:rPr>
        <w:t xml:space="preserve">钢轨类型       </w:t>
      </w:r>
      <w:r>
        <w:rPr>
          <w:rFonts w:hint="eastAsia"/>
          <w:b w:val="0"/>
          <w:sz w:val="21"/>
          <w:szCs w:val="21"/>
        </w:rPr>
        <w:t xml:space="preserve">         </w:t>
      </w:r>
      <w:r>
        <w:rPr>
          <w:b w:val="0"/>
          <w:sz w:val="21"/>
          <w:szCs w:val="21"/>
        </w:rPr>
        <w:t>50kg/m</w:t>
      </w:r>
    </w:p>
    <w:p w14:paraId="64C8E6E9">
      <w:pPr>
        <w:pStyle w:val="5"/>
        <w:keepNext w:val="0"/>
        <w:keepLines w:val="0"/>
        <w:tabs>
          <w:tab w:val="left" w:pos="560"/>
          <w:tab w:val="left" w:pos="1021"/>
          <w:tab w:val="right" w:leader="middleDot" w:pos="8400"/>
        </w:tabs>
        <w:autoSpaceDE w:val="0"/>
        <w:autoSpaceDN w:val="0"/>
        <w:snapToGrid w:val="0"/>
        <w:spacing w:before="0" w:after="0" w:line="360" w:lineRule="auto"/>
        <w:rPr>
          <w:b w:val="0"/>
          <w:bCs w:val="0"/>
          <w:sz w:val="21"/>
          <w:szCs w:val="21"/>
        </w:rPr>
      </w:pPr>
      <w:r>
        <w:rPr>
          <w:rFonts w:hint="eastAsia" w:ascii="黑体" w:hAnsi="黑体" w:eastAsia="黑体"/>
          <w:b w:val="0"/>
          <w:bCs w:val="0"/>
          <w:sz w:val="21"/>
          <w:szCs w:val="21"/>
        </w:rPr>
        <w:t xml:space="preserve">3.2.3 供电条件 </w:t>
      </w:r>
      <w:r>
        <w:rPr>
          <w:b w:val="0"/>
          <w:bCs w:val="0"/>
          <w:sz w:val="21"/>
          <w:szCs w:val="21"/>
        </w:rPr>
        <w:t xml:space="preserve">          AC 220V/380V（±10%）50Hz</w:t>
      </w:r>
      <w:r>
        <w:rPr>
          <w:rFonts w:hint="eastAsia"/>
          <w:b w:val="0"/>
          <w:bCs w:val="0"/>
          <w:sz w:val="21"/>
          <w:szCs w:val="21"/>
        </w:rPr>
        <w:t>，电源容量由投标人提出</w:t>
      </w:r>
    </w:p>
    <w:p w14:paraId="544FB889">
      <w:pPr>
        <w:pStyle w:val="5"/>
        <w:keepNext w:val="0"/>
        <w:keepLines w:val="0"/>
        <w:tabs>
          <w:tab w:val="left" w:pos="560"/>
          <w:tab w:val="left" w:pos="1021"/>
          <w:tab w:val="right" w:leader="middleDot" w:pos="8400"/>
        </w:tabs>
        <w:autoSpaceDE w:val="0"/>
        <w:autoSpaceDN w:val="0"/>
        <w:snapToGrid w:val="0"/>
        <w:spacing w:before="0" w:after="0" w:line="360" w:lineRule="auto"/>
        <w:rPr>
          <w:b w:val="0"/>
          <w:bCs w:val="0"/>
          <w:sz w:val="21"/>
          <w:szCs w:val="21"/>
        </w:rPr>
      </w:pPr>
      <w:r>
        <w:rPr>
          <w:rFonts w:hint="eastAsia" w:ascii="黑体" w:hAnsi="黑体" w:eastAsia="黑体"/>
          <w:b w:val="0"/>
          <w:bCs w:val="0"/>
          <w:sz w:val="21"/>
          <w:szCs w:val="21"/>
        </w:rPr>
        <w:t>3.2.4 供水条件</w:t>
      </w:r>
      <w:r>
        <w:rPr>
          <w:rFonts w:hint="eastAsia"/>
          <w:b w:val="0"/>
          <w:sz w:val="21"/>
          <w:szCs w:val="21"/>
        </w:rPr>
        <w:t xml:space="preserve"> </w:t>
      </w:r>
      <w:r>
        <w:rPr>
          <w:rFonts w:hint="eastAsia"/>
          <w:b w:val="0"/>
          <w:bCs w:val="0"/>
          <w:sz w:val="21"/>
          <w:szCs w:val="21"/>
        </w:rPr>
        <w:t xml:space="preserve">  </w:t>
      </w:r>
      <w:r>
        <w:rPr>
          <w:b w:val="0"/>
          <w:bCs w:val="0"/>
          <w:sz w:val="21"/>
          <w:szCs w:val="21"/>
        </w:rPr>
        <w:t xml:space="preserve">       </w:t>
      </w:r>
      <w:r>
        <w:rPr>
          <w:rFonts w:hint="eastAsia"/>
          <w:b w:val="0"/>
          <w:bCs w:val="0"/>
          <w:sz w:val="21"/>
          <w:szCs w:val="21"/>
        </w:rPr>
        <w:t xml:space="preserve"> 城市自来水 水压≥0.1MPa</w:t>
      </w:r>
    </w:p>
    <w:p w14:paraId="2B0E3212">
      <w:pPr>
        <w:pStyle w:val="3"/>
        <w:numPr>
          <w:ilvl w:val="0"/>
          <w:numId w:val="1"/>
        </w:numPr>
        <w:tabs>
          <w:tab w:val="left" w:pos="360"/>
        </w:tabs>
        <w:ind w:left="0" w:firstLine="0"/>
        <w:rPr>
          <w:rFonts w:ascii="黑体" w:hAnsi="黑体" w:eastAsia="黑体"/>
          <w:b w:val="0"/>
          <w:bCs w:val="0"/>
          <w:sz w:val="21"/>
          <w:szCs w:val="21"/>
        </w:rPr>
      </w:pPr>
      <w:bookmarkStart w:id="24" w:name="_2、合同价款"/>
      <w:bookmarkEnd w:id="24"/>
      <w:bookmarkStart w:id="25" w:name="_Toc117680614"/>
      <w:bookmarkStart w:id="26" w:name="_Toc192580500"/>
      <w:bookmarkStart w:id="27" w:name="_Toc117697541"/>
      <w:bookmarkStart w:id="28" w:name="_Toc12552"/>
      <w:bookmarkStart w:id="29" w:name="_Toc117680713"/>
      <w:bookmarkStart w:id="30" w:name="_Toc164752330"/>
      <w:r>
        <w:rPr>
          <w:rFonts w:hint="eastAsia" w:ascii="黑体" w:hAnsi="黑体" w:eastAsia="黑体"/>
          <w:b w:val="0"/>
          <w:bCs w:val="0"/>
          <w:sz w:val="21"/>
          <w:szCs w:val="21"/>
        </w:rPr>
        <w:t>主要人员</w:t>
      </w:r>
      <w:bookmarkEnd w:id="25"/>
      <w:bookmarkEnd w:id="26"/>
      <w:bookmarkEnd w:id="27"/>
      <w:bookmarkEnd w:id="28"/>
      <w:bookmarkEnd w:id="29"/>
    </w:p>
    <w:p w14:paraId="453F2883">
      <w:pPr>
        <w:spacing w:line="360" w:lineRule="auto"/>
        <w:ind w:firstLine="420"/>
        <w:rPr>
          <w:rFonts w:ascii="宋体" w:hAnsi="宋体"/>
          <w:iCs/>
          <w:szCs w:val="21"/>
        </w:rPr>
      </w:pPr>
      <w:r>
        <w:rPr>
          <w:rFonts w:hint="eastAsia" w:ascii="宋体" w:hAnsi="宋体"/>
          <w:szCs w:val="21"/>
        </w:rPr>
        <w:t>本项目需项目负责人、施工负责人各一人。</w:t>
      </w:r>
    </w:p>
    <w:p w14:paraId="11678BC9">
      <w:pPr>
        <w:pStyle w:val="3"/>
        <w:numPr>
          <w:ilvl w:val="0"/>
          <w:numId w:val="1"/>
        </w:numPr>
        <w:tabs>
          <w:tab w:val="left" w:pos="360"/>
        </w:tabs>
        <w:ind w:left="0" w:firstLine="0"/>
        <w:rPr>
          <w:rFonts w:ascii="黑体" w:hAnsi="黑体" w:eastAsia="黑体"/>
          <w:b w:val="0"/>
          <w:bCs w:val="0"/>
          <w:sz w:val="21"/>
          <w:szCs w:val="21"/>
        </w:rPr>
      </w:pPr>
      <w:bookmarkStart w:id="31" w:name="_Toc117680615"/>
      <w:bookmarkStart w:id="32" w:name="_Toc192580503"/>
      <w:bookmarkStart w:id="33" w:name="_Toc24980"/>
      <w:bookmarkStart w:id="34" w:name="_Toc117697542"/>
      <w:bookmarkStart w:id="35" w:name="_Toc117680714"/>
      <w:r>
        <w:rPr>
          <w:rFonts w:hint="eastAsia" w:ascii="黑体" w:hAnsi="黑体" w:eastAsia="黑体"/>
          <w:b w:val="0"/>
          <w:bCs w:val="0"/>
          <w:sz w:val="21"/>
          <w:szCs w:val="21"/>
        </w:rPr>
        <w:t>技术要求</w:t>
      </w:r>
      <w:bookmarkEnd w:id="31"/>
      <w:bookmarkEnd w:id="32"/>
      <w:bookmarkEnd w:id="33"/>
      <w:bookmarkEnd w:id="34"/>
      <w:bookmarkEnd w:id="35"/>
      <w:r>
        <w:rPr>
          <w:rFonts w:ascii="宋体"/>
          <w:b w:val="0"/>
          <w:bCs w:val="0"/>
          <w:kern w:val="0"/>
          <w:sz w:val="21"/>
          <w:szCs w:val="21"/>
        </w:rPr>
        <w:t>（★）</w:t>
      </w:r>
    </w:p>
    <w:p w14:paraId="2A770615">
      <w:pPr>
        <w:pStyle w:val="4"/>
        <w:widowControl/>
        <w:spacing w:before="156" w:beforeLines="50" w:after="156" w:afterLines="50" w:line="276" w:lineRule="auto"/>
        <w:jc w:val="left"/>
        <w:rPr>
          <w:rFonts w:ascii="黑体" w:hAnsi="黑体" w:eastAsia="黑体"/>
          <w:b w:val="0"/>
          <w:sz w:val="21"/>
          <w:szCs w:val="21"/>
        </w:rPr>
      </w:pPr>
      <w:bookmarkStart w:id="36" w:name="_Toc192580504"/>
      <w:bookmarkStart w:id="37" w:name="_Toc20076"/>
      <w:r>
        <w:rPr>
          <w:rFonts w:hint="eastAsia" w:ascii="黑体" w:hAnsi="黑体" w:eastAsia="黑体"/>
          <w:b w:val="0"/>
          <w:sz w:val="21"/>
          <w:szCs w:val="21"/>
        </w:rPr>
        <w:t>5</w:t>
      </w:r>
      <w:r>
        <w:rPr>
          <w:rFonts w:ascii="黑体" w:hAnsi="黑体" w:eastAsia="黑体"/>
          <w:b w:val="0"/>
          <w:sz w:val="21"/>
          <w:szCs w:val="21"/>
        </w:rPr>
        <w:t xml:space="preserve">.1 </w:t>
      </w:r>
      <w:r>
        <w:rPr>
          <w:rFonts w:hint="eastAsia" w:ascii="黑体" w:hAnsi="黑体" w:eastAsia="黑体"/>
          <w:b w:val="0"/>
          <w:sz w:val="21"/>
          <w:szCs w:val="21"/>
        </w:rPr>
        <w:t>项目概述</w:t>
      </w:r>
      <w:bookmarkEnd w:id="36"/>
      <w:bookmarkEnd w:id="37"/>
    </w:p>
    <w:p w14:paraId="617507F9">
      <w:pPr>
        <w:spacing w:line="360" w:lineRule="auto"/>
        <w:ind w:firstLine="420"/>
      </w:pPr>
      <w:r>
        <w:rPr>
          <w:rFonts w:hint="eastAsia"/>
        </w:rPr>
        <w:t>本项目采购需求主要用于长沙穗城轨道交通有限公司（以下简称长沙穗城）6号线电客车架大修作业，满足架大修作业基础需求，实现与架大修信息化管理系统对接，为后期架大修基地定位赋能。</w:t>
      </w:r>
    </w:p>
    <w:p w14:paraId="05E3D91A">
      <w:pPr>
        <w:pStyle w:val="4"/>
        <w:widowControl/>
        <w:spacing w:before="156" w:beforeLines="50" w:after="156" w:afterLines="50" w:line="276" w:lineRule="auto"/>
        <w:jc w:val="left"/>
        <w:rPr>
          <w:rFonts w:ascii="黑体" w:hAnsi="黑体" w:eastAsia="黑体"/>
          <w:b w:val="0"/>
          <w:sz w:val="21"/>
          <w:szCs w:val="21"/>
        </w:rPr>
      </w:pPr>
      <w:bookmarkStart w:id="38" w:name="_Toc192580505"/>
      <w:bookmarkStart w:id="39" w:name="_Toc11806"/>
      <w:r>
        <w:rPr>
          <w:rFonts w:hint="eastAsia" w:ascii="黑体" w:hAnsi="黑体" w:eastAsia="黑体"/>
          <w:b w:val="0"/>
          <w:sz w:val="21"/>
          <w:szCs w:val="21"/>
        </w:rPr>
        <w:t>5</w:t>
      </w:r>
      <w:r>
        <w:rPr>
          <w:rFonts w:ascii="黑体" w:hAnsi="黑体" w:eastAsia="黑体"/>
          <w:b w:val="0"/>
          <w:sz w:val="21"/>
          <w:szCs w:val="21"/>
        </w:rPr>
        <w:t xml:space="preserve">.2 </w:t>
      </w:r>
      <w:r>
        <w:rPr>
          <w:rFonts w:hint="eastAsia" w:ascii="黑体" w:hAnsi="黑体" w:eastAsia="黑体"/>
          <w:b w:val="0"/>
          <w:sz w:val="21"/>
          <w:szCs w:val="21"/>
        </w:rPr>
        <w:t>供货及服务清单</w:t>
      </w:r>
      <w:bookmarkEnd w:id="38"/>
      <w:bookmarkEnd w:id="39"/>
    </w:p>
    <w:p w14:paraId="35B65C43">
      <w:pPr>
        <w:pStyle w:val="5"/>
        <w:widowControl/>
        <w:spacing w:before="156" w:beforeLines="50" w:after="156" w:afterLines="50" w:line="276" w:lineRule="auto"/>
        <w:jc w:val="left"/>
        <w:rPr>
          <w:rFonts w:ascii="黑体" w:hAnsi="黑体" w:eastAsia="黑体"/>
          <w:b w:val="0"/>
          <w:sz w:val="21"/>
          <w:szCs w:val="21"/>
        </w:rPr>
      </w:pPr>
      <w:bookmarkStart w:id="40" w:name="_Toc298668601"/>
      <w:bookmarkStart w:id="41" w:name="_Toc299710669"/>
      <w:r>
        <w:rPr>
          <w:rFonts w:hint="eastAsia" w:ascii="黑体" w:hAnsi="黑体" w:eastAsia="黑体"/>
          <w:b w:val="0"/>
          <w:sz w:val="21"/>
          <w:szCs w:val="21"/>
        </w:rPr>
        <w:t>5</w:t>
      </w:r>
      <w:r>
        <w:rPr>
          <w:rFonts w:ascii="黑体" w:hAnsi="黑体" w:eastAsia="黑体"/>
          <w:b w:val="0"/>
          <w:sz w:val="21"/>
          <w:szCs w:val="21"/>
        </w:rPr>
        <w:t xml:space="preserve">.2.1 </w:t>
      </w:r>
      <w:r>
        <w:rPr>
          <w:rFonts w:hint="eastAsia" w:ascii="黑体" w:hAnsi="黑体" w:eastAsia="黑体"/>
          <w:b w:val="0"/>
          <w:sz w:val="21"/>
          <w:szCs w:val="21"/>
        </w:rPr>
        <w:t>供货及服务范围要求</w:t>
      </w:r>
    </w:p>
    <w:p w14:paraId="6958A58B">
      <w:pPr>
        <w:spacing w:line="360" w:lineRule="auto"/>
        <w:ind w:firstLine="420" w:firstLineChars="200"/>
        <w:rPr>
          <w:rFonts w:ascii="宋体" w:hAnsi="宋体" w:cs="宋体"/>
          <w:bCs/>
          <w:szCs w:val="21"/>
        </w:rPr>
      </w:pPr>
      <w:bookmarkStart w:id="42" w:name="_Toc268465800"/>
      <w:bookmarkStart w:id="43" w:name="_Toc268465635"/>
      <w:bookmarkStart w:id="44" w:name="_Toc268466029"/>
      <w:r>
        <w:rPr>
          <w:rFonts w:hint="eastAsia" w:ascii="宋体" w:hAnsi="宋体" w:cs="宋体"/>
          <w:bCs/>
          <w:szCs w:val="21"/>
        </w:rPr>
        <w:t>本用户需求书仅提出了设备完整的功能要求和主要技术参数。投标人提供的方案应成熟、可靠，具有实际的生产应用基础和推广使用经验，对用户需求书的各条要求没有实际技术方案说明的，视为不响应。</w:t>
      </w:r>
    </w:p>
    <w:bookmarkEnd w:id="42"/>
    <w:bookmarkEnd w:id="43"/>
    <w:bookmarkEnd w:id="44"/>
    <w:p w14:paraId="46C6E24D">
      <w:pPr>
        <w:spacing w:line="360" w:lineRule="auto"/>
        <w:ind w:firstLine="420" w:firstLineChars="200"/>
        <w:rPr>
          <w:rFonts w:ascii="宋体" w:hAnsi="宋体" w:cs="宋体"/>
          <w:bCs/>
          <w:szCs w:val="21"/>
        </w:rPr>
      </w:pPr>
      <w:bookmarkStart w:id="45" w:name="_Toc268466030"/>
      <w:bookmarkStart w:id="46" w:name="_Toc268465636"/>
      <w:bookmarkStart w:id="47" w:name="_Toc268465801"/>
      <w:r>
        <w:rPr>
          <w:rFonts w:hint="eastAsia" w:ascii="宋体" w:hAnsi="宋体" w:cs="宋体"/>
          <w:bCs/>
          <w:szCs w:val="21"/>
        </w:rPr>
        <w:t>本用户需求书并未充分引述有关标准和规范的条文，提出的是最低限度的技术要求，投标人应提供符合本用户需求书和工业制造标准的优质产品。</w:t>
      </w:r>
      <w:bookmarkEnd w:id="45"/>
      <w:bookmarkEnd w:id="46"/>
      <w:bookmarkEnd w:id="47"/>
    </w:p>
    <w:p w14:paraId="323FC349">
      <w:pPr>
        <w:spacing w:line="360" w:lineRule="auto"/>
        <w:ind w:firstLine="420" w:firstLineChars="200"/>
        <w:rPr>
          <w:rFonts w:ascii="宋体" w:hAnsi="宋体" w:cs="宋体"/>
          <w:bCs/>
          <w:szCs w:val="21"/>
        </w:rPr>
      </w:pPr>
      <w:r>
        <w:rPr>
          <w:rFonts w:hint="eastAsia" w:ascii="宋体" w:hAnsi="宋体" w:cs="宋体"/>
          <w:bCs/>
          <w:szCs w:val="21"/>
        </w:rPr>
        <w:t>投标人应保证招标方在中华人民共和国使用货物及服务或其任何一部分时，免受第三方提出侵犯其任何专利、注册的设计、版权、商标或商品名称或其他知识产权工业设计权的起诉及索赔。</w:t>
      </w:r>
    </w:p>
    <w:p w14:paraId="4570F643">
      <w:pPr>
        <w:spacing w:line="360" w:lineRule="auto"/>
        <w:ind w:firstLine="420" w:firstLineChars="200"/>
        <w:rPr>
          <w:rFonts w:ascii="宋体" w:hAnsi="宋体" w:cs="宋体"/>
          <w:bCs/>
          <w:szCs w:val="21"/>
        </w:rPr>
      </w:pPr>
      <w:bookmarkStart w:id="48" w:name="_Toc268466031"/>
      <w:bookmarkStart w:id="49" w:name="_Toc268465637"/>
      <w:bookmarkStart w:id="50" w:name="_Toc268465802"/>
      <w:r>
        <w:rPr>
          <w:rFonts w:hint="eastAsia" w:ascii="宋体" w:hAnsi="宋体" w:cs="宋体"/>
          <w:bCs/>
          <w:szCs w:val="21"/>
        </w:rPr>
        <w:t>如果投标人以书面形式对本用户需求书的条文逐条提出完全响应，并提出具体的技术方案，则意味着投标人承诺所提供的设备及系统完全符合本用户需求书的要求；如有异议，投标人应以“对用户用户需求书的意见和与用户需求书的差异”为标题的专门章节中加以详细描述。</w:t>
      </w:r>
      <w:bookmarkEnd w:id="48"/>
      <w:bookmarkEnd w:id="49"/>
      <w:bookmarkEnd w:id="50"/>
    </w:p>
    <w:p w14:paraId="28CB365E">
      <w:pPr>
        <w:spacing w:line="360" w:lineRule="auto"/>
        <w:ind w:firstLine="420" w:firstLineChars="200"/>
        <w:rPr>
          <w:rFonts w:ascii="宋体" w:hAnsi="宋体" w:cs="宋体"/>
          <w:bCs/>
          <w:szCs w:val="21"/>
        </w:rPr>
      </w:pPr>
      <w:bookmarkStart w:id="51" w:name="_Toc268465803"/>
      <w:bookmarkStart w:id="52" w:name="_Toc268465638"/>
      <w:bookmarkStart w:id="53" w:name="_Toc268466032"/>
      <w:r>
        <w:rPr>
          <w:rFonts w:hint="eastAsia" w:ascii="宋体" w:hAnsi="宋体" w:cs="宋体"/>
          <w:bCs/>
          <w:szCs w:val="21"/>
        </w:rPr>
        <w:t>如果投标人所引用的标准如与投标人所执行的标准不一致时，投标人可以采用相应的国际标准替代，但投标人应确认替代标准高于用户需求书所列标准，并加以说明，提交招标方审查</w:t>
      </w:r>
      <w:bookmarkEnd w:id="51"/>
      <w:bookmarkEnd w:id="52"/>
      <w:bookmarkEnd w:id="53"/>
      <w:bookmarkStart w:id="54" w:name="_Toc268465804"/>
      <w:bookmarkStart w:id="55" w:name="_Toc268466033"/>
      <w:bookmarkStart w:id="56" w:name="_Toc268465639"/>
      <w:r>
        <w:rPr>
          <w:rFonts w:hint="eastAsia" w:ascii="宋体" w:hAnsi="宋体" w:cs="宋体"/>
          <w:bCs/>
          <w:szCs w:val="21"/>
        </w:rPr>
        <w:t>；另外，本用户需求书经招标方双方确认后形成合同的技术附件，与合同正文具同等效力。</w:t>
      </w:r>
      <w:bookmarkEnd w:id="54"/>
      <w:bookmarkEnd w:id="55"/>
      <w:bookmarkEnd w:id="56"/>
    </w:p>
    <w:p w14:paraId="7BA5D6B0">
      <w:pPr>
        <w:spacing w:line="360" w:lineRule="auto"/>
        <w:ind w:firstLine="420" w:firstLineChars="200"/>
        <w:rPr>
          <w:rFonts w:ascii="宋体" w:hAnsi="宋体" w:cs="宋体"/>
          <w:bCs/>
          <w:szCs w:val="21"/>
        </w:rPr>
      </w:pPr>
      <w:r>
        <w:rPr>
          <w:rFonts w:hint="eastAsia" w:ascii="宋体" w:hAnsi="宋体" w:cs="宋体"/>
          <w:bCs/>
          <w:szCs w:val="21"/>
        </w:rPr>
        <w:t>本项目供货范围包括设备的设计、制造、运输（含保险）、仓储、供货、安装（含二次浇注）、调试、试运行以及竣工交验、培训等全过程，其间包含设计联络及各检验、试验、验收环节，包含本项目工程全过程服务、售后服务以及技术文件和图纸的提交。</w:t>
      </w:r>
    </w:p>
    <w:p w14:paraId="644622B2">
      <w:pPr>
        <w:spacing w:line="360" w:lineRule="auto"/>
        <w:ind w:firstLine="420" w:firstLineChars="200"/>
        <w:rPr>
          <w:rFonts w:ascii="宋体" w:hAnsi="宋体" w:cs="宋体"/>
          <w:bCs/>
          <w:szCs w:val="21"/>
        </w:rPr>
      </w:pPr>
      <w:r>
        <w:rPr>
          <w:rFonts w:hint="eastAsia" w:ascii="宋体" w:hAnsi="宋体" w:cs="宋体"/>
          <w:bCs/>
          <w:szCs w:val="21"/>
        </w:rPr>
        <w:t>招标方保留在合同签订前，以及合同签订后招标方正式通知发货前，对供货数量和型号规格进行调整的权利。如果只涉及数量调整，则设备的投标人单价不变，对合同总价进行增减；如果涉及到型号规格的调整，设备单价参照投标人价调整。投标人不得以任何理由拒绝或要求其他补偿。</w:t>
      </w:r>
    </w:p>
    <w:p w14:paraId="25F8F541">
      <w:pPr>
        <w:spacing w:line="360" w:lineRule="auto"/>
        <w:ind w:firstLine="420" w:firstLineChars="200"/>
        <w:rPr>
          <w:rFonts w:ascii="宋体" w:hAnsi="宋体" w:cs="宋体"/>
          <w:bCs/>
          <w:szCs w:val="21"/>
        </w:rPr>
      </w:pPr>
      <w:r>
        <w:rPr>
          <w:rFonts w:hint="eastAsia" w:ascii="宋体" w:hAnsi="宋体" w:cs="宋体"/>
          <w:bCs/>
          <w:szCs w:val="21"/>
        </w:rPr>
        <w:t>针对转向架静载试验台和轮对跑合试验台，要求拥有同类项目业绩。供货清单所有设备投标人在设计联络稳定后发货前向招标方书面报审，在任何情况下，投标人针对关键设备选用未经招标方确认的外购设备或无实际运用业绩的产品供应商将被视为无效。投标人不得对招标方已确认的清单有异议，且不得提出增加合同价格及延长交货期等要求。</w:t>
      </w:r>
    </w:p>
    <w:p w14:paraId="5A045117">
      <w:pPr>
        <w:spacing w:line="360" w:lineRule="auto"/>
        <w:ind w:firstLine="420" w:firstLineChars="200"/>
        <w:rPr>
          <w:rFonts w:ascii="宋体" w:hAnsi="宋体" w:cs="宋体"/>
          <w:bCs/>
          <w:szCs w:val="21"/>
        </w:rPr>
      </w:pPr>
      <w:r>
        <w:rPr>
          <w:rFonts w:hint="eastAsia" w:ascii="宋体" w:hAnsi="宋体" w:cs="宋体"/>
          <w:bCs/>
          <w:szCs w:val="21"/>
        </w:rPr>
        <w:t>投标人的货物和服务的范围报价已包含在合同报价中，投标人不应以任何借口向招标方提出额外的费用要求。如出现遗漏其费用由投标人自行承担；投标人除设备本身外还应提供（包括但不限）以下内容：</w:t>
      </w:r>
    </w:p>
    <w:p w14:paraId="309D7FEA">
      <w:pPr>
        <w:spacing w:line="360" w:lineRule="auto"/>
        <w:rPr>
          <w:rFonts w:ascii="宋体" w:hAnsi="宋体" w:cs="宋体"/>
          <w:bCs/>
          <w:szCs w:val="21"/>
        </w:rPr>
      </w:pPr>
      <w:r>
        <w:rPr>
          <w:rFonts w:hint="eastAsia" w:ascii="宋体" w:hAnsi="宋体" w:cs="宋体"/>
          <w:bCs/>
          <w:szCs w:val="21"/>
        </w:rPr>
        <w:t>（1）试验装置、维修专用工具；</w:t>
      </w:r>
    </w:p>
    <w:p w14:paraId="4BBD7C74">
      <w:pPr>
        <w:spacing w:line="360" w:lineRule="auto"/>
        <w:rPr>
          <w:rFonts w:ascii="宋体" w:hAnsi="宋体" w:cs="宋体"/>
          <w:bCs/>
          <w:szCs w:val="21"/>
        </w:rPr>
      </w:pPr>
      <w:r>
        <w:rPr>
          <w:rFonts w:hint="eastAsia" w:ascii="宋体" w:hAnsi="宋体" w:cs="宋体"/>
          <w:bCs/>
          <w:szCs w:val="21"/>
        </w:rPr>
        <w:t>（2）技术资料及图纸；</w:t>
      </w:r>
    </w:p>
    <w:p w14:paraId="3913B6A2">
      <w:pPr>
        <w:spacing w:line="360" w:lineRule="auto"/>
        <w:rPr>
          <w:rFonts w:ascii="宋体" w:hAnsi="宋体" w:cs="宋体"/>
          <w:bCs/>
          <w:szCs w:val="21"/>
        </w:rPr>
      </w:pPr>
      <w:r>
        <w:rPr>
          <w:rFonts w:hint="eastAsia" w:ascii="宋体" w:hAnsi="宋体" w:cs="宋体"/>
          <w:bCs/>
          <w:szCs w:val="21"/>
        </w:rPr>
        <w:t>（3）技术培训（包括设计联络、监造、出厂验收和人员培训等）；</w:t>
      </w:r>
    </w:p>
    <w:p w14:paraId="50E14188">
      <w:pPr>
        <w:spacing w:line="360" w:lineRule="auto"/>
        <w:rPr>
          <w:rFonts w:ascii="宋体" w:hAnsi="宋体" w:cs="宋体"/>
          <w:bCs/>
          <w:szCs w:val="21"/>
        </w:rPr>
      </w:pPr>
      <w:r>
        <w:rPr>
          <w:rFonts w:hint="eastAsia" w:ascii="宋体" w:hAnsi="宋体" w:cs="宋体"/>
          <w:bCs/>
          <w:szCs w:val="21"/>
        </w:rPr>
        <w:t>（4）技术服务。</w:t>
      </w:r>
    </w:p>
    <w:p w14:paraId="75F9295B">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 xml:space="preserve">5.2.2 </w:t>
      </w:r>
      <w:r>
        <w:rPr>
          <w:rFonts w:ascii="黑体" w:hAnsi="黑体" w:eastAsia="黑体"/>
          <w:b w:val="0"/>
          <w:sz w:val="21"/>
          <w:szCs w:val="21"/>
        </w:rPr>
        <w:t xml:space="preserve">通用的技术要求 </w:t>
      </w:r>
    </w:p>
    <w:p w14:paraId="1FDBB4DB">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设备各系统部件应便于</w:t>
      </w:r>
      <w:r>
        <w:rPr>
          <w:rFonts w:hint="eastAsia" w:ascii="宋体" w:hAnsi="宋体"/>
          <w:bCs/>
          <w:szCs w:val="21"/>
        </w:rPr>
        <w:t>检查</w:t>
      </w:r>
      <w:r>
        <w:rPr>
          <w:rFonts w:ascii="宋体" w:hAnsi="宋体"/>
          <w:bCs/>
          <w:szCs w:val="21"/>
        </w:rPr>
        <w:t>、更换及维修</w:t>
      </w:r>
      <w:r>
        <w:rPr>
          <w:rFonts w:hint="eastAsia" w:ascii="宋体" w:hAnsi="宋体"/>
          <w:bCs/>
          <w:szCs w:val="21"/>
        </w:rPr>
        <w:t>；</w:t>
      </w:r>
    </w:p>
    <w:p w14:paraId="71815528">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设备设计应充分考虑少、免维护</w:t>
      </w:r>
      <w:r>
        <w:rPr>
          <w:rFonts w:hint="eastAsia" w:ascii="宋体" w:hAnsi="宋体"/>
          <w:bCs/>
          <w:szCs w:val="21"/>
        </w:rPr>
        <w:t>；</w:t>
      </w:r>
    </w:p>
    <w:p w14:paraId="2D5DCCDF">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计量参数全部采</w:t>
      </w:r>
      <w:r>
        <w:rPr>
          <w:rFonts w:hint="eastAsia" w:ascii="宋体" w:hAnsi="宋体"/>
          <w:bCs/>
          <w:szCs w:val="21"/>
        </w:rPr>
        <w:t>用</w:t>
      </w:r>
      <w:r>
        <w:rPr>
          <w:rFonts w:ascii="宋体" w:hAnsi="宋体"/>
          <w:bCs/>
          <w:szCs w:val="21"/>
        </w:rPr>
        <w:t>国际标准单位制:设计、制适应符合</w:t>
      </w:r>
      <w:r>
        <w:rPr>
          <w:rFonts w:ascii="宋体" w:hAnsi="宋体"/>
          <w:bCs/>
          <w:szCs w:val="21"/>
          <w:rtl/>
        </w:rPr>
        <w:t>ISO</w:t>
      </w:r>
      <w:r>
        <w:rPr>
          <w:rFonts w:ascii="宋体" w:hAnsi="宋体"/>
          <w:bCs/>
          <w:szCs w:val="21"/>
        </w:rPr>
        <w:t>、</w:t>
      </w:r>
      <w:r>
        <w:rPr>
          <w:rFonts w:ascii="宋体" w:hAnsi="宋体"/>
          <w:bCs/>
          <w:szCs w:val="21"/>
          <w:rtl/>
        </w:rPr>
        <w:t>IEC</w:t>
      </w:r>
      <w:r>
        <w:rPr>
          <w:rFonts w:ascii="宋体" w:hAnsi="宋体"/>
          <w:bCs/>
          <w:szCs w:val="21"/>
        </w:rPr>
        <w:t>、</w:t>
      </w:r>
      <w:r>
        <w:rPr>
          <w:rFonts w:ascii="宋体" w:hAnsi="宋体"/>
          <w:bCs/>
          <w:szCs w:val="21"/>
          <w:rtl/>
        </w:rPr>
        <w:t>UIC</w:t>
      </w:r>
      <w:r>
        <w:rPr>
          <w:rFonts w:ascii="宋体" w:hAnsi="宋体"/>
          <w:bCs/>
          <w:szCs w:val="21"/>
        </w:rPr>
        <w:t>及国内相关标准，投标人应详细列出所执行或遵循的标准</w:t>
      </w:r>
      <w:r>
        <w:rPr>
          <w:rFonts w:hint="eastAsia" w:ascii="宋体" w:hAnsi="宋体"/>
          <w:bCs/>
          <w:szCs w:val="21"/>
        </w:rPr>
        <w:t>；</w:t>
      </w:r>
    </w:p>
    <w:p w14:paraId="2DBB2662">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投标人应严格执行有关国家和地方的有关法规、标准及规定，如用户需求书与有关规定不符的以有关规定为准；投标人应在投标文件中提供投标设备所采用的设计、制造、试验、调试及验收等相关标准作为投标文件的附件；</w:t>
      </w:r>
    </w:p>
    <w:p w14:paraId="7660DB69">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设备必须是全新设备，全部零件必须材质优良、制造工艺成熟；所有外购机电产品必须是性能先进可靠、质量过关的标准系列产品；</w:t>
      </w:r>
    </w:p>
    <w:p w14:paraId="60330806">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设备应设计足够的安全保障控制措施，防止因误操作或设备故障造成人身、车辆、设备事故或损害。对于可能会出现危险的位置，应设置安全警示。设备在使用过程中可能出现的危险，必须有声、光等的警示；</w:t>
      </w:r>
    </w:p>
    <w:p w14:paraId="2FCC3D37">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设备应满足</w:t>
      </w:r>
      <w:r>
        <w:rPr>
          <w:rFonts w:hint="eastAsia" w:ascii="宋体" w:hAnsi="宋体"/>
          <w:bCs/>
          <w:szCs w:val="21"/>
        </w:rPr>
        <w:t>长沙</w:t>
      </w:r>
      <w:r>
        <w:rPr>
          <w:rFonts w:ascii="宋体" w:hAnsi="宋体"/>
          <w:bCs/>
          <w:szCs w:val="21"/>
        </w:rPr>
        <w:t>地区气候条件，采取有效的防冻、防潮、防高温和防尘措施。</w:t>
      </w:r>
    </w:p>
    <w:p w14:paraId="47FCB271">
      <w:pPr>
        <w:pStyle w:val="41"/>
        <w:numPr>
          <w:ilvl w:val="0"/>
          <w:numId w:val="3"/>
        </w:numPr>
        <w:spacing w:line="360" w:lineRule="auto"/>
        <w:ind w:left="862" w:leftChars="200" w:hanging="442" w:firstLineChars="0"/>
        <w:rPr>
          <w:rFonts w:ascii="宋体" w:hAnsi="宋体"/>
          <w:bCs/>
          <w:szCs w:val="21"/>
        </w:rPr>
      </w:pPr>
      <w:r>
        <w:rPr>
          <w:rFonts w:ascii="宋体" w:hAnsi="宋体"/>
          <w:bCs/>
          <w:szCs w:val="21"/>
        </w:rPr>
        <w:t>设备应具有必要的防腐蚀、防锈措施；</w:t>
      </w:r>
    </w:p>
    <w:p w14:paraId="58A6B0FD">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w:t>
      </w:r>
      <w:r>
        <w:rPr>
          <w:rFonts w:ascii="黑体" w:hAnsi="黑体" w:eastAsia="黑体"/>
          <w:b w:val="0"/>
          <w:sz w:val="21"/>
          <w:szCs w:val="21"/>
        </w:rPr>
        <w:t>.2.</w:t>
      </w:r>
      <w:r>
        <w:rPr>
          <w:rFonts w:hint="eastAsia" w:ascii="黑体" w:hAnsi="黑体" w:eastAsia="黑体"/>
          <w:b w:val="0"/>
          <w:sz w:val="21"/>
          <w:szCs w:val="21"/>
        </w:rPr>
        <w:t>3</w:t>
      </w:r>
      <w:r>
        <w:rPr>
          <w:rFonts w:ascii="黑体" w:hAnsi="黑体" w:eastAsia="黑体"/>
          <w:b w:val="0"/>
          <w:sz w:val="21"/>
          <w:szCs w:val="21"/>
        </w:rPr>
        <w:t xml:space="preserve"> </w:t>
      </w:r>
      <w:r>
        <w:rPr>
          <w:rFonts w:hint="eastAsia" w:ascii="黑体" w:hAnsi="黑体" w:eastAsia="黑体"/>
          <w:b w:val="0"/>
          <w:sz w:val="21"/>
          <w:szCs w:val="21"/>
        </w:rPr>
        <w:t>供货清单</w:t>
      </w:r>
    </w:p>
    <w:tbl>
      <w:tblPr>
        <w:tblStyle w:val="23"/>
        <w:tblW w:w="8234" w:type="dxa"/>
        <w:tblInd w:w="-136" w:type="dxa"/>
        <w:tblLayout w:type="fixed"/>
        <w:tblCellMar>
          <w:top w:w="0" w:type="dxa"/>
          <w:left w:w="108" w:type="dxa"/>
          <w:bottom w:w="0" w:type="dxa"/>
          <w:right w:w="108" w:type="dxa"/>
        </w:tblCellMar>
      </w:tblPr>
      <w:tblGrid>
        <w:gridCol w:w="721"/>
        <w:gridCol w:w="2256"/>
        <w:gridCol w:w="3131"/>
        <w:gridCol w:w="708"/>
        <w:gridCol w:w="709"/>
        <w:gridCol w:w="709"/>
      </w:tblGrid>
      <w:tr w14:paraId="78ED8683">
        <w:tblPrEx>
          <w:tblCellMar>
            <w:top w:w="0" w:type="dxa"/>
            <w:left w:w="108" w:type="dxa"/>
            <w:bottom w:w="0" w:type="dxa"/>
            <w:right w:w="108" w:type="dxa"/>
          </w:tblCellMar>
        </w:tblPrEx>
        <w:trPr>
          <w:trHeight w:val="480" w:hRule="atLeast"/>
        </w:trPr>
        <w:tc>
          <w:tcPr>
            <w:tcW w:w="721" w:type="dxa"/>
            <w:tcBorders>
              <w:top w:val="single" w:color="000000" w:sz="4" w:space="0"/>
              <w:left w:val="single" w:color="000000" w:sz="4" w:space="0"/>
              <w:bottom w:val="single" w:color="000000" w:sz="4" w:space="0"/>
              <w:right w:val="single" w:color="000000" w:sz="4" w:space="0"/>
            </w:tcBorders>
            <w:noWrap/>
            <w:vAlign w:val="center"/>
          </w:tcPr>
          <w:p w14:paraId="66FF2788">
            <w:pPr>
              <w:widowControl/>
              <w:jc w:val="center"/>
              <w:textAlignment w:val="center"/>
              <w:rPr>
                <w:rFonts w:ascii="宋体" w:hAnsi="宋体" w:cs="宋体"/>
                <w:b/>
                <w:bCs/>
                <w:szCs w:val="21"/>
              </w:rPr>
            </w:pPr>
            <w:r>
              <w:rPr>
                <w:rFonts w:hint="eastAsia" w:ascii="宋体" w:hAnsi="宋体" w:cs="宋体"/>
                <w:b/>
                <w:bCs/>
                <w:kern w:val="0"/>
                <w:szCs w:val="21"/>
                <w:lang w:bidi="ar"/>
              </w:rPr>
              <w:t>序号</w:t>
            </w:r>
          </w:p>
        </w:tc>
        <w:tc>
          <w:tcPr>
            <w:tcW w:w="2256" w:type="dxa"/>
            <w:tcBorders>
              <w:top w:val="single" w:color="000000" w:sz="4" w:space="0"/>
              <w:left w:val="single" w:color="000000" w:sz="4" w:space="0"/>
              <w:bottom w:val="single" w:color="000000" w:sz="4" w:space="0"/>
              <w:right w:val="single" w:color="000000" w:sz="4" w:space="0"/>
            </w:tcBorders>
            <w:vAlign w:val="center"/>
          </w:tcPr>
          <w:p w14:paraId="249EFE9B">
            <w:pPr>
              <w:widowControl/>
              <w:jc w:val="center"/>
              <w:textAlignment w:val="center"/>
              <w:rPr>
                <w:rFonts w:ascii="宋体" w:hAnsi="宋体" w:cs="宋体"/>
                <w:b/>
                <w:bCs/>
                <w:szCs w:val="21"/>
              </w:rPr>
            </w:pPr>
            <w:r>
              <w:rPr>
                <w:rFonts w:hint="eastAsia" w:ascii="宋体" w:hAnsi="宋体" w:cs="宋体"/>
                <w:b/>
                <w:bCs/>
                <w:kern w:val="0"/>
                <w:szCs w:val="21"/>
                <w:lang w:bidi="ar"/>
              </w:rPr>
              <w:t>设备名称</w:t>
            </w:r>
          </w:p>
        </w:tc>
        <w:tc>
          <w:tcPr>
            <w:tcW w:w="3131" w:type="dxa"/>
            <w:tcBorders>
              <w:top w:val="single" w:color="000000" w:sz="4" w:space="0"/>
              <w:left w:val="single" w:color="000000" w:sz="4" w:space="0"/>
              <w:bottom w:val="single" w:color="000000" w:sz="4" w:space="0"/>
              <w:right w:val="single" w:color="000000" w:sz="4" w:space="0"/>
            </w:tcBorders>
            <w:vAlign w:val="center"/>
          </w:tcPr>
          <w:p w14:paraId="3817E503">
            <w:pPr>
              <w:widowControl/>
              <w:jc w:val="center"/>
              <w:textAlignment w:val="center"/>
              <w:rPr>
                <w:rFonts w:ascii="宋体" w:hAnsi="宋体" w:cs="宋体"/>
                <w:b/>
                <w:bCs/>
                <w:szCs w:val="21"/>
              </w:rPr>
            </w:pPr>
            <w:r>
              <w:rPr>
                <w:rFonts w:hint="eastAsia" w:ascii="宋体" w:hAnsi="宋体" w:cs="宋体"/>
                <w:b/>
                <w:bCs/>
                <w:kern w:val="0"/>
                <w:szCs w:val="21"/>
                <w:lang w:bidi="ar"/>
              </w:rPr>
              <w:t>功能用途</w:t>
            </w:r>
          </w:p>
        </w:tc>
        <w:tc>
          <w:tcPr>
            <w:tcW w:w="708" w:type="dxa"/>
            <w:tcBorders>
              <w:top w:val="single" w:color="000000" w:sz="4" w:space="0"/>
              <w:left w:val="single" w:color="000000" w:sz="4" w:space="0"/>
              <w:bottom w:val="single" w:color="000000" w:sz="4" w:space="0"/>
              <w:right w:val="single" w:color="000000" w:sz="4" w:space="0"/>
            </w:tcBorders>
            <w:noWrap/>
            <w:vAlign w:val="center"/>
          </w:tcPr>
          <w:p w14:paraId="6B27C9D1">
            <w:pPr>
              <w:widowControl/>
              <w:jc w:val="center"/>
              <w:textAlignment w:val="center"/>
              <w:rPr>
                <w:rFonts w:ascii="宋体" w:hAnsi="宋体" w:cs="宋体"/>
                <w:b/>
                <w:bCs/>
                <w:szCs w:val="21"/>
              </w:rPr>
            </w:pPr>
            <w:r>
              <w:rPr>
                <w:rFonts w:hint="eastAsia" w:ascii="宋体" w:hAnsi="宋体" w:cs="宋体"/>
                <w:b/>
                <w:bCs/>
                <w:kern w:val="0"/>
                <w:szCs w:val="21"/>
                <w:lang w:bidi="ar"/>
              </w:rPr>
              <w:t>单位</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EF73672">
            <w:pPr>
              <w:widowControl/>
              <w:jc w:val="center"/>
              <w:textAlignment w:val="center"/>
              <w:rPr>
                <w:rFonts w:ascii="宋体" w:hAnsi="宋体" w:cs="宋体"/>
                <w:b/>
                <w:bCs/>
                <w:szCs w:val="21"/>
              </w:rPr>
            </w:pPr>
            <w:r>
              <w:rPr>
                <w:rFonts w:hint="eastAsia" w:ascii="宋体" w:hAnsi="宋体" w:cs="宋体"/>
                <w:b/>
                <w:bCs/>
                <w:kern w:val="0"/>
                <w:szCs w:val="21"/>
                <w:lang w:bidi="ar"/>
              </w:rPr>
              <w:t>数量</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E771554">
            <w:pPr>
              <w:widowControl/>
              <w:jc w:val="center"/>
              <w:textAlignment w:val="center"/>
              <w:rPr>
                <w:rFonts w:ascii="宋体" w:hAnsi="宋体" w:cs="宋体"/>
                <w:b/>
                <w:bCs/>
                <w:szCs w:val="21"/>
              </w:rPr>
            </w:pPr>
            <w:r>
              <w:rPr>
                <w:rFonts w:hint="eastAsia" w:ascii="宋体" w:hAnsi="宋体" w:cs="宋体"/>
                <w:b/>
                <w:bCs/>
                <w:kern w:val="0"/>
                <w:szCs w:val="21"/>
                <w:lang w:bidi="ar"/>
              </w:rPr>
              <w:t>备注</w:t>
            </w:r>
          </w:p>
        </w:tc>
      </w:tr>
      <w:tr w14:paraId="31F4B329">
        <w:tblPrEx>
          <w:tblCellMar>
            <w:top w:w="0" w:type="dxa"/>
            <w:left w:w="108" w:type="dxa"/>
            <w:bottom w:w="0" w:type="dxa"/>
            <w:right w:w="108" w:type="dxa"/>
          </w:tblCellMar>
        </w:tblPrEx>
        <w:trPr>
          <w:trHeight w:val="431" w:hRule="atLeast"/>
        </w:trPr>
        <w:tc>
          <w:tcPr>
            <w:tcW w:w="721" w:type="dxa"/>
            <w:tcBorders>
              <w:top w:val="single" w:color="000000" w:sz="4" w:space="0"/>
              <w:left w:val="single" w:color="000000" w:sz="4" w:space="0"/>
              <w:bottom w:val="single" w:color="000000" w:sz="4" w:space="0"/>
              <w:right w:val="single" w:color="000000" w:sz="4" w:space="0"/>
            </w:tcBorders>
            <w:noWrap/>
            <w:vAlign w:val="center"/>
          </w:tcPr>
          <w:p w14:paraId="13B805DA">
            <w:pPr>
              <w:widowControl/>
              <w:jc w:val="center"/>
              <w:textAlignment w:val="center"/>
              <w:rPr>
                <w:rFonts w:ascii="宋体" w:hAnsi="宋体" w:cs="宋体"/>
                <w:szCs w:val="21"/>
              </w:rPr>
            </w:pPr>
            <w:r>
              <w:rPr>
                <w:rFonts w:hint="eastAsia" w:ascii="宋体" w:hAnsi="宋体" w:cs="宋体"/>
                <w:kern w:val="0"/>
                <w:szCs w:val="21"/>
                <w:lang w:bidi="ar"/>
              </w:rPr>
              <w:t>1</w:t>
            </w:r>
          </w:p>
        </w:tc>
        <w:tc>
          <w:tcPr>
            <w:tcW w:w="2256" w:type="dxa"/>
            <w:tcBorders>
              <w:top w:val="single" w:color="000000" w:sz="4" w:space="0"/>
              <w:left w:val="single" w:color="000000" w:sz="4" w:space="0"/>
              <w:bottom w:val="single" w:color="000000" w:sz="4" w:space="0"/>
              <w:right w:val="single" w:color="000000" w:sz="4" w:space="0"/>
            </w:tcBorders>
            <w:vAlign w:val="center"/>
          </w:tcPr>
          <w:p w14:paraId="4BD30539">
            <w:pPr>
              <w:widowControl/>
              <w:jc w:val="center"/>
              <w:textAlignment w:val="center"/>
              <w:rPr>
                <w:rFonts w:ascii="宋体" w:hAnsi="宋体" w:cs="宋体"/>
                <w:szCs w:val="21"/>
              </w:rPr>
            </w:pPr>
            <w:r>
              <w:rPr>
                <w:rFonts w:hint="eastAsia" w:ascii="宋体" w:hAnsi="宋体" w:cs="宋体"/>
                <w:kern w:val="0"/>
                <w:szCs w:val="21"/>
                <w:lang w:bidi="ar"/>
              </w:rPr>
              <w:t>转向架静载试验台</w:t>
            </w:r>
          </w:p>
        </w:tc>
        <w:tc>
          <w:tcPr>
            <w:tcW w:w="3131" w:type="dxa"/>
            <w:tcBorders>
              <w:top w:val="single" w:color="000000" w:sz="4" w:space="0"/>
              <w:left w:val="single" w:color="000000" w:sz="4" w:space="0"/>
              <w:bottom w:val="single" w:color="000000" w:sz="4" w:space="0"/>
              <w:right w:val="single" w:color="000000" w:sz="4" w:space="0"/>
            </w:tcBorders>
            <w:vAlign w:val="center"/>
          </w:tcPr>
          <w:p w14:paraId="6D402F42">
            <w:pPr>
              <w:widowControl/>
              <w:jc w:val="center"/>
              <w:textAlignment w:val="center"/>
              <w:rPr>
                <w:rFonts w:ascii="宋体" w:hAnsi="宋体" w:cs="宋体"/>
                <w:szCs w:val="21"/>
              </w:rPr>
            </w:pPr>
            <w:r>
              <w:rPr>
                <w:rFonts w:hint="eastAsia" w:ascii="宋体" w:hAnsi="宋体" w:cs="宋体"/>
                <w:kern w:val="0"/>
                <w:szCs w:val="21"/>
                <w:lang w:bidi="ar"/>
              </w:rPr>
              <w:t>转向架静压载试验</w:t>
            </w:r>
          </w:p>
        </w:tc>
        <w:tc>
          <w:tcPr>
            <w:tcW w:w="708" w:type="dxa"/>
            <w:tcBorders>
              <w:top w:val="single" w:color="000000" w:sz="4" w:space="0"/>
              <w:left w:val="single" w:color="000000" w:sz="4" w:space="0"/>
              <w:bottom w:val="single" w:color="000000" w:sz="4" w:space="0"/>
              <w:right w:val="single" w:color="000000" w:sz="4" w:space="0"/>
            </w:tcBorders>
            <w:noWrap/>
            <w:vAlign w:val="center"/>
          </w:tcPr>
          <w:p w14:paraId="7C653916">
            <w:pPr>
              <w:widowControl/>
              <w:jc w:val="center"/>
              <w:textAlignment w:val="center"/>
              <w:rPr>
                <w:rFonts w:ascii="宋体" w:hAnsi="宋体" w:cs="宋体"/>
                <w:szCs w:val="21"/>
              </w:rPr>
            </w:pPr>
            <w:r>
              <w:rPr>
                <w:rFonts w:hint="eastAsia" w:ascii="宋体" w:hAnsi="宋体" w:cs="宋体"/>
                <w:kern w:val="0"/>
                <w:szCs w:val="21"/>
                <w:lang w:bidi="ar"/>
              </w:rPr>
              <w:t>台</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AB733E9">
            <w:pPr>
              <w:widowControl/>
              <w:jc w:val="center"/>
              <w:textAlignment w:val="center"/>
              <w:rPr>
                <w:rFonts w:ascii="宋体" w:hAnsi="宋体" w:cs="宋体"/>
                <w:szCs w:val="21"/>
              </w:rPr>
            </w:pPr>
            <w:r>
              <w:rPr>
                <w:rFonts w:hint="eastAsia" w:ascii="宋体" w:hAnsi="宋体" w:cs="宋体"/>
                <w:kern w:val="0"/>
                <w:szCs w:val="21"/>
                <w:lang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304D3AA">
            <w:pPr>
              <w:jc w:val="center"/>
              <w:rPr>
                <w:rFonts w:ascii="宋体" w:hAnsi="宋体" w:cs="宋体"/>
                <w:b/>
                <w:bCs/>
                <w:szCs w:val="21"/>
              </w:rPr>
            </w:pPr>
          </w:p>
        </w:tc>
      </w:tr>
      <w:tr w14:paraId="1379E3F6">
        <w:tblPrEx>
          <w:tblCellMar>
            <w:top w:w="0" w:type="dxa"/>
            <w:left w:w="108" w:type="dxa"/>
            <w:bottom w:w="0" w:type="dxa"/>
            <w:right w:w="108" w:type="dxa"/>
          </w:tblCellMar>
        </w:tblPrEx>
        <w:trPr>
          <w:trHeight w:val="430" w:hRule="atLeast"/>
        </w:trPr>
        <w:tc>
          <w:tcPr>
            <w:tcW w:w="721" w:type="dxa"/>
            <w:tcBorders>
              <w:top w:val="single" w:color="000000" w:sz="4" w:space="0"/>
              <w:left w:val="single" w:color="000000" w:sz="4" w:space="0"/>
              <w:bottom w:val="single" w:color="000000" w:sz="4" w:space="0"/>
              <w:right w:val="single" w:color="000000" w:sz="4" w:space="0"/>
            </w:tcBorders>
            <w:noWrap/>
            <w:vAlign w:val="center"/>
          </w:tcPr>
          <w:p w14:paraId="7BF446B4">
            <w:pPr>
              <w:widowControl/>
              <w:jc w:val="center"/>
              <w:textAlignment w:val="center"/>
              <w:rPr>
                <w:rFonts w:ascii="宋体" w:hAnsi="宋体" w:cs="宋体"/>
                <w:szCs w:val="21"/>
              </w:rPr>
            </w:pPr>
            <w:r>
              <w:rPr>
                <w:rFonts w:hint="eastAsia" w:ascii="宋体" w:hAnsi="宋体" w:cs="宋体"/>
                <w:kern w:val="0"/>
                <w:szCs w:val="21"/>
                <w:lang w:bidi="ar"/>
              </w:rPr>
              <w:t>2</w:t>
            </w:r>
          </w:p>
        </w:tc>
        <w:tc>
          <w:tcPr>
            <w:tcW w:w="2256" w:type="dxa"/>
            <w:tcBorders>
              <w:top w:val="single" w:color="000000" w:sz="4" w:space="0"/>
              <w:left w:val="single" w:color="000000" w:sz="4" w:space="0"/>
              <w:bottom w:val="single" w:color="000000" w:sz="4" w:space="0"/>
              <w:right w:val="single" w:color="000000" w:sz="4" w:space="0"/>
            </w:tcBorders>
            <w:vAlign w:val="center"/>
          </w:tcPr>
          <w:p w14:paraId="45F93A66">
            <w:pPr>
              <w:widowControl/>
              <w:jc w:val="center"/>
              <w:textAlignment w:val="center"/>
              <w:rPr>
                <w:rFonts w:ascii="宋体" w:hAnsi="宋体" w:cs="宋体"/>
                <w:szCs w:val="21"/>
              </w:rPr>
            </w:pPr>
            <w:r>
              <w:rPr>
                <w:rFonts w:hint="eastAsia" w:ascii="宋体" w:hAnsi="宋体" w:cs="宋体"/>
                <w:kern w:val="0"/>
                <w:szCs w:val="21"/>
                <w:lang w:bidi="ar"/>
              </w:rPr>
              <w:t>轮对跑合试验台</w:t>
            </w:r>
          </w:p>
        </w:tc>
        <w:tc>
          <w:tcPr>
            <w:tcW w:w="3131" w:type="dxa"/>
            <w:tcBorders>
              <w:top w:val="single" w:color="000000" w:sz="4" w:space="0"/>
              <w:left w:val="single" w:color="000000" w:sz="4" w:space="0"/>
              <w:bottom w:val="single" w:color="000000" w:sz="4" w:space="0"/>
              <w:right w:val="single" w:color="000000" w:sz="4" w:space="0"/>
            </w:tcBorders>
            <w:vAlign w:val="center"/>
          </w:tcPr>
          <w:p w14:paraId="09BA4D2F">
            <w:pPr>
              <w:widowControl/>
              <w:jc w:val="center"/>
              <w:textAlignment w:val="center"/>
              <w:rPr>
                <w:rFonts w:ascii="宋体" w:hAnsi="宋体" w:cs="宋体"/>
                <w:szCs w:val="21"/>
              </w:rPr>
            </w:pPr>
            <w:r>
              <w:rPr>
                <w:rFonts w:hint="eastAsia" w:ascii="宋体" w:hAnsi="宋体" w:cs="宋体"/>
                <w:kern w:val="0"/>
                <w:szCs w:val="21"/>
                <w:lang w:bidi="ar"/>
              </w:rPr>
              <w:t>动车和拖车轮对的跑合作业</w:t>
            </w:r>
          </w:p>
        </w:tc>
        <w:tc>
          <w:tcPr>
            <w:tcW w:w="708" w:type="dxa"/>
            <w:tcBorders>
              <w:top w:val="single" w:color="000000" w:sz="4" w:space="0"/>
              <w:left w:val="single" w:color="000000" w:sz="4" w:space="0"/>
              <w:bottom w:val="single" w:color="000000" w:sz="4" w:space="0"/>
              <w:right w:val="single" w:color="000000" w:sz="4" w:space="0"/>
            </w:tcBorders>
            <w:noWrap/>
            <w:vAlign w:val="center"/>
          </w:tcPr>
          <w:p w14:paraId="684CFBD4">
            <w:pPr>
              <w:widowControl/>
              <w:jc w:val="center"/>
              <w:textAlignment w:val="center"/>
              <w:rPr>
                <w:rFonts w:ascii="宋体" w:hAnsi="宋体" w:cs="宋体"/>
                <w:szCs w:val="21"/>
              </w:rPr>
            </w:pPr>
            <w:r>
              <w:rPr>
                <w:rFonts w:hint="eastAsia" w:ascii="宋体" w:hAnsi="宋体" w:cs="宋体"/>
                <w:kern w:val="0"/>
                <w:szCs w:val="21"/>
                <w:lang w:bidi="ar"/>
              </w:rPr>
              <w:t>台</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0EC5888">
            <w:pPr>
              <w:widowControl/>
              <w:jc w:val="center"/>
              <w:textAlignment w:val="center"/>
              <w:rPr>
                <w:rFonts w:ascii="宋体" w:hAnsi="宋体" w:cs="宋体"/>
                <w:szCs w:val="21"/>
              </w:rPr>
            </w:pPr>
            <w:r>
              <w:rPr>
                <w:rFonts w:hint="eastAsia" w:ascii="宋体" w:hAnsi="宋体" w:cs="宋体"/>
                <w:kern w:val="0"/>
                <w:szCs w:val="21"/>
                <w:lang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30567F8">
            <w:pPr>
              <w:jc w:val="center"/>
              <w:rPr>
                <w:rFonts w:ascii="宋体" w:hAnsi="宋体" w:cs="宋体"/>
                <w:b/>
                <w:bCs/>
                <w:szCs w:val="21"/>
              </w:rPr>
            </w:pPr>
          </w:p>
        </w:tc>
      </w:tr>
      <w:tr w14:paraId="31E7FCA6">
        <w:tblPrEx>
          <w:tblCellMar>
            <w:top w:w="0" w:type="dxa"/>
            <w:left w:w="108" w:type="dxa"/>
            <w:bottom w:w="0" w:type="dxa"/>
            <w:right w:w="108" w:type="dxa"/>
          </w:tblCellMar>
        </w:tblPrEx>
        <w:trPr>
          <w:trHeight w:val="402" w:hRule="atLeast"/>
        </w:trPr>
        <w:tc>
          <w:tcPr>
            <w:tcW w:w="721" w:type="dxa"/>
            <w:tcBorders>
              <w:top w:val="single" w:color="000000" w:sz="4" w:space="0"/>
              <w:left w:val="single" w:color="000000" w:sz="4" w:space="0"/>
              <w:bottom w:val="single" w:color="000000" w:sz="4" w:space="0"/>
              <w:right w:val="single" w:color="000000" w:sz="4" w:space="0"/>
            </w:tcBorders>
            <w:noWrap/>
            <w:vAlign w:val="center"/>
          </w:tcPr>
          <w:p w14:paraId="067B5D4A">
            <w:pPr>
              <w:widowControl/>
              <w:jc w:val="center"/>
              <w:textAlignment w:val="center"/>
              <w:rPr>
                <w:rFonts w:ascii="宋体" w:hAnsi="宋体" w:cs="宋体"/>
                <w:szCs w:val="21"/>
              </w:rPr>
            </w:pPr>
            <w:r>
              <w:rPr>
                <w:rFonts w:hint="eastAsia" w:ascii="宋体" w:hAnsi="宋体" w:cs="宋体"/>
                <w:kern w:val="0"/>
                <w:szCs w:val="21"/>
                <w:lang w:bidi="ar"/>
              </w:rPr>
              <w:t>3</w:t>
            </w:r>
          </w:p>
        </w:tc>
        <w:tc>
          <w:tcPr>
            <w:tcW w:w="2256" w:type="dxa"/>
            <w:tcBorders>
              <w:top w:val="single" w:color="000000" w:sz="4" w:space="0"/>
              <w:left w:val="single" w:color="000000" w:sz="4" w:space="0"/>
              <w:bottom w:val="single" w:color="000000" w:sz="4" w:space="0"/>
              <w:right w:val="single" w:color="000000" w:sz="4" w:space="0"/>
            </w:tcBorders>
            <w:vAlign w:val="center"/>
          </w:tcPr>
          <w:p w14:paraId="31973F9C">
            <w:pPr>
              <w:widowControl/>
              <w:jc w:val="center"/>
              <w:textAlignment w:val="center"/>
              <w:rPr>
                <w:rFonts w:ascii="宋体" w:hAnsi="宋体" w:cs="宋体"/>
                <w:szCs w:val="21"/>
              </w:rPr>
            </w:pPr>
            <w:r>
              <w:rPr>
                <w:rFonts w:hint="eastAsia" w:ascii="宋体" w:hAnsi="宋体" w:cs="宋体"/>
                <w:kern w:val="0"/>
                <w:szCs w:val="21"/>
                <w:lang w:bidi="ar"/>
              </w:rPr>
              <w:t>工艺转向架</w:t>
            </w:r>
          </w:p>
        </w:tc>
        <w:tc>
          <w:tcPr>
            <w:tcW w:w="3131" w:type="dxa"/>
            <w:tcBorders>
              <w:top w:val="single" w:color="000000" w:sz="4" w:space="0"/>
              <w:left w:val="single" w:color="000000" w:sz="4" w:space="0"/>
              <w:bottom w:val="single" w:color="000000" w:sz="4" w:space="0"/>
              <w:right w:val="single" w:color="000000" w:sz="4" w:space="0"/>
            </w:tcBorders>
            <w:vAlign w:val="center"/>
          </w:tcPr>
          <w:p w14:paraId="5C4E76FA">
            <w:pPr>
              <w:widowControl/>
              <w:jc w:val="center"/>
              <w:textAlignment w:val="center"/>
              <w:rPr>
                <w:rFonts w:ascii="宋体" w:hAnsi="宋体" w:cs="宋体"/>
                <w:szCs w:val="21"/>
              </w:rPr>
            </w:pPr>
            <w:r>
              <w:rPr>
                <w:rFonts w:hint="eastAsia" w:ascii="宋体" w:hAnsi="宋体" w:cs="宋体"/>
                <w:kern w:val="0"/>
                <w:szCs w:val="21"/>
                <w:lang w:bidi="ar"/>
              </w:rPr>
              <w:t>车辆部件紧固件的拆装</w:t>
            </w:r>
          </w:p>
        </w:tc>
        <w:tc>
          <w:tcPr>
            <w:tcW w:w="708" w:type="dxa"/>
            <w:tcBorders>
              <w:top w:val="single" w:color="000000" w:sz="4" w:space="0"/>
              <w:left w:val="single" w:color="000000" w:sz="4" w:space="0"/>
              <w:bottom w:val="single" w:color="000000" w:sz="4" w:space="0"/>
              <w:right w:val="single" w:color="000000" w:sz="4" w:space="0"/>
            </w:tcBorders>
            <w:noWrap/>
            <w:vAlign w:val="center"/>
          </w:tcPr>
          <w:p w14:paraId="7F3D9460">
            <w:pPr>
              <w:widowControl/>
              <w:jc w:val="center"/>
              <w:textAlignment w:val="center"/>
              <w:rPr>
                <w:rFonts w:ascii="宋体" w:hAnsi="宋体" w:cs="宋体"/>
                <w:szCs w:val="21"/>
              </w:rPr>
            </w:pPr>
            <w:r>
              <w:rPr>
                <w:rFonts w:hint="eastAsia" w:ascii="宋体" w:hAnsi="宋体" w:cs="宋体"/>
                <w:kern w:val="0"/>
                <w:szCs w:val="21"/>
                <w:lang w:bidi="ar"/>
              </w:rPr>
              <w:t>个</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4C1C3BAE">
            <w:pPr>
              <w:widowControl/>
              <w:jc w:val="center"/>
              <w:textAlignment w:val="center"/>
              <w:rPr>
                <w:rFonts w:ascii="宋体" w:hAnsi="宋体" w:cs="宋体"/>
                <w:szCs w:val="21"/>
              </w:rPr>
            </w:pPr>
            <w:r>
              <w:rPr>
                <w:rFonts w:ascii="宋体" w:hAnsi="宋体" w:cs="宋体"/>
                <w:kern w:val="0"/>
                <w:szCs w:val="21"/>
                <w:lang w:bidi="ar"/>
              </w:rPr>
              <w:t>1</w:t>
            </w:r>
            <w:r>
              <w:rPr>
                <w:rFonts w:hint="eastAsia" w:ascii="宋体" w:hAnsi="宋体" w:cs="宋体"/>
                <w:kern w:val="0"/>
                <w:szCs w:val="21"/>
                <w:lang w:bidi="ar"/>
              </w:rPr>
              <w:t>2</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6A71DA5A">
            <w:pPr>
              <w:jc w:val="center"/>
              <w:rPr>
                <w:rFonts w:ascii="宋体" w:hAnsi="宋体" w:cs="宋体"/>
                <w:b/>
                <w:bCs/>
                <w:szCs w:val="21"/>
              </w:rPr>
            </w:pPr>
          </w:p>
        </w:tc>
      </w:tr>
      <w:tr w14:paraId="7E3E6D44">
        <w:tblPrEx>
          <w:tblCellMar>
            <w:top w:w="0" w:type="dxa"/>
            <w:left w:w="108" w:type="dxa"/>
            <w:bottom w:w="0" w:type="dxa"/>
            <w:right w:w="108" w:type="dxa"/>
          </w:tblCellMar>
        </w:tblPrEx>
        <w:trPr>
          <w:trHeight w:val="421" w:hRule="atLeast"/>
        </w:trPr>
        <w:tc>
          <w:tcPr>
            <w:tcW w:w="721" w:type="dxa"/>
            <w:tcBorders>
              <w:top w:val="single" w:color="000000" w:sz="4" w:space="0"/>
              <w:left w:val="single" w:color="000000" w:sz="4" w:space="0"/>
              <w:bottom w:val="single" w:color="000000" w:sz="4" w:space="0"/>
              <w:right w:val="single" w:color="000000" w:sz="4" w:space="0"/>
            </w:tcBorders>
            <w:noWrap/>
            <w:vAlign w:val="center"/>
          </w:tcPr>
          <w:p w14:paraId="2F0C4635">
            <w:pPr>
              <w:widowControl/>
              <w:jc w:val="center"/>
              <w:textAlignment w:val="center"/>
              <w:rPr>
                <w:rFonts w:ascii="宋体" w:hAnsi="宋体" w:cs="宋体"/>
                <w:kern w:val="0"/>
                <w:szCs w:val="21"/>
                <w:lang w:bidi="ar"/>
              </w:rPr>
            </w:pPr>
            <w:r>
              <w:rPr>
                <w:rFonts w:hint="eastAsia" w:ascii="宋体" w:hAnsi="宋体" w:cs="宋体"/>
                <w:kern w:val="0"/>
                <w:szCs w:val="21"/>
                <w:lang w:bidi="ar"/>
              </w:rPr>
              <w:t>4</w:t>
            </w:r>
          </w:p>
        </w:tc>
        <w:tc>
          <w:tcPr>
            <w:tcW w:w="2256" w:type="dxa"/>
            <w:tcBorders>
              <w:top w:val="single" w:color="000000" w:sz="4" w:space="0"/>
              <w:left w:val="single" w:color="000000" w:sz="4" w:space="0"/>
              <w:bottom w:val="single" w:color="000000" w:sz="4" w:space="0"/>
              <w:right w:val="single" w:color="000000" w:sz="4" w:space="0"/>
            </w:tcBorders>
            <w:vAlign w:val="center"/>
          </w:tcPr>
          <w:p w14:paraId="450AD7AC">
            <w:pPr>
              <w:widowControl/>
              <w:jc w:val="center"/>
              <w:textAlignment w:val="center"/>
              <w:rPr>
                <w:rFonts w:ascii="宋体" w:hAnsi="宋体" w:cs="宋体"/>
                <w:kern w:val="0"/>
                <w:szCs w:val="21"/>
                <w:lang w:bidi="ar"/>
              </w:rPr>
            </w:pPr>
            <w:r>
              <w:rPr>
                <w:rFonts w:hint="eastAsia" w:ascii="宋体" w:hAnsi="宋体" w:cs="宋体"/>
                <w:kern w:val="0"/>
                <w:szCs w:val="21"/>
                <w:lang w:bidi="ar"/>
              </w:rPr>
              <w:t>双人工作台</w:t>
            </w:r>
          </w:p>
        </w:tc>
        <w:tc>
          <w:tcPr>
            <w:tcW w:w="3131" w:type="dxa"/>
            <w:tcBorders>
              <w:top w:val="single" w:color="000000" w:sz="4" w:space="0"/>
              <w:left w:val="single" w:color="000000" w:sz="4" w:space="0"/>
              <w:bottom w:val="single" w:color="000000" w:sz="4" w:space="0"/>
              <w:right w:val="single" w:color="000000" w:sz="4" w:space="0"/>
            </w:tcBorders>
            <w:vAlign w:val="center"/>
          </w:tcPr>
          <w:p w14:paraId="36754371">
            <w:pPr>
              <w:widowControl/>
              <w:jc w:val="center"/>
              <w:textAlignment w:val="center"/>
              <w:rPr>
                <w:rFonts w:ascii="宋体" w:hAnsi="宋体" w:cs="宋体"/>
                <w:kern w:val="0"/>
                <w:szCs w:val="21"/>
                <w:lang w:bidi="ar"/>
              </w:rPr>
            </w:pPr>
            <w:r>
              <w:rPr>
                <w:rFonts w:hint="eastAsia" w:ascii="宋体" w:hAnsi="宋体" w:cs="宋体"/>
                <w:kern w:val="0"/>
                <w:szCs w:val="21"/>
                <w:lang w:bidi="ar"/>
              </w:rPr>
              <w:t>部件维修作业</w:t>
            </w:r>
          </w:p>
        </w:tc>
        <w:tc>
          <w:tcPr>
            <w:tcW w:w="708" w:type="dxa"/>
            <w:tcBorders>
              <w:top w:val="single" w:color="000000" w:sz="4" w:space="0"/>
              <w:left w:val="single" w:color="000000" w:sz="4" w:space="0"/>
              <w:bottom w:val="single" w:color="000000" w:sz="4" w:space="0"/>
              <w:right w:val="single" w:color="000000" w:sz="4" w:space="0"/>
            </w:tcBorders>
            <w:noWrap/>
            <w:vAlign w:val="center"/>
          </w:tcPr>
          <w:p w14:paraId="759F82F3">
            <w:pPr>
              <w:widowControl/>
              <w:jc w:val="center"/>
              <w:textAlignment w:val="center"/>
              <w:rPr>
                <w:rFonts w:ascii="宋体" w:hAnsi="宋体" w:cs="宋体"/>
                <w:kern w:val="0"/>
                <w:szCs w:val="21"/>
                <w:lang w:bidi="ar"/>
              </w:rPr>
            </w:pPr>
            <w:r>
              <w:rPr>
                <w:rFonts w:hint="eastAsia" w:ascii="宋体" w:hAnsi="宋体" w:cs="宋体"/>
                <w:kern w:val="0"/>
                <w:szCs w:val="21"/>
                <w:lang w:bidi="ar"/>
              </w:rPr>
              <w:t>个</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1D15107">
            <w:pPr>
              <w:widowControl/>
              <w:jc w:val="center"/>
              <w:textAlignment w:val="center"/>
              <w:rPr>
                <w:rFonts w:ascii="宋体" w:hAnsi="宋体" w:cs="宋体"/>
                <w:kern w:val="0"/>
                <w:szCs w:val="21"/>
                <w:lang w:bidi="ar"/>
              </w:rPr>
            </w:pPr>
            <w:r>
              <w:rPr>
                <w:rFonts w:hint="eastAsia" w:ascii="宋体" w:hAnsi="宋体" w:cs="宋体"/>
                <w:kern w:val="0"/>
                <w:szCs w:val="21"/>
                <w:lang w:bidi="ar"/>
              </w:rPr>
              <w:t>4</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58AF5B4">
            <w:pPr>
              <w:jc w:val="center"/>
              <w:rPr>
                <w:rFonts w:ascii="宋体" w:hAnsi="宋体" w:cs="宋体"/>
                <w:b/>
                <w:bCs/>
                <w:szCs w:val="21"/>
              </w:rPr>
            </w:pPr>
          </w:p>
        </w:tc>
      </w:tr>
    </w:tbl>
    <w:p w14:paraId="0F6F1869">
      <w:pPr>
        <w:spacing w:line="360" w:lineRule="auto"/>
        <w:rPr>
          <w:rFonts w:ascii="宋体" w:hAnsi="宋体"/>
          <w:iCs/>
          <w:szCs w:val="21"/>
        </w:rPr>
      </w:pPr>
    </w:p>
    <w:p w14:paraId="0CDAFB9D">
      <w:pPr>
        <w:pStyle w:val="4"/>
        <w:widowControl/>
        <w:spacing w:before="156" w:beforeLines="50" w:after="156" w:afterLines="50" w:line="276" w:lineRule="auto"/>
        <w:jc w:val="left"/>
        <w:rPr>
          <w:rFonts w:ascii="黑体" w:hAnsi="黑体" w:eastAsia="黑体"/>
          <w:b w:val="0"/>
          <w:sz w:val="21"/>
          <w:szCs w:val="21"/>
        </w:rPr>
      </w:pPr>
      <w:bookmarkStart w:id="57" w:name="_Toc30537"/>
      <w:bookmarkStart w:id="58" w:name="_Toc192580506"/>
      <w:r>
        <w:rPr>
          <w:rFonts w:hint="eastAsia" w:ascii="黑体" w:hAnsi="黑体" w:eastAsia="黑体"/>
          <w:b w:val="0"/>
          <w:sz w:val="21"/>
          <w:szCs w:val="21"/>
        </w:rPr>
        <w:t>5</w:t>
      </w:r>
      <w:r>
        <w:rPr>
          <w:rFonts w:ascii="黑体" w:hAnsi="黑体" w:eastAsia="黑体"/>
          <w:b w:val="0"/>
          <w:sz w:val="21"/>
          <w:szCs w:val="21"/>
        </w:rPr>
        <w:t xml:space="preserve">.3 </w:t>
      </w:r>
      <w:r>
        <w:rPr>
          <w:rFonts w:hint="eastAsia" w:ascii="黑体" w:hAnsi="黑体" w:eastAsia="黑体"/>
          <w:b w:val="0"/>
          <w:sz w:val="21"/>
          <w:szCs w:val="21"/>
        </w:rPr>
        <w:t>专业技术要求</w:t>
      </w:r>
      <w:bookmarkEnd w:id="57"/>
      <w:bookmarkEnd w:id="58"/>
    </w:p>
    <w:bookmarkEnd w:id="40"/>
    <w:bookmarkEnd w:id="41"/>
    <w:p w14:paraId="455C4011">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5.3.1 技术指标</w:t>
      </w:r>
    </w:p>
    <w:p w14:paraId="5C094C5D">
      <w:pPr>
        <w:pStyle w:val="5"/>
        <w:widowControl/>
        <w:spacing w:before="156" w:beforeLines="50" w:after="156" w:afterLines="50" w:line="276" w:lineRule="auto"/>
        <w:jc w:val="left"/>
        <w:rPr>
          <w:rFonts w:ascii="黑体" w:hAnsi="黑体" w:eastAsia="黑体"/>
          <w:b w:val="0"/>
          <w:bCs w:val="0"/>
          <w:sz w:val="21"/>
          <w:szCs w:val="21"/>
        </w:rPr>
      </w:pPr>
      <w:bookmarkStart w:id="59" w:name="_Toc191389317"/>
      <w:r>
        <w:rPr>
          <w:rFonts w:hint="eastAsia" w:ascii="黑体" w:hAnsi="黑体" w:eastAsia="黑体"/>
          <w:b w:val="0"/>
          <w:bCs w:val="0"/>
          <w:sz w:val="21"/>
          <w:szCs w:val="21"/>
        </w:rPr>
        <w:t xml:space="preserve">5.3.1.1 </w:t>
      </w:r>
      <w:bookmarkEnd w:id="59"/>
      <w:r>
        <w:rPr>
          <w:rFonts w:hint="eastAsia" w:ascii="黑体" w:hAnsi="黑体" w:eastAsia="黑体"/>
          <w:b w:val="0"/>
          <w:bCs w:val="0"/>
          <w:sz w:val="21"/>
          <w:szCs w:val="21"/>
        </w:rPr>
        <w:t>转向架静载试验台</w:t>
      </w:r>
    </w:p>
    <w:p w14:paraId="2F4F7ECF">
      <w:pPr>
        <w:adjustRightInd w:val="0"/>
        <w:snapToGrid w:val="0"/>
        <w:spacing w:line="360" w:lineRule="auto"/>
        <w:rPr>
          <w:rFonts w:ascii="宋体" w:hAnsi="宋体"/>
          <w:bCs/>
          <w:szCs w:val="21"/>
        </w:rPr>
      </w:pPr>
      <w:bookmarkStart w:id="60" w:name="_Toc191389318"/>
      <w:r>
        <w:rPr>
          <w:rFonts w:hint="eastAsia" w:ascii="宋体" w:hAnsi="宋体"/>
          <w:bCs/>
          <w:szCs w:val="21"/>
        </w:rPr>
        <w:t>1）设备用途：</w:t>
      </w:r>
    </w:p>
    <w:p w14:paraId="48F1EBC5">
      <w:pPr>
        <w:adjustRightInd w:val="0"/>
        <w:snapToGrid w:val="0"/>
        <w:spacing w:line="360" w:lineRule="auto"/>
        <w:ind w:firstLine="424" w:firstLineChars="202"/>
        <w:rPr>
          <w:rFonts w:ascii="宋体" w:hAnsi="宋体"/>
          <w:szCs w:val="21"/>
        </w:rPr>
      </w:pPr>
      <w:r>
        <w:rPr>
          <w:rFonts w:hint="eastAsia" w:ascii="宋体" w:hAnsi="宋体"/>
          <w:szCs w:val="21"/>
        </w:rPr>
        <w:t>转向架静载试验台适用于长沙市轨道交通6号线电客车架大修转向架的静压载试验。</w:t>
      </w:r>
      <w:r>
        <w:rPr>
          <w:rFonts w:ascii="宋体" w:hAnsi="宋体"/>
          <w:szCs w:val="21"/>
        </w:rPr>
        <w:t>根据工艺要求</w:t>
      </w:r>
      <w:r>
        <w:rPr>
          <w:rFonts w:hint="eastAsia" w:ascii="宋体" w:hAnsi="宋体"/>
          <w:szCs w:val="21"/>
        </w:rPr>
        <w:t>可</w:t>
      </w:r>
      <w:r>
        <w:rPr>
          <w:rFonts w:ascii="宋体" w:hAnsi="宋体"/>
          <w:szCs w:val="21"/>
        </w:rPr>
        <w:t>模拟车体对转向架进行加载并检验组装后的转向架各项技术参数</w:t>
      </w:r>
      <w:r>
        <w:rPr>
          <w:rFonts w:hint="eastAsia" w:ascii="宋体" w:hAnsi="宋体"/>
          <w:szCs w:val="21"/>
        </w:rPr>
        <w:t>，可</w:t>
      </w:r>
      <w:r>
        <w:rPr>
          <w:rFonts w:ascii="宋体" w:hAnsi="宋体"/>
          <w:szCs w:val="21"/>
        </w:rPr>
        <w:t>自动测量加载后的轮重、轴重，计算轮重差、轴重差；</w:t>
      </w:r>
      <w:r>
        <w:rPr>
          <w:rFonts w:hint="eastAsia" w:ascii="宋体" w:hAnsi="宋体"/>
          <w:szCs w:val="21"/>
        </w:rPr>
        <w:t>具备</w:t>
      </w:r>
      <w:r>
        <w:rPr>
          <w:rFonts w:ascii="宋体" w:hAnsi="宋体"/>
          <w:szCs w:val="21"/>
        </w:rPr>
        <w:t>测量转向架四角高</w:t>
      </w:r>
      <w:r>
        <w:rPr>
          <w:rFonts w:hint="eastAsia" w:ascii="宋体" w:hAnsi="宋体"/>
          <w:szCs w:val="21"/>
        </w:rPr>
        <w:t>功能，</w:t>
      </w:r>
      <w:r>
        <w:rPr>
          <w:rFonts w:ascii="宋体" w:hAnsi="宋体"/>
          <w:szCs w:val="21"/>
        </w:rPr>
        <w:t>自动计算一系弹簧</w:t>
      </w:r>
      <w:r>
        <w:rPr>
          <w:rFonts w:hint="eastAsia" w:ascii="宋体" w:hAnsi="宋体"/>
          <w:szCs w:val="21"/>
        </w:rPr>
        <w:t>调整加</w:t>
      </w:r>
      <w:r>
        <w:rPr>
          <w:rFonts w:ascii="宋体" w:hAnsi="宋体"/>
          <w:szCs w:val="21"/>
        </w:rPr>
        <w:t>垫</w:t>
      </w:r>
      <w:r>
        <w:rPr>
          <w:rFonts w:hint="eastAsia" w:ascii="宋体" w:hAnsi="宋体"/>
          <w:szCs w:val="21"/>
        </w:rPr>
        <w:t>厚</w:t>
      </w:r>
      <w:r>
        <w:rPr>
          <w:rFonts w:ascii="宋体" w:hAnsi="宋体"/>
          <w:szCs w:val="21"/>
        </w:rPr>
        <w:t>度，实现一系弹簧的均载配平；自动测量内侧距、轴距并自动计算车轴平行度和矩形度</w:t>
      </w:r>
      <w:r>
        <w:rPr>
          <w:rFonts w:hint="eastAsia" w:ascii="宋体" w:hAnsi="宋体"/>
          <w:szCs w:val="21"/>
        </w:rPr>
        <w:t>；试验台同时可完成二系弹簧气密性试验、转向架制动系统气密性试验。</w:t>
      </w:r>
    </w:p>
    <w:p w14:paraId="75623F16">
      <w:pPr>
        <w:adjustRightInd w:val="0"/>
        <w:snapToGrid w:val="0"/>
        <w:spacing w:line="360" w:lineRule="auto"/>
        <w:ind w:firstLine="424" w:firstLineChars="202"/>
        <w:rPr>
          <w:rFonts w:ascii="宋体" w:hAnsi="宋体"/>
          <w:szCs w:val="21"/>
        </w:rPr>
      </w:pPr>
      <w:r>
        <w:rPr>
          <w:rFonts w:hint="eastAsia" w:ascii="宋体" w:hAnsi="宋体"/>
          <w:szCs w:val="21"/>
        </w:rPr>
        <w:t>转向架静载试验台采用转向架通过式进行安装，设备安装轨面起升后要求与地面轨道平齐。</w:t>
      </w:r>
    </w:p>
    <w:p w14:paraId="62F505ED">
      <w:pPr>
        <w:adjustRightInd w:val="0"/>
        <w:snapToGrid w:val="0"/>
        <w:spacing w:line="360" w:lineRule="auto"/>
        <w:rPr>
          <w:rFonts w:ascii="宋体" w:hAnsi="宋体"/>
          <w:bCs/>
          <w:szCs w:val="21"/>
        </w:rPr>
      </w:pPr>
      <w:r>
        <w:rPr>
          <w:rFonts w:hint="eastAsia" w:ascii="宋体" w:hAnsi="宋体"/>
          <w:bCs/>
          <w:szCs w:val="21"/>
        </w:rPr>
        <w:t>2）主要技术参数</w:t>
      </w:r>
    </w:p>
    <w:tbl>
      <w:tblPr>
        <w:tblStyle w:val="23"/>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713"/>
        <w:gridCol w:w="593"/>
        <w:gridCol w:w="3252"/>
        <w:gridCol w:w="3581"/>
      </w:tblGrid>
      <w:tr w14:paraId="03CE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blHeader/>
          <w:jc w:val="center"/>
        </w:trPr>
        <w:tc>
          <w:tcPr>
            <w:tcW w:w="438" w:type="pct"/>
            <w:shd w:val="clear" w:color="auto" w:fill="FFFFFF"/>
            <w:vAlign w:val="center"/>
          </w:tcPr>
          <w:p w14:paraId="5BE10C64">
            <w:pPr>
              <w:adjustRightInd w:val="0"/>
              <w:snapToGrid w:val="0"/>
              <w:spacing w:line="276" w:lineRule="auto"/>
              <w:jc w:val="center"/>
              <w:rPr>
                <w:rFonts w:ascii="宋体" w:hAnsi="宋体" w:cs="Arial"/>
                <w:szCs w:val="21"/>
              </w:rPr>
            </w:pPr>
            <w:r>
              <w:rPr>
                <w:rFonts w:hint="eastAsia" w:ascii="宋体" w:hAnsi="宋体" w:cs="Arial"/>
                <w:szCs w:val="21"/>
              </w:rPr>
              <w:t>序号</w:t>
            </w:r>
          </w:p>
        </w:tc>
        <w:tc>
          <w:tcPr>
            <w:tcW w:w="2362" w:type="pct"/>
            <w:gridSpan w:val="2"/>
            <w:shd w:val="clear" w:color="auto" w:fill="FFFFFF"/>
            <w:vAlign w:val="center"/>
          </w:tcPr>
          <w:p w14:paraId="3725B954">
            <w:pPr>
              <w:adjustRightInd w:val="0"/>
              <w:snapToGrid w:val="0"/>
              <w:spacing w:line="276" w:lineRule="auto"/>
              <w:rPr>
                <w:rFonts w:ascii="宋体" w:hAnsi="宋体" w:cs="Arial"/>
                <w:szCs w:val="21"/>
              </w:rPr>
            </w:pPr>
            <w:r>
              <w:rPr>
                <w:rFonts w:hint="eastAsia" w:ascii="宋体" w:hAnsi="宋体" w:cs="Arial"/>
                <w:szCs w:val="21"/>
              </w:rPr>
              <w:t>项目</w:t>
            </w:r>
          </w:p>
        </w:tc>
        <w:tc>
          <w:tcPr>
            <w:tcW w:w="2200" w:type="pct"/>
            <w:shd w:val="clear" w:color="auto" w:fill="FFFFFF"/>
            <w:vAlign w:val="center"/>
          </w:tcPr>
          <w:p w14:paraId="1CF08D2E">
            <w:pPr>
              <w:adjustRightInd w:val="0"/>
              <w:snapToGrid w:val="0"/>
              <w:spacing w:line="276" w:lineRule="auto"/>
              <w:jc w:val="center"/>
              <w:rPr>
                <w:rFonts w:ascii="宋体" w:hAnsi="宋体" w:cs="Arial"/>
                <w:szCs w:val="21"/>
              </w:rPr>
            </w:pPr>
            <w:r>
              <w:rPr>
                <w:rFonts w:hint="eastAsia" w:ascii="宋体" w:hAnsi="宋体" w:cs="Arial"/>
                <w:szCs w:val="21"/>
              </w:rPr>
              <w:t>参数</w:t>
            </w:r>
          </w:p>
        </w:tc>
      </w:tr>
      <w:tr w14:paraId="56A9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4E5F3803">
            <w:pPr>
              <w:adjustRightInd w:val="0"/>
              <w:snapToGrid w:val="0"/>
              <w:spacing w:line="276" w:lineRule="auto"/>
              <w:jc w:val="center"/>
              <w:rPr>
                <w:rFonts w:ascii="宋体" w:hAnsi="宋体" w:cs="Arial"/>
                <w:szCs w:val="21"/>
              </w:rPr>
            </w:pPr>
            <w:r>
              <w:rPr>
                <w:rFonts w:ascii="宋体" w:hAnsi="宋体" w:cs="Arial"/>
                <w:szCs w:val="21"/>
              </w:rPr>
              <w:t>1</w:t>
            </w:r>
          </w:p>
        </w:tc>
        <w:tc>
          <w:tcPr>
            <w:tcW w:w="2362" w:type="pct"/>
            <w:gridSpan w:val="2"/>
            <w:shd w:val="clear" w:color="auto" w:fill="FFFFFF"/>
            <w:vAlign w:val="center"/>
          </w:tcPr>
          <w:p w14:paraId="77F79C62">
            <w:pPr>
              <w:adjustRightInd w:val="0"/>
              <w:snapToGrid w:val="0"/>
              <w:spacing w:line="276" w:lineRule="auto"/>
              <w:rPr>
                <w:rFonts w:ascii="宋体" w:hAnsi="宋体" w:cs="Arial"/>
                <w:szCs w:val="21"/>
              </w:rPr>
            </w:pPr>
            <w:r>
              <w:rPr>
                <w:rFonts w:hint="eastAsia" w:ascii="宋体" w:hAnsi="宋体" w:cs="Arial"/>
                <w:szCs w:val="21"/>
              </w:rPr>
              <w:t>轨距（</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7F6FA65F">
            <w:pPr>
              <w:adjustRightInd w:val="0"/>
              <w:snapToGrid w:val="0"/>
              <w:spacing w:line="276" w:lineRule="auto"/>
              <w:jc w:val="center"/>
              <w:rPr>
                <w:rFonts w:ascii="宋体" w:hAnsi="宋体" w:cs="Arial"/>
                <w:szCs w:val="21"/>
              </w:rPr>
            </w:pPr>
            <w:r>
              <w:rPr>
                <w:rFonts w:ascii="宋体" w:hAnsi="宋体" w:cs="Arial"/>
                <w:szCs w:val="21"/>
              </w:rPr>
              <w:t>1435</w:t>
            </w:r>
          </w:p>
        </w:tc>
      </w:tr>
      <w:tr w14:paraId="174C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556640E6">
            <w:pPr>
              <w:adjustRightInd w:val="0"/>
              <w:snapToGrid w:val="0"/>
              <w:spacing w:line="276" w:lineRule="auto"/>
              <w:jc w:val="center"/>
              <w:rPr>
                <w:rFonts w:ascii="宋体" w:hAnsi="宋体" w:cs="Arial"/>
                <w:szCs w:val="21"/>
              </w:rPr>
            </w:pPr>
            <w:r>
              <w:rPr>
                <w:rFonts w:ascii="宋体" w:hAnsi="宋体" w:cs="Arial"/>
                <w:szCs w:val="21"/>
              </w:rPr>
              <w:t>2</w:t>
            </w:r>
          </w:p>
        </w:tc>
        <w:tc>
          <w:tcPr>
            <w:tcW w:w="2362" w:type="pct"/>
            <w:gridSpan w:val="2"/>
            <w:shd w:val="clear" w:color="auto" w:fill="FFFFFF"/>
            <w:vAlign w:val="center"/>
          </w:tcPr>
          <w:p w14:paraId="16D13AB1">
            <w:pPr>
              <w:adjustRightInd w:val="0"/>
              <w:snapToGrid w:val="0"/>
              <w:spacing w:line="276" w:lineRule="auto"/>
              <w:rPr>
                <w:rFonts w:ascii="宋体" w:hAnsi="宋体" w:cs="Arial"/>
                <w:szCs w:val="21"/>
              </w:rPr>
            </w:pPr>
            <w:r>
              <w:rPr>
                <w:rFonts w:hint="eastAsia" w:ascii="宋体" w:hAnsi="宋体" w:cs="Arial"/>
                <w:szCs w:val="21"/>
              </w:rPr>
              <w:t>轴数</w:t>
            </w:r>
          </w:p>
        </w:tc>
        <w:tc>
          <w:tcPr>
            <w:tcW w:w="2200" w:type="pct"/>
            <w:shd w:val="clear" w:color="auto" w:fill="FFFFFF"/>
            <w:vAlign w:val="center"/>
          </w:tcPr>
          <w:p w14:paraId="3E8742E6">
            <w:pPr>
              <w:adjustRightInd w:val="0"/>
              <w:snapToGrid w:val="0"/>
              <w:spacing w:line="276" w:lineRule="auto"/>
              <w:jc w:val="center"/>
              <w:rPr>
                <w:rFonts w:ascii="宋体" w:hAnsi="宋体" w:cs="Arial"/>
                <w:szCs w:val="21"/>
              </w:rPr>
            </w:pPr>
            <w:r>
              <w:rPr>
                <w:rFonts w:hint="eastAsia" w:ascii="宋体" w:hAnsi="宋体" w:cs="Arial"/>
                <w:szCs w:val="21"/>
              </w:rPr>
              <w:t>2轴</w:t>
            </w:r>
          </w:p>
        </w:tc>
      </w:tr>
      <w:tr w14:paraId="42428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6C1C5ED6">
            <w:pPr>
              <w:adjustRightInd w:val="0"/>
              <w:snapToGrid w:val="0"/>
              <w:spacing w:line="276" w:lineRule="auto"/>
              <w:jc w:val="center"/>
              <w:rPr>
                <w:rFonts w:ascii="宋体" w:hAnsi="宋体" w:cs="Arial"/>
                <w:szCs w:val="21"/>
              </w:rPr>
            </w:pPr>
            <w:r>
              <w:rPr>
                <w:rFonts w:ascii="宋体" w:hAnsi="宋体" w:cs="Arial"/>
                <w:szCs w:val="21"/>
              </w:rPr>
              <w:t>3</w:t>
            </w:r>
          </w:p>
        </w:tc>
        <w:tc>
          <w:tcPr>
            <w:tcW w:w="2362" w:type="pct"/>
            <w:gridSpan w:val="2"/>
            <w:shd w:val="clear" w:color="auto" w:fill="FFFFFF"/>
            <w:vAlign w:val="center"/>
          </w:tcPr>
          <w:p w14:paraId="5A15ACC9">
            <w:pPr>
              <w:adjustRightInd w:val="0"/>
              <w:snapToGrid w:val="0"/>
              <w:spacing w:line="276" w:lineRule="auto"/>
              <w:rPr>
                <w:rFonts w:ascii="宋体" w:hAnsi="宋体" w:cs="Arial"/>
                <w:szCs w:val="21"/>
              </w:rPr>
            </w:pPr>
            <w:r>
              <w:rPr>
                <w:rFonts w:hint="eastAsia" w:ascii="宋体" w:hAnsi="宋体" w:cs="Arial"/>
                <w:szCs w:val="21"/>
              </w:rPr>
              <w:t>两轴间最大可调轴距（</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7B487671">
            <w:pPr>
              <w:adjustRightInd w:val="0"/>
              <w:snapToGrid w:val="0"/>
              <w:spacing w:line="276" w:lineRule="auto"/>
              <w:jc w:val="center"/>
              <w:rPr>
                <w:rFonts w:ascii="宋体" w:hAnsi="宋体" w:cs="Arial"/>
                <w:szCs w:val="21"/>
              </w:rPr>
            </w:pPr>
            <w:r>
              <w:rPr>
                <w:rFonts w:hint="eastAsia" w:ascii="宋体" w:hAnsi="宋体" w:cs="Arial"/>
                <w:szCs w:val="21"/>
              </w:rPr>
              <w:t>22</w:t>
            </w:r>
            <w:r>
              <w:rPr>
                <w:rFonts w:ascii="宋体" w:hAnsi="宋体" w:cs="Arial"/>
                <w:szCs w:val="21"/>
              </w:rPr>
              <w:t>00</w:t>
            </w:r>
            <w:r>
              <w:rPr>
                <w:rFonts w:hint="eastAsia" w:ascii="宋体" w:hAnsi="宋体" w:cs="Arial"/>
                <w:szCs w:val="21"/>
              </w:rPr>
              <w:t>～2600</w:t>
            </w:r>
          </w:p>
        </w:tc>
      </w:tr>
      <w:tr w14:paraId="61C3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7A611EED">
            <w:pPr>
              <w:adjustRightInd w:val="0"/>
              <w:snapToGrid w:val="0"/>
              <w:spacing w:line="276" w:lineRule="auto"/>
              <w:jc w:val="center"/>
              <w:rPr>
                <w:rFonts w:ascii="宋体" w:hAnsi="宋体" w:cs="Arial"/>
                <w:szCs w:val="21"/>
              </w:rPr>
            </w:pPr>
            <w:r>
              <w:rPr>
                <w:rFonts w:ascii="宋体" w:hAnsi="宋体" w:cs="Arial"/>
                <w:szCs w:val="21"/>
              </w:rPr>
              <w:t>4</w:t>
            </w:r>
          </w:p>
        </w:tc>
        <w:tc>
          <w:tcPr>
            <w:tcW w:w="2362" w:type="pct"/>
            <w:gridSpan w:val="2"/>
            <w:shd w:val="clear" w:color="auto" w:fill="FFFFFF"/>
            <w:vAlign w:val="center"/>
          </w:tcPr>
          <w:p w14:paraId="5E07F13A">
            <w:pPr>
              <w:adjustRightInd w:val="0"/>
              <w:snapToGrid w:val="0"/>
              <w:spacing w:line="276" w:lineRule="auto"/>
              <w:rPr>
                <w:rFonts w:ascii="宋体" w:hAnsi="宋体" w:cs="Arial"/>
                <w:szCs w:val="21"/>
              </w:rPr>
            </w:pPr>
            <w:r>
              <w:rPr>
                <w:rFonts w:hint="eastAsia" w:ascii="宋体" w:hAnsi="宋体" w:cs="Arial"/>
                <w:szCs w:val="21"/>
              </w:rPr>
              <w:t>轮宽度（</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0E429215">
            <w:pPr>
              <w:adjustRightInd w:val="0"/>
              <w:snapToGrid w:val="0"/>
              <w:spacing w:line="276" w:lineRule="auto"/>
              <w:jc w:val="center"/>
              <w:rPr>
                <w:rFonts w:ascii="宋体" w:hAnsi="宋体" w:cs="Arial"/>
                <w:szCs w:val="21"/>
              </w:rPr>
            </w:pPr>
            <w:r>
              <w:rPr>
                <w:rFonts w:ascii="宋体" w:hAnsi="宋体" w:cs="Arial"/>
                <w:szCs w:val="21"/>
              </w:rPr>
              <w:t>95</w:t>
            </w:r>
            <w:r>
              <w:rPr>
                <w:rFonts w:hint="eastAsia" w:ascii="宋体" w:hAnsi="宋体" w:cs="Arial"/>
                <w:szCs w:val="21"/>
              </w:rPr>
              <w:t>～</w:t>
            </w:r>
            <w:r>
              <w:rPr>
                <w:rFonts w:ascii="宋体" w:hAnsi="宋体" w:cs="Arial"/>
                <w:szCs w:val="21"/>
              </w:rPr>
              <w:t>145</w:t>
            </w:r>
          </w:p>
        </w:tc>
      </w:tr>
      <w:tr w14:paraId="11E5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36FF3063">
            <w:pPr>
              <w:adjustRightInd w:val="0"/>
              <w:snapToGrid w:val="0"/>
              <w:spacing w:line="276" w:lineRule="auto"/>
              <w:jc w:val="center"/>
              <w:rPr>
                <w:rFonts w:ascii="宋体" w:hAnsi="宋体" w:cs="Arial"/>
                <w:szCs w:val="21"/>
              </w:rPr>
            </w:pPr>
            <w:r>
              <w:rPr>
                <w:rFonts w:ascii="宋体" w:hAnsi="宋体" w:cs="Arial"/>
                <w:szCs w:val="21"/>
              </w:rPr>
              <w:t>5</w:t>
            </w:r>
          </w:p>
        </w:tc>
        <w:tc>
          <w:tcPr>
            <w:tcW w:w="2362" w:type="pct"/>
            <w:gridSpan w:val="2"/>
            <w:shd w:val="clear" w:color="auto" w:fill="FFFFFF"/>
            <w:vAlign w:val="center"/>
          </w:tcPr>
          <w:p w14:paraId="2641EE24">
            <w:pPr>
              <w:adjustRightInd w:val="0"/>
              <w:snapToGrid w:val="0"/>
              <w:spacing w:line="276" w:lineRule="auto"/>
              <w:rPr>
                <w:rFonts w:ascii="宋体" w:hAnsi="宋体" w:cs="Arial"/>
                <w:szCs w:val="21"/>
              </w:rPr>
            </w:pPr>
            <w:r>
              <w:rPr>
                <w:rFonts w:hint="eastAsia" w:ascii="宋体" w:hAnsi="宋体" w:cs="Arial"/>
                <w:szCs w:val="21"/>
              </w:rPr>
              <w:t>轮缘高度（</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33DF23DC">
            <w:pPr>
              <w:adjustRightInd w:val="0"/>
              <w:snapToGrid w:val="0"/>
              <w:spacing w:line="276" w:lineRule="auto"/>
              <w:jc w:val="center"/>
              <w:rPr>
                <w:rFonts w:ascii="宋体" w:hAnsi="宋体" w:cs="Arial"/>
                <w:szCs w:val="21"/>
              </w:rPr>
            </w:pPr>
            <w:r>
              <w:rPr>
                <w:rFonts w:hint="eastAsia" w:ascii="宋体" w:hAnsi="宋体"/>
                <w:lang w:val="en-GB"/>
              </w:rPr>
              <w:t>27～36</w:t>
            </w:r>
          </w:p>
        </w:tc>
      </w:tr>
      <w:tr w14:paraId="1013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17F278BF">
            <w:pPr>
              <w:adjustRightInd w:val="0"/>
              <w:snapToGrid w:val="0"/>
              <w:spacing w:line="276" w:lineRule="auto"/>
              <w:jc w:val="center"/>
              <w:rPr>
                <w:rFonts w:ascii="宋体" w:hAnsi="宋体" w:cs="Arial"/>
                <w:szCs w:val="21"/>
              </w:rPr>
            </w:pPr>
            <w:r>
              <w:rPr>
                <w:rFonts w:ascii="宋体" w:hAnsi="宋体" w:cs="Arial"/>
                <w:szCs w:val="21"/>
              </w:rPr>
              <w:t>6</w:t>
            </w:r>
          </w:p>
        </w:tc>
        <w:tc>
          <w:tcPr>
            <w:tcW w:w="2362" w:type="pct"/>
            <w:gridSpan w:val="2"/>
            <w:shd w:val="clear" w:color="auto" w:fill="FFFFFF"/>
            <w:vAlign w:val="center"/>
          </w:tcPr>
          <w:p w14:paraId="695E05E0">
            <w:pPr>
              <w:adjustRightInd w:val="0"/>
              <w:snapToGrid w:val="0"/>
              <w:spacing w:line="276" w:lineRule="auto"/>
              <w:rPr>
                <w:rFonts w:ascii="宋体" w:hAnsi="宋体" w:cs="Arial"/>
                <w:szCs w:val="21"/>
              </w:rPr>
            </w:pPr>
            <w:r>
              <w:rPr>
                <w:rFonts w:hint="eastAsia" w:ascii="宋体" w:hAnsi="宋体" w:cs="Arial"/>
                <w:szCs w:val="21"/>
              </w:rPr>
              <w:t>转向架最大重量（吨）</w:t>
            </w:r>
          </w:p>
        </w:tc>
        <w:tc>
          <w:tcPr>
            <w:tcW w:w="2200" w:type="pct"/>
            <w:shd w:val="clear" w:color="auto" w:fill="FFFFFF"/>
            <w:vAlign w:val="center"/>
          </w:tcPr>
          <w:p w14:paraId="109F3431">
            <w:pPr>
              <w:adjustRightInd w:val="0"/>
              <w:snapToGrid w:val="0"/>
              <w:spacing w:line="276" w:lineRule="auto"/>
              <w:jc w:val="center"/>
              <w:rPr>
                <w:rFonts w:ascii="宋体" w:hAnsi="宋体" w:cs="Arial"/>
                <w:szCs w:val="21"/>
              </w:rPr>
            </w:pPr>
            <w:r>
              <w:rPr>
                <w:rFonts w:hint="eastAsia" w:ascii="宋体" w:hAnsi="宋体" w:cs="Arial"/>
                <w:szCs w:val="21"/>
              </w:rPr>
              <w:t>10吨</w:t>
            </w:r>
          </w:p>
        </w:tc>
      </w:tr>
      <w:tr w14:paraId="19BF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4C0C84A2">
            <w:pPr>
              <w:adjustRightInd w:val="0"/>
              <w:snapToGrid w:val="0"/>
              <w:spacing w:line="276" w:lineRule="auto"/>
              <w:jc w:val="center"/>
              <w:rPr>
                <w:rFonts w:ascii="宋体" w:hAnsi="宋体" w:cs="Arial"/>
                <w:szCs w:val="21"/>
              </w:rPr>
            </w:pPr>
            <w:r>
              <w:rPr>
                <w:rFonts w:ascii="宋体" w:hAnsi="宋体" w:cs="Arial"/>
                <w:szCs w:val="21"/>
              </w:rPr>
              <w:t>7</w:t>
            </w:r>
          </w:p>
        </w:tc>
        <w:tc>
          <w:tcPr>
            <w:tcW w:w="2362" w:type="pct"/>
            <w:gridSpan w:val="2"/>
            <w:shd w:val="clear" w:color="auto" w:fill="FFFFFF"/>
            <w:vAlign w:val="center"/>
          </w:tcPr>
          <w:p w14:paraId="4AB164B8">
            <w:pPr>
              <w:adjustRightInd w:val="0"/>
              <w:snapToGrid w:val="0"/>
              <w:spacing w:line="276" w:lineRule="auto"/>
              <w:rPr>
                <w:rFonts w:ascii="宋体" w:hAnsi="宋体" w:cs="Arial"/>
                <w:szCs w:val="21"/>
              </w:rPr>
            </w:pPr>
            <w:r>
              <w:rPr>
                <w:rFonts w:hint="eastAsia" w:ascii="宋体" w:hAnsi="宋体" w:cs="Arial"/>
                <w:szCs w:val="21"/>
              </w:rPr>
              <w:t>转向架最大长度（</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5D650606">
            <w:pPr>
              <w:adjustRightInd w:val="0"/>
              <w:snapToGrid w:val="0"/>
              <w:spacing w:line="276" w:lineRule="auto"/>
              <w:jc w:val="center"/>
              <w:rPr>
                <w:rFonts w:ascii="宋体" w:hAnsi="宋体" w:cs="Arial"/>
                <w:szCs w:val="21"/>
              </w:rPr>
            </w:pPr>
            <w:r>
              <w:rPr>
                <w:rFonts w:hint="eastAsia" w:ascii="宋体" w:hAnsi="宋体" w:cs="Arial"/>
                <w:szCs w:val="21"/>
              </w:rPr>
              <w:t>43</w:t>
            </w:r>
            <w:r>
              <w:rPr>
                <w:rFonts w:ascii="宋体" w:hAnsi="宋体" w:cs="Arial"/>
                <w:szCs w:val="21"/>
              </w:rPr>
              <w:t>00</w:t>
            </w:r>
          </w:p>
        </w:tc>
      </w:tr>
      <w:tr w14:paraId="4BEE4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14CBA4B9">
            <w:pPr>
              <w:adjustRightInd w:val="0"/>
              <w:snapToGrid w:val="0"/>
              <w:spacing w:line="276" w:lineRule="auto"/>
              <w:jc w:val="center"/>
              <w:rPr>
                <w:rFonts w:ascii="宋体" w:hAnsi="宋体" w:cs="Arial"/>
                <w:szCs w:val="21"/>
              </w:rPr>
            </w:pPr>
            <w:r>
              <w:rPr>
                <w:rFonts w:ascii="宋体" w:hAnsi="宋体" w:cs="Arial"/>
                <w:szCs w:val="21"/>
              </w:rPr>
              <w:t>8</w:t>
            </w:r>
          </w:p>
        </w:tc>
        <w:tc>
          <w:tcPr>
            <w:tcW w:w="2362" w:type="pct"/>
            <w:gridSpan w:val="2"/>
            <w:shd w:val="clear" w:color="auto" w:fill="FFFFFF"/>
            <w:vAlign w:val="center"/>
          </w:tcPr>
          <w:p w14:paraId="701844B3">
            <w:pPr>
              <w:adjustRightInd w:val="0"/>
              <w:snapToGrid w:val="0"/>
              <w:spacing w:line="276" w:lineRule="auto"/>
              <w:rPr>
                <w:rFonts w:ascii="宋体" w:hAnsi="宋体" w:cs="Arial"/>
                <w:szCs w:val="21"/>
              </w:rPr>
            </w:pPr>
            <w:r>
              <w:rPr>
                <w:rFonts w:hint="eastAsia" w:ascii="宋体" w:hAnsi="宋体" w:cs="Arial"/>
                <w:szCs w:val="21"/>
              </w:rPr>
              <w:t>转向架最大宽度（</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2ACE9C3B">
            <w:pPr>
              <w:adjustRightInd w:val="0"/>
              <w:snapToGrid w:val="0"/>
              <w:spacing w:line="276" w:lineRule="auto"/>
              <w:jc w:val="center"/>
              <w:rPr>
                <w:rFonts w:ascii="宋体" w:hAnsi="宋体" w:cs="Arial"/>
                <w:szCs w:val="21"/>
              </w:rPr>
            </w:pPr>
            <w:r>
              <w:rPr>
                <w:rFonts w:ascii="宋体" w:hAnsi="宋体" w:cs="Arial"/>
                <w:szCs w:val="21"/>
              </w:rPr>
              <w:t>3300</w:t>
            </w:r>
          </w:p>
        </w:tc>
      </w:tr>
      <w:tr w14:paraId="60CDE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0967C864">
            <w:pPr>
              <w:adjustRightInd w:val="0"/>
              <w:snapToGrid w:val="0"/>
              <w:spacing w:line="276" w:lineRule="auto"/>
              <w:jc w:val="center"/>
              <w:rPr>
                <w:rFonts w:ascii="宋体" w:hAnsi="宋体" w:cs="Arial"/>
                <w:szCs w:val="21"/>
              </w:rPr>
            </w:pPr>
            <w:r>
              <w:rPr>
                <w:rFonts w:ascii="宋体" w:hAnsi="宋体" w:cs="Arial"/>
                <w:szCs w:val="21"/>
              </w:rPr>
              <w:t>9</w:t>
            </w:r>
          </w:p>
        </w:tc>
        <w:tc>
          <w:tcPr>
            <w:tcW w:w="2362" w:type="pct"/>
            <w:gridSpan w:val="2"/>
            <w:shd w:val="clear" w:color="auto" w:fill="FFFFFF"/>
            <w:vAlign w:val="center"/>
          </w:tcPr>
          <w:p w14:paraId="4FE2CBC3">
            <w:pPr>
              <w:adjustRightInd w:val="0"/>
              <w:snapToGrid w:val="0"/>
              <w:spacing w:line="276" w:lineRule="auto"/>
              <w:rPr>
                <w:rFonts w:ascii="宋体" w:hAnsi="宋体" w:cs="Arial"/>
                <w:szCs w:val="21"/>
              </w:rPr>
            </w:pPr>
            <w:r>
              <w:rPr>
                <w:rFonts w:hint="eastAsia" w:ascii="宋体" w:hAnsi="宋体" w:cs="Arial"/>
                <w:szCs w:val="21"/>
              </w:rPr>
              <w:t>加载点数</w:t>
            </w:r>
          </w:p>
        </w:tc>
        <w:tc>
          <w:tcPr>
            <w:tcW w:w="2200" w:type="pct"/>
            <w:shd w:val="clear" w:color="auto" w:fill="FFFFFF"/>
            <w:vAlign w:val="center"/>
          </w:tcPr>
          <w:p w14:paraId="4D471FE1">
            <w:pPr>
              <w:adjustRightInd w:val="0"/>
              <w:snapToGrid w:val="0"/>
              <w:spacing w:line="276" w:lineRule="auto"/>
              <w:jc w:val="center"/>
              <w:rPr>
                <w:rFonts w:ascii="宋体" w:hAnsi="宋体" w:cs="Arial"/>
                <w:szCs w:val="21"/>
              </w:rPr>
            </w:pPr>
            <w:r>
              <w:rPr>
                <w:rFonts w:ascii="宋体" w:hAnsi="宋体" w:cs="Arial"/>
                <w:szCs w:val="21"/>
              </w:rPr>
              <w:t>2</w:t>
            </w:r>
            <w:r>
              <w:rPr>
                <w:rFonts w:hint="eastAsia" w:ascii="宋体" w:hAnsi="宋体" w:cs="Arial"/>
                <w:szCs w:val="21"/>
              </w:rPr>
              <w:t>点</w:t>
            </w:r>
          </w:p>
        </w:tc>
      </w:tr>
      <w:tr w14:paraId="1CF8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1C96A48D">
            <w:pPr>
              <w:adjustRightInd w:val="0"/>
              <w:snapToGrid w:val="0"/>
              <w:spacing w:line="276" w:lineRule="auto"/>
              <w:jc w:val="center"/>
              <w:rPr>
                <w:rFonts w:ascii="宋体" w:hAnsi="宋体" w:cs="Arial"/>
                <w:szCs w:val="21"/>
              </w:rPr>
            </w:pPr>
            <w:r>
              <w:rPr>
                <w:rFonts w:ascii="宋体" w:hAnsi="宋体" w:cs="Arial"/>
                <w:szCs w:val="21"/>
              </w:rPr>
              <w:t>10</w:t>
            </w:r>
          </w:p>
        </w:tc>
        <w:tc>
          <w:tcPr>
            <w:tcW w:w="2362" w:type="pct"/>
            <w:gridSpan w:val="2"/>
            <w:shd w:val="clear" w:color="auto" w:fill="FFFFFF"/>
            <w:vAlign w:val="center"/>
          </w:tcPr>
          <w:p w14:paraId="229C06C6">
            <w:pPr>
              <w:adjustRightInd w:val="0"/>
              <w:snapToGrid w:val="0"/>
              <w:spacing w:line="276" w:lineRule="auto"/>
              <w:rPr>
                <w:rFonts w:ascii="宋体" w:hAnsi="宋体" w:cs="Arial"/>
                <w:szCs w:val="21"/>
              </w:rPr>
            </w:pPr>
            <w:r>
              <w:rPr>
                <w:rFonts w:hint="eastAsia" w:ascii="宋体" w:hAnsi="宋体" w:cs="Arial"/>
                <w:szCs w:val="21"/>
              </w:rPr>
              <w:t>加载点之间的最大距离（</w:t>
            </w:r>
            <w:r>
              <w:rPr>
                <w:rFonts w:ascii="宋体" w:hAnsi="宋体" w:cs="Arial"/>
                <w:szCs w:val="21"/>
              </w:rPr>
              <w:t>mm</w:t>
            </w:r>
            <w:r>
              <w:rPr>
                <w:rFonts w:hint="eastAsia" w:ascii="宋体" w:hAnsi="宋体" w:cs="Arial"/>
                <w:szCs w:val="21"/>
              </w:rPr>
              <w:t>）</w:t>
            </w:r>
          </w:p>
        </w:tc>
        <w:tc>
          <w:tcPr>
            <w:tcW w:w="2200" w:type="pct"/>
            <w:shd w:val="clear" w:color="auto" w:fill="FFFFFF"/>
            <w:vAlign w:val="center"/>
          </w:tcPr>
          <w:p w14:paraId="572DF963">
            <w:pPr>
              <w:adjustRightInd w:val="0"/>
              <w:snapToGrid w:val="0"/>
              <w:spacing w:line="276" w:lineRule="auto"/>
              <w:jc w:val="center"/>
              <w:rPr>
                <w:rFonts w:ascii="宋体" w:hAnsi="宋体" w:cs="Arial"/>
                <w:szCs w:val="21"/>
              </w:rPr>
            </w:pPr>
            <w:r>
              <w:rPr>
                <w:rFonts w:hint="eastAsia" w:ascii="宋体" w:hAnsi="宋体" w:cs="Arial"/>
                <w:szCs w:val="21"/>
              </w:rPr>
              <w:t>1500mm-2400mm</w:t>
            </w:r>
          </w:p>
        </w:tc>
      </w:tr>
      <w:tr w14:paraId="5F9E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6FA9D9B7">
            <w:pPr>
              <w:adjustRightInd w:val="0"/>
              <w:snapToGrid w:val="0"/>
              <w:spacing w:line="276" w:lineRule="auto"/>
              <w:jc w:val="center"/>
              <w:rPr>
                <w:rFonts w:ascii="宋体" w:hAnsi="宋体" w:cs="Arial"/>
                <w:szCs w:val="21"/>
              </w:rPr>
            </w:pPr>
            <w:r>
              <w:rPr>
                <w:rFonts w:ascii="宋体" w:hAnsi="宋体" w:cs="Arial"/>
                <w:szCs w:val="21"/>
              </w:rPr>
              <w:t>11</w:t>
            </w:r>
          </w:p>
        </w:tc>
        <w:tc>
          <w:tcPr>
            <w:tcW w:w="2362" w:type="pct"/>
            <w:gridSpan w:val="2"/>
            <w:shd w:val="clear" w:color="auto" w:fill="FFFFFF"/>
            <w:vAlign w:val="center"/>
          </w:tcPr>
          <w:p w14:paraId="1467B0F6">
            <w:pPr>
              <w:adjustRightInd w:val="0"/>
              <w:snapToGrid w:val="0"/>
              <w:spacing w:line="276" w:lineRule="auto"/>
              <w:rPr>
                <w:rFonts w:ascii="宋体" w:hAnsi="宋体" w:cs="Arial"/>
                <w:szCs w:val="21"/>
              </w:rPr>
            </w:pPr>
            <w:r>
              <w:rPr>
                <w:rFonts w:hint="eastAsia" w:ascii="宋体" w:hAnsi="宋体" w:cs="Arial"/>
                <w:szCs w:val="21"/>
              </w:rPr>
              <w:t>单个主油缸加载载荷</w:t>
            </w:r>
          </w:p>
        </w:tc>
        <w:tc>
          <w:tcPr>
            <w:tcW w:w="2200" w:type="pct"/>
            <w:shd w:val="clear" w:color="auto" w:fill="FFFFFF"/>
            <w:vAlign w:val="center"/>
          </w:tcPr>
          <w:p w14:paraId="3ADA34D5">
            <w:pPr>
              <w:adjustRightInd w:val="0"/>
              <w:snapToGrid w:val="0"/>
              <w:spacing w:line="276" w:lineRule="auto"/>
              <w:jc w:val="center"/>
              <w:rPr>
                <w:rFonts w:ascii="宋体" w:hAnsi="宋体" w:cs="Arial"/>
                <w:szCs w:val="21"/>
              </w:rPr>
            </w:pPr>
            <w:r>
              <w:rPr>
                <w:rFonts w:hint="eastAsia" w:ascii="宋体" w:hAnsi="宋体" w:cs="Arial"/>
                <w:szCs w:val="21"/>
              </w:rPr>
              <w:t>≧</w:t>
            </w:r>
            <w:r>
              <w:rPr>
                <w:rFonts w:ascii="宋体" w:hAnsi="宋体" w:cs="Arial"/>
                <w:szCs w:val="21"/>
              </w:rPr>
              <w:t>150kN</w:t>
            </w:r>
          </w:p>
        </w:tc>
      </w:tr>
      <w:tr w14:paraId="7756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28238F96">
            <w:pPr>
              <w:adjustRightInd w:val="0"/>
              <w:snapToGrid w:val="0"/>
              <w:spacing w:line="276" w:lineRule="auto"/>
              <w:jc w:val="center"/>
              <w:rPr>
                <w:rFonts w:ascii="宋体" w:hAnsi="宋体" w:cs="Arial"/>
                <w:szCs w:val="21"/>
              </w:rPr>
            </w:pPr>
            <w:r>
              <w:rPr>
                <w:rFonts w:ascii="宋体" w:hAnsi="宋体" w:cs="Arial"/>
                <w:szCs w:val="21"/>
              </w:rPr>
              <w:t>12</w:t>
            </w:r>
          </w:p>
        </w:tc>
        <w:tc>
          <w:tcPr>
            <w:tcW w:w="2362" w:type="pct"/>
            <w:gridSpan w:val="2"/>
            <w:shd w:val="clear" w:color="auto" w:fill="FFFFFF"/>
            <w:vAlign w:val="center"/>
          </w:tcPr>
          <w:p w14:paraId="3C556091">
            <w:pPr>
              <w:adjustRightInd w:val="0"/>
              <w:snapToGrid w:val="0"/>
              <w:spacing w:line="276" w:lineRule="auto"/>
              <w:rPr>
                <w:rFonts w:ascii="宋体" w:hAnsi="宋体" w:cs="Arial"/>
                <w:szCs w:val="21"/>
              </w:rPr>
            </w:pPr>
            <w:r>
              <w:rPr>
                <w:rFonts w:hint="eastAsia" w:ascii="宋体" w:hAnsi="宋体" w:cs="Arial"/>
                <w:szCs w:val="21"/>
              </w:rPr>
              <w:t>主油缸行程</w:t>
            </w:r>
          </w:p>
        </w:tc>
        <w:tc>
          <w:tcPr>
            <w:tcW w:w="2200" w:type="pct"/>
            <w:shd w:val="clear" w:color="auto" w:fill="FFFFFF"/>
            <w:vAlign w:val="center"/>
          </w:tcPr>
          <w:p w14:paraId="70F4EA31">
            <w:pPr>
              <w:adjustRightInd w:val="0"/>
              <w:snapToGrid w:val="0"/>
              <w:spacing w:line="276" w:lineRule="auto"/>
              <w:jc w:val="center"/>
              <w:rPr>
                <w:rFonts w:ascii="宋体" w:hAnsi="宋体" w:cs="Arial"/>
                <w:szCs w:val="21"/>
              </w:rPr>
            </w:pPr>
            <w:r>
              <w:rPr>
                <w:rFonts w:hint="eastAsia" w:ascii="宋体" w:hAnsi="宋体" w:cs="Arial"/>
                <w:szCs w:val="21"/>
              </w:rPr>
              <w:t>500mm</w:t>
            </w:r>
          </w:p>
        </w:tc>
      </w:tr>
      <w:tr w14:paraId="220A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345A3E85">
            <w:pPr>
              <w:adjustRightInd w:val="0"/>
              <w:snapToGrid w:val="0"/>
              <w:spacing w:line="276" w:lineRule="auto"/>
              <w:jc w:val="center"/>
              <w:rPr>
                <w:rFonts w:ascii="宋体" w:hAnsi="宋体" w:cs="Arial"/>
                <w:szCs w:val="21"/>
              </w:rPr>
            </w:pPr>
            <w:r>
              <w:rPr>
                <w:rFonts w:hint="eastAsia" w:ascii="宋体" w:hAnsi="宋体" w:cs="Arial"/>
                <w:szCs w:val="21"/>
              </w:rPr>
              <w:t>13</w:t>
            </w:r>
          </w:p>
        </w:tc>
        <w:tc>
          <w:tcPr>
            <w:tcW w:w="2362" w:type="pct"/>
            <w:gridSpan w:val="2"/>
            <w:shd w:val="clear" w:color="auto" w:fill="FFFFFF"/>
            <w:vAlign w:val="center"/>
          </w:tcPr>
          <w:p w14:paraId="0BDA82CD">
            <w:pPr>
              <w:adjustRightInd w:val="0"/>
              <w:snapToGrid w:val="0"/>
              <w:spacing w:line="276" w:lineRule="auto"/>
              <w:rPr>
                <w:rFonts w:ascii="宋体" w:hAnsi="宋体" w:cs="Arial"/>
                <w:szCs w:val="21"/>
              </w:rPr>
            </w:pPr>
            <w:r>
              <w:rPr>
                <w:rFonts w:hint="eastAsia" w:ascii="宋体" w:hAnsi="宋体" w:cs="Arial"/>
                <w:szCs w:val="21"/>
              </w:rPr>
              <w:t>压力传感器</w:t>
            </w:r>
          </w:p>
        </w:tc>
        <w:tc>
          <w:tcPr>
            <w:tcW w:w="2200" w:type="pct"/>
            <w:shd w:val="clear" w:color="auto" w:fill="FFFFFF"/>
            <w:vAlign w:val="center"/>
          </w:tcPr>
          <w:p w14:paraId="29260446">
            <w:pPr>
              <w:adjustRightInd w:val="0"/>
              <w:snapToGrid w:val="0"/>
              <w:spacing w:line="276" w:lineRule="auto"/>
              <w:jc w:val="center"/>
              <w:rPr>
                <w:rFonts w:ascii="宋体" w:hAnsi="宋体" w:cs="Arial"/>
                <w:szCs w:val="21"/>
              </w:rPr>
            </w:pPr>
            <w:r>
              <w:rPr>
                <w:rFonts w:ascii="宋体" w:hAnsi="宋体" w:cs="Arial"/>
                <w:szCs w:val="21"/>
              </w:rPr>
              <w:t>≤0.03%</w:t>
            </w:r>
          </w:p>
        </w:tc>
      </w:tr>
      <w:tr w14:paraId="22169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3E038E7F">
            <w:pPr>
              <w:adjustRightInd w:val="0"/>
              <w:snapToGrid w:val="0"/>
              <w:spacing w:line="276" w:lineRule="auto"/>
              <w:jc w:val="center"/>
              <w:rPr>
                <w:rFonts w:ascii="宋体" w:hAnsi="宋体" w:cs="Arial"/>
                <w:szCs w:val="21"/>
              </w:rPr>
            </w:pPr>
            <w:r>
              <w:rPr>
                <w:rFonts w:ascii="宋体" w:hAnsi="宋体" w:cs="Arial"/>
                <w:szCs w:val="21"/>
              </w:rPr>
              <w:t>14</w:t>
            </w:r>
          </w:p>
        </w:tc>
        <w:tc>
          <w:tcPr>
            <w:tcW w:w="364" w:type="pct"/>
            <w:vMerge w:val="restart"/>
            <w:shd w:val="clear" w:color="auto" w:fill="FFFFFF"/>
            <w:vAlign w:val="center"/>
          </w:tcPr>
          <w:p w14:paraId="75704D43">
            <w:pPr>
              <w:adjustRightInd w:val="0"/>
              <w:snapToGrid w:val="0"/>
              <w:spacing w:line="276" w:lineRule="auto"/>
              <w:rPr>
                <w:rFonts w:ascii="宋体" w:hAnsi="宋体" w:cs="Arial"/>
                <w:szCs w:val="21"/>
              </w:rPr>
            </w:pPr>
            <w:r>
              <w:rPr>
                <w:rFonts w:hint="eastAsia" w:ascii="宋体" w:hAnsi="宋体" w:cs="Arial"/>
                <w:szCs w:val="21"/>
              </w:rPr>
              <w:t>精</w:t>
            </w:r>
          </w:p>
          <w:p w14:paraId="600A5570">
            <w:pPr>
              <w:adjustRightInd w:val="0"/>
              <w:snapToGrid w:val="0"/>
              <w:spacing w:line="276" w:lineRule="auto"/>
              <w:rPr>
                <w:rFonts w:ascii="宋体" w:hAnsi="宋体" w:cs="Arial"/>
                <w:szCs w:val="21"/>
              </w:rPr>
            </w:pPr>
            <w:r>
              <w:rPr>
                <w:rFonts w:hint="eastAsia" w:ascii="宋体" w:hAnsi="宋体" w:cs="Arial"/>
                <w:szCs w:val="21"/>
              </w:rPr>
              <w:t>度</w:t>
            </w:r>
          </w:p>
          <w:p w14:paraId="0CCC7465">
            <w:pPr>
              <w:adjustRightInd w:val="0"/>
              <w:snapToGrid w:val="0"/>
              <w:spacing w:line="276" w:lineRule="auto"/>
              <w:rPr>
                <w:rFonts w:ascii="宋体" w:hAnsi="宋体" w:cs="Arial"/>
                <w:szCs w:val="21"/>
              </w:rPr>
            </w:pPr>
            <w:r>
              <w:rPr>
                <w:rFonts w:hint="eastAsia" w:ascii="宋体" w:hAnsi="宋体" w:cs="Arial"/>
                <w:szCs w:val="21"/>
              </w:rPr>
              <w:t>要</w:t>
            </w:r>
          </w:p>
          <w:p w14:paraId="4B13975E">
            <w:pPr>
              <w:adjustRightInd w:val="0"/>
              <w:snapToGrid w:val="0"/>
              <w:spacing w:line="276" w:lineRule="auto"/>
              <w:rPr>
                <w:rFonts w:ascii="宋体" w:hAnsi="宋体" w:cs="Arial"/>
                <w:szCs w:val="21"/>
              </w:rPr>
            </w:pPr>
            <w:r>
              <w:rPr>
                <w:rFonts w:hint="eastAsia" w:ascii="宋体" w:hAnsi="宋体" w:cs="Arial"/>
                <w:szCs w:val="21"/>
              </w:rPr>
              <w:t>求</w:t>
            </w:r>
          </w:p>
        </w:tc>
        <w:tc>
          <w:tcPr>
            <w:tcW w:w="1998" w:type="pct"/>
            <w:shd w:val="clear" w:color="auto" w:fill="FFFFFF"/>
            <w:vAlign w:val="center"/>
          </w:tcPr>
          <w:p w14:paraId="03E3498A">
            <w:pPr>
              <w:adjustRightInd w:val="0"/>
              <w:snapToGrid w:val="0"/>
              <w:spacing w:line="276" w:lineRule="auto"/>
              <w:rPr>
                <w:rFonts w:ascii="宋体" w:hAnsi="宋体" w:cs="Arial"/>
                <w:szCs w:val="21"/>
              </w:rPr>
            </w:pPr>
            <w:r>
              <w:rPr>
                <w:rFonts w:hint="eastAsia" w:ascii="宋体" w:hAnsi="宋体" w:cs="Arial"/>
                <w:szCs w:val="21"/>
              </w:rPr>
              <w:t>转向架轴距</w:t>
            </w:r>
            <w:r>
              <w:rPr>
                <w:rFonts w:ascii="宋体" w:hAnsi="宋体" w:cs="Arial"/>
                <w:szCs w:val="21"/>
              </w:rPr>
              <w:t>(mm)</w:t>
            </w:r>
          </w:p>
        </w:tc>
        <w:tc>
          <w:tcPr>
            <w:tcW w:w="2200" w:type="pct"/>
            <w:shd w:val="clear" w:color="auto" w:fill="FFFFFF"/>
            <w:vAlign w:val="center"/>
          </w:tcPr>
          <w:p w14:paraId="627D152E">
            <w:pPr>
              <w:adjustRightInd w:val="0"/>
              <w:snapToGrid w:val="0"/>
              <w:spacing w:line="276" w:lineRule="auto"/>
              <w:jc w:val="center"/>
              <w:rPr>
                <w:rFonts w:ascii="宋体" w:hAnsi="宋体" w:cs="Arial"/>
                <w:szCs w:val="21"/>
              </w:rPr>
            </w:pPr>
            <w:r>
              <w:rPr>
                <w:rFonts w:ascii="宋体" w:hAnsi="宋体" w:cs="Arial"/>
                <w:szCs w:val="21"/>
              </w:rPr>
              <w:t>≤0.2</w:t>
            </w:r>
          </w:p>
        </w:tc>
      </w:tr>
      <w:tr w14:paraId="0754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0B4D0E12">
            <w:pPr>
              <w:adjustRightInd w:val="0"/>
              <w:snapToGrid w:val="0"/>
              <w:spacing w:line="276" w:lineRule="auto"/>
              <w:jc w:val="center"/>
              <w:rPr>
                <w:rFonts w:ascii="宋体" w:hAnsi="宋体" w:cs="Arial"/>
                <w:szCs w:val="21"/>
              </w:rPr>
            </w:pPr>
            <w:r>
              <w:rPr>
                <w:rFonts w:ascii="宋体" w:hAnsi="宋体" w:cs="Arial"/>
                <w:szCs w:val="21"/>
              </w:rPr>
              <w:t>15</w:t>
            </w:r>
          </w:p>
        </w:tc>
        <w:tc>
          <w:tcPr>
            <w:tcW w:w="364" w:type="pct"/>
            <w:vMerge w:val="continue"/>
            <w:shd w:val="clear" w:color="auto" w:fill="FFFFFF"/>
            <w:vAlign w:val="center"/>
          </w:tcPr>
          <w:p w14:paraId="23FF85C2">
            <w:pPr>
              <w:adjustRightInd w:val="0"/>
              <w:snapToGrid w:val="0"/>
              <w:spacing w:line="276" w:lineRule="auto"/>
              <w:rPr>
                <w:rFonts w:ascii="宋体" w:hAnsi="宋体" w:cs="Arial"/>
                <w:szCs w:val="21"/>
              </w:rPr>
            </w:pPr>
          </w:p>
        </w:tc>
        <w:tc>
          <w:tcPr>
            <w:tcW w:w="1998" w:type="pct"/>
            <w:shd w:val="clear" w:color="auto" w:fill="FFFFFF"/>
            <w:vAlign w:val="center"/>
          </w:tcPr>
          <w:p w14:paraId="62769B56">
            <w:pPr>
              <w:adjustRightInd w:val="0"/>
              <w:snapToGrid w:val="0"/>
              <w:spacing w:line="276" w:lineRule="auto"/>
              <w:rPr>
                <w:rFonts w:ascii="宋体" w:hAnsi="宋体" w:cs="Arial"/>
                <w:szCs w:val="21"/>
              </w:rPr>
            </w:pPr>
            <w:r>
              <w:rPr>
                <w:rFonts w:ascii="宋体" w:hAnsi="宋体" w:cs="Arial"/>
                <w:szCs w:val="21"/>
              </w:rPr>
              <w:t>2</w:t>
            </w:r>
            <w:r>
              <w:rPr>
                <w:rFonts w:hint="eastAsia" w:ascii="宋体" w:hAnsi="宋体" w:cs="Arial"/>
                <w:szCs w:val="21"/>
              </w:rPr>
              <w:t>轴间的平行度</w:t>
            </w:r>
          </w:p>
        </w:tc>
        <w:tc>
          <w:tcPr>
            <w:tcW w:w="2200" w:type="pct"/>
            <w:shd w:val="clear" w:color="auto" w:fill="FFFFFF"/>
            <w:vAlign w:val="center"/>
          </w:tcPr>
          <w:p w14:paraId="15F1C70C">
            <w:pPr>
              <w:adjustRightInd w:val="0"/>
              <w:snapToGrid w:val="0"/>
              <w:spacing w:line="276" w:lineRule="auto"/>
              <w:jc w:val="center"/>
              <w:rPr>
                <w:rFonts w:ascii="宋体" w:hAnsi="宋体" w:cs="Arial"/>
                <w:szCs w:val="21"/>
              </w:rPr>
            </w:pPr>
            <w:r>
              <w:rPr>
                <w:rFonts w:ascii="宋体" w:hAnsi="宋体" w:cs="Arial"/>
                <w:szCs w:val="21"/>
              </w:rPr>
              <w:t>≤0.2</w:t>
            </w:r>
          </w:p>
        </w:tc>
      </w:tr>
      <w:tr w14:paraId="6EE6A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0121C913">
            <w:pPr>
              <w:adjustRightInd w:val="0"/>
              <w:snapToGrid w:val="0"/>
              <w:spacing w:line="276" w:lineRule="auto"/>
              <w:jc w:val="center"/>
              <w:rPr>
                <w:rFonts w:ascii="宋体" w:hAnsi="宋体" w:cs="Arial"/>
                <w:szCs w:val="21"/>
              </w:rPr>
            </w:pPr>
            <w:r>
              <w:rPr>
                <w:rFonts w:ascii="宋体" w:hAnsi="宋体" w:cs="Arial"/>
                <w:szCs w:val="21"/>
              </w:rPr>
              <w:t>16</w:t>
            </w:r>
          </w:p>
        </w:tc>
        <w:tc>
          <w:tcPr>
            <w:tcW w:w="364" w:type="pct"/>
            <w:vMerge w:val="continue"/>
            <w:shd w:val="clear" w:color="auto" w:fill="FFFFFF"/>
            <w:vAlign w:val="center"/>
          </w:tcPr>
          <w:p w14:paraId="41E1A975">
            <w:pPr>
              <w:adjustRightInd w:val="0"/>
              <w:snapToGrid w:val="0"/>
              <w:spacing w:line="276" w:lineRule="auto"/>
              <w:rPr>
                <w:rFonts w:ascii="宋体" w:hAnsi="宋体" w:cs="Arial"/>
                <w:szCs w:val="21"/>
              </w:rPr>
            </w:pPr>
          </w:p>
        </w:tc>
        <w:tc>
          <w:tcPr>
            <w:tcW w:w="1998" w:type="pct"/>
            <w:shd w:val="clear" w:color="auto" w:fill="FFFFFF"/>
            <w:vAlign w:val="center"/>
          </w:tcPr>
          <w:p w14:paraId="39753097">
            <w:pPr>
              <w:adjustRightInd w:val="0"/>
              <w:snapToGrid w:val="0"/>
              <w:spacing w:line="276" w:lineRule="auto"/>
              <w:rPr>
                <w:rFonts w:ascii="宋体" w:hAnsi="宋体" w:cs="Arial"/>
                <w:szCs w:val="21"/>
              </w:rPr>
            </w:pPr>
            <w:r>
              <w:rPr>
                <w:rFonts w:hint="eastAsia" w:ascii="宋体" w:hAnsi="宋体" w:cs="Arial"/>
                <w:szCs w:val="21"/>
              </w:rPr>
              <w:t>内侧距</w:t>
            </w:r>
            <w:r>
              <w:rPr>
                <w:rFonts w:ascii="宋体" w:hAnsi="宋体" w:cs="Arial"/>
                <w:szCs w:val="21"/>
              </w:rPr>
              <w:t>(mm)</w:t>
            </w:r>
          </w:p>
        </w:tc>
        <w:tc>
          <w:tcPr>
            <w:tcW w:w="2200" w:type="pct"/>
            <w:shd w:val="clear" w:color="auto" w:fill="FFFFFF"/>
            <w:vAlign w:val="center"/>
          </w:tcPr>
          <w:p w14:paraId="718F44C8">
            <w:pPr>
              <w:adjustRightInd w:val="0"/>
              <w:snapToGrid w:val="0"/>
              <w:spacing w:line="276" w:lineRule="auto"/>
              <w:jc w:val="center"/>
              <w:rPr>
                <w:rFonts w:ascii="宋体" w:hAnsi="宋体" w:cs="Arial"/>
                <w:szCs w:val="21"/>
              </w:rPr>
            </w:pPr>
            <w:r>
              <w:rPr>
                <w:rFonts w:ascii="宋体" w:hAnsi="宋体" w:cs="Arial"/>
                <w:szCs w:val="21"/>
              </w:rPr>
              <w:t>≤0.2</w:t>
            </w:r>
          </w:p>
        </w:tc>
      </w:tr>
      <w:tr w14:paraId="45434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53DFEB09">
            <w:pPr>
              <w:adjustRightInd w:val="0"/>
              <w:snapToGrid w:val="0"/>
              <w:spacing w:line="276" w:lineRule="auto"/>
              <w:jc w:val="center"/>
              <w:rPr>
                <w:rFonts w:ascii="宋体" w:hAnsi="宋体" w:cs="Arial"/>
                <w:szCs w:val="21"/>
              </w:rPr>
            </w:pPr>
            <w:r>
              <w:rPr>
                <w:rFonts w:ascii="宋体" w:hAnsi="宋体" w:cs="Arial"/>
                <w:szCs w:val="21"/>
              </w:rPr>
              <w:t>17</w:t>
            </w:r>
          </w:p>
        </w:tc>
        <w:tc>
          <w:tcPr>
            <w:tcW w:w="364" w:type="pct"/>
            <w:vMerge w:val="continue"/>
            <w:shd w:val="clear" w:color="auto" w:fill="FFFFFF"/>
            <w:vAlign w:val="center"/>
          </w:tcPr>
          <w:p w14:paraId="2FA13E81">
            <w:pPr>
              <w:adjustRightInd w:val="0"/>
              <w:snapToGrid w:val="0"/>
              <w:spacing w:line="276" w:lineRule="auto"/>
              <w:rPr>
                <w:rFonts w:ascii="宋体" w:hAnsi="宋体" w:cs="Arial"/>
                <w:szCs w:val="21"/>
              </w:rPr>
            </w:pPr>
          </w:p>
        </w:tc>
        <w:tc>
          <w:tcPr>
            <w:tcW w:w="1998" w:type="pct"/>
            <w:shd w:val="clear" w:color="auto" w:fill="FFFFFF"/>
            <w:vAlign w:val="center"/>
          </w:tcPr>
          <w:p w14:paraId="5DD8549D">
            <w:pPr>
              <w:adjustRightInd w:val="0"/>
              <w:snapToGrid w:val="0"/>
              <w:spacing w:line="276" w:lineRule="auto"/>
              <w:rPr>
                <w:rFonts w:ascii="宋体" w:hAnsi="宋体" w:cs="Arial"/>
                <w:szCs w:val="21"/>
              </w:rPr>
            </w:pPr>
            <w:r>
              <w:rPr>
                <w:rFonts w:hint="eastAsia" w:ascii="宋体" w:hAnsi="宋体" w:cs="Arial"/>
                <w:szCs w:val="21"/>
              </w:rPr>
              <w:t>轮重精度</w:t>
            </w:r>
          </w:p>
        </w:tc>
        <w:tc>
          <w:tcPr>
            <w:tcW w:w="2200" w:type="pct"/>
            <w:shd w:val="clear" w:color="auto" w:fill="FFFFFF"/>
            <w:vAlign w:val="center"/>
          </w:tcPr>
          <w:p w14:paraId="4D3684FC">
            <w:pPr>
              <w:adjustRightInd w:val="0"/>
              <w:snapToGrid w:val="0"/>
              <w:spacing w:line="276" w:lineRule="auto"/>
              <w:jc w:val="center"/>
              <w:rPr>
                <w:rFonts w:ascii="宋体" w:hAnsi="宋体" w:cs="Arial"/>
                <w:szCs w:val="21"/>
              </w:rPr>
            </w:pPr>
            <w:r>
              <w:rPr>
                <w:rFonts w:ascii="宋体" w:hAnsi="宋体" w:cs="Arial"/>
                <w:szCs w:val="21"/>
              </w:rPr>
              <w:t>≤ 0.05 %</w:t>
            </w:r>
          </w:p>
        </w:tc>
      </w:tr>
      <w:tr w14:paraId="04C76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743FB1A6">
            <w:pPr>
              <w:adjustRightInd w:val="0"/>
              <w:snapToGrid w:val="0"/>
              <w:spacing w:line="276" w:lineRule="auto"/>
              <w:jc w:val="center"/>
              <w:rPr>
                <w:rFonts w:ascii="宋体" w:hAnsi="宋体" w:cs="Arial"/>
                <w:szCs w:val="21"/>
              </w:rPr>
            </w:pPr>
            <w:r>
              <w:rPr>
                <w:rFonts w:ascii="宋体" w:hAnsi="宋体" w:cs="Arial"/>
                <w:szCs w:val="21"/>
              </w:rPr>
              <w:t>18</w:t>
            </w:r>
          </w:p>
        </w:tc>
        <w:tc>
          <w:tcPr>
            <w:tcW w:w="364" w:type="pct"/>
            <w:vMerge w:val="continue"/>
            <w:shd w:val="clear" w:color="auto" w:fill="FFFFFF"/>
            <w:vAlign w:val="center"/>
          </w:tcPr>
          <w:p w14:paraId="5EC20624">
            <w:pPr>
              <w:adjustRightInd w:val="0"/>
              <w:snapToGrid w:val="0"/>
              <w:spacing w:line="276" w:lineRule="auto"/>
              <w:rPr>
                <w:rFonts w:ascii="宋体" w:hAnsi="宋体" w:cs="Arial"/>
                <w:szCs w:val="21"/>
              </w:rPr>
            </w:pPr>
          </w:p>
        </w:tc>
        <w:tc>
          <w:tcPr>
            <w:tcW w:w="1998" w:type="pct"/>
            <w:shd w:val="clear" w:color="auto" w:fill="FFFFFF"/>
            <w:vAlign w:val="center"/>
          </w:tcPr>
          <w:p w14:paraId="74977C84">
            <w:pPr>
              <w:adjustRightInd w:val="0"/>
              <w:snapToGrid w:val="0"/>
              <w:spacing w:line="276" w:lineRule="auto"/>
              <w:rPr>
                <w:rFonts w:ascii="宋体" w:hAnsi="宋体" w:cs="Arial"/>
                <w:szCs w:val="21"/>
              </w:rPr>
            </w:pPr>
            <w:r>
              <w:rPr>
                <w:rFonts w:hint="eastAsia" w:ascii="宋体" w:hAnsi="宋体" w:cs="Arial"/>
                <w:szCs w:val="21"/>
              </w:rPr>
              <w:t>测量单元间的高度差精度</w:t>
            </w:r>
          </w:p>
        </w:tc>
        <w:tc>
          <w:tcPr>
            <w:tcW w:w="2200" w:type="pct"/>
            <w:shd w:val="clear" w:color="auto" w:fill="FFFFFF"/>
            <w:vAlign w:val="center"/>
          </w:tcPr>
          <w:p w14:paraId="2FA6AE28">
            <w:pPr>
              <w:adjustRightInd w:val="0"/>
              <w:snapToGrid w:val="0"/>
              <w:spacing w:line="276" w:lineRule="auto"/>
              <w:jc w:val="center"/>
              <w:rPr>
                <w:rFonts w:ascii="宋体" w:hAnsi="宋体" w:cs="Arial"/>
                <w:szCs w:val="21"/>
              </w:rPr>
            </w:pPr>
            <w:r>
              <w:rPr>
                <w:rFonts w:ascii="宋体" w:hAnsi="宋体" w:cs="Arial"/>
                <w:szCs w:val="21"/>
              </w:rPr>
              <w:t>≤0.2</w:t>
            </w:r>
          </w:p>
        </w:tc>
      </w:tr>
      <w:tr w14:paraId="27F4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46BD4A86">
            <w:pPr>
              <w:adjustRightInd w:val="0"/>
              <w:snapToGrid w:val="0"/>
              <w:spacing w:line="276" w:lineRule="auto"/>
              <w:jc w:val="center"/>
              <w:rPr>
                <w:rFonts w:ascii="宋体" w:hAnsi="宋体" w:cs="Arial"/>
                <w:szCs w:val="21"/>
              </w:rPr>
            </w:pPr>
            <w:r>
              <w:rPr>
                <w:rFonts w:ascii="宋体" w:hAnsi="宋体" w:cs="Arial"/>
                <w:szCs w:val="21"/>
              </w:rPr>
              <w:t>19</w:t>
            </w:r>
          </w:p>
        </w:tc>
        <w:tc>
          <w:tcPr>
            <w:tcW w:w="364" w:type="pct"/>
            <w:vMerge w:val="continue"/>
            <w:shd w:val="clear" w:color="auto" w:fill="FFFFFF"/>
            <w:vAlign w:val="center"/>
          </w:tcPr>
          <w:p w14:paraId="66BBE244">
            <w:pPr>
              <w:adjustRightInd w:val="0"/>
              <w:snapToGrid w:val="0"/>
              <w:spacing w:line="276" w:lineRule="auto"/>
              <w:rPr>
                <w:rFonts w:ascii="宋体" w:hAnsi="宋体" w:cs="Arial"/>
                <w:szCs w:val="21"/>
              </w:rPr>
            </w:pPr>
          </w:p>
        </w:tc>
        <w:tc>
          <w:tcPr>
            <w:tcW w:w="1998" w:type="pct"/>
            <w:shd w:val="clear" w:color="auto" w:fill="FFFFFF"/>
            <w:vAlign w:val="center"/>
          </w:tcPr>
          <w:p w14:paraId="01326340">
            <w:pPr>
              <w:adjustRightInd w:val="0"/>
              <w:snapToGrid w:val="0"/>
              <w:spacing w:line="276" w:lineRule="auto"/>
              <w:rPr>
                <w:rFonts w:ascii="宋体" w:hAnsi="宋体" w:cs="Arial"/>
                <w:szCs w:val="21"/>
              </w:rPr>
            </w:pPr>
            <w:r>
              <w:rPr>
                <w:rFonts w:hint="eastAsia" w:ascii="宋体" w:hAnsi="宋体" w:cs="Arial"/>
                <w:szCs w:val="21"/>
              </w:rPr>
              <w:t>轴对角线</w:t>
            </w:r>
          </w:p>
        </w:tc>
        <w:tc>
          <w:tcPr>
            <w:tcW w:w="2200" w:type="pct"/>
            <w:shd w:val="clear" w:color="auto" w:fill="FFFFFF"/>
            <w:vAlign w:val="center"/>
          </w:tcPr>
          <w:p w14:paraId="7440F530">
            <w:pPr>
              <w:adjustRightInd w:val="0"/>
              <w:snapToGrid w:val="0"/>
              <w:spacing w:line="276" w:lineRule="auto"/>
              <w:jc w:val="center"/>
              <w:rPr>
                <w:rFonts w:ascii="宋体" w:hAnsi="宋体" w:cs="Arial"/>
                <w:szCs w:val="21"/>
              </w:rPr>
            </w:pPr>
            <w:r>
              <w:rPr>
                <w:rFonts w:ascii="宋体" w:hAnsi="宋体" w:cs="Arial"/>
                <w:szCs w:val="21"/>
              </w:rPr>
              <w:t>≤0.4</w:t>
            </w:r>
          </w:p>
        </w:tc>
      </w:tr>
      <w:tr w14:paraId="4E18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2441B798">
            <w:pPr>
              <w:adjustRightInd w:val="0"/>
              <w:snapToGrid w:val="0"/>
              <w:spacing w:line="276" w:lineRule="auto"/>
              <w:jc w:val="center"/>
              <w:rPr>
                <w:rFonts w:ascii="宋体" w:hAnsi="宋体" w:cs="Arial"/>
                <w:szCs w:val="21"/>
              </w:rPr>
            </w:pPr>
            <w:r>
              <w:rPr>
                <w:rFonts w:ascii="宋体" w:hAnsi="宋体" w:cs="Arial"/>
                <w:szCs w:val="21"/>
              </w:rPr>
              <w:t>20</w:t>
            </w:r>
          </w:p>
        </w:tc>
        <w:tc>
          <w:tcPr>
            <w:tcW w:w="2362" w:type="pct"/>
            <w:gridSpan w:val="2"/>
            <w:shd w:val="clear" w:color="auto" w:fill="FFFFFF"/>
            <w:vAlign w:val="center"/>
          </w:tcPr>
          <w:p w14:paraId="588B9706">
            <w:pPr>
              <w:adjustRightInd w:val="0"/>
              <w:snapToGrid w:val="0"/>
              <w:spacing w:line="276" w:lineRule="auto"/>
              <w:rPr>
                <w:rFonts w:ascii="宋体" w:hAnsi="宋体" w:cs="Arial"/>
                <w:bCs/>
                <w:szCs w:val="21"/>
              </w:rPr>
            </w:pPr>
            <w:r>
              <w:rPr>
                <w:rFonts w:hint="eastAsia" w:ascii="宋体" w:hAnsi="宋体" w:cs="Arial"/>
                <w:bCs/>
                <w:szCs w:val="21"/>
              </w:rPr>
              <w:t>两个加载油缸同步误差</w:t>
            </w:r>
          </w:p>
        </w:tc>
        <w:tc>
          <w:tcPr>
            <w:tcW w:w="2200" w:type="pct"/>
            <w:shd w:val="clear" w:color="auto" w:fill="FFFFFF"/>
            <w:vAlign w:val="center"/>
          </w:tcPr>
          <w:p w14:paraId="640A5561">
            <w:pPr>
              <w:adjustRightInd w:val="0"/>
              <w:snapToGrid w:val="0"/>
              <w:spacing w:line="276" w:lineRule="auto"/>
              <w:jc w:val="center"/>
              <w:rPr>
                <w:rFonts w:ascii="宋体" w:hAnsi="宋体" w:cs="Arial"/>
                <w:bCs/>
                <w:szCs w:val="21"/>
              </w:rPr>
            </w:pPr>
            <w:r>
              <w:rPr>
                <w:rFonts w:ascii="宋体" w:hAnsi="宋体" w:cs="Arial"/>
                <w:bCs/>
                <w:szCs w:val="21"/>
              </w:rPr>
              <w:t>≤2%</w:t>
            </w:r>
          </w:p>
        </w:tc>
      </w:tr>
      <w:tr w14:paraId="3B44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789E99D7">
            <w:pPr>
              <w:adjustRightInd w:val="0"/>
              <w:snapToGrid w:val="0"/>
              <w:spacing w:line="276" w:lineRule="auto"/>
              <w:jc w:val="center"/>
              <w:rPr>
                <w:rFonts w:ascii="宋体" w:hAnsi="宋体" w:cs="Arial"/>
                <w:szCs w:val="21"/>
              </w:rPr>
            </w:pPr>
            <w:r>
              <w:rPr>
                <w:rFonts w:ascii="宋体" w:hAnsi="宋体" w:cs="Arial"/>
                <w:szCs w:val="21"/>
              </w:rPr>
              <w:t>21</w:t>
            </w:r>
          </w:p>
        </w:tc>
        <w:tc>
          <w:tcPr>
            <w:tcW w:w="2362" w:type="pct"/>
            <w:gridSpan w:val="2"/>
            <w:shd w:val="clear" w:color="auto" w:fill="FFFFFF"/>
            <w:vAlign w:val="center"/>
          </w:tcPr>
          <w:p w14:paraId="17924428">
            <w:pPr>
              <w:adjustRightInd w:val="0"/>
              <w:snapToGrid w:val="0"/>
              <w:spacing w:line="276" w:lineRule="auto"/>
              <w:rPr>
                <w:rFonts w:ascii="宋体" w:hAnsi="宋体" w:cs="Arial"/>
                <w:szCs w:val="21"/>
              </w:rPr>
            </w:pPr>
            <w:r>
              <w:rPr>
                <w:rFonts w:hint="eastAsia" w:ascii="宋体" w:hAnsi="宋体" w:cs="Arial"/>
                <w:bCs/>
                <w:szCs w:val="21"/>
              </w:rPr>
              <w:t>油箱容量</w:t>
            </w:r>
          </w:p>
        </w:tc>
        <w:tc>
          <w:tcPr>
            <w:tcW w:w="2200" w:type="pct"/>
            <w:shd w:val="clear" w:color="auto" w:fill="FFFFFF"/>
            <w:vAlign w:val="center"/>
          </w:tcPr>
          <w:p w14:paraId="6D6BD7BB">
            <w:pPr>
              <w:adjustRightInd w:val="0"/>
              <w:snapToGrid w:val="0"/>
              <w:spacing w:line="276" w:lineRule="auto"/>
              <w:jc w:val="center"/>
              <w:rPr>
                <w:rFonts w:ascii="宋体" w:hAnsi="宋体" w:cs="Arial"/>
                <w:szCs w:val="21"/>
              </w:rPr>
            </w:pPr>
            <w:r>
              <w:rPr>
                <w:rFonts w:hint="eastAsia" w:ascii="宋体" w:hAnsi="宋体" w:cs="Arial"/>
                <w:bCs/>
                <w:szCs w:val="21"/>
              </w:rPr>
              <w:t>设计</w:t>
            </w:r>
            <w:r>
              <w:rPr>
                <w:rFonts w:ascii="宋体" w:hAnsi="宋体" w:cs="Arial"/>
                <w:bCs/>
                <w:szCs w:val="21"/>
              </w:rPr>
              <w:t>联络明确</w:t>
            </w:r>
          </w:p>
        </w:tc>
      </w:tr>
      <w:tr w14:paraId="084C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4CB42C84">
            <w:pPr>
              <w:adjustRightInd w:val="0"/>
              <w:snapToGrid w:val="0"/>
              <w:spacing w:line="276" w:lineRule="auto"/>
              <w:jc w:val="center"/>
              <w:rPr>
                <w:rFonts w:ascii="宋体" w:hAnsi="宋体" w:cs="Arial"/>
                <w:szCs w:val="21"/>
              </w:rPr>
            </w:pPr>
            <w:r>
              <w:rPr>
                <w:rFonts w:ascii="宋体" w:hAnsi="宋体" w:cs="Arial"/>
                <w:szCs w:val="21"/>
              </w:rPr>
              <w:t>2</w:t>
            </w:r>
            <w:r>
              <w:rPr>
                <w:rFonts w:hint="eastAsia" w:ascii="宋体" w:hAnsi="宋体" w:cs="Arial"/>
                <w:szCs w:val="21"/>
              </w:rPr>
              <w:t>2</w:t>
            </w:r>
          </w:p>
        </w:tc>
        <w:tc>
          <w:tcPr>
            <w:tcW w:w="2362" w:type="pct"/>
            <w:gridSpan w:val="2"/>
            <w:shd w:val="clear" w:color="auto" w:fill="FFFFFF"/>
            <w:vAlign w:val="center"/>
          </w:tcPr>
          <w:p w14:paraId="600103A0">
            <w:pPr>
              <w:adjustRightInd w:val="0"/>
              <w:snapToGrid w:val="0"/>
              <w:spacing w:line="276" w:lineRule="auto"/>
              <w:rPr>
                <w:rFonts w:ascii="宋体" w:hAnsi="宋体" w:cs="Arial"/>
                <w:szCs w:val="21"/>
              </w:rPr>
            </w:pPr>
            <w:r>
              <w:rPr>
                <w:rFonts w:hint="eastAsia" w:ascii="宋体" w:hAnsi="宋体" w:cs="Arial"/>
                <w:bCs/>
                <w:szCs w:val="21"/>
              </w:rPr>
              <w:t>装机容量</w:t>
            </w:r>
          </w:p>
        </w:tc>
        <w:tc>
          <w:tcPr>
            <w:tcW w:w="2200" w:type="pct"/>
            <w:shd w:val="clear" w:color="auto" w:fill="FFFFFF"/>
            <w:vAlign w:val="center"/>
          </w:tcPr>
          <w:p w14:paraId="7CD84969">
            <w:pPr>
              <w:adjustRightInd w:val="0"/>
              <w:snapToGrid w:val="0"/>
              <w:spacing w:line="276" w:lineRule="auto"/>
              <w:jc w:val="center"/>
              <w:rPr>
                <w:rFonts w:ascii="宋体" w:hAnsi="宋体" w:cs="Arial"/>
                <w:szCs w:val="21"/>
              </w:rPr>
            </w:pPr>
            <w:r>
              <w:rPr>
                <w:rFonts w:ascii="宋体" w:hAnsi="宋体" w:cs="Arial"/>
                <w:szCs w:val="21"/>
              </w:rPr>
              <w:t>1</w:t>
            </w:r>
            <w:r>
              <w:rPr>
                <w:rFonts w:hint="eastAsia" w:ascii="宋体" w:hAnsi="宋体" w:cs="Arial"/>
                <w:szCs w:val="21"/>
              </w:rPr>
              <w:t>2</w:t>
            </w:r>
            <w:r>
              <w:rPr>
                <w:rFonts w:ascii="宋体" w:hAnsi="宋体" w:cs="Arial"/>
                <w:szCs w:val="21"/>
              </w:rPr>
              <w:t>.5KW</w:t>
            </w:r>
          </w:p>
        </w:tc>
      </w:tr>
      <w:tr w14:paraId="2C38B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066C871E">
            <w:pPr>
              <w:adjustRightInd w:val="0"/>
              <w:snapToGrid w:val="0"/>
              <w:spacing w:line="276" w:lineRule="auto"/>
              <w:jc w:val="center"/>
              <w:rPr>
                <w:rFonts w:ascii="宋体" w:hAnsi="宋体" w:cs="Arial"/>
                <w:szCs w:val="21"/>
              </w:rPr>
            </w:pPr>
            <w:r>
              <w:rPr>
                <w:rFonts w:ascii="宋体" w:hAnsi="宋体" w:cs="Arial"/>
                <w:szCs w:val="21"/>
              </w:rPr>
              <w:t>2</w:t>
            </w:r>
            <w:r>
              <w:rPr>
                <w:rFonts w:hint="eastAsia" w:ascii="宋体" w:hAnsi="宋体" w:cs="Arial"/>
                <w:szCs w:val="21"/>
              </w:rPr>
              <w:t>3</w:t>
            </w:r>
          </w:p>
        </w:tc>
        <w:tc>
          <w:tcPr>
            <w:tcW w:w="2362" w:type="pct"/>
            <w:gridSpan w:val="2"/>
            <w:shd w:val="clear" w:color="auto" w:fill="FFFFFF"/>
            <w:vAlign w:val="center"/>
          </w:tcPr>
          <w:p w14:paraId="053D70DC">
            <w:pPr>
              <w:adjustRightInd w:val="0"/>
              <w:snapToGrid w:val="0"/>
              <w:spacing w:line="276" w:lineRule="auto"/>
              <w:rPr>
                <w:rFonts w:ascii="宋体" w:hAnsi="宋体" w:cs="Arial"/>
                <w:szCs w:val="21"/>
              </w:rPr>
            </w:pPr>
            <w:r>
              <w:rPr>
                <w:rFonts w:hint="eastAsia" w:ascii="宋体" w:hAnsi="宋体" w:cs="Arial"/>
                <w:szCs w:val="21"/>
              </w:rPr>
              <w:t>整机重量</w:t>
            </w:r>
          </w:p>
        </w:tc>
        <w:tc>
          <w:tcPr>
            <w:tcW w:w="2200" w:type="pct"/>
            <w:shd w:val="clear" w:color="auto" w:fill="FFFFFF"/>
            <w:vAlign w:val="center"/>
          </w:tcPr>
          <w:p w14:paraId="620AD3AC">
            <w:pPr>
              <w:adjustRightInd w:val="0"/>
              <w:snapToGrid w:val="0"/>
              <w:spacing w:line="276" w:lineRule="auto"/>
              <w:jc w:val="center"/>
              <w:rPr>
                <w:rFonts w:ascii="宋体" w:hAnsi="宋体" w:cs="Arial"/>
                <w:szCs w:val="21"/>
              </w:rPr>
            </w:pPr>
            <w:r>
              <w:rPr>
                <w:rFonts w:hint="eastAsia" w:ascii="宋体" w:hAnsi="宋体" w:cs="Arial"/>
                <w:bCs/>
                <w:szCs w:val="21"/>
              </w:rPr>
              <w:t>设计</w:t>
            </w:r>
            <w:r>
              <w:rPr>
                <w:rFonts w:ascii="宋体" w:hAnsi="宋体" w:cs="Arial"/>
                <w:bCs/>
                <w:szCs w:val="21"/>
              </w:rPr>
              <w:t>联络明确</w:t>
            </w:r>
          </w:p>
        </w:tc>
      </w:tr>
      <w:tr w14:paraId="0E2F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8" w:type="pct"/>
            <w:shd w:val="clear" w:color="auto" w:fill="FFFFFF"/>
            <w:vAlign w:val="center"/>
          </w:tcPr>
          <w:p w14:paraId="08AF126F">
            <w:pPr>
              <w:adjustRightInd w:val="0"/>
              <w:snapToGrid w:val="0"/>
              <w:spacing w:line="276" w:lineRule="auto"/>
              <w:jc w:val="center"/>
              <w:rPr>
                <w:rFonts w:ascii="宋体" w:hAnsi="宋体" w:cs="Arial"/>
                <w:szCs w:val="21"/>
              </w:rPr>
            </w:pPr>
            <w:r>
              <w:rPr>
                <w:rFonts w:hint="eastAsia" w:ascii="宋体" w:hAnsi="宋体" w:cs="Arial"/>
                <w:szCs w:val="21"/>
              </w:rPr>
              <w:t>2</w:t>
            </w:r>
            <w:r>
              <w:rPr>
                <w:rFonts w:ascii="宋体" w:hAnsi="宋体" w:cs="Arial"/>
                <w:szCs w:val="21"/>
              </w:rPr>
              <w:t>4</w:t>
            </w:r>
          </w:p>
        </w:tc>
        <w:tc>
          <w:tcPr>
            <w:tcW w:w="2362" w:type="pct"/>
            <w:gridSpan w:val="2"/>
            <w:shd w:val="clear" w:color="auto" w:fill="FFFFFF"/>
            <w:vAlign w:val="center"/>
          </w:tcPr>
          <w:p w14:paraId="0B521824">
            <w:pPr>
              <w:adjustRightInd w:val="0"/>
              <w:snapToGrid w:val="0"/>
              <w:spacing w:line="276" w:lineRule="auto"/>
              <w:rPr>
                <w:rFonts w:ascii="宋体" w:hAnsi="宋体" w:cs="Arial"/>
                <w:szCs w:val="21"/>
              </w:rPr>
            </w:pPr>
            <w:r>
              <w:rPr>
                <w:rFonts w:hint="eastAsia" w:ascii="宋体" w:hAnsi="宋体" w:cs="Arial"/>
                <w:szCs w:val="21"/>
              </w:rPr>
              <w:t>电源要求</w:t>
            </w:r>
          </w:p>
        </w:tc>
        <w:tc>
          <w:tcPr>
            <w:tcW w:w="2200" w:type="pct"/>
            <w:shd w:val="clear" w:color="auto" w:fill="FFFFFF"/>
            <w:vAlign w:val="center"/>
          </w:tcPr>
          <w:p w14:paraId="575126D0">
            <w:pPr>
              <w:adjustRightInd w:val="0"/>
              <w:snapToGrid w:val="0"/>
              <w:spacing w:line="276" w:lineRule="auto"/>
              <w:jc w:val="center"/>
              <w:rPr>
                <w:rFonts w:ascii="宋体" w:hAnsi="宋体" w:cs="Arial"/>
                <w:szCs w:val="21"/>
              </w:rPr>
            </w:pPr>
            <w:r>
              <w:rPr>
                <w:rFonts w:hint="eastAsia" w:ascii="宋体" w:hAnsi="宋体" w:cs="Arial"/>
                <w:szCs w:val="21"/>
              </w:rPr>
              <w:t>基坑已预留电源点和接地点，预留控制柜于设备附近的库房立柱旁。</w:t>
            </w:r>
          </w:p>
        </w:tc>
      </w:tr>
    </w:tbl>
    <w:p w14:paraId="70D9F62E">
      <w:pPr>
        <w:adjustRightInd w:val="0"/>
        <w:snapToGrid w:val="0"/>
        <w:spacing w:line="360" w:lineRule="auto"/>
        <w:rPr>
          <w:rFonts w:ascii="宋体" w:hAnsi="宋体"/>
          <w:bCs/>
          <w:szCs w:val="21"/>
        </w:rPr>
      </w:pPr>
      <w:r>
        <w:rPr>
          <w:rFonts w:hint="eastAsia" w:ascii="宋体" w:hAnsi="宋体"/>
          <w:bCs/>
          <w:szCs w:val="21"/>
        </w:rPr>
        <w:t>3）设备主要结构组成</w:t>
      </w:r>
    </w:p>
    <w:p w14:paraId="78253140">
      <w:pPr>
        <w:adjustRightInd w:val="0"/>
        <w:snapToGrid w:val="0"/>
        <w:spacing w:line="360" w:lineRule="auto"/>
        <w:ind w:firstLine="424" w:firstLineChars="202"/>
        <w:rPr>
          <w:rFonts w:ascii="宋体" w:hAnsi="宋体"/>
          <w:snapToGrid w:val="0"/>
          <w:kern w:val="0"/>
          <w:szCs w:val="21"/>
        </w:rPr>
      </w:pPr>
      <w:r>
        <w:rPr>
          <w:rFonts w:hint="eastAsia" w:ascii="宋体" w:hAnsi="宋体"/>
          <w:szCs w:val="21"/>
        </w:rPr>
        <w:t>设备主要包括基础、机械部分、液压系统、电气系统、气动系统和测量系统等，要求基础及机械部分结构稳定，具有足够的强度和刚度；电气系统包括传感器、电器箱、操作台、和数据处理系统、显示器等，系统具有自动信息处理，数据输出以及检测报告自</w:t>
      </w:r>
      <w:r>
        <w:rPr>
          <w:rFonts w:hint="eastAsia" w:ascii="宋体" w:hAnsi="宋体"/>
          <w:snapToGrid w:val="0"/>
          <w:kern w:val="0"/>
          <w:szCs w:val="21"/>
        </w:rPr>
        <w:t>动生成，同时系统具备接入既有信息化管理系统等功能。</w:t>
      </w:r>
    </w:p>
    <w:p w14:paraId="16AD47AA">
      <w:pPr>
        <w:adjustRightInd w:val="0"/>
        <w:snapToGrid w:val="0"/>
        <w:spacing w:line="360" w:lineRule="auto"/>
        <w:ind w:firstLine="424" w:firstLineChars="202"/>
        <w:rPr>
          <w:rFonts w:ascii="宋体" w:hAnsi="宋体"/>
          <w:szCs w:val="21"/>
        </w:rPr>
      </w:pPr>
      <w:r>
        <w:rPr>
          <w:rFonts w:hint="eastAsia" w:ascii="宋体" w:hAnsi="宋体"/>
          <w:szCs w:val="21"/>
        </w:rPr>
        <w:t>设备配备小型</w:t>
      </w:r>
      <w:r>
        <w:rPr>
          <w:rFonts w:hint="eastAsia" w:ascii="宋体" w:hAnsi="宋体"/>
          <w:bCs/>
          <w:szCs w:val="21"/>
        </w:rPr>
        <w:t>空气压缩机一体机（含空气过滤机干燥装置）</w:t>
      </w:r>
      <w:r>
        <w:rPr>
          <w:rFonts w:hint="eastAsia" w:ascii="宋体" w:hAnsi="宋体"/>
          <w:szCs w:val="21"/>
        </w:rPr>
        <w:t>一台，能够对转向架进行气密封性试验并生成检测报告。</w:t>
      </w:r>
    </w:p>
    <w:p w14:paraId="097DD6EF">
      <w:pPr>
        <w:adjustRightInd w:val="0"/>
        <w:snapToGrid w:val="0"/>
        <w:spacing w:line="360" w:lineRule="auto"/>
        <w:ind w:firstLine="424" w:firstLineChars="202"/>
        <w:rPr>
          <w:rFonts w:ascii="宋体" w:hAnsi="宋体"/>
          <w:szCs w:val="21"/>
        </w:rPr>
      </w:pPr>
      <w:r>
        <w:rPr>
          <w:rFonts w:hint="eastAsia" w:ascii="宋体" w:hAnsi="宋体"/>
          <w:szCs w:val="21"/>
        </w:rPr>
        <w:t>其中设备计算机硬件和接口由业主配置提供，相关要求在设计联络时确定。</w:t>
      </w:r>
    </w:p>
    <w:p w14:paraId="190CBAF7">
      <w:pPr>
        <w:adjustRightInd w:val="0"/>
        <w:snapToGrid w:val="0"/>
        <w:spacing w:line="360" w:lineRule="auto"/>
        <w:ind w:firstLine="424" w:firstLineChars="202"/>
        <w:rPr>
          <w:rFonts w:ascii="宋体" w:hAnsi="宋体"/>
          <w:szCs w:val="21"/>
        </w:rPr>
      </w:pPr>
      <w:r>
        <w:rPr>
          <w:rFonts w:hint="eastAsia" w:ascii="宋体" w:hAnsi="宋体"/>
          <w:szCs w:val="21"/>
        </w:rPr>
        <w:t>管理软件：</w:t>
      </w:r>
    </w:p>
    <w:p w14:paraId="163B4BA6">
      <w:pPr>
        <w:adjustRightInd w:val="0"/>
        <w:snapToGrid w:val="0"/>
        <w:spacing w:line="360" w:lineRule="auto"/>
        <w:ind w:firstLine="424" w:firstLineChars="202"/>
        <w:rPr>
          <w:rFonts w:ascii="宋体" w:hAnsi="宋体"/>
          <w:szCs w:val="21"/>
        </w:rPr>
      </w:pPr>
      <w:r>
        <w:rPr>
          <w:rFonts w:hint="eastAsia" w:ascii="宋体" w:hAnsi="宋体"/>
          <w:szCs w:val="21"/>
        </w:rPr>
        <w:t>（1）设备随机软件系统须兼容符合信创要求的底层环境，包含但不限于服务器、存储、操作系统、数据库、中间件等，全中文操作，操作权限可设定，提供管理软件备份和免费升级服务。</w:t>
      </w:r>
    </w:p>
    <w:p w14:paraId="32FDB261">
      <w:pPr>
        <w:adjustRightInd w:val="0"/>
        <w:snapToGrid w:val="0"/>
        <w:spacing w:line="360" w:lineRule="auto"/>
        <w:ind w:firstLine="424" w:firstLineChars="202"/>
        <w:rPr>
          <w:rFonts w:ascii="宋体" w:hAnsi="宋体"/>
          <w:szCs w:val="21"/>
        </w:rPr>
      </w:pPr>
      <w:r>
        <w:rPr>
          <w:rFonts w:hint="eastAsia" w:ascii="宋体" w:hAnsi="宋体"/>
          <w:szCs w:val="21"/>
        </w:rPr>
        <w:t>（2）能显示日期、时间、操作者、转向架参数，人工确认数据采集、自动处理并进行误差判定，打印测试报告。</w:t>
      </w:r>
    </w:p>
    <w:p w14:paraId="3DCC414A">
      <w:pPr>
        <w:adjustRightInd w:val="0"/>
        <w:snapToGrid w:val="0"/>
        <w:spacing w:line="360" w:lineRule="auto"/>
        <w:ind w:firstLine="424" w:firstLineChars="202"/>
        <w:rPr>
          <w:rFonts w:ascii="宋体" w:hAnsi="宋体"/>
          <w:szCs w:val="21"/>
        </w:rPr>
      </w:pPr>
      <w:r>
        <w:rPr>
          <w:rFonts w:hint="eastAsia" w:ascii="宋体" w:hAnsi="宋体"/>
          <w:szCs w:val="21"/>
        </w:rPr>
        <w:t>（3）信息编辑、信息查询，数据和报表查询等。</w:t>
      </w:r>
    </w:p>
    <w:p w14:paraId="392F58FD">
      <w:pPr>
        <w:adjustRightInd w:val="0"/>
        <w:snapToGrid w:val="0"/>
        <w:spacing w:line="360" w:lineRule="auto"/>
        <w:ind w:firstLine="424" w:firstLineChars="202"/>
        <w:rPr>
          <w:rFonts w:ascii="宋体" w:hAnsi="宋体"/>
          <w:szCs w:val="21"/>
        </w:rPr>
      </w:pPr>
      <w:r>
        <w:rPr>
          <w:rFonts w:ascii="宋体" w:hAnsi="宋体"/>
          <w:szCs w:val="21"/>
        </w:rPr>
        <w:t>随机备件</w:t>
      </w:r>
      <w:r>
        <w:rPr>
          <w:rFonts w:hint="eastAsia" w:ascii="宋体" w:hAnsi="宋体"/>
          <w:szCs w:val="21"/>
        </w:rPr>
        <w:t>：</w:t>
      </w:r>
    </w:p>
    <w:p w14:paraId="54731B9E">
      <w:pPr>
        <w:adjustRightInd w:val="0"/>
        <w:snapToGrid w:val="0"/>
        <w:spacing w:line="360" w:lineRule="auto"/>
        <w:ind w:firstLine="424" w:firstLineChars="202"/>
        <w:rPr>
          <w:rFonts w:ascii="宋体" w:hAnsi="宋体"/>
          <w:szCs w:val="21"/>
        </w:rPr>
      </w:pPr>
      <w:r>
        <w:rPr>
          <w:rFonts w:hint="eastAsia" w:ascii="宋体" w:hAnsi="宋体"/>
          <w:szCs w:val="21"/>
        </w:rPr>
        <w:t>提供设备两年内设备正常使用的易损易耗件及备件，其中备件应不少于以下内容：</w:t>
      </w:r>
    </w:p>
    <w:p w14:paraId="36D8677E">
      <w:pPr>
        <w:adjustRightInd w:val="0"/>
        <w:snapToGrid w:val="0"/>
        <w:spacing w:line="360" w:lineRule="auto"/>
        <w:ind w:firstLine="424" w:firstLineChars="202"/>
        <w:rPr>
          <w:rFonts w:ascii="宋体" w:hAnsi="宋体"/>
          <w:szCs w:val="21"/>
        </w:rPr>
      </w:pPr>
      <w:r>
        <w:rPr>
          <w:rFonts w:hint="eastAsia" w:ascii="宋体" w:hAnsi="宋体"/>
          <w:szCs w:val="21"/>
        </w:rPr>
        <w:t>（1）各类传感器1套</w:t>
      </w:r>
    </w:p>
    <w:p w14:paraId="51B44DAB">
      <w:pPr>
        <w:adjustRightInd w:val="0"/>
        <w:snapToGrid w:val="0"/>
        <w:spacing w:line="360" w:lineRule="auto"/>
        <w:ind w:firstLine="424" w:firstLineChars="202"/>
        <w:rPr>
          <w:rFonts w:ascii="宋体" w:hAnsi="宋体"/>
          <w:szCs w:val="21"/>
        </w:rPr>
      </w:pPr>
      <w:r>
        <w:rPr>
          <w:rFonts w:hint="eastAsia" w:ascii="宋体" w:hAnsi="宋体"/>
          <w:szCs w:val="21"/>
        </w:rPr>
        <w:t>（2）2套传感器线缆插头插针</w:t>
      </w:r>
    </w:p>
    <w:p w14:paraId="4E2EDEAD">
      <w:pPr>
        <w:adjustRightInd w:val="0"/>
        <w:snapToGrid w:val="0"/>
        <w:spacing w:line="360" w:lineRule="auto"/>
        <w:ind w:firstLine="424" w:firstLineChars="202"/>
        <w:rPr>
          <w:rFonts w:ascii="宋体" w:hAnsi="宋体"/>
          <w:szCs w:val="21"/>
        </w:rPr>
      </w:pPr>
      <w:r>
        <w:rPr>
          <w:rFonts w:hint="eastAsia" w:ascii="宋体" w:hAnsi="宋体"/>
          <w:szCs w:val="21"/>
        </w:rPr>
        <w:t>（3）主液压缸1台</w:t>
      </w:r>
    </w:p>
    <w:p w14:paraId="090DF626">
      <w:pPr>
        <w:adjustRightInd w:val="0"/>
        <w:snapToGrid w:val="0"/>
        <w:spacing w:line="360" w:lineRule="auto"/>
        <w:ind w:firstLine="424" w:firstLineChars="202"/>
        <w:rPr>
          <w:rFonts w:ascii="宋体" w:hAnsi="宋体"/>
          <w:szCs w:val="21"/>
        </w:rPr>
      </w:pPr>
      <w:r>
        <w:rPr>
          <w:rFonts w:hint="eastAsia" w:ascii="宋体" w:hAnsi="宋体"/>
          <w:szCs w:val="21"/>
        </w:rPr>
        <w:t>（4）易损易耗件，包括按钮、密封圈等部件，卖方应提供易损易耗件清单，在设计联络中确定。</w:t>
      </w:r>
    </w:p>
    <w:p w14:paraId="01753D9F">
      <w:pPr>
        <w:adjustRightInd w:val="0"/>
        <w:snapToGrid w:val="0"/>
        <w:spacing w:line="360" w:lineRule="auto"/>
        <w:ind w:firstLine="420" w:firstLineChars="200"/>
        <w:rPr>
          <w:rFonts w:ascii="宋体" w:hAnsi="宋体"/>
          <w:szCs w:val="21"/>
        </w:rPr>
      </w:pPr>
      <w:r>
        <w:rPr>
          <w:rFonts w:hint="eastAsia" w:ascii="宋体" w:hAnsi="宋体"/>
          <w:szCs w:val="21"/>
        </w:rPr>
        <w:t>校准：随设备提供用于设备尺寸校准、传感器校准、自身安装标定等测量元件和安装基准校准标定的专用工具、工装及仪器。</w:t>
      </w:r>
    </w:p>
    <w:p w14:paraId="27855EDC">
      <w:pPr>
        <w:adjustRightInd w:val="0"/>
        <w:snapToGrid w:val="0"/>
        <w:spacing w:line="360" w:lineRule="auto"/>
        <w:ind w:firstLine="420" w:firstLineChars="200"/>
        <w:rPr>
          <w:rFonts w:ascii="宋体" w:hAnsi="宋体"/>
          <w:szCs w:val="21"/>
        </w:rPr>
      </w:pPr>
      <w:r>
        <w:rPr>
          <w:rFonts w:hint="eastAsia" w:ascii="宋体" w:hAnsi="宋体"/>
          <w:szCs w:val="21"/>
        </w:rPr>
        <w:t>程序：随设备提供满足技术规格书要求的产品检验程序、自检程序和设备正常运行及维修必需的其它辅助软件（包括备份软件）</w:t>
      </w:r>
    </w:p>
    <w:p w14:paraId="219A9ECB">
      <w:pPr>
        <w:adjustRightInd w:val="0"/>
        <w:snapToGrid w:val="0"/>
        <w:spacing w:line="360" w:lineRule="auto"/>
        <w:ind w:firstLine="420" w:firstLineChars="200"/>
        <w:rPr>
          <w:rFonts w:ascii="宋体" w:hAnsi="宋体"/>
          <w:szCs w:val="21"/>
        </w:rPr>
      </w:pPr>
      <w:r>
        <w:rPr>
          <w:rFonts w:hint="eastAsia" w:ascii="宋体" w:hAnsi="宋体"/>
          <w:szCs w:val="21"/>
        </w:rPr>
        <w:t>技术资料及培训：</w:t>
      </w:r>
    </w:p>
    <w:p w14:paraId="61287E7A">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）提供设备零部件清单，需列出设备主要外购部件的名称、材料、生产厂家、安装在设备的部位。</w:t>
      </w:r>
    </w:p>
    <w:p w14:paraId="7851CFB9">
      <w:pPr>
        <w:adjustRightInd w:val="0"/>
        <w:snapToGrid w:val="0"/>
        <w:spacing w:line="360" w:lineRule="auto"/>
        <w:rPr>
          <w:rFonts w:ascii="宋体" w:hAnsi="宋体"/>
          <w:szCs w:val="21"/>
        </w:rPr>
      </w:pPr>
      <w:r>
        <w:rPr>
          <w:rFonts w:ascii="宋体" w:hAnsi="宋体"/>
          <w:szCs w:val="21"/>
        </w:rPr>
        <w:t></w:t>
      </w:r>
      <w:r>
        <w:rPr>
          <w:rFonts w:ascii="宋体" w:hAnsi="宋体"/>
          <w:szCs w:val="21"/>
        </w:rPr>
        <w:tab/>
      </w:r>
      <w:r>
        <w:rPr>
          <w:rFonts w:hint="eastAsia" w:ascii="宋体" w:hAnsi="宋体"/>
          <w:szCs w:val="21"/>
        </w:rPr>
        <w:t>（</w:t>
      </w:r>
      <w:r>
        <w:rPr>
          <w:rFonts w:ascii="宋体" w:hAnsi="宋体"/>
          <w:szCs w:val="21"/>
        </w:rPr>
        <w:t>2</w:t>
      </w:r>
      <w:r>
        <w:rPr>
          <w:rFonts w:hint="eastAsia" w:ascii="宋体" w:hAnsi="宋体"/>
          <w:szCs w:val="21"/>
        </w:rPr>
        <w:t>）需提供完整的技术文件和图纸，详细说明设备及其部件的性能、原理、结构和尺寸，以及部件和电子器件的型号、规格和技术参数，设备基础、供电、各种管路接口要求等设计图纸和资料，以及设备使用和维修保养说明书，使买方能够实现对设备的操作、检查、修理、试验、调整和维护；</w:t>
      </w:r>
    </w:p>
    <w:p w14:paraId="37E9F690">
      <w:pPr>
        <w:adjustRightInd w:val="0"/>
        <w:snapToGrid w:val="0"/>
        <w:spacing w:line="360" w:lineRule="auto"/>
        <w:rPr>
          <w:rFonts w:ascii="宋体" w:hAnsi="宋体"/>
          <w:szCs w:val="21"/>
        </w:rPr>
      </w:pPr>
      <w:r>
        <w:rPr>
          <w:rFonts w:ascii="宋体" w:hAnsi="宋体"/>
          <w:szCs w:val="21"/>
        </w:rPr>
        <w:t></w:t>
      </w:r>
      <w:r>
        <w:rPr>
          <w:rFonts w:ascii="宋体" w:hAnsi="宋体"/>
          <w:szCs w:val="21"/>
        </w:rPr>
        <w:tab/>
      </w:r>
      <w:r>
        <w:rPr>
          <w:rFonts w:hint="eastAsia" w:ascii="宋体" w:hAnsi="宋体"/>
          <w:szCs w:val="21"/>
        </w:rPr>
        <w:t>（3）装箱技术文件应包括：以上技术文件和图纸，总图，产品使用保养说明书，设备清单，专用工具、易损件、备件清单，产品合格证等。</w:t>
      </w:r>
    </w:p>
    <w:p w14:paraId="45FB2081">
      <w:pPr>
        <w:adjustRightInd w:val="0"/>
        <w:snapToGrid w:val="0"/>
        <w:spacing w:line="360" w:lineRule="auto"/>
        <w:rPr>
          <w:rFonts w:ascii="宋体" w:hAnsi="宋体"/>
          <w:szCs w:val="21"/>
        </w:rPr>
      </w:pPr>
      <w:r>
        <w:rPr>
          <w:rFonts w:ascii="宋体" w:hAnsi="宋体"/>
          <w:szCs w:val="21"/>
        </w:rPr>
        <w:t xml:space="preserve">  </w:t>
      </w:r>
      <w:r>
        <w:rPr>
          <w:rFonts w:hint="eastAsia" w:ascii="宋体" w:hAnsi="宋体"/>
          <w:szCs w:val="21"/>
        </w:rPr>
        <w:t>（4）开展现场培训，不少于</w:t>
      </w:r>
      <w:r>
        <w:rPr>
          <w:rFonts w:ascii="宋体" w:hAnsi="宋体"/>
          <w:szCs w:val="21"/>
        </w:rPr>
        <w:t>15学时</w:t>
      </w:r>
      <w:r>
        <w:rPr>
          <w:rFonts w:hint="eastAsia" w:ascii="宋体" w:hAnsi="宋体"/>
          <w:szCs w:val="21"/>
        </w:rPr>
        <w:t>。</w:t>
      </w:r>
    </w:p>
    <w:p w14:paraId="04B0FB8B">
      <w:pPr>
        <w:adjustRightInd w:val="0"/>
        <w:snapToGrid w:val="0"/>
        <w:spacing w:line="360" w:lineRule="auto"/>
        <w:rPr>
          <w:rFonts w:ascii="宋体" w:hAnsi="宋体"/>
          <w:szCs w:val="21"/>
        </w:rPr>
      </w:pPr>
      <w:r>
        <w:rPr>
          <w:rFonts w:hint="eastAsia" w:ascii="宋体" w:hAnsi="宋体"/>
          <w:szCs w:val="21"/>
        </w:rPr>
        <w:t>4）技术要求</w:t>
      </w:r>
    </w:p>
    <w:p w14:paraId="7346FC63">
      <w:pPr>
        <w:adjustRightInd w:val="0"/>
        <w:snapToGrid w:val="0"/>
        <w:spacing w:line="360" w:lineRule="auto"/>
        <w:ind w:firstLine="424" w:firstLineChars="202"/>
        <w:rPr>
          <w:rFonts w:ascii="宋体" w:hAnsi="宋体"/>
          <w:szCs w:val="21"/>
        </w:rPr>
      </w:pPr>
      <w:r>
        <w:rPr>
          <w:rFonts w:hint="eastAsia" w:ascii="宋体" w:hAnsi="宋体"/>
          <w:szCs w:val="21"/>
        </w:rPr>
        <w:t>（1）在模拟车体重量的情况下测量转向架四角高度。能对拖车、动车转向架加载进行高度检查，并预测空气弹簧底部垫片所需厚度。</w:t>
      </w:r>
    </w:p>
    <w:p w14:paraId="30F44499">
      <w:pPr>
        <w:adjustRightInd w:val="0"/>
        <w:snapToGrid w:val="0"/>
        <w:spacing w:line="360" w:lineRule="auto"/>
        <w:ind w:firstLine="424" w:firstLineChars="202"/>
        <w:rPr>
          <w:rFonts w:ascii="宋体" w:hAnsi="宋体"/>
          <w:szCs w:val="21"/>
        </w:rPr>
      </w:pPr>
      <w:r>
        <w:rPr>
          <w:rFonts w:hint="eastAsia" w:ascii="宋体" w:hAnsi="宋体"/>
          <w:szCs w:val="21"/>
        </w:rPr>
        <w:t>（2）模拟车体的重量对转向架进行加载，并检测各轮轮重，加载点可横向调整。能称量各车轮在不同载荷下的轮重。</w:t>
      </w:r>
    </w:p>
    <w:p w14:paraId="288D3701">
      <w:pPr>
        <w:adjustRightInd w:val="0"/>
        <w:snapToGrid w:val="0"/>
        <w:spacing w:line="360" w:lineRule="auto"/>
        <w:ind w:firstLine="424" w:firstLineChars="202"/>
        <w:rPr>
          <w:rFonts w:ascii="宋体" w:hAnsi="宋体"/>
          <w:szCs w:val="21"/>
        </w:rPr>
      </w:pPr>
      <w:r>
        <w:rPr>
          <w:rFonts w:hint="eastAsia" w:ascii="宋体" w:hAnsi="宋体"/>
          <w:szCs w:val="21"/>
        </w:rPr>
        <w:t>（3）可在试验台上对转向架进行加垫操作。</w:t>
      </w:r>
    </w:p>
    <w:p w14:paraId="24D0555E">
      <w:pPr>
        <w:adjustRightInd w:val="0"/>
        <w:snapToGrid w:val="0"/>
        <w:spacing w:line="360" w:lineRule="auto"/>
        <w:ind w:firstLine="424" w:firstLineChars="202"/>
        <w:rPr>
          <w:rFonts w:ascii="宋体" w:hAnsi="宋体"/>
          <w:szCs w:val="21"/>
        </w:rPr>
      </w:pPr>
      <w:r>
        <w:rPr>
          <w:rFonts w:hint="eastAsia" w:ascii="宋体" w:hAnsi="宋体"/>
          <w:szCs w:val="21"/>
        </w:rPr>
        <w:t>（4）具有设备安全保障功能和设备自检功能，可随时监视设备的运行情况，并显示其故障的位置。</w:t>
      </w:r>
    </w:p>
    <w:p w14:paraId="5CE53CF8">
      <w:pPr>
        <w:adjustRightInd w:val="0"/>
        <w:snapToGrid w:val="0"/>
        <w:spacing w:line="360" w:lineRule="auto"/>
        <w:ind w:firstLine="424" w:firstLineChars="202"/>
        <w:rPr>
          <w:rFonts w:ascii="宋体" w:hAnsi="宋体"/>
          <w:szCs w:val="21"/>
        </w:rPr>
      </w:pPr>
      <w:r>
        <w:rPr>
          <w:rFonts w:hint="eastAsia" w:ascii="宋体" w:hAnsi="宋体"/>
          <w:szCs w:val="21"/>
        </w:rPr>
        <w:t>（5）可方便地显示、查询当前及以往数据，如操作日期、时间、试验者姓名、转向架号及检测数据。</w:t>
      </w:r>
    </w:p>
    <w:p w14:paraId="68A00FB3">
      <w:pPr>
        <w:adjustRightInd w:val="0"/>
        <w:snapToGrid w:val="0"/>
        <w:spacing w:line="360" w:lineRule="auto"/>
        <w:ind w:firstLine="424" w:firstLineChars="202"/>
        <w:rPr>
          <w:rFonts w:ascii="宋体" w:hAnsi="宋体"/>
          <w:szCs w:val="21"/>
        </w:rPr>
      </w:pPr>
      <w:r>
        <w:rPr>
          <w:rFonts w:hint="eastAsia" w:ascii="宋体" w:hAnsi="宋体"/>
          <w:szCs w:val="21"/>
        </w:rPr>
        <w:t>（6）随时打印各有关数据和报表，自动生成检测报告。</w:t>
      </w:r>
    </w:p>
    <w:p w14:paraId="4796CD5C">
      <w:pPr>
        <w:adjustRightInd w:val="0"/>
        <w:snapToGrid w:val="0"/>
        <w:spacing w:line="360" w:lineRule="auto"/>
        <w:ind w:firstLine="424" w:firstLineChars="202"/>
        <w:rPr>
          <w:rFonts w:ascii="宋体" w:hAnsi="宋体"/>
          <w:szCs w:val="21"/>
        </w:rPr>
      </w:pPr>
      <w:r>
        <w:rPr>
          <w:rFonts w:hint="eastAsia" w:ascii="宋体" w:hAnsi="宋体"/>
          <w:szCs w:val="21"/>
        </w:rPr>
        <w:t>（7）具有良好的人机操作界面，能进行程序管理，如添加、删除、设置等，各类转向架必要参数可设置、取舍、保存和调用。</w:t>
      </w:r>
    </w:p>
    <w:p w14:paraId="781D360B">
      <w:pPr>
        <w:adjustRightInd w:val="0"/>
        <w:snapToGrid w:val="0"/>
        <w:spacing w:line="360" w:lineRule="auto"/>
        <w:ind w:firstLine="424" w:firstLineChars="202"/>
        <w:rPr>
          <w:rFonts w:ascii="宋体" w:hAnsi="宋体"/>
          <w:szCs w:val="21"/>
        </w:rPr>
      </w:pPr>
      <w:r>
        <w:rPr>
          <w:rFonts w:hint="eastAsia" w:ascii="宋体" w:hAnsi="宋体"/>
          <w:szCs w:val="21"/>
        </w:rPr>
        <w:t>（8）在不同载荷和位移条件下，能自动测量轮轴的平行度。</w:t>
      </w:r>
    </w:p>
    <w:p w14:paraId="6EF67395">
      <w:pPr>
        <w:adjustRightInd w:val="0"/>
        <w:snapToGrid w:val="0"/>
        <w:spacing w:line="360" w:lineRule="auto"/>
        <w:ind w:firstLine="424" w:firstLineChars="202"/>
        <w:rPr>
          <w:rFonts w:ascii="宋体" w:hAnsi="宋体"/>
          <w:szCs w:val="21"/>
        </w:rPr>
      </w:pPr>
      <w:r>
        <w:rPr>
          <w:rFonts w:hint="eastAsia" w:ascii="宋体" w:hAnsi="宋体"/>
          <w:szCs w:val="21"/>
        </w:rPr>
        <w:t>（9）有足够的刚度和良好的平稳性，噪声符合我国环保要求，能在环境温度－10℃~45℃，相对湿度≤98%条件下正常工作。</w:t>
      </w:r>
    </w:p>
    <w:p w14:paraId="62D361A5">
      <w:pPr>
        <w:adjustRightInd w:val="0"/>
        <w:snapToGrid w:val="0"/>
        <w:spacing w:line="360" w:lineRule="auto"/>
        <w:ind w:firstLine="424" w:firstLineChars="202"/>
        <w:rPr>
          <w:rFonts w:ascii="宋体" w:hAnsi="宋体"/>
          <w:szCs w:val="21"/>
        </w:rPr>
      </w:pPr>
      <w:r>
        <w:rPr>
          <w:rFonts w:hint="eastAsia" w:ascii="宋体" w:hAnsi="宋体"/>
          <w:szCs w:val="21"/>
        </w:rPr>
        <w:t>（10）在试验台能方便人工测量轨面（踏面）距一系簧支撑、二系簧座的高度。</w:t>
      </w:r>
    </w:p>
    <w:p w14:paraId="70C8F08C">
      <w:pPr>
        <w:adjustRightInd w:val="0"/>
        <w:snapToGrid w:val="0"/>
        <w:spacing w:line="360" w:lineRule="auto"/>
        <w:ind w:firstLine="424" w:firstLineChars="202"/>
        <w:rPr>
          <w:rFonts w:ascii="宋体" w:hAnsi="宋体"/>
          <w:szCs w:val="21"/>
        </w:rPr>
      </w:pPr>
      <w:r>
        <w:rPr>
          <w:rFonts w:hint="eastAsia" w:ascii="宋体" w:hAnsi="宋体"/>
          <w:szCs w:val="21"/>
        </w:rPr>
        <w:t>（11）试验台气动系统、制动系统以及管路的气密性检查，自动生成检测报告。</w:t>
      </w:r>
    </w:p>
    <w:p w14:paraId="76959493">
      <w:pPr>
        <w:adjustRightInd w:val="0"/>
        <w:snapToGrid w:val="0"/>
        <w:spacing w:line="360" w:lineRule="auto"/>
        <w:rPr>
          <w:rFonts w:ascii="宋体" w:hAnsi="宋体"/>
          <w:szCs w:val="21"/>
        </w:rPr>
      </w:pPr>
      <w:r>
        <w:rPr>
          <w:rFonts w:ascii="宋体" w:hAnsi="宋体"/>
          <w:szCs w:val="21"/>
        </w:rPr>
        <w:t>6</w:t>
      </w:r>
      <w:r>
        <w:rPr>
          <w:rFonts w:hint="eastAsia" w:ascii="宋体" w:hAnsi="宋体"/>
          <w:szCs w:val="21"/>
        </w:rPr>
        <w:t>）施工要求</w:t>
      </w:r>
    </w:p>
    <w:p w14:paraId="6C7520EB">
      <w:pPr>
        <w:pStyle w:val="2"/>
        <w:spacing w:line="360" w:lineRule="auto"/>
        <w:ind w:firstLineChars="200"/>
        <w:rPr>
          <w:rFonts w:hAnsi="宋体"/>
          <w:bCs/>
          <w:snapToGrid w:val="0"/>
          <w:sz w:val="21"/>
          <w:szCs w:val="21"/>
        </w:rPr>
      </w:pPr>
      <w:r>
        <w:rPr>
          <w:rFonts w:hint="eastAsia" w:hAnsi="宋体"/>
          <w:bCs/>
          <w:snapToGrid w:val="0"/>
          <w:sz w:val="21"/>
          <w:szCs w:val="21"/>
        </w:rPr>
        <w:t>（1）黄梨路车辆段联合检修库现场已预留基坑，设备须按现场预留基坑位置进行安装施工。投标人须负责在设备安装过程中涉及到基坑扩大、支架制作、混凝土浇筑、植筋、钻孔、凿基坑壁、接线、锯轨等工作。</w:t>
      </w:r>
    </w:p>
    <w:p w14:paraId="43AD29E9">
      <w:pPr>
        <w:pStyle w:val="2"/>
        <w:spacing w:line="360" w:lineRule="auto"/>
        <w:ind w:firstLineChars="200"/>
        <w:rPr>
          <w:rFonts w:hAnsi="宋体"/>
          <w:bCs/>
          <w:snapToGrid w:val="0"/>
          <w:sz w:val="21"/>
          <w:szCs w:val="21"/>
        </w:rPr>
      </w:pPr>
      <w:r>
        <w:rPr>
          <w:rFonts w:hint="eastAsia" w:hAnsi="宋体"/>
          <w:bCs/>
          <w:snapToGrid w:val="0"/>
          <w:sz w:val="21"/>
          <w:szCs w:val="21"/>
        </w:rPr>
        <w:t>（2）投标人在设计联络时需提供所选型设备安装的基础施工图供业主审核。</w:t>
      </w:r>
    </w:p>
    <w:p w14:paraId="6A9A2D92">
      <w:pPr>
        <w:adjustRightInd w:val="0"/>
        <w:snapToGrid w:val="0"/>
        <w:spacing w:line="360" w:lineRule="auto"/>
        <w:rPr>
          <w:rFonts w:ascii="宋体" w:hAnsi="宋体"/>
          <w:szCs w:val="21"/>
        </w:rPr>
      </w:pPr>
      <w:r>
        <w:rPr>
          <w:rFonts w:ascii="宋体" w:hAnsi="宋体"/>
          <w:szCs w:val="21"/>
        </w:rPr>
        <w:t>7</w:t>
      </w:r>
      <w:r>
        <w:rPr>
          <w:rFonts w:hint="eastAsia" w:ascii="宋体" w:hAnsi="宋体"/>
          <w:szCs w:val="21"/>
        </w:rPr>
        <w:t>）其他要求</w:t>
      </w:r>
    </w:p>
    <w:p w14:paraId="169C5361">
      <w:pPr>
        <w:adjustRightInd w:val="0"/>
        <w:snapToGrid w:val="0"/>
        <w:spacing w:line="360" w:lineRule="auto"/>
        <w:ind w:firstLine="424" w:firstLineChars="202"/>
        <w:rPr>
          <w:rFonts w:ascii="宋体" w:hAnsi="宋体"/>
          <w:szCs w:val="21"/>
        </w:rPr>
      </w:pPr>
      <w:r>
        <w:rPr>
          <w:rFonts w:hint="eastAsia" w:ascii="宋体" w:hAnsi="宋体"/>
          <w:szCs w:val="21"/>
        </w:rPr>
        <w:t>该试验台的主体结构具有较高的可靠度，设计使用周期内不出现质量问题，并提供强度分析计算报告。</w:t>
      </w:r>
    </w:p>
    <w:p w14:paraId="2E6C83BA">
      <w:pPr>
        <w:adjustRightInd w:val="0"/>
        <w:snapToGrid w:val="0"/>
        <w:spacing w:line="360" w:lineRule="auto"/>
        <w:ind w:firstLine="424" w:firstLineChars="202"/>
        <w:rPr>
          <w:rFonts w:ascii="宋体" w:hAnsi="宋体"/>
          <w:szCs w:val="21"/>
        </w:rPr>
      </w:pPr>
      <w:r>
        <w:rPr>
          <w:rFonts w:hint="eastAsia" w:ascii="宋体" w:hAnsi="宋体"/>
          <w:szCs w:val="21"/>
        </w:rPr>
        <w:t>需提供试验台各焊缝部位的鉴定报告。</w:t>
      </w:r>
    </w:p>
    <w:p w14:paraId="5141DA3B">
      <w:pPr>
        <w:adjustRightInd w:val="0"/>
        <w:snapToGrid w:val="0"/>
        <w:spacing w:line="360" w:lineRule="auto"/>
        <w:ind w:firstLine="424" w:firstLineChars="202"/>
        <w:rPr>
          <w:rFonts w:ascii="宋体" w:hAnsi="宋体"/>
          <w:bCs/>
          <w:szCs w:val="21"/>
        </w:rPr>
      </w:pPr>
      <w:r>
        <w:rPr>
          <w:rFonts w:hint="eastAsia" w:ascii="宋体" w:hAnsi="宋体"/>
          <w:bCs/>
          <w:szCs w:val="21"/>
        </w:rPr>
        <w:t>试验台涉及到需送检校验的仪器仪表、传感器等部件需经过第三方检测并提供检测报告，同时需提供2套用于送检和故障替换。</w:t>
      </w:r>
    </w:p>
    <w:p w14:paraId="2AE2E2A1">
      <w:pPr>
        <w:adjustRightInd w:val="0"/>
        <w:snapToGrid w:val="0"/>
        <w:spacing w:line="360" w:lineRule="auto"/>
        <w:ind w:firstLine="424" w:firstLineChars="202"/>
        <w:rPr>
          <w:rFonts w:ascii="宋体" w:hAnsi="宋体"/>
          <w:szCs w:val="21"/>
        </w:rPr>
      </w:pPr>
      <w:r>
        <w:rPr>
          <w:rFonts w:hint="eastAsia" w:ascii="宋体" w:hAnsi="宋体"/>
          <w:szCs w:val="21"/>
        </w:rPr>
        <w:t>液压系统采用闭环控制，保证加载装置具有较高的控制精度，达到试验要求。</w:t>
      </w:r>
    </w:p>
    <w:p w14:paraId="5384EDCF">
      <w:pPr>
        <w:adjustRightInd w:val="0"/>
        <w:snapToGrid w:val="0"/>
        <w:spacing w:line="360" w:lineRule="auto"/>
        <w:ind w:firstLine="424" w:firstLineChars="202"/>
        <w:rPr>
          <w:rFonts w:ascii="宋体" w:hAnsi="宋体"/>
          <w:szCs w:val="21"/>
        </w:rPr>
      </w:pPr>
      <w:r>
        <w:rPr>
          <w:rFonts w:hint="eastAsia" w:ascii="宋体" w:hAnsi="宋体"/>
          <w:szCs w:val="21"/>
        </w:rPr>
        <w:t>电气、液压等主要元器件采用进口或同等品质国产产品。</w:t>
      </w:r>
    </w:p>
    <w:p w14:paraId="7A1AF0AF">
      <w:pPr>
        <w:adjustRightInd w:val="0"/>
        <w:snapToGrid w:val="0"/>
        <w:spacing w:line="360" w:lineRule="auto"/>
        <w:ind w:firstLine="424" w:firstLineChars="202"/>
        <w:rPr>
          <w:rFonts w:ascii="宋体" w:hAnsi="宋体"/>
          <w:szCs w:val="21"/>
        </w:rPr>
      </w:pPr>
      <w:r>
        <w:rPr>
          <w:rFonts w:hint="eastAsia" w:ascii="宋体" w:hAnsi="宋体"/>
          <w:szCs w:val="21"/>
        </w:rPr>
        <w:t>该设备有可靠的安全防护装置及安全警示装置，在工作过程中，运动部件均有可靠的防护措施或装置（包括电气接地等安全措施）。</w:t>
      </w:r>
    </w:p>
    <w:p w14:paraId="6ADD3D0B">
      <w:pPr>
        <w:adjustRightInd w:val="0"/>
        <w:snapToGrid w:val="0"/>
        <w:spacing w:line="360" w:lineRule="auto"/>
        <w:ind w:firstLine="424" w:firstLineChars="202"/>
        <w:rPr>
          <w:rFonts w:ascii="宋体" w:hAnsi="宋体"/>
          <w:szCs w:val="21"/>
        </w:rPr>
      </w:pPr>
      <w:r>
        <w:rPr>
          <w:rFonts w:hint="eastAsia" w:ascii="宋体" w:hAnsi="宋体"/>
          <w:szCs w:val="21"/>
        </w:rPr>
        <w:t>液压系统没有漏油、渗油现象。</w:t>
      </w:r>
    </w:p>
    <w:p w14:paraId="713E65FC">
      <w:pPr>
        <w:adjustRightInd w:val="0"/>
        <w:snapToGrid w:val="0"/>
        <w:spacing w:line="360" w:lineRule="auto"/>
        <w:ind w:firstLine="424" w:firstLineChars="202"/>
        <w:rPr>
          <w:rFonts w:ascii="宋体" w:hAnsi="宋体"/>
          <w:szCs w:val="21"/>
        </w:rPr>
      </w:pPr>
      <w:r>
        <w:rPr>
          <w:rFonts w:hint="eastAsia" w:ascii="宋体" w:hAnsi="宋体"/>
          <w:szCs w:val="21"/>
        </w:rPr>
        <w:t>试验台采用下沉式安装，试验台导轨与两端厂房标准轨道水平连接，转向架为通过式静载试验。</w:t>
      </w:r>
    </w:p>
    <w:p w14:paraId="57A772F5">
      <w:pPr>
        <w:adjustRightInd w:val="0"/>
        <w:snapToGrid w:val="0"/>
        <w:spacing w:line="360" w:lineRule="auto"/>
        <w:ind w:firstLine="424" w:firstLineChars="202"/>
        <w:rPr>
          <w:rFonts w:ascii="宋体" w:hAnsi="宋体"/>
          <w:szCs w:val="21"/>
        </w:rPr>
      </w:pPr>
      <w:r>
        <w:rPr>
          <w:rFonts w:hint="eastAsia" w:ascii="宋体" w:hAnsi="宋体"/>
          <w:szCs w:val="21"/>
        </w:rPr>
        <w:t>试验台周边要求设置不锈钢防护栏，以及轨道中间设置花纹钢盖板，厚度不小于</w:t>
      </w:r>
      <w:r>
        <w:rPr>
          <w:rFonts w:ascii="宋体" w:hAnsi="宋体"/>
          <w:szCs w:val="21"/>
        </w:rPr>
        <w:t>6</w:t>
      </w:r>
      <w:r>
        <w:rPr>
          <w:rFonts w:hint="eastAsia" w:ascii="宋体" w:hAnsi="宋体"/>
          <w:szCs w:val="21"/>
        </w:rPr>
        <w:t>mm。</w:t>
      </w:r>
    </w:p>
    <w:p w14:paraId="2328FFBF">
      <w:pPr>
        <w:pStyle w:val="5"/>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 xml:space="preserve">5.3.1.2 </w:t>
      </w:r>
      <w:bookmarkEnd w:id="60"/>
      <w:r>
        <w:rPr>
          <w:rFonts w:hint="eastAsia" w:ascii="黑体" w:hAnsi="黑体" w:eastAsia="黑体"/>
          <w:b w:val="0"/>
          <w:bCs w:val="0"/>
          <w:sz w:val="21"/>
          <w:szCs w:val="21"/>
        </w:rPr>
        <w:t>轮对跑合试验台</w:t>
      </w:r>
    </w:p>
    <w:p w14:paraId="540E5BDD">
      <w:pPr>
        <w:adjustRightInd w:val="0"/>
        <w:snapToGrid w:val="0"/>
        <w:spacing w:line="360" w:lineRule="auto"/>
        <w:rPr>
          <w:rFonts w:ascii="宋体" w:hAnsi="宋体"/>
          <w:bCs/>
          <w:szCs w:val="21"/>
        </w:rPr>
      </w:pPr>
      <w:r>
        <w:rPr>
          <w:rFonts w:hint="eastAsia" w:ascii="宋体" w:hAnsi="宋体"/>
          <w:bCs/>
          <w:szCs w:val="21"/>
        </w:rPr>
        <w:t>1）设备用途</w:t>
      </w:r>
    </w:p>
    <w:p w14:paraId="24B4FAB4">
      <w:pPr>
        <w:spacing w:line="360" w:lineRule="auto"/>
        <w:ind w:firstLine="420" w:firstLineChars="200"/>
        <w:rPr>
          <w:rFonts w:ascii="宋体" w:hAnsi="宋体"/>
          <w:bCs/>
          <w:szCs w:val="21"/>
        </w:rPr>
      </w:pPr>
      <w:r>
        <w:rPr>
          <w:rFonts w:hint="eastAsia" w:ascii="宋体" w:hAnsi="宋体"/>
          <w:szCs w:val="21"/>
        </w:rPr>
        <w:t>设备</w:t>
      </w:r>
      <w:r>
        <w:rPr>
          <w:rFonts w:ascii="宋体" w:hAnsi="宋体"/>
          <w:szCs w:val="21"/>
        </w:rPr>
        <w:t>用于长沙市轨道交通</w:t>
      </w:r>
      <w:r>
        <w:rPr>
          <w:rFonts w:hint="eastAsia" w:ascii="宋体" w:hAnsi="宋体"/>
          <w:szCs w:val="21"/>
        </w:rPr>
        <w:t>6号线</w:t>
      </w:r>
      <w:r>
        <w:rPr>
          <w:rFonts w:ascii="宋体" w:hAnsi="宋体"/>
          <w:szCs w:val="21"/>
        </w:rPr>
        <w:t>电客车架修动车和拖车</w:t>
      </w:r>
      <w:r>
        <w:rPr>
          <w:rFonts w:hint="eastAsia" w:ascii="宋体" w:hAnsi="宋体"/>
          <w:szCs w:val="21"/>
        </w:rPr>
        <w:t>轮对</w:t>
      </w:r>
      <w:r>
        <w:rPr>
          <w:rFonts w:hint="eastAsia" w:ascii="宋体" w:hAnsi="宋体"/>
          <w:bCs/>
          <w:szCs w:val="21"/>
        </w:rPr>
        <w:t>的跑合作业</w:t>
      </w:r>
      <w:r>
        <w:rPr>
          <w:rFonts w:hint="eastAsia" w:ascii="宋体" w:hAnsi="宋体"/>
          <w:szCs w:val="21"/>
        </w:rPr>
        <w:t>，轮对</w:t>
      </w:r>
      <w:r>
        <w:rPr>
          <w:rFonts w:hint="eastAsia" w:ascii="宋体" w:hAnsi="宋体"/>
          <w:bCs/>
          <w:szCs w:val="21"/>
        </w:rPr>
        <w:t>跑合试验台应配置信息化自动采集功能、自动防误操作功能、数据导出、在线打印报单等功能，可实现各工序的信息自动采集和上传。</w:t>
      </w:r>
    </w:p>
    <w:p w14:paraId="76F197FB">
      <w:pPr>
        <w:adjustRightInd w:val="0"/>
        <w:snapToGrid w:val="0"/>
        <w:spacing w:line="360" w:lineRule="auto"/>
        <w:rPr>
          <w:rFonts w:ascii="宋体" w:hAnsi="宋体"/>
          <w:bCs/>
          <w:szCs w:val="21"/>
        </w:rPr>
      </w:pPr>
      <w:r>
        <w:rPr>
          <w:rFonts w:hint="eastAsia" w:ascii="宋体" w:hAnsi="宋体"/>
          <w:bCs/>
          <w:szCs w:val="21"/>
        </w:rPr>
        <w:t>2）功能需求</w:t>
      </w:r>
    </w:p>
    <w:p w14:paraId="54B06F53">
      <w:pPr>
        <w:pStyle w:val="64"/>
        <w:ind w:firstLine="420"/>
        <w:rPr>
          <w:rFonts w:cs="Times New Roman"/>
          <w:kern w:val="2"/>
          <w:sz w:val="21"/>
          <w:szCs w:val="21"/>
        </w:rPr>
      </w:pPr>
      <w:r>
        <w:rPr>
          <w:rFonts w:hint="eastAsia" w:cs="Times New Roman"/>
          <w:kern w:val="2"/>
          <w:sz w:val="21"/>
          <w:szCs w:val="21"/>
        </w:rPr>
        <w:t>（1）系统自动完成轮对定位、跑合、出轮整个过程，采用变频技术使启动、制动平稳可靠。</w:t>
      </w:r>
    </w:p>
    <w:p w14:paraId="65138A63">
      <w:pPr>
        <w:pStyle w:val="64"/>
        <w:ind w:firstLine="420"/>
        <w:rPr>
          <w:rFonts w:cs="Times New Roman"/>
          <w:kern w:val="2"/>
          <w:sz w:val="21"/>
          <w:szCs w:val="21"/>
        </w:rPr>
      </w:pPr>
      <w:r>
        <w:rPr>
          <w:rFonts w:hint="eastAsia" w:cs="Times New Roman"/>
          <w:kern w:val="2"/>
          <w:sz w:val="21"/>
          <w:szCs w:val="21"/>
        </w:rPr>
        <w:t>（2）设备应为轮对通过式</w:t>
      </w:r>
      <w:r>
        <w:rPr>
          <w:rFonts w:cs="Times New Roman"/>
          <w:kern w:val="2"/>
          <w:sz w:val="21"/>
          <w:szCs w:val="21"/>
        </w:rPr>
        <w:t>，</w:t>
      </w:r>
      <w:r>
        <w:rPr>
          <w:rFonts w:hint="eastAsia" w:cs="Times New Roman"/>
          <w:kern w:val="2"/>
          <w:sz w:val="21"/>
          <w:szCs w:val="21"/>
        </w:rPr>
        <w:t>可手动将被试轮对推到试验台的平台上进行测试，无需吊装；设备主体设在地下，减少占用空间，保证设备和操作者的安全。</w:t>
      </w:r>
    </w:p>
    <w:p w14:paraId="58D5CD36">
      <w:pPr>
        <w:pStyle w:val="64"/>
        <w:ind w:firstLine="420"/>
        <w:rPr>
          <w:rFonts w:cs="Times New Roman"/>
          <w:kern w:val="2"/>
          <w:sz w:val="21"/>
          <w:szCs w:val="21"/>
        </w:rPr>
      </w:pPr>
      <w:r>
        <w:rPr>
          <w:rFonts w:hint="eastAsia" w:cs="Times New Roman"/>
          <w:kern w:val="2"/>
          <w:sz w:val="21"/>
          <w:szCs w:val="21"/>
        </w:rPr>
        <w:t>（3）跑合参数设置灵活方便，管理员户可根据工艺变化对温升上限值、跑合时间、跑合最高转速等参数进行调整。只有授权的管理员才能对上述参数进行修改设置。</w:t>
      </w:r>
    </w:p>
    <w:p w14:paraId="657D7CC5">
      <w:pPr>
        <w:pStyle w:val="64"/>
        <w:ind w:firstLine="420"/>
        <w:rPr>
          <w:rFonts w:cs="Times New Roman"/>
          <w:kern w:val="2"/>
          <w:sz w:val="21"/>
          <w:szCs w:val="21"/>
        </w:rPr>
      </w:pPr>
      <w:r>
        <w:rPr>
          <w:rFonts w:hint="eastAsia" w:cs="Times New Roman"/>
          <w:kern w:val="2"/>
          <w:sz w:val="21"/>
          <w:szCs w:val="21"/>
        </w:rPr>
        <w:t>（4）设备是单工位跑合试验机，一次跑合一个轮对，可自动、手动操作。</w:t>
      </w:r>
    </w:p>
    <w:p w14:paraId="44AD2A10">
      <w:pPr>
        <w:pStyle w:val="64"/>
        <w:ind w:firstLine="420"/>
        <w:rPr>
          <w:rFonts w:cs="Times New Roman"/>
          <w:kern w:val="2"/>
          <w:sz w:val="21"/>
          <w:szCs w:val="21"/>
        </w:rPr>
      </w:pPr>
      <w:r>
        <w:rPr>
          <w:rFonts w:hint="eastAsia" w:cs="Times New Roman"/>
          <w:kern w:val="2"/>
          <w:sz w:val="21"/>
          <w:szCs w:val="21"/>
        </w:rPr>
        <w:t>（5）采用电机驱动，具有独立刹车和自动推轮功能。</w:t>
      </w:r>
    </w:p>
    <w:p w14:paraId="6C4FCDEB">
      <w:pPr>
        <w:pStyle w:val="64"/>
        <w:ind w:firstLine="420"/>
        <w:rPr>
          <w:rFonts w:cs="Times New Roman"/>
          <w:kern w:val="2"/>
          <w:sz w:val="21"/>
          <w:szCs w:val="21"/>
        </w:rPr>
      </w:pPr>
      <w:r>
        <w:rPr>
          <w:rFonts w:hint="eastAsia" w:cs="Times New Roman"/>
          <w:kern w:val="2"/>
          <w:sz w:val="21"/>
          <w:szCs w:val="21"/>
        </w:rPr>
        <w:t>（6）采用远红外测温方式，测温误差精度±0.5%以内。</w:t>
      </w:r>
    </w:p>
    <w:p w14:paraId="141A4D98">
      <w:pPr>
        <w:pStyle w:val="64"/>
        <w:ind w:firstLine="420"/>
        <w:rPr>
          <w:rFonts w:cs="Times New Roman"/>
          <w:kern w:val="2"/>
          <w:sz w:val="21"/>
          <w:szCs w:val="21"/>
        </w:rPr>
      </w:pPr>
      <w:r>
        <w:rPr>
          <w:rFonts w:hint="eastAsia" w:cs="Times New Roman"/>
          <w:kern w:val="2"/>
          <w:sz w:val="21"/>
          <w:szCs w:val="21"/>
        </w:rPr>
        <w:t>（7）设有超温报警装置，当检测温升超过标准时自动报警，并自动停止跑合。铁标规定当轴承温升超过40度时，系统报警提示并自动停机。</w:t>
      </w:r>
    </w:p>
    <w:p w14:paraId="66312A36">
      <w:pPr>
        <w:pStyle w:val="64"/>
        <w:ind w:firstLine="420"/>
        <w:rPr>
          <w:rFonts w:cs="Times New Roman"/>
          <w:kern w:val="2"/>
          <w:sz w:val="21"/>
          <w:szCs w:val="21"/>
        </w:rPr>
      </w:pPr>
      <w:r>
        <w:rPr>
          <w:rFonts w:hint="eastAsia" w:cs="Times New Roman"/>
          <w:kern w:val="2"/>
          <w:sz w:val="21"/>
          <w:szCs w:val="21"/>
        </w:rPr>
        <w:t>（8）采用变频调速对车轮进行旋转驱动，并有速度传感器自动测量轮对转数。</w:t>
      </w:r>
    </w:p>
    <w:p w14:paraId="1155AA4F">
      <w:pPr>
        <w:pStyle w:val="64"/>
        <w:ind w:firstLine="420"/>
        <w:rPr>
          <w:rFonts w:cs="Times New Roman"/>
          <w:kern w:val="2"/>
          <w:sz w:val="21"/>
          <w:szCs w:val="21"/>
        </w:rPr>
      </w:pPr>
      <w:r>
        <w:rPr>
          <w:rFonts w:hint="eastAsia" w:cs="Times New Roman"/>
          <w:kern w:val="2"/>
          <w:sz w:val="21"/>
          <w:szCs w:val="21"/>
        </w:rPr>
        <w:t>（9）采用业主所提供硬件作为输入、输出控制和数据处理的核心单元。</w:t>
      </w:r>
    </w:p>
    <w:p w14:paraId="5B4E9F69">
      <w:pPr>
        <w:pStyle w:val="64"/>
        <w:ind w:firstLine="420"/>
        <w:rPr>
          <w:rFonts w:cs="Times New Roman"/>
          <w:kern w:val="2"/>
          <w:sz w:val="21"/>
          <w:szCs w:val="21"/>
        </w:rPr>
      </w:pPr>
      <w:r>
        <w:rPr>
          <w:rFonts w:hint="eastAsia" w:cs="Times New Roman"/>
          <w:kern w:val="2"/>
          <w:sz w:val="21"/>
          <w:szCs w:val="21"/>
        </w:rPr>
        <w:t>（10）对试验过程自动进行轴箱、齿轮箱轴承温升和振动的检测、记录、显示、打印，并具有历史数据查询、检索、打印等功能。</w:t>
      </w:r>
    </w:p>
    <w:p w14:paraId="1F8D3EBC">
      <w:pPr>
        <w:pStyle w:val="64"/>
        <w:ind w:firstLine="420"/>
        <w:rPr>
          <w:rFonts w:cs="Times New Roman"/>
          <w:kern w:val="2"/>
          <w:sz w:val="21"/>
          <w:szCs w:val="21"/>
        </w:rPr>
      </w:pPr>
      <w:r>
        <w:rPr>
          <w:rFonts w:hint="eastAsia" w:cs="Times New Roman"/>
          <w:kern w:val="2"/>
          <w:sz w:val="21"/>
          <w:szCs w:val="21"/>
        </w:rPr>
        <w:t>（12）轮对支撑升降装置用来轮对跑合启动前的固定及升降。</w:t>
      </w:r>
    </w:p>
    <w:p w14:paraId="28EA1508">
      <w:pPr>
        <w:pStyle w:val="64"/>
        <w:ind w:firstLine="420"/>
        <w:rPr>
          <w:rFonts w:cs="Times New Roman"/>
          <w:kern w:val="2"/>
          <w:sz w:val="21"/>
          <w:szCs w:val="21"/>
        </w:rPr>
      </w:pPr>
      <w:r>
        <w:rPr>
          <w:rFonts w:hint="eastAsia" w:cs="Times New Roman"/>
          <w:kern w:val="2"/>
          <w:sz w:val="21"/>
          <w:szCs w:val="21"/>
        </w:rPr>
        <w:t>（13）业主所提供硬件具有网络智能接口，当网络硬件连通时，能够适时接受前道工序的数据，并将跑合结果提供给既有信息化管理系统共享。</w:t>
      </w:r>
    </w:p>
    <w:p w14:paraId="568EFA7B">
      <w:pPr>
        <w:pStyle w:val="64"/>
        <w:ind w:firstLine="420"/>
        <w:rPr>
          <w:rFonts w:cs="Times New Roman"/>
          <w:kern w:val="2"/>
          <w:sz w:val="21"/>
          <w:szCs w:val="21"/>
        </w:rPr>
      </w:pPr>
      <w:r>
        <w:rPr>
          <w:rFonts w:hint="eastAsia" w:cs="Times New Roman"/>
          <w:kern w:val="2"/>
          <w:sz w:val="21"/>
          <w:szCs w:val="21"/>
        </w:rPr>
        <w:t>（14）电气元件和材料应符合ISO、IEC或其他同等标准。电气、电子设备应工作可靠、通用性强，不受机械震动和电气干扰影响并具备良好的防湿性。</w:t>
      </w:r>
    </w:p>
    <w:p w14:paraId="2D2FCB90">
      <w:pPr>
        <w:pStyle w:val="64"/>
        <w:ind w:firstLine="420"/>
        <w:rPr>
          <w:rFonts w:cs="Times New Roman"/>
          <w:kern w:val="2"/>
          <w:sz w:val="21"/>
          <w:szCs w:val="21"/>
        </w:rPr>
      </w:pPr>
      <w:r>
        <w:rPr>
          <w:rFonts w:hint="eastAsia" w:cs="Times New Roman"/>
          <w:kern w:val="2"/>
          <w:sz w:val="21"/>
          <w:szCs w:val="21"/>
        </w:rPr>
        <w:t>（1</w:t>
      </w:r>
      <w:r>
        <w:rPr>
          <w:rFonts w:cs="Times New Roman"/>
          <w:kern w:val="2"/>
          <w:sz w:val="21"/>
          <w:szCs w:val="21"/>
        </w:rPr>
        <w:t>5</w:t>
      </w:r>
      <w:r>
        <w:rPr>
          <w:rFonts w:hint="eastAsia" w:cs="Times New Roman"/>
          <w:kern w:val="2"/>
          <w:sz w:val="21"/>
          <w:szCs w:val="21"/>
        </w:rPr>
        <w:t>）非工作状态下，轮对整件（含齿轮箱、轴箱、轴端装置）可推行通过跑合设备的安装区域。</w:t>
      </w:r>
    </w:p>
    <w:p w14:paraId="1C4EB106">
      <w:pPr>
        <w:pStyle w:val="64"/>
        <w:ind w:firstLine="420"/>
        <w:rPr>
          <w:rFonts w:cs="Times New Roman"/>
          <w:kern w:val="2"/>
          <w:sz w:val="21"/>
          <w:szCs w:val="21"/>
        </w:rPr>
      </w:pPr>
      <w:r>
        <w:rPr>
          <w:rFonts w:hint="eastAsia" w:cs="Times New Roman"/>
          <w:kern w:val="2"/>
          <w:sz w:val="21"/>
          <w:szCs w:val="21"/>
        </w:rPr>
        <w:t>（1</w:t>
      </w:r>
      <w:r>
        <w:rPr>
          <w:rFonts w:cs="Times New Roman"/>
          <w:kern w:val="2"/>
          <w:sz w:val="21"/>
          <w:szCs w:val="21"/>
        </w:rPr>
        <w:t>6</w:t>
      </w:r>
      <w:r>
        <w:rPr>
          <w:rFonts w:hint="eastAsia" w:cs="Times New Roman"/>
          <w:kern w:val="2"/>
          <w:sz w:val="21"/>
          <w:szCs w:val="21"/>
        </w:rPr>
        <w:t>）卖方提供的轴箱轴承跑合设备的组成（包括但不限于）各部分详细说明其功能、设备构成、性能、技术参数、数量等。</w:t>
      </w:r>
    </w:p>
    <w:p w14:paraId="45943DDC">
      <w:pPr>
        <w:adjustRightInd w:val="0"/>
        <w:snapToGrid w:val="0"/>
        <w:spacing w:line="360" w:lineRule="auto"/>
        <w:rPr>
          <w:rFonts w:ascii="宋体" w:hAnsi="宋体"/>
          <w:bCs/>
          <w:szCs w:val="21"/>
        </w:rPr>
      </w:pPr>
      <w:r>
        <w:rPr>
          <w:rFonts w:hint="eastAsia" w:ascii="宋体" w:hAnsi="宋体"/>
          <w:bCs/>
          <w:szCs w:val="21"/>
        </w:rPr>
        <w:t>3）设备组成</w:t>
      </w:r>
    </w:p>
    <w:p w14:paraId="4AD461D9">
      <w:pPr>
        <w:pStyle w:val="64"/>
        <w:ind w:firstLine="420"/>
        <w:rPr>
          <w:rFonts w:cs="KaiTi_GB2312-Identity-H"/>
          <w:sz w:val="21"/>
          <w:szCs w:val="21"/>
        </w:rPr>
      </w:pPr>
      <w:r>
        <w:rPr>
          <w:rFonts w:hint="eastAsia" w:cs="KaiTi_GB2312-Identity-H"/>
          <w:sz w:val="21"/>
          <w:szCs w:val="21"/>
        </w:rPr>
        <w:t>设备主要由操控系统（含操作台）、试验测量系统、试验平台、驱动系统（含联轴节驱动系统和摩擦轮驱动系统）、轮对支撑升降装置（含延伸铁轨）、试验区护栏（全包围）、试验支撑工装（含轮对轴箱支撑工装、轮对轴支撑工装及齿轮箱支撑工装，满足被试轮对跑合要求）、夹紧装置（轴箱固定装置）组成。</w:t>
      </w:r>
    </w:p>
    <w:p w14:paraId="7037F286">
      <w:pPr>
        <w:pStyle w:val="64"/>
        <w:ind w:firstLine="420"/>
        <w:rPr>
          <w:rFonts w:cs="KaiTi_GB2312-Identity-H"/>
          <w:sz w:val="21"/>
          <w:szCs w:val="21"/>
        </w:rPr>
      </w:pPr>
      <w:r>
        <w:rPr>
          <w:rFonts w:cs="KaiTi_GB2312-Identity-H"/>
          <w:sz w:val="21"/>
          <w:szCs w:val="21"/>
        </w:rPr>
        <w:t>（1）</w:t>
      </w:r>
      <w:r>
        <w:rPr>
          <w:rFonts w:hint="eastAsia" w:cs="KaiTi_GB2312-Identity-H"/>
          <w:sz w:val="21"/>
          <w:szCs w:val="21"/>
        </w:rPr>
        <w:t>轴箱固定装置满足使用功能需求，满足在试验时支撑、定位并固定轮对轴箱。试验前，先将轴箱支撑工装按图纸尺寸固定在平台上面。</w:t>
      </w:r>
    </w:p>
    <w:p w14:paraId="61CCB395">
      <w:pPr>
        <w:pStyle w:val="64"/>
        <w:ind w:firstLine="420"/>
        <w:rPr>
          <w:rFonts w:cs="KaiTi_GB2312-Identity-H"/>
          <w:sz w:val="21"/>
          <w:szCs w:val="21"/>
        </w:rPr>
      </w:pPr>
      <w:r>
        <w:rPr>
          <w:rFonts w:cs="KaiTi_GB2312-Identity-H"/>
          <w:sz w:val="21"/>
          <w:szCs w:val="21"/>
        </w:rPr>
        <w:t>（2）</w:t>
      </w:r>
      <w:r>
        <w:rPr>
          <w:rFonts w:hint="eastAsia" w:cs="KaiTi_GB2312-Identity-H"/>
          <w:sz w:val="21"/>
          <w:szCs w:val="21"/>
        </w:rPr>
        <w:t>试验平台作为被试品安装基础。采用调整垫铁调整平台水平度。采用地基基础进行二次灌浆两种形式，具有足够的强度、稳定度和抗震能力。</w:t>
      </w:r>
    </w:p>
    <w:p w14:paraId="3F1C3697">
      <w:pPr>
        <w:pStyle w:val="64"/>
        <w:ind w:firstLine="420"/>
        <w:rPr>
          <w:rFonts w:cs="KaiTi_GB2312-Identity-H"/>
          <w:sz w:val="21"/>
          <w:szCs w:val="21"/>
        </w:rPr>
      </w:pPr>
      <w:r>
        <w:rPr>
          <w:rFonts w:hint="eastAsia" w:cs="KaiTi_GB2312-Identity-H"/>
          <w:sz w:val="21"/>
          <w:szCs w:val="21"/>
        </w:rPr>
        <w:t>（3）传动装置，含联轴节驱动装置及摩擦轮传动装置，考虑到动车轮对和拖车轮对被试品之间快速更换，动车轮对可采用联轴节驱动装置或摩擦轮方式驱动；拖车轮对采用摩擦轮方式驱动，可实现驱动快捷自动化。</w:t>
      </w:r>
    </w:p>
    <w:p w14:paraId="2C4FE919">
      <w:pPr>
        <w:pStyle w:val="64"/>
        <w:ind w:firstLine="420"/>
        <w:rPr>
          <w:rFonts w:cs="KaiTi_GB2312-Identity-H"/>
          <w:sz w:val="21"/>
          <w:szCs w:val="21"/>
        </w:rPr>
      </w:pPr>
      <w:r>
        <w:rPr>
          <w:rFonts w:cs="KaiTi_GB2312-Identity-H"/>
          <w:sz w:val="21"/>
          <w:szCs w:val="21"/>
        </w:rPr>
        <w:t>（4）</w:t>
      </w:r>
      <w:r>
        <w:rPr>
          <w:rFonts w:hint="eastAsia" w:cs="KaiTi_GB2312-Identity-H"/>
          <w:sz w:val="21"/>
          <w:szCs w:val="21"/>
        </w:rPr>
        <w:t>控制系统选用品牌变频器，强制风冷，变频器调试简单，具有可编程功能，因而其配置具有最大的灵活性。且具有完善的变频器和电机保护功能（过压、过载）。带有基本操作面板，操作简单，数值的大小和单位在面板上显示与参数设定，可通过操作面板、外部端子、Modbus-RTU 通讯协议等控制变频器运行。</w:t>
      </w:r>
    </w:p>
    <w:p w14:paraId="43898210">
      <w:pPr>
        <w:pStyle w:val="64"/>
        <w:ind w:firstLine="420"/>
        <w:rPr>
          <w:rFonts w:cs="KaiTi_GB2312-Identity-H"/>
          <w:sz w:val="21"/>
          <w:szCs w:val="21"/>
        </w:rPr>
      </w:pPr>
      <w:r>
        <w:rPr>
          <w:rFonts w:cs="KaiTi_GB2312-Identity-H"/>
          <w:sz w:val="21"/>
          <w:szCs w:val="21"/>
        </w:rPr>
        <w:t>（5）</w:t>
      </w:r>
      <w:r>
        <w:rPr>
          <w:rFonts w:hint="eastAsia" w:cs="KaiTi_GB2312-Identity-H"/>
          <w:sz w:val="21"/>
          <w:szCs w:val="21"/>
        </w:rPr>
        <w:t>测试模块，包含有温度传感器、震动传感器、转速传感器、噪声采集器等模块，可以实现对轴箱、齿轮箱跑合的数据监测功能，并进行跑合结果判断。</w:t>
      </w:r>
    </w:p>
    <w:p w14:paraId="21AEDB0C">
      <w:pPr>
        <w:adjustRightInd w:val="0"/>
        <w:snapToGrid w:val="0"/>
        <w:spacing w:line="360" w:lineRule="auto"/>
        <w:rPr>
          <w:rFonts w:ascii="宋体" w:hAnsi="宋体"/>
          <w:bCs/>
          <w:szCs w:val="21"/>
        </w:rPr>
      </w:pPr>
      <w:r>
        <w:rPr>
          <w:rFonts w:hint="eastAsia" w:ascii="宋体" w:hAnsi="宋体"/>
          <w:bCs/>
          <w:szCs w:val="21"/>
        </w:rPr>
        <w:t>4）主要技术参数（设计联络时确定）</w:t>
      </w:r>
    </w:p>
    <w:p w14:paraId="5D37FD1C">
      <w:pPr>
        <w:ind w:firstLine="420"/>
        <w:rPr>
          <w:rFonts w:ascii="宋体" w:hAnsi="宋体"/>
          <w:szCs w:val="21"/>
        </w:rPr>
      </w:pPr>
      <w:r>
        <w:rPr>
          <w:rFonts w:hint="eastAsia" w:ascii="宋体" w:hAnsi="宋体"/>
          <w:szCs w:val="21"/>
        </w:rPr>
        <w:t>（1）设备技术参数：</w:t>
      </w:r>
    </w:p>
    <w:p w14:paraId="3156B6F5">
      <w:pPr>
        <w:pStyle w:val="64"/>
        <w:ind w:firstLine="420"/>
        <w:rPr>
          <w:rFonts w:cs="KaiTi_GB2312-Identity-H"/>
          <w:sz w:val="21"/>
          <w:szCs w:val="21"/>
        </w:rPr>
      </w:pPr>
      <w:r>
        <w:rPr>
          <w:rFonts w:hint="eastAsia" w:cs="KaiTi_GB2312-Identity-H"/>
          <w:sz w:val="21"/>
          <w:szCs w:val="21"/>
        </w:rPr>
        <w:t xml:space="preserve">电源：      </w:t>
      </w:r>
      <w:r>
        <w:rPr>
          <w:rFonts w:hint="eastAsia" w:cs="KaiTi_GB2312-Identity-H"/>
          <w:b/>
          <w:sz w:val="21"/>
          <w:szCs w:val="21"/>
        </w:rPr>
        <w:t xml:space="preserve">      </w:t>
      </w:r>
      <w:r>
        <w:rPr>
          <w:rFonts w:hint="eastAsia" w:cs="KaiTi_GB2312-Identity-H"/>
          <w:sz w:val="21"/>
          <w:szCs w:val="21"/>
        </w:rPr>
        <w:t xml:space="preserve"> AC380V/50Hz</w:t>
      </w:r>
    </w:p>
    <w:p w14:paraId="43CA8D8D">
      <w:pPr>
        <w:pStyle w:val="64"/>
        <w:ind w:firstLine="420"/>
        <w:rPr>
          <w:rFonts w:cs="KaiTi_GB2312-Identity-H"/>
          <w:sz w:val="21"/>
          <w:szCs w:val="21"/>
        </w:rPr>
      </w:pPr>
      <w:r>
        <w:rPr>
          <w:rFonts w:hint="eastAsia" w:cs="KaiTi_GB2312-Identity-H"/>
          <w:sz w:val="21"/>
          <w:szCs w:val="21"/>
        </w:rPr>
        <w:t xml:space="preserve">电气总功率约：   </w:t>
      </w:r>
      <w:r>
        <w:rPr>
          <w:rFonts w:hint="eastAsia" w:cs="KaiTi_GB2312-Identity-H"/>
          <w:bCs/>
          <w:sz w:val="21"/>
          <w:szCs w:val="21"/>
        </w:rPr>
        <w:t xml:space="preserve">  ≤  45kW</w:t>
      </w:r>
    </w:p>
    <w:p w14:paraId="343BC1E5">
      <w:pPr>
        <w:pStyle w:val="64"/>
        <w:ind w:firstLine="420"/>
        <w:rPr>
          <w:rFonts w:cs="KaiTi_GB2312-Identity-H"/>
          <w:sz w:val="21"/>
          <w:szCs w:val="21"/>
        </w:rPr>
      </w:pPr>
      <w:r>
        <w:rPr>
          <w:rFonts w:hint="eastAsia" w:cs="KaiTi_GB2312-Identity-H"/>
          <w:sz w:val="21"/>
          <w:szCs w:val="21"/>
        </w:rPr>
        <w:t xml:space="preserve">轮对转速：        </w:t>
      </w:r>
      <w:r>
        <w:rPr>
          <w:rFonts w:hint="eastAsia" w:cs="KaiTi_GB2312-Identity-H"/>
          <w:bCs/>
          <w:sz w:val="21"/>
          <w:szCs w:val="21"/>
        </w:rPr>
        <w:t>范围：0～2500r/min，变频无极调速</w:t>
      </w:r>
      <w:r>
        <w:rPr>
          <w:rFonts w:cs="KaiTi_GB2312-Identity-H"/>
          <w:sz w:val="21"/>
          <w:szCs w:val="21"/>
        </w:rPr>
        <w:t>；</w:t>
      </w:r>
      <w:r>
        <w:rPr>
          <w:rFonts w:hint="eastAsia" w:cs="KaiTi_GB2312-Identity-H"/>
          <w:sz w:val="21"/>
          <w:szCs w:val="21"/>
        </w:rPr>
        <w:t>精度：±0.1%</w:t>
      </w:r>
    </w:p>
    <w:p w14:paraId="6B1622E1">
      <w:pPr>
        <w:pStyle w:val="64"/>
        <w:ind w:firstLine="420"/>
        <w:rPr>
          <w:rFonts w:cs="KaiTi_GB2312-Identity-H"/>
          <w:sz w:val="21"/>
          <w:szCs w:val="21"/>
        </w:rPr>
      </w:pPr>
      <w:r>
        <w:rPr>
          <w:rFonts w:hint="eastAsia" w:cs="KaiTi_GB2312-Identity-H"/>
          <w:sz w:val="21"/>
          <w:szCs w:val="21"/>
        </w:rPr>
        <w:t>磨合时间：         ≥ 5min (用户可设定)</w:t>
      </w:r>
    </w:p>
    <w:p w14:paraId="2D53EC81">
      <w:pPr>
        <w:pStyle w:val="64"/>
        <w:ind w:firstLine="420"/>
        <w:rPr>
          <w:rFonts w:cs="KaiTi_GB2312-Identity-H"/>
          <w:sz w:val="21"/>
          <w:szCs w:val="21"/>
        </w:rPr>
      </w:pPr>
      <w:r>
        <w:rPr>
          <w:rFonts w:hint="eastAsia" w:cs="KaiTi_GB2312-Identity-H"/>
          <w:sz w:val="21"/>
          <w:szCs w:val="21"/>
        </w:rPr>
        <w:t>工作环境温度：     -10℃-45℃</w:t>
      </w:r>
    </w:p>
    <w:p w14:paraId="55BA9200">
      <w:pPr>
        <w:pStyle w:val="64"/>
        <w:ind w:firstLine="420"/>
        <w:rPr>
          <w:rFonts w:cs="KaiTi_GB2312-Identity-H"/>
          <w:sz w:val="21"/>
          <w:szCs w:val="21"/>
        </w:rPr>
      </w:pPr>
      <w:r>
        <w:rPr>
          <w:rFonts w:hint="eastAsia" w:cs="KaiTi_GB2312-Identity-H"/>
          <w:sz w:val="21"/>
          <w:szCs w:val="21"/>
        </w:rPr>
        <w:t>设备噪音：          ≤85分贝</w:t>
      </w:r>
    </w:p>
    <w:p w14:paraId="5E2A451D">
      <w:pPr>
        <w:pStyle w:val="64"/>
        <w:ind w:firstLine="420"/>
        <w:rPr>
          <w:rFonts w:cs="KaiTi_GB2312-Identity-H"/>
          <w:sz w:val="21"/>
          <w:szCs w:val="21"/>
        </w:rPr>
      </w:pPr>
      <w:r>
        <w:rPr>
          <w:rFonts w:hint="eastAsia" w:cs="KaiTi_GB2312-Identity-H"/>
          <w:sz w:val="21"/>
          <w:szCs w:val="21"/>
        </w:rPr>
        <w:t>适应的轮对直径      730-900 mm</w:t>
      </w:r>
    </w:p>
    <w:p w14:paraId="506C5B0E">
      <w:pPr>
        <w:pStyle w:val="64"/>
        <w:ind w:firstLine="420"/>
        <w:rPr>
          <w:bCs/>
          <w:sz w:val="21"/>
          <w:szCs w:val="21"/>
        </w:rPr>
      </w:pPr>
      <w:r>
        <w:rPr>
          <w:rFonts w:hint="eastAsia"/>
          <w:bCs/>
          <w:sz w:val="21"/>
          <w:szCs w:val="21"/>
        </w:rPr>
        <w:t>非工作状态，轮对整件可推行通过设备的安装区域</w:t>
      </w:r>
    </w:p>
    <w:p w14:paraId="47FC38FC">
      <w:pPr>
        <w:ind w:firstLine="420"/>
        <w:rPr>
          <w:rFonts w:ascii="宋体" w:hAnsi="宋体"/>
          <w:szCs w:val="21"/>
        </w:rPr>
      </w:pPr>
      <w:r>
        <w:rPr>
          <w:rFonts w:hint="eastAsia" w:ascii="宋体" w:hAnsi="宋体"/>
          <w:szCs w:val="21"/>
        </w:rPr>
        <w:t>（2）适用轮对参数</w:t>
      </w:r>
    </w:p>
    <w:p w14:paraId="1C85ADC1">
      <w:pPr>
        <w:ind w:firstLine="420"/>
        <w:rPr>
          <w:rFonts w:ascii="宋体" w:hAnsi="宋体"/>
          <w:szCs w:val="21"/>
        </w:rPr>
      </w:pPr>
      <w:r>
        <w:rPr>
          <w:rFonts w:hint="eastAsia" w:ascii="宋体" w:hAnsi="宋体"/>
          <w:szCs w:val="21"/>
        </w:rPr>
        <w:t>适用于长沙市轨道交通6号线电客车动车轮对和拖车轮对。</w:t>
      </w:r>
    </w:p>
    <w:p w14:paraId="4AADD913">
      <w:pPr>
        <w:adjustRightInd w:val="0"/>
        <w:snapToGrid w:val="0"/>
        <w:spacing w:line="360" w:lineRule="auto"/>
        <w:rPr>
          <w:rFonts w:ascii="宋体" w:hAnsi="宋体"/>
          <w:bCs/>
          <w:szCs w:val="21"/>
        </w:rPr>
      </w:pPr>
      <w:r>
        <w:rPr>
          <w:rFonts w:hint="eastAsia" w:ascii="宋体" w:hAnsi="宋体"/>
          <w:bCs/>
          <w:szCs w:val="21"/>
        </w:rPr>
        <w:t>5）配置要求</w:t>
      </w:r>
    </w:p>
    <w:p w14:paraId="72D339EC">
      <w:pPr>
        <w:ind w:firstLine="420"/>
        <w:rPr>
          <w:rFonts w:ascii="宋体" w:hAnsi="宋体"/>
          <w:szCs w:val="21"/>
        </w:rPr>
      </w:pPr>
      <w:r>
        <w:rPr>
          <w:rFonts w:hint="eastAsia" w:ascii="宋体" w:hAnsi="宋体"/>
          <w:szCs w:val="21"/>
        </w:rPr>
        <w:t>电器控制部分：</w:t>
      </w:r>
    </w:p>
    <w:p w14:paraId="72310675">
      <w:pPr>
        <w:numPr>
          <w:ilvl w:val="0"/>
          <w:numId w:val="4"/>
        </w:numPr>
        <w:adjustRightInd w:val="0"/>
        <w:snapToGrid w:val="0"/>
        <w:spacing w:line="360" w:lineRule="auto"/>
        <w:jc w:val="left"/>
        <w:rPr>
          <w:rFonts w:ascii="宋体" w:hAnsi="宋体"/>
          <w:szCs w:val="21"/>
        </w:rPr>
      </w:pPr>
      <w:r>
        <w:rPr>
          <w:rFonts w:hint="eastAsia"/>
          <w:szCs w:val="21"/>
        </w:rPr>
        <w:t>业主所提供计算机</w:t>
      </w:r>
      <w:r>
        <w:rPr>
          <w:rFonts w:hint="eastAsia" w:ascii="宋体" w:hAnsi="宋体"/>
          <w:szCs w:val="21"/>
        </w:rPr>
        <w:t>设置有</w:t>
      </w:r>
      <w:r>
        <w:rPr>
          <w:rFonts w:ascii="宋体" w:hAnsi="宋体"/>
          <w:szCs w:val="21"/>
        </w:rPr>
        <w:t>Ethernet</w:t>
      </w:r>
      <w:r>
        <w:rPr>
          <w:rFonts w:hint="eastAsia" w:ascii="宋体" w:hAnsi="宋体"/>
          <w:szCs w:val="21"/>
        </w:rPr>
        <w:t>接口，须能够正常对接。</w:t>
      </w:r>
    </w:p>
    <w:p w14:paraId="75FEFCFB">
      <w:pPr>
        <w:numPr>
          <w:ilvl w:val="0"/>
          <w:numId w:val="4"/>
        </w:numPr>
        <w:adjustRightInd w:val="0"/>
        <w:snapToGrid w:val="0"/>
        <w:spacing w:line="360" w:lineRule="auto"/>
        <w:jc w:val="left"/>
        <w:rPr>
          <w:rFonts w:ascii="宋体" w:hAnsi="宋体"/>
          <w:szCs w:val="21"/>
        </w:rPr>
      </w:pPr>
      <w:r>
        <w:rPr>
          <w:rFonts w:hint="eastAsia" w:ascii="宋体" w:hAnsi="宋体"/>
          <w:szCs w:val="21"/>
        </w:rPr>
        <w:t>操作按钮及紧急开关均设在电气控制柜面板上，可实现自动操作，也可手动分步操作，操作灵活方便。通过自动操作系统，设备能够自动完成从整轮对跑合过程；手动控制能够实现各个操作步骤的分步操作控制。</w:t>
      </w:r>
    </w:p>
    <w:p w14:paraId="698DFEDD">
      <w:pPr>
        <w:numPr>
          <w:ilvl w:val="0"/>
          <w:numId w:val="4"/>
        </w:numPr>
        <w:adjustRightInd w:val="0"/>
        <w:snapToGrid w:val="0"/>
        <w:spacing w:line="360" w:lineRule="auto"/>
        <w:jc w:val="left"/>
        <w:rPr>
          <w:rFonts w:ascii="宋体" w:hAnsi="宋体"/>
          <w:szCs w:val="21"/>
        </w:rPr>
      </w:pPr>
      <w:r>
        <w:rPr>
          <w:rFonts w:hint="eastAsia" w:ascii="宋体" w:hAnsi="宋体"/>
          <w:szCs w:val="21"/>
        </w:rPr>
        <w:t>电柜加装有制冷散热装置。</w:t>
      </w:r>
    </w:p>
    <w:p w14:paraId="407D21D1">
      <w:pPr>
        <w:numPr>
          <w:ilvl w:val="0"/>
          <w:numId w:val="4"/>
        </w:numPr>
        <w:adjustRightInd w:val="0"/>
        <w:snapToGrid w:val="0"/>
        <w:spacing w:line="360" w:lineRule="auto"/>
        <w:jc w:val="left"/>
        <w:rPr>
          <w:rFonts w:ascii="宋体" w:hAnsi="宋体"/>
          <w:szCs w:val="21"/>
        </w:rPr>
      </w:pPr>
      <w:r>
        <w:rPr>
          <w:rFonts w:hint="eastAsia" w:ascii="宋体" w:hAnsi="宋体"/>
          <w:szCs w:val="21"/>
        </w:rPr>
        <w:t>设备采用软件集中控制，所有控制按钮集中于控制界面中。同时设置硬件“急停”按钮保证紧急情况下的设备及人员安全。</w:t>
      </w:r>
    </w:p>
    <w:p w14:paraId="0C73FDC6">
      <w:pPr>
        <w:ind w:firstLine="420"/>
        <w:rPr>
          <w:rFonts w:ascii="宋体" w:hAnsi="宋体"/>
          <w:szCs w:val="21"/>
        </w:rPr>
      </w:pPr>
      <w:r>
        <w:rPr>
          <w:rFonts w:hint="eastAsia" w:ascii="宋体" w:hAnsi="宋体"/>
          <w:szCs w:val="21"/>
        </w:rPr>
        <w:t>设备控制系统：</w:t>
      </w:r>
    </w:p>
    <w:p w14:paraId="38902A5F">
      <w:pPr>
        <w:numPr>
          <w:ilvl w:val="0"/>
          <w:numId w:val="5"/>
        </w:numPr>
        <w:adjustRightInd w:val="0"/>
        <w:snapToGrid w:val="0"/>
        <w:spacing w:line="360" w:lineRule="auto"/>
        <w:jc w:val="left"/>
        <w:rPr>
          <w:rFonts w:ascii="宋体" w:hAnsi="宋体"/>
          <w:szCs w:val="21"/>
        </w:rPr>
      </w:pPr>
      <w:r>
        <w:rPr>
          <w:rFonts w:hint="eastAsia" w:ascii="宋体" w:hAnsi="宋体"/>
          <w:szCs w:val="21"/>
        </w:rPr>
        <w:t>设备所有的电气配线均标有不可撤销的线号，便于安装和维护；配备包括液压和电气控制系统的的电气控制柜。</w:t>
      </w:r>
    </w:p>
    <w:p w14:paraId="5EBB2740">
      <w:pPr>
        <w:numPr>
          <w:ilvl w:val="0"/>
          <w:numId w:val="5"/>
        </w:numPr>
        <w:adjustRightInd w:val="0"/>
        <w:snapToGrid w:val="0"/>
        <w:spacing w:line="360" w:lineRule="auto"/>
        <w:jc w:val="left"/>
        <w:rPr>
          <w:rFonts w:ascii="宋体" w:hAnsi="宋体"/>
          <w:szCs w:val="21"/>
        </w:rPr>
      </w:pPr>
      <w:r>
        <w:rPr>
          <w:rFonts w:hint="eastAsia" w:ascii="宋体" w:hAnsi="宋体"/>
          <w:szCs w:val="21"/>
        </w:rPr>
        <w:t>控制柜设备配电严格按照电器规范执行，线号清晰。在控制面板中用来控制和监视跑合过程，各操作按钮均有中文功能标示。</w:t>
      </w:r>
    </w:p>
    <w:p w14:paraId="5C7A2E27">
      <w:pPr>
        <w:numPr>
          <w:ilvl w:val="0"/>
          <w:numId w:val="5"/>
        </w:numPr>
        <w:adjustRightInd w:val="0"/>
        <w:snapToGrid w:val="0"/>
        <w:spacing w:line="360" w:lineRule="auto"/>
        <w:jc w:val="left"/>
        <w:rPr>
          <w:rFonts w:ascii="宋体" w:hAnsi="宋体"/>
          <w:szCs w:val="21"/>
        </w:rPr>
      </w:pPr>
      <w:r>
        <w:rPr>
          <w:rFonts w:hint="eastAsia" w:ascii="宋体" w:hAnsi="宋体"/>
          <w:szCs w:val="21"/>
        </w:rPr>
        <w:t>程序具有可视化的中文作业界面，采用人机对话接口，可根据需要人工输入车轴轴号、装配尺寸等各项参数。</w:t>
      </w:r>
    </w:p>
    <w:p w14:paraId="46726257">
      <w:pPr>
        <w:numPr>
          <w:ilvl w:val="0"/>
          <w:numId w:val="5"/>
        </w:numPr>
        <w:adjustRightInd w:val="0"/>
        <w:snapToGrid w:val="0"/>
        <w:spacing w:line="360" w:lineRule="auto"/>
        <w:jc w:val="left"/>
        <w:rPr>
          <w:rFonts w:ascii="宋体" w:hAnsi="宋体"/>
          <w:szCs w:val="21"/>
        </w:rPr>
      </w:pPr>
      <w:r>
        <w:rPr>
          <w:rFonts w:hint="eastAsia" w:ascii="宋体" w:hAnsi="宋体"/>
          <w:szCs w:val="21"/>
        </w:rPr>
        <w:t>设备能对跑合的轮对相关参数进行存储，用户可以以轴号或日期形式对历史数据进行查询、打印或通过U盘等外围设备进行拷贝。设备自动备份跑合数据，备份数据可自动存储于D盘。</w:t>
      </w:r>
    </w:p>
    <w:p w14:paraId="4D211883">
      <w:pPr>
        <w:spacing w:line="360" w:lineRule="auto"/>
        <w:ind w:firstLine="420"/>
        <w:rPr>
          <w:rFonts w:ascii="宋体" w:hAnsi="宋体"/>
          <w:szCs w:val="21"/>
        </w:rPr>
      </w:pPr>
      <w:r>
        <w:rPr>
          <w:rFonts w:hint="eastAsia" w:ascii="宋体" w:hAnsi="宋体"/>
          <w:szCs w:val="21"/>
        </w:rPr>
        <w:t>工装：保证适用范围内的轮对在设备上跑合时的正常使用。</w:t>
      </w:r>
    </w:p>
    <w:p w14:paraId="7D8BEC8A">
      <w:pPr>
        <w:spacing w:line="360" w:lineRule="auto"/>
        <w:ind w:firstLine="420"/>
        <w:rPr>
          <w:rFonts w:ascii="宋体" w:hAnsi="宋体"/>
          <w:szCs w:val="21"/>
        </w:rPr>
      </w:pPr>
      <w:r>
        <w:rPr>
          <w:rFonts w:hint="eastAsia" w:ascii="宋体" w:hAnsi="宋体"/>
          <w:szCs w:val="21"/>
        </w:rPr>
        <w:t>备件：提供设备零部件清单，需列出设备主要外购部件的名称、材料、生产厂家、安装在设备的部位，及提供两年内设备正常使用所需的备件及耗材。</w:t>
      </w:r>
    </w:p>
    <w:p w14:paraId="1D2A00BA">
      <w:pPr>
        <w:spacing w:line="360" w:lineRule="auto"/>
        <w:ind w:firstLine="420"/>
        <w:rPr>
          <w:rFonts w:ascii="宋体" w:hAnsi="宋体"/>
          <w:szCs w:val="21"/>
        </w:rPr>
      </w:pPr>
      <w:r>
        <w:rPr>
          <w:rFonts w:hint="eastAsia" w:ascii="宋体" w:hAnsi="宋体"/>
          <w:szCs w:val="21"/>
        </w:rPr>
        <w:t>校准：随设备提供用于设备尺寸校准、传感器校准、自身安装标定等测量元件和安装基准校准标定的专用工具、工装及仪器。</w:t>
      </w:r>
    </w:p>
    <w:p w14:paraId="2047109D">
      <w:pPr>
        <w:spacing w:line="360" w:lineRule="auto"/>
        <w:ind w:firstLine="420"/>
        <w:rPr>
          <w:rFonts w:ascii="宋体" w:hAnsi="宋体"/>
          <w:szCs w:val="21"/>
        </w:rPr>
      </w:pPr>
      <w:r>
        <w:rPr>
          <w:rFonts w:hint="eastAsia" w:ascii="宋体" w:hAnsi="宋体"/>
          <w:szCs w:val="21"/>
        </w:rPr>
        <w:t>程序：随设备提供满足技术规格书要求的产品检验程序、自检程序和设备正常运行及维修必需的其它辅助软件（包括备份软件）</w:t>
      </w:r>
    </w:p>
    <w:p w14:paraId="73C4E0B2">
      <w:pPr>
        <w:spacing w:line="360" w:lineRule="auto"/>
        <w:ind w:firstLine="420"/>
        <w:rPr>
          <w:rFonts w:ascii="宋体" w:hAnsi="宋体"/>
          <w:szCs w:val="21"/>
        </w:rPr>
      </w:pPr>
      <w:r>
        <w:rPr>
          <w:rFonts w:hint="eastAsia" w:ascii="宋体" w:hAnsi="宋体"/>
          <w:szCs w:val="21"/>
        </w:rPr>
        <w:t>图纸等技术资料：</w:t>
      </w:r>
    </w:p>
    <w:p w14:paraId="7F53CF33">
      <w:pPr>
        <w:numPr>
          <w:ilvl w:val="1"/>
          <w:numId w:val="6"/>
        </w:numPr>
        <w:adjustRightInd w:val="0"/>
        <w:snapToGrid w:val="0"/>
        <w:spacing w:line="360" w:lineRule="auto"/>
        <w:ind w:left="0" w:firstLine="426"/>
        <w:jc w:val="left"/>
        <w:rPr>
          <w:rFonts w:ascii="宋体" w:hAnsi="宋体"/>
          <w:szCs w:val="21"/>
        </w:rPr>
      </w:pPr>
      <w:r>
        <w:rPr>
          <w:rFonts w:hint="eastAsia" w:ascii="宋体" w:hAnsi="宋体"/>
          <w:szCs w:val="21"/>
        </w:rPr>
        <w:t>需</w:t>
      </w:r>
      <w:r>
        <w:rPr>
          <w:rFonts w:ascii="宋体" w:hAnsi="宋体"/>
          <w:szCs w:val="21"/>
        </w:rPr>
        <w:t>列出设备主要外购部件的名称、材料、生产厂家、安装在设备的部位。</w:t>
      </w:r>
    </w:p>
    <w:p w14:paraId="0DAE525B">
      <w:pPr>
        <w:numPr>
          <w:ilvl w:val="1"/>
          <w:numId w:val="6"/>
        </w:numPr>
        <w:adjustRightInd w:val="0"/>
        <w:snapToGrid w:val="0"/>
        <w:spacing w:line="360" w:lineRule="auto"/>
        <w:ind w:left="0" w:firstLine="426"/>
        <w:jc w:val="left"/>
        <w:rPr>
          <w:rFonts w:ascii="宋体" w:hAnsi="宋体"/>
          <w:szCs w:val="21"/>
        </w:rPr>
      </w:pPr>
      <w:r>
        <w:rPr>
          <w:rFonts w:hint="eastAsia" w:ascii="宋体" w:hAnsi="宋体"/>
          <w:szCs w:val="21"/>
        </w:rPr>
        <w:t>需</w:t>
      </w:r>
      <w:r>
        <w:rPr>
          <w:rFonts w:ascii="宋体" w:hAnsi="宋体"/>
          <w:szCs w:val="21"/>
        </w:rPr>
        <w:t>提供完整的技术文件和图纸</w:t>
      </w:r>
      <w:r>
        <w:rPr>
          <w:rFonts w:hint="eastAsia" w:ascii="宋体" w:hAnsi="宋体"/>
          <w:szCs w:val="21"/>
        </w:rPr>
        <w:t>，</w:t>
      </w:r>
      <w:r>
        <w:rPr>
          <w:rFonts w:ascii="宋体" w:hAnsi="宋体"/>
          <w:szCs w:val="21"/>
        </w:rPr>
        <w:t>详细说明设备及其部件的性能、原理、结构和尺寸，以及部件和电子器件的型号、规格和技术参数。使买方能够实现对设备的操作、检查、修理、试验、调整和维护；</w:t>
      </w:r>
    </w:p>
    <w:p w14:paraId="36A2CE57">
      <w:pPr>
        <w:numPr>
          <w:ilvl w:val="1"/>
          <w:numId w:val="6"/>
        </w:numPr>
        <w:adjustRightInd w:val="0"/>
        <w:snapToGrid w:val="0"/>
        <w:spacing w:line="360" w:lineRule="auto"/>
        <w:ind w:left="0" w:firstLine="426"/>
        <w:jc w:val="left"/>
        <w:rPr>
          <w:rFonts w:ascii="宋体" w:hAnsi="宋体"/>
          <w:szCs w:val="21"/>
        </w:rPr>
      </w:pPr>
      <w:r>
        <w:rPr>
          <w:rFonts w:ascii="宋体" w:hAnsi="宋体"/>
          <w:szCs w:val="21"/>
        </w:rPr>
        <w:t>装箱技术文件应包括：以上技术文件和图纸，总图，产品使用保养说明书，设备清单，专用工具、易损件、备件清单，产品合格证等</w:t>
      </w:r>
      <w:r>
        <w:rPr>
          <w:rFonts w:hint="eastAsia" w:ascii="宋体" w:hAnsi="宋体"/>
          <w:szCs w:val="21"/>
        </w:rPr>
        <w:t>。</w:t>
      </w:r>
    </w:p>
    <w:p w14:paraId="624FF454">
      <w:pPr>
        <w:numPr>
          <w:ilvl w:val="1"/>
          <w:numId w:val="6"/>
        </w:numPr>
        <w:adjustRightInd w:val="0"/>
        <w:snapToGrid w:val="0"/>
        <w:spacing w:line="360" w:lineRule="auto"/>
        <w:ind w:left="0" w:firstLine="426"/>
        <w:jc w:val="left"/>
        <w:rPr>
          <w:rFonts w:ascii="宋体" w:hAnsi="宋体"/>
          <w:szCs w:val="21"/>
        </w:rPr>
      </w:pPr>
      <w:r>
        <w:rPr>
          <w:rFonts w:hint="eastAsia" w:ascii="宋体" w:hAnsi="宋体"/>
          <w:szCs w:val="21"/>
        </w:rPr>
        <w:t>需</w:t>
      </w:r>
      <w:r>
        <w:rPr>
          <w:rFonts w:ascii="宋体" w:hAnsi="宋体"/>
          <w:szCs w:val="21"/>
        </w:rPr>
        <w:t>提供设备的基础、供电、各种管路接口要求等设计图纸和资料。</w:t>
      </w:r>
    </w:p>
    <w:p w14:paraId="2D44DCC4">
      <w:pPr>
        <w:numPr>
          <w:ilvl w:val="1"/>
          <w:numId w:val="6"/>
        </w:numPr>
        <w:adjustRightInd w:val="0"/>
        <w:snapToGrid w:val="0"/>
        <w:spacing w:line="360" w:lineRule="auto"/>
        <w:ind w:left="0" w:firstLine="426"/>
        <w:jc w:val="left"/>
        <w:rPr>
          <w:rFonts w:ascii="宋体" w:hAnsi="宋体"/>
          <w:szCs w:val="21"/>
        </w:rPr>
      </w:pPr>
      <w:r>
        <w:rPr>
          <w:rFonts w:hint="eastAsia" w:ascii="宋体" w:hAnsi="宋体"/>
          <w:szCs w:val="21"/>
        </w:rPr>
        <w:t>需</w:t>
      </w:r>
      <w:r>
        <w:rPr>
          <w:rFonts w:ascii="宋体" w:hAnsi="宋体"/>
          <w:szCs w:val="21"/>
        </w:rPr>
        <w:t>提供设备操作培训</w:t>
      </w:r>
      <w:r>
        <w:rPr>
          <w:rFonts w:hint="eastAsia" w:ascii="宋体" w:hAnsi="宋体"/>
          <w:szCs w:val="21"/>
        </w:rPr>
        <w:t>，现场培训不少于</w:t>
      </w:r>
      <w:r>
        <w:rPr>
          <w:rFonts w:ascii="宋体" w:hAnsi="宋体"/>
          <w:szCs w:val="21"/>
        </w:rPr>
        <w:t>15学时</w:t>
      </w:r>
      <w:r>
        <w:rPr>
          <w:rFonts w:hint="eastAsia" w:ascii="宋体" w:hAnsi="宋体"/>
          <w:szCs w:val="21"/>
        </w:rPr>
        <w:t>。</w:t>
      </w:r>
    </w:p>
    <w:p w14:paraId="78DDA913">
      <w:pPr>
        <w:adjustRightInd w:val="0"/>
        <w:snapToGrid w:val="0"/>
        <w:spacing w:line="360" w:lineRule="auto"/>
        <w:rPr>
          <w:rFonts w:ascii="宋体" w:hAnsi="宋体"/>
          <w:bCs/>
          <w:szCs w:val="21"/>
        </w:rPr>
      </w:pPr>
      <w:r>
        <w:rPr>
          <w:rFonts w:hint="eastAsia" w:ascii="宋体" w:hAnsi="宋体"/>
          <w:bCs/>
          <w:szCs w:val="21"/>
        </w:rPr>
        <w:t>6）需要满足信息管理系统数据接口要求，对于通讯协议的要求如下：</w:t>
      </w:r>
    </w:p>
    <w:p w14:paraId="31CE577A">
      <w:pPr>
        <w:widowControl/>
        <w:tabs>
          <w:tab w:val="left" w:pos="5220"/>
        </w:tabs>
        <w:spacing w:line="360" w:lineRule="auto"/>
        <w:ind w:firstLine="420" w:firstLineChars="200"/>
        <w:rPr>
          <w:rFonts w:ascii="宋体" w:hAnsi="宋体"/>
          <w:snapToGrid w:val="0"/>
          <w:kern w:val="0"/>
          <w:szCs w:val="21"/>
        </w:rPr>
      </w:pPr>
      <w:r>
        <w:rPr>
          <w:rFonts w:hint="eastAsia" w:ascii="宋体" w:hAnsi="宋体"/>
          <w:snapToGrid w:val="0"/>
          <w:kern w:val="0"/>
          <w:szCs w:val="21"/>
        </w:rPr>
        <w:t>（1）对于使用计算机的设备，通过以太网接口，根据用户提出的监控内容需求，按照统一的数据格式进行数据封装，具体数据内容及数据格式设计联络时确认，无法通过以太网接口直接与信息管理系统通讯或本身的通讯协议无法按要求匹配信息管理系统的，须同时具备智能网关，该智能网关需要满足信息管理系统数据接口要求。</w:t>
      </w:r>
    </w:p>
    <w:p w14:paraId="5B718BB0">
      <w:pPr>
        <w:widowControl/>
        <w:tabs>
          <w:tab w:val="left" w:pos="5220"/>
        </w:tabs>
        <w:spacing w:line="360" w:lineRule="auto"/>
        <w:ind w:firstLine="420" w:firstLineChars="200"/>
        <w:rPr>
          <w:rFonts w:ascii="宋体" w:hAnsi="宋体"/>
          <w:snapToGrid w:val="0"/>
          <w:kern w:val="0"/>
          <w:szCs w:val="21"/>
        </w:rPr>
      </w:pPr>
      <w:r>
        <w:rPr>
          <w:rFonts w:hint="eastAsia" w:ascii="宋体" w:hAnsi="宋体"/>
          <w:snapToGrid w:val="0"/>
          <w:kern w:val="0"/>
          <w:szCs w:val="21"/>
        </w:rPr>
        <w:t>（2）对于PLC类的设备，需要具备以太网接口或232/485接口，并根据用户提出的监控内容需求提供各个数据与寄存器地址或变量名的对应关系表，其他类的PLC需要按照统一的数据格式进行数据封装，具体数据内容及数据格式设计联络时确认。本类设备须同时具备智能网关，该智能网关需要满足信息管理系统数据接口要求。</w:t>
      </w:r>
    </w:p>
    <w:p w14:paraId="1B6D0F25">
      <w:pPr>
        <w:widowControl/>
        <w:tabs>
          <w:tab w:val="left" w:pos="5220"/>
        </w:tabs>
        <w:spacing w:line="360" w:lineRule="auto"/>
        <w:ind w:firstLine="420" w:firstLineChars="200"/>
        <w:rPr>
          <w:rFonts w:ascii="宋体" w:hAnsi="宋体"/>
          <w:snapToGrid w:val="0"/>
          <w:kern w:val="0"/>
          <w:szCs w:val="21"/>
        </w:rPr>
      </w:pPr>
      <w:r>
        <w:rPr>
          <w:rFonts w:hint="eastAsia" w:ascii="宋体" w:hAnsi="宋体"/>
          <w:snapToGrid w:val="0"/>
          <w:kern w:val="0"/>
          <w:szCs w:val="21"/>
        </w:rPr>
        <w:t>（3）仅具备RS232或485接口的，通讯协议需要遵循MODBUS规范，具体数据内容及数据格式设计联络时确认。本类设备须同时具备智能网关，可解析MODBUS，并满足信息管理系统数据接口要求。</w:t>
      </w:r>
    </w:p>
    <w:p w14:paraId="1DFB140D">
      <w:pPr>
        <w:pStyle w:val="2"/>
        <w:ind w:firstLine="0"/>
        <w:rPr>
          <w:rFonts w:hAnsi="宋体"/>
          <w:kern w:val="2"/>
          <w:sz w:val="21"/>
          <w:szCs w:val="21"/>
        </w:rPr>
      </w:pPr>
      <w:r>
        <w:rPr>
          <w:rFonts w:hint="eastAsia" w:hAnsi="宋体"/>
          <w:kern w:val="2"/>
          <w:sz w:val="21"/>
          <w:szCs w:val="21"/>
        </w:rPr>
        <w:t>7）施工要求</w:t>
      </w:r>
    </w:p>
    <w:p w14:paraId="70BC6D0B">
      <w:pPr>
        <w:pStyle w:val="2"/>
        <w:spacing w:line="360" w:lineRule="auto"/>
        <w:ind w:firstLineChars="200"/>
        <w:rPr>
          <w:rFonts w:hAnsi="宋体"/>
          <w:bCs/>
          <w:snapToGrid w:val="0"/>
          <w:sz w:val="21"/>
          <w:szCs w:val="21"/>
        </w:rPr>
      </w:pPr>
      <w:r>
        <w:rPr>
          <w:rFonts w:hint="eastAsia" w:hAnsi="宋体"/>
          <w:bCs/>
          <w:snapToGrid w:val="0"/>
          <w:sz w:val="21"/>
          <w:szCs w:val="21"/>
        </w:rPr>
        <w:t>（1）黄梨路车辆段联合检修库未预留跑合试验台安装基础，投标人需根据所选型产品方案承担本设备安装所涉及的基础开挖、浇筑等施工，包含不限于用电接口新增或调整、轨道接口调整、恢复等相关内容。</w:t>
      </w:r>
    </w:p>
    <w:p w14:paraId="0743DA02">
      <w:pPr>
        <w:pStyle w:val="2"/>
        <w:spacing w:line="360" w:lineRule="auto"/>
        <w:ind w:firstLineChars="200"/>
        <w:rPr>
          <w:rFonts w:hAnsi="宋体"/>
          <w:bCs/>
          <w:snapToGrid w:val="0"/>
          <w:sz w:val="21"/>
          <w:szCs w:val="21"/>
        </w:rPr>
      </w:pPr>
      <w:r>
        <w:rPr>
          <w:rFonts w:hint="eastAsia" w:hAnsi="宋体"/>
          <w:bCs/>
          <w:snapToGrid w:val="0"/>
          <w:sz w:val="21"/>
          <w:szCs w:val="21"/>
        </w:rPr>
        <w:t>（2）投标人在设计联络时需提供所选型设备安装的基础施工图供业主审核。</w:t>
      </w:r>
    </w:p>
    <w:p w14:paraId="35495A9D">
      <w:pPr>
        <w:adjustRightInd w:val="0"/>
        <w:snapToGrid w:val="0"/>
        <w:spacing w:line="360" w:lineRule="auto"/>
        <w:rPr>
          <w:rFonts w:ascii="宋体" w:hAnsi="宋体"/>
          <w:szCs w:val="21"/>
        </w:rPr>
      </w:pPr>
      <w:r>
        <w:rPr>
          <w:rFonts w:hint="eastAsia" w:ascii="宋体" w:hAnsi="宋体"/>
          <w:szCs w:val="21"/>
        </w:rPr>
        <w:t>8）其他要求</w:t>
      </w:r>
    </w:p>
    <w:p w14:paraId="757F6323">
      <w:pPr>
        <w:adjustRightInd w:val="0"/>
        <w:snapToGrid w:val="0"/>
        <w:spacing w:line="360" w:lineRule="auto"/>
        <w:ind w:firstLine="424" w:firstLineChars="202"/>
        <w:rPr>
          <w:rFonts w:ascii="宋体" w:hAnsi="宋体"/>
          <w:bCs/>
          <w:szCs w:val="21"/>
        </w:rPr>
      </w:pPr>
      <w:r>
        <w:rPr>
          <w:rFonts w:hint="eastAsia" w:ascii="宋体" w:hAnsi="宋体"/>
          <w:bCs/>
          <w:szCs w:val="21"/>
        </w:rPr>
        <w:t>该试验台的主体结构具有较高的可靠度，设计使用周期内不出现质量问题，并提供强度分析计算报告。</w:t>
      </w:r>
    </w:p>
    <w:p w14:paraId="528637D8">
      <w:pPr>
        <w:adjustRightInd w:val="0"/>
        <w:snapToGrid w:val="0"/>
        <w:spacing w:line="360" w:lineRule="auto"/>
        <w:ind w:firstLine="424" w:firstLineChars="202"/>
        <w:rPr>
          <w:rFonts w:ascii="宋体" w:hAnsi="宋体"/>
          <w:bCs/>
          <w:szCs w:val="21"/>
        </w:rPr>
      </w:pPr>
      <w:r>
        <w:rPr>
          <w:rFonts w:hint="eastAsia" w:ascii="宋体" w:hAnsi="宋体"/>
          <w:bCs/>
          <w:szCs w:val="21"/>
        </w:rPr>
        <w:t>需提供试验台各焊缝部位的鉴定报告。</w:t>
      </w:r>
    </w:p>
    <w:p w14:paraId="716C5CB2">
      <w:pPr>
        <w:adjustRightInd w:val="0"/>
        <w:snapToGrid w:val="0"/>
        <w:spacing w:line="360" w:lineRule="auto"/>
        <w:ind w:firstLine="424" w:firstLineChars="202"/>
        <w:rPr>
          <w:rFonts w:ascii="宋体" w:hAnsi="宋体"/>
          <w:bCs/>
          <w:szCs w:val="21"/>
        </w:rPr>
      </w:pPr>
      <w:r>
        <w:rPr>
          <w:rFonts w:hint="eastAsia" w:ascii="宋体" w:hAnsi="宋体"/>
          <w:bCs/>
          <w:szCs w:val="21"/>
        </w:rPr>
        <w:t>试验台涉及到需送检校验的仪器仪表、传感器等部件需经过第三方检测并提供检测报告，同时需提供2套用于送检和故障替换。</w:t>
      </w:r>
    </w:p>
    <w:p w14:paraId="7E2B33FC">
      <w:pPr>
        <w:adjustRightInd w:val="0"/>
        <w:snapToGrid w:val="0"/>
        <w:spacing w:line="360" w:lineRule="auto"/>
        <w:ind w:firstLine="424" w:firstLineChars="202"/>
        <w:rPr>
          <w:rFonts w:ascii="宋体" w:hAnsi="宋体"/>
          <w:bCs/>
          <w:szCs w:val="21"/>
        </w:rPr>
      </w:pPr>
      <w:r>
        <w:rPr>
          <w:rFonts w:hint="eastAsia" w:ascii="宋体" w:hAnsi="宋体"/>
          <w:bCs/>
          <w:szCs w:val="21"/>
        </w:rPr>
        <w:t>电气、液压等主要元器件采用进口或同等品质国产产品。</w:t>
      </w:r>
    </w:p>
    <w:p w14:paraId="2BC9C4A5">
      <w:pPr>
        <w:adjustRightInd w:val="0"/>
        <w:snapToGrid w:val="0"/>
        <w:spacing w:line="360" w:lineRule="auto"/>
        <w:ind w:firstLine="424" w:firstLineChars="202"/>
        <w:rPr>
          <w:rFonts w:ascii="宋体" w:hAnsi="宋体"/>
          <w:bCs/>
          <w:szCs w:val="21"/>
        </w:rPr>
      </w:pPr>
      <w:r>
        <w:rPr>
          <w:rFonts w:hint="eastAsia" w:ascii="宋体" w:hAnsi="宋体"/>
          <w:bCs/>
          <w:szCs w:val="21"/>
        </w:rPr>
        <w:t>该设备有可靠的安全防护装置及安全警示装置，在工作过程中，运动部件均有可靠的防护措施或装置（包括电气接地等安全措施）。</w:t>
      </w:r>
    </w:p>
    <w:p w14:paraId="2E15DCAA">
      <w:pPr>
        <w:adjustRightInd w:val="0"/>
        <w:snapToGrid w:val="0"/>
        <w:spacing w:line="360" w:lineRule="auto"/>
        <w:ind w:firstLine="424" w:firstLineChars="202"/>
        <w:rPr>
          <w:rFonts w:ascii="宋体" w:hAnsi="宋体"/>
          <w:bCs/>
          <w:szCs w:val="21"/>
        </w:rPr>
      </w:pPr>
      <w:r>
        <w:rPr>
          <w:rFonts w:hint="eastAsia" w:ascii="宋体" w:hAnsi="宋体"/>
          <w:bCs/>
          <w:szCs w:val="21"/>
        </w:rPr>
        <w:t>试验台采用下沉式安装，试验台导轨与两端厂房标准轨道水平连接，轮对为通过式跑</w:t>
      </w:r>
      <w:r>
        <w:rPr>
          <w:rFonts w:hint="eastAsia" w:ascii="宋体" w:hAnsi="宋体"/>
          <w:bCs/>
          <w:szCs w:val="21"/>
          <w:lang w:val="en-US" w:eastAsia="zh-CN"/>
        </w:rPr>
        <w:t>合</w:t>
      </w:r>
      <w:r>
        <w:rPr>
          <w:rFonts w:hint="eastAsia" w:ascii="宋体" w:hAnsi="宋体"/>
          <w:bCs/>
          <w:szCs w:val="21"/>
        </w:rPr>
        <w:t>试验。</w:t>
      </w:r>
      <w:bookmarkStart w:id="144" w:name="_GoBack"/>
      <w:bookmarkEnd w:id="144"/>
    </w:p>
    <w:p w14:paraId="2C39F5AC">
      <w:pPr>
        <w:adjustRightInd w:val="0"/>
        <w:snapToGrid w:val="0"/>
        <w:spacing w:line="360" w:lineRule="auto"/>
        <w:ind w:firstLine="424" w:firstLineChars="202"/>
        <w:rPr>
          <w:rFonts w:ascii="宋体" w:hAnsi="宋体"/>
          <w:bCs/>
          <w:szCs w:val="21"/>
        </w:rPr>
      </w:pPr>
      <w:r>
        <w:rPr>
          <w:rFonts w:hint="eastAsia" w:ascii="宋体" w:hAnsi="宋体"/>
          <w:bCs/>
          <w:szCs w:val="21"/>
        </w:rPr>
        <w:t>试验台周边要求设置全包围不锈钢防护栏，空隙等封板采用花纹钢板，厚度不小于</w:t>
      </w:r>
      <w:r>
        <w:rPr>
          <w:rFonts w:ascii="宋体" w:hAnsi="宋体"/>
          <w:bCs/>
          <w:szCs w:val="21"/>
        </w:rPr>
        <w:t>6</w:t>
      </w:r>
      <w:r>
        <w:rPr>
          <w:rFonts w:hint="eastAsia" w:ascii="宋体" w:hAnsi="宋体"/>
          <w:bCs/>
          <w:szCs w:val="21"/>
        </w:rPr>
        <w:t>mm。</w:t>
      </w:r>
    </w:p>
    <w:p w14:paraId="24CE9463">
      <w:pPr>
        <w:pStyle w:val="5"/>
        <w:widowControl/>
        <w:spacing w:before="156" w:beforeLines="50" w:after="156" w:afterLines="50" w:line="276" w:lineRule="auto"/>
        <w:jc w:val="left"/>
        <w:rPr>
          <w:rFonts w:ascii="黑体" w:hAnsi="黑体" w:eastAsia="黑体"/>
          <w:b w:val="0"/>
          <w:bCs w:val="0"/>
          <w:sz w:val="21"/>
          <w:szCs w:val="21"/>
        </w:rPr>
      </w:pPr>
      <w:bookmarkStart w:id="61" w:name="_Toc191389322"/>
      <w:r>
        <w:rPr>
          <w:rFonts w:hint="eastAsia" w:ascii="黑体" w:hAnsi="黑体" w:eastAsia="黑体"/>
          <w:b w:val="0"/>
          <w:bCs w:val="0"/>
          <w:sz w:val="21"/>
          <w:szCs w:val="21"/>
        </w:rPr>
        <w:t>5.3.1.3 工艺转向架</w:t>
      </w:r>
      <w:bookmarkEnd w:id="61"/>
    </w:p>
    <w:p w14:paraId="3B834403">
      <w:pPr>
        <w:pStyle w:val="2"/>
        <w:ind w:firstLine="0"/>
        <w:rPr>
          <w:rFonts w:hAnsi="宋体"/>
          <w:bCs/>
          <w:kern w:val="2"/>
          <w:sz w:val="21"/>
          <w:szCs w:val="21"/>
        </w:rPr>
      </w:pPr>
      <w:r>
        <w:rPr>
          <w:rFonts w:hint="eastAsia" w:hAnsi="宋体"/>
          <w:bCs/>
          <w:kern w:val="2"/>
          <w:sz w:val="21"/>
          <w:szCs w:val="21"/>
        </w:rPr>
        <w:t>1）设备用途</w:t>
      </w:r>
    </w:p>
    <w:p w14:paraId="56089795">
      <w:pPr>
        <w:spacing w:line="400" w:lineRule="exact"/>
        <w:ind w:firstLine="420"/>
        <w:rPr>
          <w:rFonts w:ascii="宋体" w:hAnsi="宋体" w:cs="Arial"/>
          <w:szCs w:val="21"/>
        </w:rPr>
      </w:pPr>
      <w:r>
        <w:rPr>
          <w:rFonts w:hint="eastAsia" w:ascii="宋体" w:hAnsi="宋体" w:cs="Arial"/>
          <w:szCs w:val="21"/>
        </w:rPr>
        <w:t>设备适用于长沙轨道交通6号线车辆架修，主要用于在车辆修理过程中分离转向架后代替转向架对车辆起移位定位支撑作用，并且能够随车辆一起沿轨道低速移动。</w:t>
      </w:r>
    </w:p>
    <w:p w14:paraId="56BEBD0F">
      <w:pPr>
        <w:pStyle w:val="2"/>
        <w:ind w:firstLine="0"/>
        <w:rPr>
          <w:rFonts w:hAnsi="宋体"/>
          <w:bCs/>
          <w:kern w:val="2"/>
          <w:sz w:val="21"/>
          <w:szCs w:val="21"/>
        </w:rPr>
      </w:pPr>
      <w:r>
        <w:rPr>
          <w:rFonts w:hint="eastAsia" w:hAnsi="宋体"/>
          <w:bCs/>
          <w:kern w:val="2"/>
          <w:sz w:val="21"/>
          <w:szCs w:val="21"/>
        </w:rPr>
        <w:t>2）设备组成及要求</w:t>
      </w:r>
    </w:p>
    <w:p w14:paraId="7B546FE4">
      <w:pPr>
        <w:spacing w:line="400" w:lineRule="exact"/>
        <w:ind w:firstLine="420"/>
        <w:rPr>
          <w:rFonts w:ascii="宋体" w:hAnsi="宋体" w:cs="Arial"/>
          <w:szCs w:val="21"/>
        </w:rPr>
      </w:pPr>
      <w:r>
        <w:rPr>
          <w:rFonts w:hint="eastAsia" w:ascii="宋体" w:hAnsi="宋体" w:cs="Arial"/>
          <w:szCs w:val="21"/>
        </w:rPr>
        <w:t>（1）该设备能够代替转向架完成对车体的移位支撑及定位作用。结构要求应依据车辆实际情况确定，采用轻量化设计，具有更换、操作简单方便，保持车体的平稳，不倾斜、不移位的特点。</w:t>
      </w:r>
    </w:p>
    <w:p w14:paraId="38634782">
      <w:pPr>
        <w:spacing w:line="400" w:lineRule="exact"/>
        <w:ind w:firstLine="420"/>
        <w:rPr>
          <w:rFonts w:ascii="宋体" w:hAnsi="宋体" w:cs="Arial"/>
          <w:szCs w:val="21"/>
        </w:rPr>
      </w:pPr>
      <w:r>
        <w:rPr>
          <w:rFonts w:hint="eastAsia" w:ascii="宋体" w:hAnsi="宋体" w:cs="Arial"/>
          <w:szCs w:val="21"/>
        </w:rPr>
        <w:t>（2）该设备所有与车体接触部位都有防护措施，设备载着车体能在外力作用下顺轨道移动。</w:t>
      </w:r>
    </w:p>
    <w:p w14:paraId="1B8C67C0">
      <w:pPr>
        <w:spacing w:line="400" w:lineRule="exact"/>
        <w:ind w:firstLine="420"/>
        <w:rPr>
          <w:rFonts w:ascii="宋体" w:hAnsi="宋体" w:cs="Arial"/>
          <w:szCs w:val="21"/>
        </w:rPr>
      </w:pPr>
      <w:r>
        <w:rPr>
          <w:rFonts w:hint="eastAsia" w:ascii="宋体" w:hAnsi="宋体" w:cs="Arial"/>
          <w:szCs w:val="21"/>
        </w:rPr>
        <w:t>（3）工艺转向架由定位支撑面、轮对、轴箱和构架等组成。构架为焊接结构。轴箱采用圆柱轴承，便于装卸。轮对的轴距、轮距及轮径满足车辆使用需要。定位支撑面按转向架现有结构设计，其中心有与车体连接的定位装置，支撑面侧面安装两个辅助支撑面，与车体接触表面铺垫硬橡胶垫防止车体表面损伤。</w:t>
      </w:r>
    </w:p>
    <w:p w14:paraId="4F588558">
      <w:pPr>
        <w:spacing w:line="400" w:lineRule="exact"/>
        <w:ind w:firstLine="420"/>
        <w:rPr>
          <w:rFonts w:ascii="宋体" w:hAnsi="宋体" w:cs="Arial"/>
          <w:szCs w:val="21"/>
        </w:rPr>
      </w:pPr>
      <w:r>
        <w:rPr>
          <w:rFonts w:hint="eastAsia" w:ascii="宋体" w:hAnsi="宋体" w:cs="Arial"/>
          <w:szCs w:val="21"/>
        </w:rPr>
        <w:t>（4）构架上设置的车体牵引座定位装置，其装置能使牵引座与工艺转向架定位，传递牵引力和制动力。要求设备的前后、左右均有限位装置，能够从四个方向限制车体的运动，满足车辆使用要求。</w:t>
      </w:r>
    </w:p>
    <w:p w14:paraId="1AB73E5B">
      <w:pPr>
        <w:spacing w:line="400" w:lineRule="exact"/>
        <w:ind w:firstLine="420"/>
        <w:rPr>
          <w:rFonts w:ascii="宋体" w:hAnsi="宋体" w:cs="Arial"/>
          <w:szCs w:val="21"/>
        </w:rPr>
      </w:pPr>
      <w:r>
        <w:rPr>
          <w:rFonts w:hint="eastAsia" w:ascii="宋体" w:hAnsi="宋体" w:cs="Arial"/>
          <w:szCs w:val="21"/>
        </w:rPr>
        <w:t>（5）该设备在使用过程中不需要维护。</w:t>
      </w:r>
    </w:p>
    <w:p w14:paraId="2E3DA8DB">
      <w:pPr>
        <w:spacing w:line="400" w:lineRule="exact"/>
        <w:ind w:firstLine="420"/>
        <w:rPr>
          <w:rFonts w:ascii="宋体" w:hAnsi="宋体" w:cs="Arial"/>
          <w:szCs w:val="21"/>
        </w:rPr>
      </w:pPr>
      <w:r>
        <w:rPr>
          <w:rFonts w:hint="eastAsia" w:ascii="宋体" w:hAnsi="宋体" w:cs="Arial"/>
          <w:szCs w:val="21"/>
        </w:rPr>
        <w:t>（6）该设备在使用时应具备防止车体相对工艺转向架沿水平各方向移动的有效措施。</w:t>
      </w:r>
    </w:p>
    <w:p w14:paraId="5BF5EB70">
      <w:pPr>
        <w:spacing w:line="400" w:lineRule="exact"/>
        <w:ind w:firstLine="420"/>
        <w:rPr>
          <w:rFonts w:ascii="宋体" w:hAnsi="宋体" w:cs="Arial"/>
          <w:szCs w:val="21"/>
        </w:rPr>
      </w:pPr>
      <w:r>
        <w:rPr>
          <w:rFonts w:hint="eastAsia" w:ascii="宋体" w:hAnsi="宋体" w:cs="Arial"/>
          <w:szCs w:val="21"/>
        </w:rPr>
        <w:t>（7）工艺转向架支撑车体后，需设置横向限位锁紧机构，要求在移车台上侧向启动/停止时车体不会发生侧向滑移，并提供防侧滚计算报告。</w:t>
      </w:r>
    </w:p>
    <w:p w14:paraId="4A7C690E">
      <w:pPr>
        <w:spacing w:line="400" w:lineRule="exact"/>
        <w:ind w:firstLine="420"/>
        <w:rPr>
          <w:rFonts w:ascii="宋体" w:hAnsi="宋体" w:cs="Arial"/>
          <w:szCs w:val="21"/>
        </w:rPr>
      </w:pPr>
      <w:r>
        <w:rPr>
          <w:rFonts w:hint="eastAsia" w:ascii="宋体" w:hAnsi="宋体" w:cs="Arial"/>
          <w:szCs w:val="21"/>
        </w:rPr>
        <w:t>（8）表面油漆防锈处理（具体颜色设计联络确定）。</w:t>
      </w:r>
    </w:p>
    <w:p w14:paraId="2BCE7529">
      <w:pPr>
        <w:spacing w:line="400" w:lineRule="exact"/>
        <w:ind w:firstLine="420"/>
        <w:rPr>
          <w:rFonts w:ascii="宋体" w:hAnsi="宋体" w:cs="Arial"/>
          <w:szCs w:val="21"/>
        </w:rPr>
      </w:pPr>
      <w:r>
        <w:rPr>
          <w:rFonts w:hint="eastAsia" w:ascii="宋体" w:hAnsi="宋体" w:cs="Arial"/>
          <w:szCs w:val="21"/>
        </w:rPr>
        <w:t>（9）每台设备配1个铁鞋，使用拖链悬挂于工艺转向架上，要求铁鞋悬挂可靠、不易脱落。每台设备设置1个手动橡胶止动装置，用于单个工艺转向架的停放止动。</w:t>
      </w:r>
    </w:p>
    <w:p w14:paraId="27A59DFF">
      <w:pPr>
        <w:spacing w:line="400" w:lineRule="exact"/>
        <w:ind w:firstLine="420"/>
        <w:rPr>
          <w:rFonts w:ascii="宋体" w:hAnsi="宋体" w:cs="Arial"/>
          <w:szCs w:val="21"/>
        </w:rPr>
      </w:pPr>
      <w:r>
        <w:rPr>
          <w:rFonts w:hint="eastAsia" w:ascii="宋体" w:hAnsi="宋体" w:cs="Arial"/>
          <w:szCs w:val="21"/>
        </w:rPr>
        <w:t>（10）工艺转向架两端各设置一处可拆装的刚性连接装置，用于与小型列车助推器进行连接，牵引车辆。</w:t>
      </w:r>
    </w:p>
    <w:p w14:paraId="1EB31265">
      <w:pPr>
        <w:spacing w:line="400" w:lineRule="exact"/>
        <w:ind w:firstLine="420"/>
        <w:rPr>
          <w:rFonts w:ascii="宋体" w:hAnsi="宋体" w:cs="Arial"/>
          <w:szCs w:val="21"/>
        </w:rPr>
      </w:pPr>
      <w:r>
        <w:rPr>
          <w:rFonts w:hint="eastAsia" w:ascii="宋体" w:hAnsi="宋体" w:cs="Arial"/>
          <w:szCs w:val="21"/>
        </w:rPr>
        <w:t>（11）使用周期内仅对轴承进行注油维护，要求工艺转向架轴箱轴承留有注油口，便于注油维护。</w:t>
      </w:r>
    </w:p>
    <w:p w14:paraId="48412D04">
      <w:pPr>
        <w:spacing w:line="400" w:lineRule="exact"/>
        <w:ind w:firstLine="420"/>
        <w:rPr>
          <w:rFonts w:ascii="宋体" w:hAnsi="宋体" w:cs="Arial"/>
          <w:szCs w:val="21"/>
        </w:rPr>
      </w:pPr>
      <w:r>
        <w:rPr>
          <w:rFonts w:hint="eastAsia" w:ascii="宋体" w:hAnsi="宋体" w:cs="Arial"/>
          <w:szCs w:val="21"/>
        </w:rPr>
        <w:t>（1</w:t>
      </w:r>
      <w:r>
        <w:rPr>
          <w:rFonts w:ascii="宋体" w:hAnsi="宋体" w:cs="Arial"/>
          <w:szCs w:val="21"/>
        </w:rPr>
        <w:t>2</w:t>
      </w:r>
      <w:r>
        <w:rPr>
          <w:rFonts w:hint="eastAsia" w:ascii="宋体" w:hAnsi="宋体" w:cs="Arial"/>
          <w:szCs w:val="21"/>
        </w:rPr>
        <w:t>）工艺转向架沿轨道低速移动过程中需转动顺畅，无卡滞。</w:t>
      </w:r>
    </w:p>
    <w:p w14:paraId="1C924956">
      <w:pPr>
        <w:pStyle w:val="2"/>
        <w:ind w:firstLine="0"/>
        <w:rPr>
          <w:rFonts w:hAnsi="宋体"/>
          <w:bCs/>
          <w:kern w:val="2"/>
          <w:sz w:val="21"/>
          <w:szCs w:val="21"/>
        </w:rPr>
      </w:pPr>
      <w:r>
        <w:rPr>
          <w:rFonts w:hint="eastAsia" w:hAnsi="宋体"/>
          <w:bCs/>
          <w:kern w:val="2"/>
          <w:sz w:val="21"/>
          <w:szCs w:val="21"/>
        </w:rPr>
        <w:t>3）主要技术参数</w:t>
      </w:r>
    </w:p>
    <w:p w14:paraId="012AC517">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承载方式:             旁承</w:t>
      </w:r>
    </w:p>
    <w:p w14:paraId="20C13472">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载重：                22t</w:t>
      </w:r>
    </w:p>
    <w:p w14:paraId="34B17D64">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 xml:space="preserve">轨距：                1435mm </w:t>
      </w:r>
    </w:p>
    <w:p w14:paraId="3D879B80">
      <w:pPr>
        <w:numPr>
          <w:ilvl w:val="0"/>
          <w:numId w:val="7"/>
        </w:numPr>
        <w:adjustRightInd w:val="0"/>
        <w:snapToGrid w:val="0"/>
        <w:spacing w:line="400" w:lineRule="exact"/>
        <w:jc w:val="left"/>
        <w:rPr>
          <w:rFonts w:ascii="宋体" w:hAnsi="宋体" w:cs="Arial"/>
          <w:szCs w:val="21"/>
        </w:rPr>
      </w:pPr>
      <w:r>
        <w:rPr>
          <w:rFonts w:ascii="宋体" w:hAnsi="宋体" w:cs="Arial"/>
          <w:szCs w:val="21"/>
        </w:rPr>
        <w:t>轴距</w:t>
      </w:r>
      <w:r>
        <w:rPr>
          <w:rFonts w:hint="eastAsia" w:ascii="宋体" w:hAnsi="宋体" w:cs="Arial"/>
          <w:szCs w:val="21"/>
        </w:rPr>
        <w:t xml:space="preserve"> </w:t>
      </w:r>
      <w:r>
        <w:rPr>
          <w:rFonts w:ascii="宋体" w:hAnsi="宋体" w:cs="Arial"/>
          <w:szCs w:val="21"/>
        </w:rPr>
        <w:t xml:space="preserve">                 2500mm</w:t>
      </w:r>
    </w:p>
    <w:p w14:paraId="205C3F34">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支承面到轨面的</w:t>
      </w:r>
      <w:r>
        <w:rPr>
          <w:rFonts w:ascii="宋体" w:hAnsi="宋体" w:cs="Arial"/>
          <w:szCs w:val="21"/>
        </w:rPr>
        <w:t>高度</w:t>
      </w:r>
      <w:r>
        <w:rPr>
          <w:rFonts w:hint="eastAsia" w:ascii="宋体" w:hAnsi="宋体" w:cs="Arial"/>
          <w:szCs w:val="21"/>
        </w:rPr>
        <w:t xml:space="preserve">：  </w:t>
      </w:r>
      <w:r>
        <w:rPr>
          <w:rFonts w:ascii="宋体" w:hAnsi="宋体" w:cs="Arial"/>
          <w:szCs w:val="21"/>
        </w:rPr>
        <w:t>1600</w:t>
      </w:r>
      <w:r>
        <w:rPr>
          <w:rFonts w:ascii="宋体" w:hAnsi="宋体" w:cs="Arial"/>
          <w:szCs w:val="21"/>
        </w:rPr>
        <w:sym w:font="Kino MT" w:char="00B1"/>
      </w:r>
      <w:r>
        <w:rPr>
          <w:rFonts w:hint="eastAsia" w:ascii="宋体" w:hAnsi="宋体" w:cs="Arial"/>
          <w:szCs w:val="21"/>
        </w:rPr>
        <w:t>5</w:t>
      </w:r>
      <w:r>
        <w:rPr>
          <w:rFonts w:ascii="宋体" w:hAnsi="宋体" w:cs="Arial"/>
          <w:szCs w:val="21"/>
        </w:rPr>
        <w:t>mm</w:t>
      </w:r>
      <w:r>
        <w:rPr>
          <w:rFonts w:hint="eastAsia" w:ascii="宋体" w:hAnsi="宋体" w:cs="Arial"/>
          <w:szCs w:val="21"/>
        </w:rPr>
        <w:t>（具体设计联络确定）</w:t>
      </w:r>
    </w:p>
    <w:p w14:paraId="16CA5D0C">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轮径：                ≤</w:t>
      </w:r>
      <w:r>
        <w:rPr>
          <w:rFonts w:ascii="宋体" w:hAnsi="宋体" w:cs="Arial"/>
          <w:szCs w:val="21"/>
        </w:rPr>
        <w:t>500</w:t>
      </w:r>
      <w:r>
        <w:rPr>
          <w:rFonts w:hint="eastAsia" w:ascii="宋体" w:hAnsi="宋体" w:cs="Arial"/>
          <w:szCs w:val="21"/>
        </w:rPr>
        <w:t>mm</w:t>
      </w:r>
    </w:p>
    <w:p w14:paraId="20777CBA">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控制方式：            外力推动</w:t>
      </w:r>
    </w:p>
    <w:p w14:paraId="613F1792">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旁承中心距：          1700-2000mm可调 （具体设计联络确定）</w:t>
      </w:r>
    </w:p>
    <w:p w14:paraId="08A9D379">
      <w:pPr>
        <w:numPr>
          <w:ilvl w:val="0"/>
          <w:numId w:val="7"/>
        </w:numPr>
        <w:adjustRightInd w:val="0"/>
        <w:snapToGrid w:val="0"/>
        <w:spacing w:line="400" w:lineRule="exact"/>
        <w:jc w:val="left"/>
        <w:rPr>
          <w:rFonts w:ascii="宋体" w:hAnsi="宋体" w:cs="Arial"/>
          <w:szCs w:val="21"/>
        </w:rPr>
      </w:pPr>
      <w:r>
        <w:rPr>
          <w:rFonts w:hint="eastAsia" w:ascii="宋体" w:hAnsi="宋体" w:cs="Arial"/>
          <w:szCs w:val="21"/>
        </w:rPr>
        <w:t>车辆推行速度：        ≤3km/h</w:t>
      </w:r>
    </w:p>
    <w:p w14:paraId="1F921455">
      <w:pPr>
        <w:pStyle w:val="2"/>
        <w:numPr>
          <w:ilvl w:val="0"/>
          <w:numId w:val="8"/>
        </w:numPr>
        <w:ind w:firstLine="0"/>
        <w:rPr>
          <w:rFonts w:hAnsi="宋体"/>
          <w:bCs/>
          <w:kern w:val="2"/>
          <w:sz w:val="21"/>
          <w:szCs w:val="21"/>
        </w:rPr>
      </w:pPr>
      <w:r>
        <w:rPr>
          <w:rFonts w:hint="eastAsia" w:hAnsi="宋体"/>
          <w:bCs/>
          <w:kern w:val="2"/>
          <w:sz w:val="21"/>
          <w:szCs w:val="21"/>
        </w:rPr>
        <w:t>其他要求：</w:t>
      </w:r>
    </w:p>
    <w:p w14:paraId="447C8D78">
      <w:pPr>
        <w:pStyle w:val="2"/>
        <w:ind w:firstLineChars="200"/>
        <w:rPr>
          <w:rFonts w:hAnsi="宋体"/>
          <w:kern w:val="2"/>
          <w:sz w:val="21"/>
          <w:szCs w:val="21"/>
        </w:rPr>
      </w:pPr>
      <w:r>
        <w:rPr>
          <w:rFonts w:hint="eastAsia" w:hAnsi="宋体"/>
          <w:kern w:val="2"/>
          <w:sz w:val="21"/>
          <w:szCs w:val="21"/>
        </w:rPr>
        <w:t>工艺转向架结构及尺寸设计需参考既有工艺转向架，保持一致。</w:t>
      </w:r>
    </w:p>
    <w:p w14:paraId="7AD4B72C">
      <w:pPr>
        <w:pStyle w:val="5"/>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5.3.1.</w:t>
      </w:r>
      <w:r>
        <w:rPr>
          <w:rFonts w:ascii="黑体" w:hAnsi="黑体" w:eastAsia="黑体"/>
          <w:b w:val="0"/>
          <w:bCs w:val="0"/>
          <w:sz w:val="21"/>
          <w:szCs w:val="21"/>
        </w:rPr>
        <w:t>4</w:t>
      </w:r>
      <w:r>
        <w:rPr>
          <w:rFonts w:hint="eastAsia" w:ascii="黑体" w:hAnsi="黑体" w:eastAsia="黑体"/>
          <w:b w:val="0"/>
          <w:bCs w:val="0"/>
          <w:sz w:val="21"/>
          <w:szCs w:val="21"/>
        </w:rPr>
        <w:t xml:space="preserve"> 双人工作台</w:t>
      </w:r>
    </w:p>
    <w:p w14:paraId="79C6AA41">
      <w:pPr>
        <w:pStyle w:val="2"/>
        <w:ind w:firstLine="0"/>
        <w:rPr>
          <w:rFonts w:hAnsi="宋体"/>
          <w:bCs/>
          <w:kern w:val="2"/>
          <w:sz w:val="21"/>
          <w:szCs w:val="21"/>
        </w:rPr>
      </w:pPr>
      <w:r>
        <w:rPr>
          <w:rFonts w:hint="eastAsia" w:hAnsi="宋体"/>
          <w:bCs/>
          <w:kern w:val="2"/>
          <w:sz w:val="21"/>
          <w:szCs w:val="21"/>
        </w:rPr>
        <w:t>1）设备用途</w:t>
      </w:r>
    </w:p>
    <w:p w14:paraId="10895E08">
      <w:pPr>
        <w:adjustRightInd w:val="0"/>
        <w:snapToGrid w:val="0"/>
        <w:spacing w:line="360" w:lineRule="auto"/>
        <w:ind w:left="482"/>
        <w:rPr>
          <w:rFonts w:ascii="宋体" w:hAnsi="宋体" w:cs="宋体"/>
        </w:rPr>
      </w:pPr>
      <w:r>
        <w:rPr>
          <w:rFonts w:hint="eastAsia" w:ascii="宋体" w:hAnsi="宋体" w:cs="宋体"/>
        </w:rPr>
        <w:t>用于长沙6号线架修部件检修，检修工作台可进行车辆段内电气部件和机械部件的维修使用。</w:t>
      </w:r>
    </w:p>
    <w:p w14:paraId="2DAD02DD">
      <w:pPr>
        <w:pStyle w:val="2"/>
        <w:ind w:firstLine="0"/>
        <w:rPr>
          <w:rFonts w:hAnsi="宋体"/>
          <w:bCs/>
          <w:kern w:val="2"/>
          <w:sz w:val="21"/>
          <w:szCs w:val="21"/>
        </w:rPr>
      </w:pPr>
      <w:r>
        <w:rPr>
          <w:rFonts w:hint="eastAsia" w:hAnsi="宋体"/>
          <w:bCs/>
          <w:kern w:val="2"/>
          <w:sz w:val="21"/>
          <w:szCs w:val="21"/>
        </w:rPr>
        <w:t>2）设备功能及要求</w:t>
      </w:r>
    </w:p>
    <w:p w14:paraId="02101978">
      <w:pPr>
        <w:adjustRightInd w:val="0"/>
        <w:snapToGrid w:val="0"/>
        <w:spacing w:line="360" w:lineRule="auto"/>
        <w:ind w:firstLine="420" w:firstLineChars="200"/>
        <w:rPr>
          <w:rFonts w:ascii="宋体" w:hAnsi="宋体" w:cs="宋体"/>
        </w:rPr>
      </w:pPr>
      <w:r>
        <w:rPr>
          <w:rFonts w:hint="eastAsia" w:ascii="宋体" w:hAnsi="宋体" w:cs="宋体"/>
        </w:rPr>
        <w:t>检修工作台右下角设有一组抽屉，用来放置检修工具，在面板上设有电源插口，电源使用安全方便。工作台表面覆橡胶板（橡胶板厚度不小于5mm）。</w:t>
      </w:r>
    </w:p>
    <w:p w14:paraId="47519A81">
      <w:pPr>
        <w:adjustRightInd w:val="0"/>
        <w:snapToGrid w:val="0"/>
        <w:spacing w:line="360" w:lineRule="auto"/>
        <w:ind w:firstLine="420" w:firstLineChars="200"/>
        <w:rPr>
          <w:rFonts w:ascii="宋体" w:hAnsi="宋体" w:cs="宋体"/>
        </w:rPr>
      </w:pPr>
      <w:r>
        <w:rPr>
          <w:rFonts w:hint="eastAsia" w:ascii="宋体" w:hAnsi="宋体" w:cs="Arial"/>
          <w:szCs w:val="21"/>
        </w:rPr>
        <w:t>（1）</w:t>
      </w:r>
      <w:r>
        <w:rPr>
          <w:rFonts w:hint="eastAsia" w:ascii="宋体" w:hAnsi="宋体" w:cs="宋体"/>
        </w:rPr>
        <w:t>抽屉采用单滑轨，承重50kg/抽；</w:t>
      </w:r>
    </w:p>
    <w:p w14:paraId="28F9FC24">
      <w:pPr>
        <w:adjustRightInd w:val="0"/>
        <w:snapToGrid w:val="0"/>
        <w:spacing w:line="360" w:lineRule="auto"/>
        <w:ind w:firstLine="420" w:firstLineChars="200"/>
        <w:rPr>
          <w:rFonts w:ascii="宋体" w:hAnsi="宋体" w:cs="宋体"/>
        </w:rPr>
      </w:pPr>
      <w:r>
        <w:rPr>
          <w:rFonts w:hint="eastAsia" w:ascii="宋体" w:hAnsi="宋体" w:cs="Arial"/>
          <w:szCs w:val="21"/>
        </w:rPr>
        <w:t>（</w:t>
      </w:r>
      <w:r>
        <w:rPr>
          <w:rFonts w:ascii="宋体" w:hAnsi="宋体" w:cs="Arial"/>
          <w:szCs w:val="21"/>
        </w:rPr>
        <w:t>2</w:t>
      </w:r>
      <w:r>
        <w:rPr>
          <w:rFonts w:hint="eastAsia" w:ascii="宋体" w:hAnsi="宋体" w:cs="Arial"/>
          <w:szCs w:val="21"/>
        </w:rPr>
        <w:t>）</w:t>
      </w:r>
      <w:r>
        <w:rPr>
          <w:rFonts w:hint="eastAsia" w:ascii="宋体" w:hAnsi="宋体" w:cs="宋体"/>
        </w:rPr>
        <w:t>抽屉内按标准分格，把手采用铝合金全宽把手，把手内可插入标签；</w:t>
      </w:r>
    </w:p>
    <w:p w14:paraId="07D15A9B">
      <w:pPr>
        <w:adjustRightInd w:val="0"/>
        <w:snapToGrid w:val="0"/>
        <w:spacing w:line="360" w:lineRule="auto"/>
        <w:ind w:firstLine="420" w:firstLineChars="200"/>
        <w:rPr>
          <w:rFonts w:ascii="宋体" w:hAnsi="宋体" w:cs="宋体"/>
        </w:rPr>
      </w:pPr>
      <w:r>
        <w:rPr>
          <w:rFonts w:hint="eastAsia" w:ascii="宋体" w:hAnsi="宋体" w:cs="Arial"/>
          <w:szCs w:val="21"/>
        </w:rPr>
        <w:t>（</w:t>
      </w:r>
      <w:r>
        <w:rPr>
          <w:rFonts w:ascii="宋体" w:hAnsi="宋体" w:cs="Arial"/>
          <w:szCs w:val="21"/>
        </w:rPr>
        <w:t>3</w:t>
      </w:r>
      <w:r>
        <w:rPr>
          <w:rFonts w:hint="eastAsia" w:ascii="宋体" w:hAnsi="宋体" w:cs="Arial"/>
          <w:szCs w:val="21"/>
        </w:rPr>
        <w:t>）</w:t>
      </w:r>
      <w:r>
        <w:rPr>
          <w:rFonts w:hint="eastAsia" w:ascii="宋体" w:hAnsi="宋体" w:cs="宋体"/>
        </w:rPr>
        <w:t>桌面采用32mm绿色知名品牌贴面桌面；</w:t>
      </w:r>
    </w:p>
    <w:p w14:paraId="43DC34D7">
      <w:pPr>
        <w:adjustRightInd w:val="0"/>
        <w:snapToGrid w:val="0"/>
        <w:spacing w:line="360" w:lineRule="auto"/>
        <w:ind w:firstLine="420" w:firstLineChars="200"/>
        <w:rPr>
          <w:rFonts w:ascii="宋体" w:hAnsi="宋体" w:cs="宋体"/>
        </w:rPr>
      </w:pPr>
      <w:r>
        <w:rPr>
          <w:rFonts w:hint="eastAsia" w:ascii="宋体" w:hAnsi="宋体" w:cs="Arial"/>
          <w:szCs w:val="21"/>
        </w:rPr>
        <w:t>（</w:t>
      </w:r>
      <w:r>
        <w:rPr>
          <w:rFonts w:ascii="宋体" w:hAnsi="宋体" w:cs="Arial"/>
          <w:szCs w:val="21"/>
        </w:rPr>
        <w:t>4</w:t>
      </w:r>
      <w:r>
        <w:rPr>
          <w:rFonts w:hint="eastAsia" w:ascii="宋体" w:hAnsi="宋体" w:cs="Arial"/>
          <w:szCs w:val="21"/>
        </w:rPr>
        <w:t>）</w:t>
      </w:r>
      <w:r>
        <w:rPr>
          <w:rFonts w:hint="eastAsia" w:ascii="宋体" w:hAnsi="宋体" w:cs="宋体"/>
        </w:rPr>
        <w:t>桌体整体承重500kg；</w:t>
      </w:r>
    </w:p>
    <w:p w14:paraId="550E9E23">
      <w:pPr>
        <w:adjustRightInd w:val="0"/>
        <w:snapToGrid w:val="0"/>
        <w:spacing w:line="360" w:lineRule="auto"/>
        <w:ind w:firstLine="420" w:firstLineChars="200"/>
        <w:rPr>
          <w:rFonts w:ascii="宋体" w:hAnsi="宋体" w:cs="宋体"/>
        </w:rPr>
      </w:pPr>
      <w:r>
        <w:rPr>
          <w:rFonts w:hint="eastAsia" w:ascii="宋体" w:hAnsi="宋体" w:cs="Arial"/>
          <w:szCs w:val="21"/>
        </w:rPr>
        <w:t>（</w:t>
      </w:r>
      <w:r>
        <w:rPr>
          <w:rFonts w:ascii="宋体" w:hAnsi="宋体" w:cs="Arial"/>
          <w:szCs w:val="21"/>
        </w:rPr>
        <w:t>5</w:t>
      </w:r>
      <w:r>
        <w:rPr>
          <w:rFonts w:hint="eastAsia" w:ascii="宋体" w:hAnsi="宋体" w:cs="Arial"/>
          <w:szCs w:val="21"/>
        </w:rPr>
        <w:t>）</w:t>
      </w:r>
      <w:r>
        <w:rPr>
          <w:rFonts w:hint="eastAsia" w:ascii="宋体" w:hAnsi="宋体" w:cs="宋体"/>
        </w:rPr>
        <w:t>表面处理：除油、除锈、磷化、静电喷塑；</w:t>
      </w:r>
    </w:p>
    <w:p w14:paraId="2D94DD8A">
      <w:pPr>
        <w:adjustRightInd w:val="0"/>
        <w:snapToGrid w:val="0"/>
        <w:spacing w:line="360" w:lineRule="auto"/>
        <w:ind w:firstLine="420" w:firstLineChars="200"/>
        <w:rPr>
          <w:rFonts w:ascii="宋体" w:hAnsi="宋体" w:cs="宋体"/>
        </w:rPr>
      </w:pPr>
      <w:r>
        <w:rPr>
          <w:rFonts w:hint="eastAsia" w:ascii="宋体" w:hAnsi="宋体" w:cs="Arial"/>
          <w:szCs w:val="21"/>
        </w:rPr>
        <w:t>（</w:t>
      </w:r>
      <w:r>
        <w:rPr>
          <w:rFonts w:ascii="宋体" w:hAnsi="宋体" w:cs="Arial"/>
          <w:szCs w:val="21"/>
        </w:rPr>
        <w:t>6</w:t>
      </w:r>
      <w:r>
        <w:rPr>
          <w:rFonts w:hint="eastAsia" w:ascii="宋体" w:hAnsi="宋体" w:cs="Arial"/>
          <w:szCs w:val="21"/>
        </w:rPr>
        <w:t>）</w:t>
      </w:r>
      <w:r>
        <w:rPr>
          <w:rFonts w:hint="eastAsia" w:ascii="宋体" w:hAnsi="宋体" w:cs="宋体"/>
        </w:rPr>
        <w:t>工作台本体为钢制。</w:t>
      </w:r>
    </w:p>
    <w:p w14:paraId="5EA1A12F">
      <w:pPr>
        <w:pStyle w:val="2"/>
        <w:ind w:firstLine="0"/>
        <w:rPr>
          <w:rFonts w:hAnsi="宋体"/>
          <w:bCs/>
          <w:kern w:val="2"/>
          <w:sz w:val="21"/>
          <w:szCs w:val="21"/>
        </w:rPr>
      </w:pPr>
      <w:r>
        <w:rPr>
          <w:rFonts w:hint="eastAsia" w:hAnsi="宋体"/>
          <w:bCs/>
          <w:kern w:val="2"/>
          <w:sz w:val="21"/>
          <w:szCs w:val="21"/>
        </w:rPr>
        <w:t>3）主要技术参数</w:t>
      </w:r>
    </w:p>
    <w:p w14:paraId="5586129B">
      <w:pPr>
        <w:adjustRightInd w:val="0"/>
        <w:snapToGrid w:val="0"/>
        <w:spacing w:line="360" w:lineRule="auto"/>
        <w:ind w:firstLine="420" w:firstLineChars="200"/>
        <w:rPr>
          <w:rFonts w:ascii="宋体" w:hAnsi="宋体" w:cs="宋体"/>
        </w:rPr>
      </w:pPr>
      <w:r>
        <w:rPr>
          <w:rFonts w:hint="eastAsia" w:ascii="宋体" w:hAnsi="宋体" w:cs="宋体"/>
        </w:rPr>
        <w:t>整体规格：2400*800*800mm（长*宽*高），桌面高度8</w:t>
      </w:r>
      <w:r>
        <w:rPr>
          <w:rFonts w:ascii="宋体" w:hAnsi="宋体" w:cs="宋体"/>
        </w:rPr>
        <w:t>00mm</w:t>
      </w:r>
      <w:r>
        <w:rPr>
          <w:rFonts w:hint="eastAsia" w:ascii="宋体" w:hAnsi="宋体" w:cs="宋体"/>
        </w:rPr>
        <w:t>。</w:t>
      </w:r>
    </w:p>
    <w:p w14:paraId="36FF8D9E">
      <w:pPr>
        <w:pStyle w:val="2"/>
        <w:ind w:firstLine="0"/>
        <w:rPr>
          <w:rFonts w:hAnsi="宋体"/>
          <w:bCs/>
          <w:kern w:val="2"/>
          <w:sz w:val="21"/>
          <w:szCs w:val="21"/>
        </w:rPr>
      </w:pPr>
      <w:r>
        <w:rPr>
          <w:rFonts w:hint="eastAsia" w:hAnsi="宋体"/>
          <w:bCs/>
          <w:kern w:val="2"/>
          <w:sz w:val="21"/>
          <w:szCs w:val="21"/>
        </w:rPr>
        <w:t>4）参考照片</w:t>
      </w:r>
    </w:p>
    <w:p w14:paraId="77AD78C2">
      <w:pPr>
        <w:adjustRightInd w:val="0"/>
        <w:snapToGrid w:val="0"/>
        <w:spacing w:line="360" w:lineRule="auto"/>
        <w:jc w:val="center"/>
        <w:rPr>
          <w:rFonts w:ascii="宋体" w:hAnsi="宋体" w:cs="宋体"/>
          <w:b/>
        </w:rPr>
      </w:pPr>
      <w:r>
        <w:rPr>
          <w:rFonts w:ascii="宋体w..ā" w:hAnsi="等线" w:eastAsia="宋体w..ā" w:cs="宋体w..ā"/>
          <w:szCs w:val="21"/>
        </w:rPr>
        <w:drawing>
          <wp:inline distT="0" distB="0" distL="0" distR="0">
            <wp:extent cx="3910965" cy="136334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10965" cy="1363345"/>
                    </a:xfrm>
                    <a:prstGeom prst="rect">
                      <a:avLst/>
                    </a:prstGeom>
                    <a:noFill/>
                    <a:ln>
                      <a:noFill/>
                    </a:ln>
                  </pic:spPr>
                </pic:pic>
              </a:graphicData>
            </a:graphic>
          </wp:inline>
        </w:drawing>
      </w:r>
    </w:p>
    <w:p w14:paraId="03DF73F9">
      <w:pPr>
        <w:pStyle w:val="5"/>
        <w:widowControl/>
        <w:spacing w:before="156" w:beforeLines="50" w:after="156" w:afterLines="50" w:line="276" w:lineRule="auto"/>
        <w:jc w:val="left"/>
        <w:rPr>
          <w:rFonts w:ascii="黑体" w:hAnsi="黑体" w:eastAsia="黑体"/>
          <w:b w:val="0"/>
          <w:sz w:val="21"/>
          <w:szCs w:val="21"/>
        </w:rPr>
      </w:pPr>
      <w:r>
        <w:rPr>
          <w:rFonts w:ascii="黑体" w:hAnsi="黑体" w:eastAsia="黑体"/>
          <w:b w:val="0"/>
          <w:sz w:val="21"/>
          <w:szCs w:val="21"/>
        </w:rPr>
        <w:t>5.3.2</w:t>
      </w:r>
      <w:r>
        <w:rPr>
          <w:rFonts w:hint="eastAsia" w:ascii="黑体" w:hAnsi="黑体" w:eastAsia="黑体"/>
          <w:b w:val="0"/>
          <w:sz w:val="21"/>
          <w:szCs w:val="21"/>
        </w:rPr>
        <w:t>节能降耗要求</w:t>
      </w:r>
    </w:p>
    <w:p w14:paraId="4EA4747F">
      <w:pPr>
        <w:spacing w:line="360" w:lineRule="auto"/>
        <w:ind w:firstLine="420" w:firstLineChars="200"/>
        <w:rPr>
          <w:rFonts w:ascii="宋体" w:hAnsi="宋体"/>
          <w:szCs w:val="21"/>
        </w:rPr>
      </w:pPr>
      <w:bookmarkStart w:id="62" w:name="_Toc298668842"/>
      <w:bookmarkStart w:id="63" w:name="_Toc213122824"/>
      <w:bookmarkStart w:id="64" w:name="_Toc299710911"/>
      <w:r>
        <w:rPr>
          <w:rFonts w:hint="eastAsia" w:ascii="宋体" w:hAnsi="宋体"/>
          <w:szCs w:val="21"/>
        </w:rPr>
        <w:t>投标单位提供的产品应不属于国家规定的落后产能淘汰目录中的产品，如属于落后产能的产品需要免费更换，并承担由此造成的所有费用。</w:t>
      </w:r>
      <w:bookmarkEnd w:id="62"/>
      <w:bookmarkEnd w:id="63"/>
      <w:bookmarkEnd w:id="64"/>
    </w:p>
    <w:p w14:paraId="190A66E5">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w:t>
      </w:r>
      <w:r>
        <w:rPr>
          <w:rFonts w:ascii="黑体" w:hAnsi="黑体" w:eastAsia="黑体"/>
          <w:b w:val="0"/>
          <w:sz w:val="21"/>
          <w:szCs w:val="21"/>
        </w:rPr>
        <w:t>.3.</w:t>
      </w:r>
      <w:r>
        <w:rPr>
          <w:rFonts w:hint="eastAsia" w:ascii="黑体" w:hAnsi="黑体" w:eastAsia="黑体"/>
          <w:b w:val="0"/>
          <w:sz w:val="21"/>
          <w:szCs w:val="21"/>
        </w:rPr>
        <w:t>3</w:t>
      </w:r>
      <w:r>
        <w:rPr>
          <w:rFonts w:ascii="黑体" w:hAnsi="黑体" w:eastAsia="黑体"/>
          <w:b w:val="0"/>
          <w:sz w:val="21"/>
          <w:szCs w:val="21"/>
        </w:rPr>
        <w:t xml:space="preserve"> </w:t>
      </w:r>
      <w:r>
        <w:rPr>
          <w:rFonts w:hint="eastAsia" w:ascii="黑体" w:hAnsi="黑体" w:eastAsia="黑体"/>
          <w:b w:val="0"/>
          <w:sz w:val="21"/>
          <w:szCs w:val="21"/>
        </w:rPr>
        <w:t>接口要求</w:t>
      </w:r>
    </w:p>
    <w:p w14:paraId="56A0DA6A">
      <w:pPr>
        <w:pStyle w:val="41"/>
        <w:numPr>
          <w:ilvl w:val="0"/>
          <w:numId w:val="9"/>
        </w:numPr>
        <w:spacing w:line="360" w:lineRule="auto"/>
        <w:ind w:left="442" w:hanging="442" w:firstLineChars="0"/>
        <w:rPr>
          <w:rFonts w:ascii="宋体" w:hAnsi="宋体"/>
          <w:bCs/>
          <w:szCs w:val="21"/>
        </w:rPr>
      </w:pPr>
      <w:r>
        <w:rPr>
          <w:rFonts w:ascii="宋体" w:hAnsi="宋体"/>
          <w:bCs/>
          <w:szCs w:val="21"/>
        </w:rPr>
        <w:t>对有土建基础的设备，应考虑与土建接口条件，并提供接口要求（包括房屋、基础、轨道、绝缘要求等资料）。</w:t>
      </w:r>
    </w:p>
    <w:p w14:paraId="317E800C">
      <w:pPr>
        <w:pStyle w:val="41"/>
        <w:numPr>
          <w:ilvl w:val="0"/>
          <w:numId w:val="9"/>
        </w:numPr>
        <w:spacing w:line="360" w:lineRule="auto"/>
        <w:ind w:left="442" w:hanging="442" w:firstLineChars="0"/>
        <w:rPr>
          <w:rFonts w:ascii="宋体" w:hAnsi="宋体"/>
          <w:bCs/>
          <w:szCs w:val="21"/>
        </w:rPr>
      </w:pPr>
      <w:r>
        <w:rPr>
          <w:rFonts w:hint="eastAsia" w:ascii="宋体" w:hAnsi="宋体"/>
          <w:bCs/>
          <w:szCs w:val="21"/>
        </w:rPr>
        <w:t>应考虑设备与土建基础外其他系统的各项接口条件，并提供接口要求（包括动力配电、给排水、通信信号、计算机网络、使用压缩空气与否、使用蒸汽与否等要求及资料）。</w:t>
      </w:r>
    </w:p>
    <w:p w14:paraId="3744435C">
      <w:pPr>
        <w:pStyle w:val="41"/>
        <w:numPr>
          <w:ilvl w:val="0"/>
          <w:numId w:val="9"/>
        </w:numPr>
        <w:spacing w:line="360" w:lineRule="auto"/>
        <w:ind w:left="442" w:hanging="442" w:firstLineChars="0"/>
        <w:rPr>
          <w:rFonts w:ascii="宋体" w:hAnsi="宋体"/>
          <w:bCs/>
          <w:szCs w:val="21"/>
        </w:rPr>
      </w:pPr>
      <w:r>
        <w:rPr>
          <w:rFonts w:hint="eastAsia" w:ascii="宋体" w:hAnsi="宋体"/>
          <w:bCs/>
          <w:szCs w:val="21"/>
        </w:rPr>
        <w:t>应考虑库房、单体建筑内所有管线敷设，采用贴顶敷设，在不采用预埋的情况下，满足业主及运营方的相关要求，吊支架及线槽由投标人负责。</w:t>
      </w:r>
    </w:p>
    <w:p w14:paraId="60182B8E">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w:t>
      </w:r>
      <w:r>
        <w:rPr>
          <w:rFonts w:ascii="黑体" w:hAnsi="黑体" w:eastAsia="黑体"/>
          <w:b w:val="0"/>
          <w:sz w:val="21"/>
          <w:szCs w:val="21"/>
        </w:rPr>
        <w:t>.3.</w:t>
      </w:r>
      <w:r>
        <w:rPr>
          <w:rFonts w:hint="eastAsia" w:ascii="黑体" w:hAnsi="黑体" w:eastAsia="黑体"/>
          <w:b w:val="0"/>
          <w:sz w:val="21"/>
          <w:szCs w:val="21"/>
        </w:rPr>
        <w:t>4</w:t>
      </w:r>
      <w:r>
        <w:rPr>
          <w:rFonts w:ascii="黑体" w:hAnsi="黑体" w:eastAsia="黑体"/>
          <w:b w:val="0"/>
          <w:sz w:val="21"/>
          <w:szCs w:val="21"/>
        </w:rPr>
        <w:t xml:space="preserve"> </w:t>
      </w:r>
      <w:r>
        <w:rPr>
          <w:rFonts w:hint="eastAsia" w:ascii="黑体" w:hAnsi="黑体" w:eastAsia="黑体"/>
          <w:b w:val="0"/>
          <w:sz w:val="21"/>
          <w:szCs w:val="21"/>
        </w:rPr>
        <w:t>验收标准</w:t>
      </w:r>
    </w:p>
    <w:p w14:paraId="469C886A">
      <w:pPr>
        <w:pStyle w:val="4"/>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5.3.4.1 设备的检查程序</w:t>
      </w:r>
    </w:p>
    <w:p w14:paraId="70E59EE0">
      <w:pPr>
        <w:pStyle w:val="41"/>
        <w:numPr>
          <w:ilvl w:val="0"/>
          <w:numId w:val="10"/>
        </w:numPr>
        <w:adjustRightInd w:val="0"/>
        <w:snapToGrid w:val="0"/>
        <w:spacing w:after="156"/>
        <w:ind w:firstLineChars="0"/>
        <w:rPr>
          <w:szCs w:val="21"/>
        </w:rPr>
      </w:pPr>
      <w:r>
        <w:rPr>
          <w:szCs w:val="21"/>
        </w:rPr>
        <w:t>零件、部件的检查</w:t>
      </w:r>
    </w:p>
    <w:p w14:paraId="27571188">
      <w:pPr>
        <w:pStyle w:val="59"/>
        <w:adjustRightInd w:val="0"/>
        <w:snapToGrid w:val="0"/>
        <w:spacing w:after="156"/>
        <w:ind w:left="0" w:firstLine="420" w:firstLineChars="200"/>
        <w:rPr>
          <w:color w:val="auto"/>
          <w:szCs w:val="21"/>
        </w:rPr>
      </w:pPr>
      <w:r>
        <w:rPr>
          <w:rFonts w:hint="eastAsia"/>
          <w:color w:val="auto"/>
          <w:szCs w:val="21"/>
        </w:rPr>
        <w:t>投标人应根据有关规章对外购零件、部件的设计、制造和验收进行检查，保留相关图纸文件、配件采购单据及检查记录。</w:t>
      </w:r>
    </w:p>
    <w:p w14:paraId="12C9A138">
      <w:pPr>
        <w:pStyle w:val="41"/>
        <w:numPr>
          <w:ilvl w:val="0"/>
          <w:numId w:val="10"/>
        </w:numPr>
        <w:adjustRightInd w:val="0"/>
        <w:snapToGrid w:val="0"/>
        <w:spacing w:after="156"/>
        <w:ind w:firstLineChars="0"/>
        <w:rPr>
          <w:szCs w:val="21"/>
        </w:rPr>
      </w:pPr>
      <w:r>
        <w:rPr>
          <w:szCs w:val="21"/>
        </w:rPr>
        <w:t>工厂检查</w:t>
      </w:r>
    </w:p>
    <w:p w14:paraId="2E1670CE">
      <w:pPr>
        <w:pStyle w:val="59"/>
        <w:adjustRightInd w:val="0"/>
        <w:snapToGrid w:val="0"/>
        <w:spacing w:after="156"/>
        <w:ind w:left="0" w:firstLine="420" w:firstLineChars="200"/>
        <w:rPr>
          <w:color w:val="auto"/>
          <w:szCs w:val="21"/>
        </w:rPr>
      </w:pPr>
      <w:r>
        <w:rPr>
          <w:color w:val="auto"/>
          <w:szCs w:val="21"/>
        </w:rPr>
        <w:t>投标人根据最终设计进行设备的工厂检查，以保障设备的质量。</w:t>
      </w:r>
    </w:p>
    <w:p w14:paraId="4FD4387A">
      <w:pPr>
        <w:pStyle w:val="41"/>
        <w:numPr>
          <w:ilvl w:val="0"/>
          <w:numId w:val="10"/>
        </w:numPr>
        <w:adjustRightInd w:val="0"/>
        <w:snapToGrid w:val="0"/>
        <w:spacing w:after="156"/>
        <w:ind w:firstLineChars="0"/>
        <w:rPr>
          <w:szCs w:val="21"/>
        </w:rPr>
      </w:pPr>
      <w:r>
        <w:rPr>
          <w:szCs w:val="21"/>
        </w:rPr>
        <w:t>出厂检查</w:t>
      </w:r>
    </w:p>
    <w:p w14:paraId="2D269BBC">
      <w:pPr>
        <w:pStyle w:val="62"/>
        <w:adjustRightInd w:val="0"/>
        <w:snapToGrid w:val="0"/>
        <w:spacing w:after="156"/>
        <w:ind w:left="0" w:firstLine="420" w:firstLineChars="200"/>
        <w:rPr>
          <w:color w:val="auto"/>
          <w:szCs w:val="21"/>
        </w:rPr>
      </w:pPr>
      <w:r>
        <w:rPr>
          <w:rFonts w:hint="eastAsia"/>
          <w:color w:val="auto"/>
          <w:szCs w:val="21"/>
        </w:rPr>
        <w:t>设备完成组装具备出厂条件后，由招标方组织技术人员到卖方公司进行设备功能验收。现场对设备外观、主要功能、备品备件数量等进行检查，招标方需自行准备被试件，卖方负责被试部件的往返运输和费用，功能测试合格确认后将发货到招标方现场</w:t>
      </w:r>
      <w:r>
        <w:rPr>
          <w:color w:val="auto"/>
          <w:szCs w:val="21"/>
        </w:rPr>
        <w:t>。。</w:t>
      </w:r>
    </w:p>
    <w:p w14:paraId="3B30FB94">
      <w:pPr>
        <w:pStyle w:val="41"/>
        <w:numPr>
          <w:ilvl w:val="0"/>
          <w:numId w:val="10"/>
        </w:numPr>
        <w:adjustRightInd w:val="0"/>
        <w:snapToGrid w:val="0"/>
        <w:spacing w:after="156"/>
        <w:ind w:firstLineChars="0"/>
        <w:rPr>
          <w:szCs w:val="21"/>
        </w:rPr>
      </w:pPr>
      <w:r>
        <w:rPr>
          <w:szCs w:val="21"/>
        </w:rPr>
        <w:t>开箱检查</w:t>
      </w:r>
    </w:p>
    <w:p w14:paraId="519DA7E4">
      <w:pPr>
        <w:pStyle w:val="59"/>
        <w:adjustRightInd w:val="0"/>
        <w:snapToGrid w:val="0"/>
        <w:spacing w:after="156"/>
        <w:ind w:left="574"/>
        <w:rPr>
          <w:rFonts w:ascii="宋体"/>
          <w:bCs/>
          <w:color w:val="auto"/>
          <w:szCs w:val="21"/>
        </w:rPr>
      </w:pPr>
      <w:r>
        <w:rPr>
          <w:rFonts w:ascii="宋体"/>
          <w:bCs/>
          <w:color w:val="auto"/>
          <w:szCs w:val="21"/>
        </w:rPr>
        <w:t>投标人负责</w:t>
      </w:r>
      <w:r>
        <w:rPr>
          <w:rFonts w:hint="eastAsia" w:ascii="宋体"/>
          <w:bCs/>
          <w:color w:val="auto"/>
          <w:szCs w:val="21"/>
        </w:rPr>
        <w:t>组织</w:t>
      </w:r>
      <w:r>
        <w:rPr>
          <w:rFonts w:ascii="宋体"/>
          <w:bCs/>
          <w:color w:val="auto"/>
          <w:szCs w:val="21"/>
        </w:rPr>
        <w:t>进行设备到达</w:t>
      </w:r>
      <w:r>
        <w:rPr>
          <w:rFonts w:hint="eastAsia" w:ascii="宋体"/>
          <w:bCs/>
          <w:color w:val="auto"/>
          <w:szCs w:val="21"/>
        </w:rPr>
        <w:t>地铁车辆段</w:t>
      </w:r>
      <w:r>
        <w:rPr>
          <w:rFonts w:ascii="宋体"/>
          <w:bCs/>
          <w:color w:val="auto"/>
          <w:szCs w:val="21"/>
        </w:rPr>
        <w:t>的开箱检查。</w:t>
      </w:r>
    </w:p>
    <w:p w14:paraId="1E2EA8FF">
      <w:pPr>
        <w:pStyle w:val="41"/>
        <w:numPr>
          <w:ilvl w:val="0"/>
          <w:numId w:val="10"/>
        </w:numPr>
        <w:adjustRightInd w:val="0"/>
        <w:snapToGrid w:val="0"/>
        <w:spacing w:after="156"/>
        <w:ind w:firstLineChars="0"/>
        <w:rPr>
          <w:szCs w:val="21"/>
        </w:rPr>
      </w:pPr>
      <w:r>
        <w:rPr>
          <w:szCs w:val="21"/>
        </w:rPr>
        <w:t>安装检查</w:t>
      </w:r>
    </w:p>
    <w:p w14:paraId="61544C71">
      <w:pPr>
        <w:pStyle w:val="59"/>
        <w:adjustRightInd w:val="0"/>
        <w:snapToGrid w:val="0"/>
        <w:spacing w:after="156"/>
        <w:ind w:left="0" w:firstLine="420" w:firstLineChars="200"/>
        <w:rPr>
          <w:rFonts w:ascii="宋体"/>
          <w:bCs/>
          <w:color w:val="auto"/>
          <w:szCs w:val="21"/>
        </w:rPr>
      </w:pPr>
      <w:r>
        <w:rPr>
          <w:rFonts w:ascii="宋体"/>
          <w:bCs/>
          <w:color w:val="auto"/>
          <w:szCs w:val="21"/>
        </w:rPr>
        <w:t>设备安装结束后，由投标人进行安装检查，以保证安装质量。招标人人员将参加以上各项的检查。</w:t>
      </w:r>
    </w:p>
    <w:p w14:paraId="04B93A08">
      <w:pPr>
        <w:pStyle w:val="41"/>
        <w:numPr>
          <w:ilvl w:val="0"/>
          <w:numId w:val="10"/>
        </w:numPr>
        <w:adjustRightInd w:val="0"/>
        <w:snapToGrid w:val="0"/>
        <w:spacing w:after="156"/>
        <w:ind w:firstLineChars="0"/>
        <w:rPr>
          <w:szCs w:val="21"/>
        </w:rPr>
      </w:pPr>
      <w:r>
        <w:rPr>
          <w:rFonts w:hint="eastAsia"/>
          <w:szCs w:val="21"/>
        </w:rPr>
        <w:t>接口检查</w:t>
      </w:r>
    </w:p>
    <w:p w14:paraId="3F0406E8">
      <w:pPr>
        <w:pStyle w:val="59"/>
        <w:adjustRightInd w:val="0"/>
        <w:snapToGrid w:val="0"/>
        <w:spacing w:after="156"/>
        <w:ind w:left="0" w:firstLine="420" w:firstLineChars="200"/>
        <w:rPr>
          <w:rFonts w:ascii="宋体"/>
          <w:bCs/>
          <w:color w:val="auto"/>
          <w:szCs w:val="21"/>
        </w:rPr>
      </w:pPr>
      <w:r>
        <w:rPr>
          <w:rFonts w:hint="eastAsia" w:ascii="宋体"/>
          <w:bCs/>
          <w:color w:val="auto"/>
          <w:szCs w:val="21"/>
        </w:rPr>
        <w:t>投保人负责对设备与相关设施的接口检查。如果因投标人的接口要求及检查失误，造成工期延误，而导致招标人额外发生的费用由投标人承担。</w:t>
      </w:r>
    </w:p>
    <w:p w14:paraId="601C5DDC">
      <w:pPr>
        <w:pStyle w:val="4"/>
        <w:widowControl/>
        <w:spacing w:before="156" w:beforeLines="50" w:after="156" w:afterLines="50" w:line="276" w:lineRule="auto"/>
        <w:jc w:val="left"/>
        <w:rPr>
          <w:rFonts w:ascii="黑体" w:hAnsi="黑体" w:eastAsia="黑体"/>
          <w:b w:val="0"/>
          <w:bCs w:val="0"/>
          <w:sz w:val="21"/>
          <w:szCs w:val="21"/>
        </w:rPr>
      </w:pPr>
      <w:bookmarkStart w:id="65" w:name="_Toc380996535"/>
      <w:bookmarkStart w:id="66" w:name="_Toc415825689"/>
      <w:bookmarkStart w:id="67" w:name="_Toc181194204"/>
      <w:r>
        <w:rPr>
          <w:rFonts w:hint="eastAsia" w:ascii="黑体" w:hAnsi="黑体" w:eastAsia="黑体"/>
          <w:b w:val="0"/>
          <w:bCs w:val="0"/>
          <w:sz w:val="21"/>
          <w:szCs w:val="21"/>
        </w:rPr>
        <w:t>5.3.4.1 设备的出厂试验</w:t>
      </w:r>
      <w:bookmarkEnd w:id="65"/>
      <w:bookmarkEnd w:id="66"/>
      <w:bookmarkEnd w:id="67"/>
    </w:p>
    <w:p w14:paraId="00A98675">
      <w:pPr>
        <w:pStyle w:val="41"/>
        <w:numPr>
          <w:ilvl w:val="0"/>
          <w:numId w:val="11"/>
        </w:numPr>
        <w:adjustRightInd w:val="0"/>
        <w:snapToGrid w:val="0"/>
        <w:spacing w:line="360" w:lineRule="auto"/>
        <w:ind w:left="862" w:leftChars="200" w:hanging="442" w:firstLineChars="0"/>
        <w:rPr>
          <w:szCs w:val="21"/>
        </w:rPr>
      </w:pPr>
      <w:r>
        <w:rPr>
          <w:rFonts w:ascii="宋体"/>
          <w:bCs/>
          <w:szCs w:val="21"/>
        </w:rPr>
        <w:t>出厂试验根据试验程序、相关标准和经招标人确认的最终“技术规格书”，由投标人在招标人人员在场情况下进行。</w:t>
      </w:r>
    </w:p>
    <w:p w14:paraId="46EB3157">
      <w:pPr>
        <w:pStyle w:val="41"/>
        <w:numPr>
          <w:ilvl w:val="0"/>
          <w:numId w:val="11"/>
        </w:numPr>
        <w:adjustRightInd w:val="0"/>
        <w:snapToGrid w:val="0"/>
        <w:spacing w:line="360" w:lineRule="auto"/>
        <w:ind w:left="862" w:leftChars="200" w:hanging="442" w:firstLineChars="0"/>
        <w:rPr>
          <w:szCs w:val="21"/>
        </w:rPr>
      </w:pPr>
      <w:r>
        <w:rPr>
          <w:szCs w:val="21"/>
        </w:rPr>
        <w:t>试验记录由双方签字。</w:t>
      </w:r>
    </w:p>
    <w:p w14:paraId="66BBB9FD">
      <w:pPr>
        <w:pStyle w:val="41"/>
        <w:numPr>
          <w:ilvl w:val="0"/>
          <w:numId w:val="11"/>
        </w:numPr>
        <w:adjustRightInd w:val="0"/>
        <w:snapToGrid w:val="0"/>
        <w:spacing w:line="360" w:lineRule="auto"/>
        <w:ind w:left="862" w:leftChars="200" w:hanging="442" w:firstLineChars="0"/>
        <w:rPr>
          <w:szCs w:val="21"/>
        </w:rPr>
      </w:pPr>
      <w:r>
        <w:rPr>
          <w:szCs w:val="21"/>
        </w:rPr>
        <w:t>对设备和部件进行出厂试验。</w:t>
      </w:r>
    </w:p>
    <w:p w14:paraId="76D14CBF">
      <w:pPr>
        <w:pStyle w:val="41"/>
        <w:numPr>
          <w:ilvl w:val="0"/>
          <w:numId w:val="11"/>
        </w:numPr>
        <w:adjustRightInd w:val="0"/>
        <w:snapToGrid w:val="0"/>
        <w:spacing w:line="360" w:lineRule="auto"/>
        <w:ind w:left="862" w:leftChars="200" w:hanging="442" w:firstLineChars="0"/>
        <w:rPr>
          <w:szCs w:val="21"/>
        </w:rPr>
      </w:pPr>
      <w:r>
        <w:rPr>
          <w:szCs w:val="21"/>
        </w:rPr>
        <w:t>试验规范大纲由投标人提出，供招标人审查。</w:t>
      </w:r>
    </w:p>
    <w:p w14:paraId="2BE5CA80">
      <w:pPr>
        <w:pStyle w:val="41"/>
        <w:numPr>
          <w:ilvl w:val="0"/>
          <w:numId w:val="11"/>
        </w:numPr>
        <w:adjustRightInd w:val="0"/>
        <w:snapToGrid w:val="0"/>
        <w:spacing w:line="360" w:lineRule="auto"/>
        <w:ind w:left="862" w:leftChars="200" w:hanging="442" w:firstLineChars="0"/>
        <w:rPr>
          <w:rFonts w:ascii="宋体"/>
          <w:bCs/>
          <w:szCs w:val="21"/>
        </w:rPr>
      </w:pPr>
      <w:r>
        <w:rPr>
          <w:szCs w:val="21"/>
        </w:rPr>
        <w:t>投</w:t>
      </w:r>
      <w:r>
        <w:rPr>
          <w:rFonts w:ascii="宋体"/>
          <w:bCs/>
          <w:szCs w:val="21"/>
        </w:rPr>
        <w:t>标人应在进行出厂试验前</w:t>
      </w:r>
      <w:r>
        <w:rPr>
          <w:rFonts w:hint="eastAsia" w:ascii="宋体"/>
          <w:bCs/>
          <w:szCs w:val="21"/>
        </w:rPr>
        <w:t>两周内</w:t>
      </w:r>
      <w:r>
        <w:rPr>
          <w:rFonts w:ascii="宋体"/>
          <w:bCs/>
          <w:szCs w:val="21"/>
        </w:rPr>
        <w:t>通知招标人，包括试验已具备的条件及工作安排计划。</w:t>
      </w:r>
    </w:p>
    <w:p w14:paraId="08714352">
      <w:pPr>
        <w:pStyle w:val="4"/>
        <w:widowControl/>
        <w:spacing w:before="156" w:beforeLines="50" w:after="156" w:afterLines="50" w:line="276" w:lineRule="auto"/>
        <w:jc w:val="left"/>
        <w:rPr>
          <w:rFonts w:ascii="黑体" w:hAnsi="黑体" w:eastAsia="黑体"/>
          <w:b w:val="0"/>
          <w:bCs w:val="0"/>
          <w:sz w:val="21"/>
          <w:szCs w:val="21"/>
        </w:rPr>
      </w:pPr>
      <w:bookmarkStart w:id="68" w:name="_Toc415825690"/>
      <w:bookmarkStart w:id="69" w:name="_Toc380996536"/>
      <w:bookmarkStart w:id="70" w:name="_Toc181194205"/>
      <w:r>
        <w:rPr>
          <w:rFonts w:hint="eastAsia" w:ascii="黑体" w:hAnsi="黑体" w:eastAsia="黑体"/>
          <w:b w:val="0"/>
          <w:bCs w:val="0"/>
          <w:sz w:val="21"/>
          <w:szCs w:val="21"/>
        </w:rPr>
        <w:t>5.3.4.3设备的验收程序</w:t>
      </w:r>
      <w:bookmarkEnd w:id="68"/>
      <w:bookmarkEnd w:id="69"/>
      <w:bookmarkEnd w:id="70"/>
    </w:p>
    <w:p w14:paraId="2D05E44B">
      <w:pPr>
        <w:pStyle w:val="41"/>
        <w:numPr>
          <w:ilvl w:val="0"/>
          <w:numId w:val="12"/>
        </w:numPr>
        <w:adjustRightInd w:val="0"/>
        <w:snapToGrid w:val="0"/>
        <w:spacing w:line="360" w:lineRule="auto"/>
        <w:ind w:firstLineChars="0"/>
        <w:rPr>
          <w:rFonts w:ascii="宋体"/>
          <w:bCs/>
          <w:szCs w:val="21"/>
        </w:rPr>
      </w:pPr>
      <w:r>
        <w:rPr>
          <w:rFonts w:hint="eastAsia" w:ascii="宋体"/>
          <w:bCs/>
          <w:szCs w:val="21"/>
        </w:rPr>
        <w:t>预</w:t>
      </w:r>
      <w:r>
        <w:rPr>
          <w:rFonts w:ascii="宋体"/>
          <w:bCs/>
          <w:szCs w:val="21"/>
        </w:rPr>
        <w:t>验收</w:t>
      </w:r>
    </w:p>
    <w:p w14:paraId="0A2D83D4">
      <w:pPr>
        <w:pStyle w:val="59"/>
        <w:adjustRightInd w:val="0"/>
        <w:snapToGrid w:val="0"/>
        <w:spacing w:after="120" w:line="360" w:lineRule="auto"/>
        <w:ind w:left="0" w:firstLine="420" w:firstLineChars="200"/>
        <w:rPr>
          <w:rFonts w:ascii="宋体"/>
          <w:bCs/>
          <w:color w:val="auto"/>
          <w:szCs w:val="21"/>
        </w:rPr>
      </w:pPr>
      <w:r>
        <w:rPr>
          <w:rFonts w:ascii="宋体"/>
          <w:bCs/>
          <w:color w:val="auto"/>
          <w:szCs w:val="21"/>
        </w:rPr>
        <w:t>由投标人在</w:t>
      </w:r>
      <w:r>
        <w:rPr>
          <w:rFonts w:hint="eastAsia" w:ascii="宋体"/>
          <w:bCs/>
          <w:color w:val="auto"/>
          <w:szCs w:val="21"/>
        </w:rPr>
        <w:t>地铁车辆段</w:t>
      </w:r>
      <w:r>
        <w:rPr>
          <w:rFonts w:ascii="宋体"/>
          <w:bCs/>
          <w:color w:val="auto"/>
          <w:szCs w:val="21"/>
        </w:rPr>
        <w:t>进行设备的运用试验，以保证设备的安装、调试及运用质</w:t>
      </w:r>
      <w:r>
        <w:rPr>
          <w:rFonts w:hint="eastAsia" w:ascii="宋体"/>
          <w:bCs/>
          <w:color w:val="auto"/>
          <w:szCs w:val="21"/>
        </w:rPr>
        <w:t>量。试验成功后，即通过预验收，签发预验收证书。试验条件由投标人提出，招标人审查确定。</w:t>
      </w:r>
    </w:p>
    <w:p w14:paraId="6334850B">
      <w:pPr>
        <w:pStyle w:val="41"/>
        <w:numPr>
          <w:ilvl w:val="0"/>
          <w:numId w:val="12"/>
        </w:numPr>
        <w:adjustRightInd w:val="0"/>
        <w:snapToGrid w:val="0"/>
        <w:spacing w:line="360" w:lineRule="auto"/>
        <w:ind w:firstLineChars="0"/>
        <w:rPr>
          <w:rFonts w:ascii="宋体"/>
          <w:bCs/>
          <w:szCs w:val="21"/>
        </w:rPr>
      </w:pPr>
      <w:r>
        <w:rPr>
          <w:rFonts w:ascii="宋体"/>
          <w:bCs/>
          <w:szCs w:val="21"/>
        </w:rPr>
        <w:t>最终验收</w:t>
      </w:r>
    </w:p>
    <w:p w14:paraId="3E2A7A23">
      <w:pPr>
        <w:pStyle w:val="59"/>
        <w:adjustRightInd w:val="0"/>
        <w:snapToGrid w:val="0"/>
        <w:spacing w:after="156" w:line="360" w:lineRule="auto"/>
        <w:ind w:left="0" w:firstLine="420" w:firstLineChars="200"/>
        <w:rPr>
          <w:rFonts w:ascii="宋体"/>
          <w:bCs/>
          <w:color w:val="auto"/>
          <w:szCs w:val="21"/>
        </w:rPr>
      </w:pPr>
      <w:r>
        <w:rPr>
          <w:rFonts w:ascii="宋体"/>
          <w:bCs/>
          <w:color w:val="auto"/>
          <w:szCs w:val="21"/>
        </w:rPr>
        <w:t>质保期结束时</w:t>
      </w:r>
      <w:r>
        <w:rPr>
          <w:rFonts w:hint="eastAsia" w:ascii="宋体"/>
          <w:bCs/>
          <w:color w:val="auto"/>
          <w:szCs w:val="21"/>
        </w:rPr>
        <w:t>，</w:t>
      </w:r>
      <w:r>
        <w:rPr>
          <w:rFonts w:ascii="宋体"/>
          <w:bCs/>
          <w:color w:val="auto"/>
          <w:szCs w:val="21"/>
        </w:rPr>
        <w:t>招标人将进行最终验收。在质保期内当设备出现不能满足精度及性能的情况，通过更换新部件不能恢复时，整台设备将视为最终验收不合格。</w:t>
      </w:r>
    </w:p>
    <w:p w14:paraId="7D934782">
      <w:pPr>
        <w:pStyle w:val="4"/>
        <w:widowControl/>
        <w:spacing w:before="156" w:beforeLines="50" w:after="156" w:afterLines="50" w:line="276" w:lineRule="auto"/>
        <w:jc w:val="left"/>
        <w:rPr>
          <w:rFonts w:ascii="黑体" w:hAnsi="黑体" w:eastAsia="黑体"/>
          <w:b w:val="0"/>
          <w:bCs w:val="0"/>
          <w:sz w:val="21"/>
          <w:szCs w:val="21"/>
        </w:rPr>
      </w:pPr>
      <w:bookmarkStart w:id="71" w:name="_Toc181194206"/>
      <w:bookmarkStart w:id="72" w:name="_Toc380996537"/>
      <w:bookmarkStart w:id="73" w:name="_Toc415825691"/>
      <w:r>
        <w:rPr>
          <w:rFonts w:hint="eastAsia" w:ascii="黑体" w:hAnsi="黑体" w:eastAsia="黑体"/>
          <w:b w:val="0"/>
          <w:bCs w:val="0"/>
          <w:sz w:val="21"/>
          <w:szCs w:val="21"/>
        </w:rPr>
        <w:t>5.3.4.4 检查、出厂试验、验收规范及条件</w:t>
      </w:r>
      <w:bookmarkEnd w:id="71"/>
      <w:bookmarkEnd w:id="72"/>
      <w:bookmarkEnd w:id="73"/>
    </w:p>
    <w:p w14:paraId="3A2D0F01">
      <w:pPr>
        <w:adjustRightInd w:val="0"/>
        <w:snapToGrid w:val="0"/>
        <w:spacing w:line="360" w:lineRule="auto"/>
        <w:ind w:left="142" w:firstLine="420"/>
        <w:rPr>
          <w:rFonts w:ascii="宋体" w:hAnsi="宋体"/>
          <w:bCs/>
          <w:szCs w:val="21"/>
        </w:rPr>
      </w:pPr>
      <w:r>
        <w:rPr>
          <w:rFonts w:ascii="宋体" w:hAnsi="宋体"/>
          <w:bCs/>
          <w:szCs w:val="21"/>
        </w:rPr>
        <w:t>设备的检查、试验及验收均由投标人提出相应的“试验规范”文件，列明项目、程序、方法、依据标准、使用仪器以及有关条件，保证各项试验及验收按时进行。各项“试验规范”由投标人</w:t>
      </w:r>
      <w:r>
        <w:rPr>
          <w:rFonts w:hint="eastAsia" w:ascii="宋体" w:hAnsi="宋体"/>
          <w:bCs/>
          <w:szCs w:val="21"/>
        </w:rPr>
        <w:t>在试验前三个月</w:t>
      </w:r>
      <w:r>
        <w:rPr>
          <w:rFonts w:ascii="宋体" w:hAnsi="宋体"/>
          <w:bCs/>
          <w:szCs w:val="21"/>
        </w:rPr>
        <w:t>交给招标人审查。</w:t>
      </w:r>
    </w:p>
    <w:p w14:paraId="0E42F12C">
      <w:pPr>
        <w:adjustRightInd w:val="0"/>
        <w:snapToGrid w:val="0"/>
        <w:spacing w:line="360" w:lineRule="auto"/>
        <w:ind w:left="142" w:firstLine="420"/>
        <w:rPr>
          <w:rFonts w:ascii="宋体" w:hAnsi="宋体"/>
          <w:bCs/>
          <w:szCs w:val="21"/>
        </w:rPr>
      </w:pPr>
      <w:r>
        <w:rPr>
          <w:rFonts w:ascii="宋体" w:hAnsi="宋体"/>
          <w:szCs w:val="21"/>
        </w:rPr>
        <w:t>检查、试验、验收所需仪器、仪表、工具均由投标人提供，并应能满足试验、验收的要求。</w:t>
      </w:r>
    </w:p>
    <w:p w14:paraId="59D56F72">
      <w:pPr>
        <w:pStyle w:val="4"/>
        <w:widowControl/>
        <w:spacing w:before="156" w:beforeLines="50" w:after="156" w:afterLines="50" w:line="276" w:lineRule="auto"/>
        <w:jc w:val="left"/>
        <w:rPr>
          <w:rFonts w:ascii="黑体" w:hAnsi="黑体" w:eastAsia="黑体"/>
          <w:b w:val="0"/>
          <w:sz w:val="21"/>
          <w:szCs w:val="21"/>
        </w:rPr>
      </w:pPr>
      <w:bookmarkStart w:id="74" w:name="_Toc192580508"/>
      <w:bookmarkStart w:id="75" w:name="_Toc4269"/>
      <w:bookmarkStart w:id="76" w:name="_Toc299710805"/>
      <w:bookmarkStart w:id="77" w:name="_Toc298668737"/>
      <w:r>
        <w:rPr>
          <w:rFonts w:hint="eastAsia" w:ascii="黑体" w:hAnsi="黑体" w:eastAsia="黑体"/>
          <w:b w:val="0"/>
          <w:sz w:val="21"/>
          <w:szCs w:val="21"/>
        </w:rPr>
        <w:t>5</w:t>
      </w:r>
      <w:r>
        <w:rPr>
          <w:rFonts w:ascii="黑体" w:hAnsi="黑体" w:eastAsia="黑体"/>
          <w:b w:val="0"/>
          <w:sz w:val="21"/>
          <w:szCs w:val="21"/>
        </w:rPr>
        <w:t xml:space="preserve">.4 </w:t>
      </w:r>
      <w:r>
        <w:rPr>
          <w:rFonts w:hint="eastAsia" w:ascii="黑体" w:hAnsi="黑体" w:eastAsia="黑体"/>
          <w:b w:val="0"/>
          <w:sz w:val="21"/>
          <w:szCs w:val="21"/>
        </w:rPr>
        <w:t>图纸、手册和技术文件</w:t>
      </w:r>
      <w:bookmarkEnd w:id="74"/>
      <w:bookmarkEnd w:id="75"/>
    </w:p>
    <w:p w14:paraId="1956E230">
      <w:pPr>
        <w:pStyle w:val="5"/>
        <w:widowControl/>
        <w:spacing w:before="156" w:beforeLines="50" w:after="156" w:afterLines="50" w:line="276" w:lineRule="auto"/>
        <w:jc w:val="left"/>
        <w:rPr>
          <w:rFonts w:ascii="黑体" w:hAnsi="黑体" w:eastAsia="黑体"/>
          <w:b w:val="0"/>
          <w:sz w:val="21"/>
          <w:szCs w:val="21"/>
        </w:rPr>
      </w:pPr>
      <w:bookmarkStart w:id="78" w:name="_Toc250979011"/>
      <w:bookmarkStart w:id="79" w:name="_Toc463690172"/>
      <w:bookmarkStart w:id="80" w:name="_Toc419981395"/>
      <w:r>
        <w:rPr>
          <w:rFonts w:hint="eastAsia" w:ascii="黑体" w:hAnsi="黑体" w:eastAsia="黑体"/>
          <w:b w:val="0"/>
          <w:sz w:val="21"/>
          <w:szCs w:val="21"/>
        </w:rPr>
        <w:t>5.4.1 总则</w:t>
      </w:r>
      <w:bookmarkEnd w:id="78"/>
      <w:bookmarkEnd w:id="79"/>
      <w:bookmarkEnd w:id="80"/>
      <w:r>
        <w:rPr>
          <w:rFonts w:ascii="黑体" w:hAnsi="黑体" w:eastAsia="黑体"/>
          <w:b w:val="0"/>
          <w:sz w:val="21"/>
          <w:szCs w:val="21"/>
        </w:rPr>
        <w:tab/>
      </w:r>
    </w:p>
    <w:p w14:paraId="0D7DBF76">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本章各条款均适用于投标人及其分包商。</w:t>
      </w:r>
    </w:p>
    <w:p w14:paraId="70B8DE8F">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技术文件包括设计资料和图纸(包括电气线路图)、手册及其它技术资料，应确保技术文件与所提供的实物一致。</w:t>
      </w:r>
    </w:p>
    <w:p w14:paraId="2175BC07">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投标人应在设计阶段提供所有文件的结构树，目录及每类文件的格式样本供买方确认。投标人应按买方确认的要求提供文件。</w:t>
      </w:r>
    </w:p>
    <w:p w14:paraId="0B6A8D57">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投标人向买方提供的技术文件应充分、广泛和详细地说明设备及其部件的性能、原理、结构和尺寸，以及部件和电子器件的型号、规格和技术参数，使买方能够实现对设备的操作、检查、修理、试验、调整和维护。</w:t>
      </w:r>
    </w:p>
    <w:p w14:paraId="22AADCA7">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投标人提供的技术文件，必须提供中文版本，若原版为英文的，以及国外分包商在国外生产的产品应同时提供文件的英文版本。</w:t>
      </w:r>
    </w:p>
    <w:p w14:paraId="54F42EDC">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如果买方认为技术文件不能满足维修需要,并执有正当的理由,有权向投标人要求增加必要的技术文件。当投标人获悉买方的要求后，投标人有义务向买方提供这些技术文件（包括分包商产品部分的技术文件）。</w:t>
      </w:r>
    </w:p>
    <w:p w14:paraId="33E742E2">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图纸、手册和技术文件在设备设计和制造过程中有更新时，投标人应及时向买方提供最新的更新部分。投标人应提交已提供给买方的图纸、手册和技术文件清单，包括最新的版本和更新日期。在质保结束后，投标人应提供最终技术文件，在每次提供新版本技术文件时，还应同时提供对前一版本的修改清单（含电子文本）。</w:t>
      </w:r>
    </w:p>
    <w:p w14:paraId="5212FBCD">
      <w:pPr>
        <w:pStyle w:val="41"/>
        <w:numPr>
          <w:ilvl w:val="0"/>
          <w:numId w:val="13"/>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所有技术文件的格式（包括投标人的分包商的技术文件）应一致，所有技术文件均应提供打印（或印刷）文本及可修改的电子文本两种形式，并可通过PC机从光盘读出与显示。其中两套最终版的技术文件应按买方的要求进行装订。信件及其附件应提供打印（或印刷）文本及可修改的电子文本两种形式，对于需用户确认的至少提供三份文本文件。</w:t>
      </w:r>
    </w:p>
    <w:p w14:paraId="7AC7621F">
      <w:pPr>
        <w:pStyle w:val="5"/>
        <w:widowControl/>
        <w:spacing w:before="156" w:beforeLines="50" w:after="156" w:afterLines="50" w:line="276" w:lineRule="auto"/>
        <w:jc w:val="left"/>
        <w:rPr>
          <w:rFonts w:ascii="黑体" w:hAnsi="黑体" w:eastAsia="黑体"/>
          <w:b w:val="0"/>
          <w:sz w:val="21"/>
          <w:szCs w:val="21"/>
        </w:rPr>
      </w:pPr>
      <w:bookmarkStart w:id="81" w:name="_Toc463690173"/>
      <w:bookmarkStart w:id="82" w:name="_Toc419981396"/>
      <w:r>
        <w:rPr>
          <w:rFonts w:hint="eastAsia" w:ascii="黑体" w:hAnsi="黑体" w:eastAsia="黑体"/>
          <w:b w:val="0"/>
          <w:sz w:val="21"/>
          <w:szCs w:val="21"/>
        </w:rPr>
        <w:t>5.4.2 设计资料和图纸</w:t>
      </w:r>
      <w:bookmarkEnd w:id="81"/>
      <w:bookmarkEnd w:id="82"/>
    </w:p>
    <w:p w14:paraId="63FB9BB2">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投标人应按ISO标准向买方提供必要的图纸（包括非标件的图纸）。</w:t>
      </w:r>
    </w:p>
    <w:p w14:paraId="050C9E6A">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提供图纸的要求：</w:t>
      </w:r>
    </w:p>
    <w:p w14:paraId="1482C4D0">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对于专门为本项目设备设计、生产的产品，必须提供全部设计资料和图纸。</w:t>
      </w:r>
    </w:p>
    <w:p w14:paraId="69F345EC">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对于系列化生产，已在多家用户使用的产品，必须提供设计资料和组装图或者零部件分解图及明细表，图纸应给出组装的尺寸及公差及工艺要求，能满足买方大修的要求。</w:t>
      </w:r>
    </w:p>
    <w:p w14:paraId="702E54A8">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对于可以从市场上采购到的产品，必须提供产品说明书，说明书应能满足买方的维修和采购的要求。</w:t>
      </w:r>
    </w:p>
    <w:p w14:paraId="0A8ABAFB">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电气电路，必须提供详细的电路图、布线图和导线明细表（含导线截面积、型号、长度），应能满足买方查找故障和重新布线的要求。电路图需按DIN25002或GB/T6988标准绘制。投标人还应提供综合线路图和相应的功能说明文件，详述设备所有电气、电子与气动系统，并标明各器件的相关参数（安装位置、功能简要说明、器件性能、整定值、时间继电器与压力继电器的动作设定值等）。具体要求将在设计阶段确定。</w:t>
      </w:r>
    </w:p>
    <w:p w14:paraId="3C007FB9">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设备所有电子设备，必须提供电路板的原理方块图、电路图、元件布置图和明细表及测试点等，应能满足买方测试，查找到电路板上的故障件和故障点，并以相应规格的元件更换的要求。电路图和元件布置图上的元件应做出标注，且两者的标注应一致；明细表上应写明元件的型号规格和编号，使买方能按此规格编号向投标人或从市场上采购到相同的元件。</w:t>
      </w:r>
    </w:p>
    <w:p w14:paraId="26AB4DC1">
      <w:pPr>
        <w:pStyle w:val="41"/>
        <w:numPr>
          <w:ilvl w:val="0"/>
          <w:numId w:val="15"/>
        </w:numPr>
        <w:spacing w:line="360" w:lineRule="auto"/>
        <w:ind w:firstLineChars="0"/>
        <w:rPr>
          <w:rFonts w:ascii="宋体" w:hAnsi="宋体"/>
          <w:snapToGrid w:val="0"/>
          <w:kern w:val="0"/>
          <w:szCs w:val="21"/>
        </w:rPr>
      </w:pPr>
      <w:r>
        <w:rPr>
          <w:rFonts w:hint="eastAsia" w:ascii="宋体" w:hAnsi="宋体"/>
          <w:snapToGrid w:val="0"/>
          <w:kern w:val="0"/>
          <w:szCs w:val="21"/>
        </w:rPr>
        <w:t>对于空气系统，必须提供系统的工作原理图、接线图和管路图。</w:t>
      </w:r>
    </w:p>
    <w:p w14:paraId="581B00AF">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设计资料和图纸至少包括：</w:t>
      </w:r>
    </w:p>
    <w:p w14:paraId="62F32BD2">
      <w:pPr>
        <w:numPr>
          <w:ilvl w:val="0"/>
          <w:numId w:val="16"/>
        </w:numPr>
        <w:spacing w:line="360" w:lineRule="auto"/>
        <w:rPr>
          <w:rFonts w:ascii="宋体" w:hAnsi="宋体"/>
          <w:szCs w:val="21"/>
        </w:rPr>
      </w:pPr>
      <w:r>
        <w:rPr>
          <w:rFonts w:hint="eastAsia" w:ascii="宋体" w:hAnsi="宋体"/>
          <w:szCs w:val="21"/>
        </w:rPr>
        <w:t>总目录（具备索引和查找功能）</w:t>
      </w:r>
    </w:p>
    <w:p w14:paraId="740E27D4">
      <w:pPr>
        <w:numPr>
          <w:ilvl w:val="0"/>
          <w:numId w:val="16"/>
        </w:numPr>
        <w:spacing w:line="360" w:lineRule="auto"/>
        <w:rPr>
          <w:rFonts w:ascii="宋体" w:hAnsi="宋体"/>
          <w:szCs w:val="21"/>
        </w:rPr>
      </w:pPr>
      <w:r>
        <w:rPr>
          <w:rFonts w:hint="eastAsia" w:ascii="宋体" w:hAnsi="宋体"/>
          <w:szCs w:val="21"/>
        </w:rPr>
        <w:t>总图、部件装配图、零件图；</w:t>
      </w:r>
    </w:p>
    <w:p w14:paraId="669C944F">
      <w:pPr>
        <w:numPr>
          <w:ilvl w:val="0"/>
          <w:numId w:val="16"/>
        </w:numPr>
        <w:spacing w:line="360" w:lineRule="auto"/>
        <w:rPr>
          <w:rFonts w:ascii="宋体" w:hAnsi="宋体"/>
          <w:szCs w:val="21"/>
        </w:rPr>
      </w:pPr>
      <w:r>
        <w:rPr>
          <w:rFonts w:hint="eastAsia" w:ascii="宋体" w:hAnsi="宋体"/>
          <w:szCs w:val="21"/>
        </w:rPr>
        <w:t>系统布置图、部件布置图；</w:t>
      </w:r>
    </w:p>
    <w:p w14:paraId="740D47B0">
      <w:pPr>
        <w:numPr>
          <w:ilvl w:val="0"/>
          <w:numId w:val="16"/>
        </w:numPr>
        <w:spacing w:line="360" w:lineRule="auto"/>
        <w:rPr>
          <w:rFonts w:ascii="宋体" w:hAnsi="宋体"/>
          <w:szCs w:val="21"/>
        </w:rPr>
      </w:pPr>
      <w:r>
        <w:rPr>
          <w:rFonts w:hint="eastAsia" w:ascii="宋体" w:hAnsi="宋体"/>
          <w:szCs w:val="21"/>
        </w:rPr>
        <w:t>部件的尺寸和安装图；</w:t>
      </w:r>
    </w:p>
    <w:p w14:paraId="3C29FCD5">
      <w:pPr>
        <w:numPr>
          <w:ilvl w:val="0"/>
          <w:numId w:val="16"/>
        </w:numPr>
        <w:spacing w:line="360" w:lineRule="auto"/>
        <w:rPr>
          <w:rFonts w:ascii="宋体" w:hAnsi="宋体"/>
          <w:szCs w:val="21"/>
        </w:rPr>
      </w:pPr>
      <w:r>
        <w:rPr>
          <w:rFonts w:hint="eastAsia" w:ascii="宋体" w:hAnsi="宋体"/>
          <w:szCs w:val="21"/>
        </w:rPr>
        <w:t>电气电路图、元件布置图；</w:t>
      </w:r>
    </w:p>
    <w:p w14:paraId="7AFBE0E2">
      <w:pPr>
        <w:numPr>
          <w:ilvl w:val="0"/>
          <w:numId w:val="16"/>
        </w:numPr>
        <w:spacing w:line="360" w:lineRule="auto"/>
        <w:rPr>
          <w:rFonts w:ascii="宋体" w:hAnsi="宋体"/>
          <w:szCs w:val="21"/>
        </w:rPr>
      </w:pPr>
      <w:r>
        <w:rPr>
          <w:rFonts w:hint="eastAsia" w:ascii="宋体" w:hAnsi="宋体"/>
          <w:szCs w:val="21"/>
        </w:rPr>
        <w:t>明细表；</w:t>
      </w:r>
    </w:p>
    <w:p w14:paraId="14100D47">
      <w:pPr>
        <w:numPr>
          <w:ilvl w:val="0"/>
          <w:numId w:val="16"/>
        </w:numPr>
        <w:spacing w:line="360" w:lineRule="auto"/>
        <w:rPr>
          <w:rFonts w:ascii="宋体" w:hAnsi="宋体"/>
          <w:szCs w:val="21"/>
        </w:rPr>
      </w:pPr>
      <w:r>
        <w:rPr>
          <w:rFonts w:hint="eastAsia" w:ascii="宋体" w:hAnsi="宋体"/>
          <w:szCs w:val="21"/>
        </w:rPr>
        <w:t>汇总表</w:t>
      </w:r>
    </w:p>
    <w:p w14:paraId="72B3995F">
      <w:pPr>
        <w:numPr>
          <w:ilvl w:val="0"/>
          <w:numId w:val="16"/>
        </w:numPr>
        <w:spacing w:line="360" w:lineRule="auto"/>
        <w:rPr>
          <w:rFonts w:ascii="宋体" w:hAnsi="宋体"/>
          <w:szCs w:val="21"/>
        </w:rPr>
      </w:pPr>
      <w:r>
        <w:rPr>
          <w:rFonts w:hint="eastAsia" w:ascii="宋体" w:hAnsi="宋体"/>
          <w:szCs w:val="21"/>
        </w:rPr>
        <w:t>设计说明和相应的遵循标准等。</w:t>
      </w:r>
    </w:p>
    <w:p w14:paraId="3FB617BC">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如果一张图纸的功能已在另外图纸中完全体现，可不须再单独提供。</w:t>
      </w:r>
    </w:p>
    <w:p w14:paraId="7F03D64A">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投标人应提供土建基础图，满足车辆段的相关接口要求。</w:t>
      </w:r>
    </w:p>
    <w:p w14:paraId="45655302">
      <w:pPr>
        <w:pStyle w:val="41"/>
        <w:numPr>
          <w:ilvl w:val="0"/>
          <w:numId w:val="14"/>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对于螺纹紧固件，需在图上标出紧固力矩；对于弹簧件，需在图上提供弹簧特性曲线。</w:t>
      </w:r>
    </w:p>
    <w:p w14:paraId="362192AE">
      <w:pPr>
        <w:pStyle w:val="5"/>
        <w:widowControl/>
        <w:spacing w:before="156" w:beforeLines="50" w:after="156" w:afterLines="50" w:line="276" w:lineRule="auto"/>
        <w:jc w:val="left"/>
        <w:rPr>
          <w:rFonts w:ascii="黑体" w:hAnsi="黑体" w:eastAsia="黑体"/>
          <w:b w:val="0"/>
          <w:sz w:val="21"/>
          <w:szCs w:val="21"/>
        </w:rPr>
      </w:pPr>
      <w:bookmarkStart w:id="83" w:name="_Toc250979013"/>
      <w:bookmarkStart w:id="84" w:name="_Toc419981397"/>
      <w:bookmarkStart w:id="85" w:name="_Toc164407068"/>
      <w:bookmarkStart w:id="86" w:name="_Toc463690174"/>
      <w:bookmarkStart w:id="87" w:name="_Toc234384714"/>
      <w:r>
        <w:rPr>
          <w:rFonts w:hint="eastAsia" w:ascii="黑体" w:hAnsi="黑体" w:eastAsia="黑体"/>
          <w:b w:val="0"/>
          <w:sz w:val="21"/>
          <w:szCs w:val="21"/>
        </w:rPr>
        <w:t>5.4.3 手册</w:t>
      </w:r>
      <w:bookmarkEnd w:id="83"/>
      <w:bookmarkEnd w:id="84"/>
      <w:bookmarkEnd w:id="85"/>
      <w:bookmarkEnd w:id="86"/>
      <w:bookmarkEnd w:id="87"/>
    </w:p>
    <w:p w14:paraId="266B1E75">
      <w:pPr>
        <w:spacing w:line="360" w:lineRule="auto"/>
        <w:ind w:firstLine="420"/>
        <w:rPr>
          <w:rFonts w:ascii="宋体" w:hAnsi="宋体"/>
          <w:snapToGrid w:val="0"/>
          <w:kern w:val="0"/>
          <w:szCs w:val="21"/>
        </w:rPr>
      </w:pPr>
      <w:r>
        <w:rPr>
          <w:rFonts w:hint="eastAsia" w:ascii="宋体" w:hAnsi="宋体"/>
          <w:snapToGrid w:val="0"/>
          <w:kern w:val="0"/>
          <w:szCs w:val="21"/>
        </w:rPr>
        <w:t>投标人应向用户提供操作手册，维修和大修计划，润滑计划，维修、保养和大修手册，用户软件手册，零部件及材料明细手册。</w:t>
      </w:r>
    </w:p>
    <w:p w14:paraId="3FB1AD00">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操作手册</w:t>
      </w:r>
    </w:p>
    <w:p w14:paraId="6FCCAC19">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操作手册为操作人员的操作和检测提供指导,应包括以下几部分：设备概述(包括各主要系统的功能描述)；设备正常和故障情况下的详细操作规范；日常检查(项目、程序、方法)；故障查找及应急处理方法（包括故障隔离法）。</w:t>
      </w:r>
    </w:p>
    <w:p w14:paraId="438CD0B3">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维修和大修计划</w:t>
      </w:r>
    </w:p>
    <w:p w14:paraId="57BF3677">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维修和大修计划手册以表格的形式列出一个维修工作大纲，提出维修和大修的时间间隔要求。并且符合相关章节的要求。</w:t>
      </w:r>
    </w:p>
    <w:p w14:paraId="5434F6A4">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确定对某一工作所必须的资格认证和执行该工作所需要的人数。本章所包含的信息都将以维修分配图表为基础。</w:t>
      </w:r>
    </w:p>
    <w:p w14:paraId="00452560">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给出与“维修、保养和大修手册”中相关章节的相互参考。</w:t>
      </w:r>
    </w:p>
    <w:p w14:paraId="4CDB144C">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润滑计划</w:t>
      </w:r>
    </w:p>
    <w:p w14:paraId="4E555A01">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润滑计划以表格的形式列出一个润滑工作大纲，提出润滑的时间间隔要求，并且符合相关章节的要求。</w:t>
      </w:r>
    </w:p>
    <w:p w14:paraId="3FC0B8C6">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本章所包含的信息都将以维修分配图表为基础，包括润滑点位置、数量和润滑油种类、用量等。</w:t>
      </w:r>
    </w:p>
    <w:p w14:paraId="67084A85">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给出与“维修，保养和大修手册”中相关章节的相互参考。</w:t>
      </w:r>
    </w:p>
    <w:p w14:paraId="12F4020C">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维修、保养和大修手册</w:t>
      </w:r>
    </w:p>
    <w:p w14:paraId="09294FF8">
      <w:pPr>
        <w:spacing w:line="360" w:lineRule="auto"/>
        <w:ind w:left="819" w:leftChars="390" w:firstLine="420"/>
        <w:rPr>
          <w:rFonts w:ascii="宋体" w:hAnsi="宋体"/>
          <w:snapToGrid w:val="0"/>
          <w:kern w:val="0"/>
          <w:szCs w:val="21"/>
        </w:rPr>
      </w:pPr>
      <w:r>
        <w:rPr>
          <w:rFonts w:hint="eastAsia" w:ascii="宋体" w:hAnsi="宋体"/>
          <w:snapToGrid w:val="0"/>
          <w:kern w:val="0"/>
          <w:szCs w:val="21"/>
        </w:rPr>
        <w:t>手册将提供所有与安全有关，进行预防性和矫正性维修和大修工作相关的信息。其中包括部件介绍、拆卸、组装、调试、预防性维护、大修、故障处理、修复、专用工具与设备、材料等章节。</w:t>
      </w:r>
    </w:p>
    <w:p w14:paraId="72D58B62">
      <w:pPr>
        <w:spacing w:line="360" w:lineRule="auto"/>
        <w:ind w:left="819" w:leftChars="390" w:firstLine="420"/>
        <w:rPr>
          <w:rFonts w:ascii="宋体" w:hAnsi="宋体"/>
          <w:snapToGrid w:val="0"/>
          <w:kern w:val="0"/>
          <w:szCs w:val="21"/>
        </w:rPr>
      </w:pPr>
      <w:r>
        <w:rPr>
          <w:rFonts w:hint="eastAsia" w:ascii="宋体" w:hAnsi="宋体"/>
          <w:snapToGrid w:val="0"/>
          <w:kern w:val="0"/>
          <w:szCs w:val="21"/>
        </w:rPr>
        <w:t>说明顺序将按照元件的项目结构编码安排。</w:t>
      </w:r>
    </w:p>
    <w:p w14:paraId="2FEDB01B">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维修和保养部分</w:t>
      </w:r>
    </w:p>
    <w:p w14:paraId="2139F9B3">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本章应为设备维修人员在设备的维护、检查、运行、修理和调整提供指导。手册应对设备各级检修的内容、要求、方法、程序、设备、工具、材料等方面做出详细的说明；对主要的磨耗件、破损件和故障件的更换、调整和测试做出详细的说明。同时应列出所有润滑油脂的牌号、用途、用量、更换规定、替代牌号等相关信息。</w:t>
      </w:r>
    </w:p>
    <w:p w14:paraId="6293B478">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维修手册应包括所有部件的相关性能、原理说明和技术参数。</w:t>
      </w:r>
    </w:p>
    <w:p w14:paraId="38F6625E">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对于需要使用便携式测试仪（PTU）工作的项目，还应包括可操作和可调整方面的内容。</w:t>
      </w:r>
    </w:p>
    <w:p w14:paraId="1470B0C7">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应说明在某一段时间内，由于设备不运行，所必须采取的措施。</w:t>
      </w:r>
    </w:p>
    <w:p w14:paraId="7D9A802F">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大修部分</w:t>
      </w:r>
    </w:p>
    <w:p w14:paraId="36C967C4">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本章应包括一套按系统编制的完整的工艺规程，适用于检查、分解、维修、再组装、大修和调试，在操作手册和维修手册中未包含的所有维修工艺均应包含在其中。</w:t>
      </w:r>
    </w:p>
    <w:p w14:paraId="37AD1D68">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本章应包括一套按系统编制的完整的大修流程，对于大修中所需使用的工具、材料、备件等应有专门章节进行描述。</w:t>
      </w:r>
    </w:p>
    <w:p w14:paraId="5A61D129">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应说明部件进行修理或更换（即磨耗到限）的限度和/或条件，并提供主要零部件的维修工艺。</w:t>
      </w:r>
    </w:p>
    <w:p w14:paraId="10FB056A">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应对所有指定要再组装和大修的部件，提供再组装和大修规程，包括再组装的公差、大修后参数重新调整和试验的说明。</w:t>
      </w:r>
    </w:p>
    <w:p w14:paraId="03EA892B">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投标人应在大修手册中提供调整说明，使买方能在设备完成大修之后，能将设备及其主要部件调整、调试到规定的性能要求。</w:t>
      </w:r>
    </w:p>
    <w:p w14:paraId="1C08291B">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专用工具与测试仪器应提供使用说明及维修手册。</w:t>
      </w:r>
    </w:p>
    <w:p w14:paraId="06A571D3">
      <w:pPr>
        <w:pStyle w:val="41"/>
        <w:numPr>
          <w:ilvl w:val="0"/>
          <w:numId w:val="17"/>
        </w:numPr>
        <w:spacing w:line="360" w:lineRule="auto"/>
        <w:ind w:left="420" w:leftChars="200" w:firstLineChars="0"/>
        <w:rPr>
          <w:rFonts w:ascii="宋体" w:hAnsi="宋体"/>
          <w:snapToGrid w:val="0"/>
          <w:kern w:val="0"/>
          <w:szCs w:val="21"/>
        </w:rPr>
      </w:pPr>
      <w:r>
        <w:rPr>
          <w:rFonts w:hint="eastAsia" w:ascii="宋体" w:hAnsi="宋体"/>
          <w:snapToGrid w:val="0"/>
          <w:kern w:val="0"/>
          <w:szCs w:val="21"/>
        </w:rPr>
        <w:t>零部件和材料明细手册</w:t>
      </w:r>
    </w:p>
    <w:p w14:paraId="293F1605">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零部件及材料明细手册为买方采购零部件和原材料提供必需的资料。</w:t>
      </w:r>
    </w:p>
    <w:p w14:paraId="1BDA8BD1">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投标人应提供两种形式零部件和材料分类明细手册。一种按部件形式分类，另一种按系统功能形式分类。应根据相关标准注明零部件的性质（紧固件、易损易耗件等）。</w:t>
      </w:r>
    </w:p>
    <w:p w14:paraId="7FFB018F">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所提供的明细手册应具有识别编号（零件编号、规格型号、制造编号、供应商编号），使买方能从投标人订购到所需的全部零部件和材料。另外，明细表内需包含标准产品的型号规格及符合的标准，使买方可在市场上购买此产品。</w:t>
      </w:r>
    </w:p>
    <w:p w14:paraId="384B74B9">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对不易用叙述来识别的零部件，应采用合适的图形或注释，给零件编以号码和/或适当名称。</w:t>
      </w:r>
    </w:p>
    <w:p w14:paraId="7F0561D7">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采用编号的方法来提供交叉参考体系。</w:t>
      </w:r>
    </w:p>
    <w:p w14:paraId="38863018">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对交叉参考的零部件，应提供单独的索引，以标明此类部件所出现的图号。</w:t>
      </w:r>
    </w:p>
    <w:p w14:paraId="0C72739B">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布线、布管和电路图册应与分类表相关。</w:t>
      </w:r>
    </w:p>
    <w:p w14:paraId="57271922">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在说明和图纸中，在合适之处，应清晰地表示与相邻系统和子系统的参考关系。</w:t>
      </w:r>
    </w:p>
    <w:p w14:paraId="53FAC424">
      <w:pPr>
        <w:spacing w:line="360" w:lineRule="auto"/>
        <w:ind w:left="819" w:leftChars="390" w:firstLine="420" w:firstLineChars="200"/>
        <w:rPr>
          <w:rFonts w:ascii="宋体" w:hAnsi="宋体"/>
          <w:snapToGrid w:val="0"/>
          <w:kern w:val="0"/>
          <w:szCs w:val="21"/>
        </w:rPr>
      </w:pPr>
      <w:r>
        <w:rPr>
          <w:rFonts w:hint="eastAsia" w:ascii="宋体" w:hAnsi="宋体"/>
          <w:snapToGrid w:val="0"/>
          <w:kern w:val="0"/>
          <w:szCs w:val="21"/>
        </w:rPr>
        <w:t>对在仓储、运输有特殊要求的零部件及材料，投标人应提交要求说明。</w:t>
      </w:r>
    </w:p>
    <w:p w14:paraId="4CF5B873">
      <w:pPr>
        <w:pStyle w:val="5"/>
        <w:widowControl/>
        <w:spacing w:before="156" w:beforeLines="50" w:after="156" w:afterLines="50" w:line="276" w:lineRule="auto"/>
        <w:jc w:val="left"/>
        <w:rPr>
          <w:rFonts w:ascii="黑体" w:hAnsi="黑体" w:eastAsia="黑体"/>
          <w:b w:val="0"/>
          <w:sz w:val="21"/>
          <w:szCs w:val="21"/>
        </w:rPr>
      </w:pPr>
      <w:bookmarkStart w:id="88" w:name="_Toc491173572"/>
      <w:bookmarkStart w:id="89" w:name="_Toc250979014"/>
      <w:bookmarkStart w:id="90" w:name="_Toc463690175"/>
      <w:bookmarkStart w:id="91" w:name="_Toc419981398"/>
      <w:r>
        <w:rPr>
          <w:rFonts w:hint="eastAsia" w:ascii="黑体" w:hAnsi="黑体" w:eastAsia="黑体"/>
          <w:b w:val="0"/>
          <w:sz w:val="21"/>
          <w:szCs w:val="21"/>
        </w:rPr>
        <w:t>5.4.4 其他技术</w:t>
      </w:r>
      <w:bookmarkEnd w:id="88"/>
      <w:bookmarkEnd w:id="89"/>
      <w:r>
        <w:rPr>
          <w:rFonts w:hint="eastAsia" w:ascii="黑体" w:hAnsi="黑体" w:eastAsia="黑体"/>
          <w:b w:val="0"/>
          <w:sz w:val="21"/>
          <w:szCs w:val="21"/>
        </w:rPr>
        <w:t>资料</w:t>
      </w:r>
      <w:bookmarkEnd w:id="90"/>
      <w:bookmarkEnd w:id="91"/>
    </w:p>
    <w:p w14:paraId="0E867B61">
      <w:pPr>
        <w:pStyle w:val="41"/>
        <w:numPr>
          <w:ilvl w:val="0"/>
          <w:numId w:val="18"/>
        </w:numPr>
        <w:spacing w:line="360" w:lineRule="auto"/>
        <w:ind w:firstLineChars="0"/>
        <w:rPr>
          <w:rFonts w:ascii="宋体" w:hAnsi="宋体"/>
          <w:snapToGrid w:val="0"/>
          <w:kern w:val="0"/>
          <w:szCs w:val="21"/>
        </w:rPr>
      </w:pPr>
      <w:r>
        <w:rPr>
          <w:rFonts w:hint="eastAsia" w:ascii="宋体" w:hAnsi="宋体"/>
          <w:snapToGrid w:val="0"/>
          <w:kern w:val="0"/>
          <w:szCs w:val="21"/>
        </w:rPr>
        <w:t>投标人应提供的其他技术资料至少包括：</w:t>
      </w:r>
    </w:p>
    <w:p w14:paraId="63BE6B62">
      <w:pPr>
        <w:numPr>
          <w:ilvl w:val="0"/>
          <w:numId w:val="19"/>
        </w:numPr>
        <w:spacing w:line="360" w:lineRule="auto"/>
        <w:rPr>
          <w:rFonts w:ascii="宋体" w:hAnsi="宋体"/>
          <w:snapToGrid w:val="0"/>
          <w:kern w:val="0"/>
          <w:szCs w:val="21"/>
        </w:rPr>
      </w:pPr>
      <w:r>
        <w:rPr>
          <w:rFonts w:hint="eastAsia" w:ascii="宋体" w:hAnsi="宋体"/>
          <w:snapToGrid w:val="0"/>
          <w:kern w:val="0"/>
          <w:szCs w:val="21"/>
        </w:rPr>
        <w:t>设备技术规格书最终版；</w:t>
      </w:r>
    </w:p>
    <w:p w14:paraId="36CBE287">
      <w:pPr>
        <w:numPr>
          <w:ilvl w:val="0"/>
          <w:numId w:val="19"/>
        </w:numPr>
        <w:spacing w:line="360" w:lineRule="auto"/>
        <w:rPr>
          <w:rFonts w:ascii="宋体" w:hAnsi="宋体"/>
          <w:snapToGrid w:val="0"/>
          <w:kern w:val="0"/>
          <w:szCs w:val="21"/>
        </w:rPr>
      </w:pPr>
      <w:r>
        <w:rPr>
          <w:rFonts w:hint="eastAsia" w:ascii="宋体" w:hAnsi="宋体"/>
          <w:snapToGrid w:val="0"/>
          <w:kern w:val="0"/>
          <w:szCs w:val="21"/>
        </w:rPr>
        <w:t>设备及其主要部件和系统的最终说明书（包括整个设计、制造阶段的历史记录，双方往来文档，会议纪要等）；</w:t>
      </w:r>
    </w:p>
    <w:p w14:paraId="39E30088">
      <w:pPr>
        <w:numPr>
          <w:ilvl w:val="0"/>
          <w:numId w:val="19"/>
        </w:numPr>
        <w:spacing w:line="360" w:lineRule="auto"/>
        <w:rPr>
          <w:rFonts w:ascii="宋体" w:hAnsi="宋体"/>
          <w:snapToGrid w:val="0"/>
          <w:kern w:val="0"/>
          <w:szCs w:val="21"/>
        </w:rPr>
      </w:pPr>
      <w:r>
        <w:rPr>
          <w:rFonts w:hint="eastAsia" w:ascii="宋体" w:hAnsi="宋体"/>
          <w:snapToGrid w:val="0"/>
          <w:kern w:val="0"/>
          <w:szCs w:val="21"/>
        </w:rPr>
        <w:t>计算报告；</w:t>
      </w:r>
    </w:p>
    <w:p w14:paraId="5F6AAE3B">
      <w:pPr>
        <w:numPr>
          <w:ilvl w:val="0"/>
          <w:numId w:val="19"/>
        </w:numPr>
        <w:spacing w:line="360" w:lineRule="auto"/>
        <w:rPr>
          <w:rFonts w:ascii="宋体" w:hAnsi="宋体"/>
          <w:snapToGrid w:val="0"/>
          <w:kern w:val="0"/>
          <w:szCs w:val="21"/>
        </w:rPr>
      </w:pPr>
      <w:r>
        <w:rPr>
          <w:rFonts w:hint="eastAsia" w:ascii="宋体" w:hAnsi="宋体"/>
          <w:snapToGrid w:val="0"/>
          <w:kern w:val="0"/>
          <w:szCs w:val="21"/>
        </w:rPr>
        <w:t>关键部件的焊接、探伤报告；</w:t>
      </w:r>
    </w:p>
    <w:p w14:paraId="1942EA50">
      <w:pPr>
        <w:numPr>
          <w:ilvl w:val="0"/>
          <w:numId w:val="19"/>
        </w:numPr>
        <w:spacing w:line="360" w:lineRule="auto"/>
        <w:rPr>
          <w:rFonts w:ascii="宋体" w:hAnsi="宋体"/>
          <w:snapToGrid w:val="0"/>
          <w:kern w:val="0"/>
          <w:szCs w:val="21"/>
        </w:rPr>
      </w:pPr>
      <w:r>
        <w:rPr>
          <w:rFonts w:hint="eastAsia" w:ascii="宋体" w:hAnsi="宋体"/>
          <w:snapToGrid w:val="0"/>
          <w:kern w:val="0"/>
          <w:szCs w:val="21"/>
        </w:rPr>
        <w:t>微机控制说明书；</w:t>
      </w:r>
    </w:p>
    <w:p w14:paraId="3CFFC552">
      <w:pPr>
        <w:numPr>
          <w:ilvl w:val="0"/>
          <w:numId w:val="19"/>
        </w:numPr>
        <w:spacing w:line="360" w:lineRule="auto"/>
        <w:rPr>
          <w:rFonts w:ascii="宋体" w:hAnsi="宋体"/>
          <w:snapToGrid w:val="0"/>
          <w:kern w:val="0"/>
          <w:szCs w:val="21"/>
        </w:rPr>
      </w:pPr>
      <w:r>
        <w:rPr>
          <w:rFonts w:hint="eastAsia" w:ascii="宋体" w:hAnsi="宋体"/>
          <w:snapToGrid w:val="0"/>
          <w:kern w:val="0"/>
          <w:szCs w:val="21"/>
        </w:rPr>
        <w:t>材料、备件仓储要求；</w:t>
      </w:r>
    </w:p>
    <w:p w14:paraId="6EBE0734">
      <w:pPr>
        <w:numPr>
          <w:ilvl w:val="0"/>
          <w:numId w:val="19"/>
        </w:numPr>
        <w:spacing w:line="360" w:lineRule="auto"/>
        <w:rPr>
          <w:rFonts w:ascii="宋体" w:hAnsi="宋体"/>
          <w:snapToGrid w:val="0"/>
          <w:kern w:val="0"/>
          <w:szCs w:val="21"/>
        </w:rPr>
      </w:pPr>
      <w:r>
        <w:rPr>
          <w:rFonts w:hint="eastAsia" w:ascii="宋体" w:hAnsi="宋体"/>
          <w:snapToGrid w:val="0"/>
          <w:kern w:val="0"/>
          <w:szCs w:val="21"/>
        </w:rPr>
        <w:t>所有技术文件的电子文本（光盘）；</w:t>
      </w:r>
    </w:p>
    <w:p w14:paraId="791DB294">
      <w:pPr>
        <w:numPr>
          <w:ilvl w:val="0"/>
          <w:numId w:val="19"/>
        </w:numPr>
        <w:spacing w:line="360" w:lineRule="auto"/>
        <w:rPr>
          <w:rFonts w:ascii="宋体" w:hAnsi="宋体"/>
          <w:snapToGrid w:val="0"/>
          <w:kern w:val="0"/>
          <w:szCs w:val="21"/>
        </w:rPr>
      </w:pPr>
      <w:r>
        <w:rPr>
          <w:rFonts w:hint="eastAsia" w:ascii="宋体" w:hAnsi="宋体"/>
          <w:snapToGrid w:val="0"/>
          <w:kern w:val="0"/>
          <w:szCs w:val="21"/>
        </w:rPr>
        <w:t>涉及到所有标准文本及汇总一览表；</w:t>
      </w:r>
    </w:p>
    <w:p w14:paraId="2492945F">
      <w:pPr>
        <w:numPr>
          <w:ilvl w:val="0"/>
          <w:numId w:val="19"/>
        </w:numPr>
        <w:spacing w:line="360" w:lineRule="auto"/>
        <w:rPr>
          <w:rFonts w:ascii="宋体" w:hAnsi="宋体"/>
          <w:snapToGrid w:val="0"/>
          <w:kern w:val="0"/>
          <w:szCs w:val="21"/>
        </w:rPr>
      </w:pPr>
      <w:r>
        <w:rPr>
          <w:rFonts w:hint="eastAsia" w:ascii="宋体" w:hAnsi="宋体"/>
          <w:snapToGrid w:val="0"/>
          <w:kern w:val="0"/>
          <w:szCs w:val="21"/>
        </w:rPr>
        <w:t>所用标准清单。</w:t>
      </w:r>
    </w:p>
    <w:p w14:paraId="70549738">
      <w:pPr>
        <w:pStyle w:val="41"/>
        <w:numPr>
          <w:ilvl w:val="0"/>
          <w:numId w:val="18"/>
        </w:numPr>
        <w:spacing w:line="360" w:lineRule="auto"/>
        <w:ind w:firstLineChars="0"/>
        <w:rPr>
          <w:rFonts w:ascii="宋体" w:hAnsi="宋体"/>
          <w:snapToGrid w:val="0"/>
          <w:kern w:val="0"/>
          <w:szCs w:val="21"/>
        </w:rPr>
      </w:pPr>
      <w:r>
        <w:rPr>
          <w:rFonts w:hint="eastAsia" w:ascii="宋体" w:hAnsi="宋体"/>
          <w:snapToGrid w:val="0"/>
          <w:kern w:val="0"/>
          <w:szCs w:val="21"/>
        </w:rPr>
        <w:t>设备及其主要部件和系统的最终说明书</w:t>
      </w:r>
    </w:p>
    <w:p w14:paraId="48CB6430">
      <w:pPr>
        <w:pStyle w:val="41"/>
        <w:numPr>
          <w:ilvl w:val="0"/>
          <w:numId w:val="20"/>
        </w:numPr>
        <w:spacing w:line="360" w:lineRule="auto"/>
        <w:ind w:firstLineChars="0"/>
        <w:rPr>
          <w:rFonts w:ascii="宋体" w:hAnsi="宋体"/>
          <w:snapToGrid w:val="0"/>
          <w:kern w:val="0"/>
          <w:szCs w:val="21"/>
        </w:rPr>
      </w:pPr>
      <w:r>
        <w:rPr>
          <w:rFonts w:hint="eastAsia" w:ascii="宋体" w:hAnsi="宋体"/>
          <w:snapToGrid w:val="0"/>
          <w:kern w:val="0"/>
          <w:szCs w:val="21"/>
        </w:rPr>
        <w:t>最终说明书应由技术规格书导出。</w:t>
      </w:r>
    </w:p>
    <w:p w14:paraId="7D0A324D">
      <w:pPr>
        <w:pStyle w:val="41"/>
        <w:numPr>
          <w:ilvl w:val="0"/>
          <w:numId w:val="20"/>
        </w:numPr>
        <w:spacing w:line="360" w:lineRule="auto"/>
        <w:ind w:firstLineChars="0"/>
        <w:rPr>
          <w:rFonts w:ascii="宋体" w:hAnsi="宋体"/>
          <w:snapToGrid w:val="0"/>
          <w:kern w:val="0"/>
          <w:szCs w:val="21"/>
        </w:rPr>
      </w:pPr>
      <w:r>
        <w:rPr>
          <w:rFonts w:hint="eastAsia" w:ascii="宋体" w:hAnsi="宋体"/>
          <w:snapToGrid w:val="0"/>
          <w:kern w:val="0"/>
          <w:szCs w:val="21"/>
        </w:rPr>
        <w:t>最终说明书应包括：</w:t>
      </w:r>
    </w:p>
    <w:p w14:paraId="146470D6">
      <w:pPr>
        <w:pStyle w:val="41"/>
        <w:numPr>
          <w:ilvl w:val="0"/>
          <w:numId w:val="21"/>
        </w:numPr>
        <w:spacing w:line="360" w:lineRule="auto"/>
        <w:ind w:firstLineChars="0"/>
        <w:rPr>
          <w:rFonts w:ascii="宋体" w:hAnsi="宋体"/>
          <w:snapToGrid w:val="0"/>
          <w:kern w:val="0"/>
          <w:szCs w:val="21"/>
        </w:rPr>
      </w:pPr>
      <w:r>
        <w:rPr>
          <w:rFonts w:hint="eastAsia" w:ascii="宋体" w:hAnsi="宋体"/>
          <w:snapToGrid w:val="0"/>
          <w:kern w:val="0"/>
          <w:szCs w:val="21"/>
        </w:rPr>
        <w:t>设备总说明：</w:t>
      </w:r>
    </w:p>
    <w:p w14:paraId="75AD6914">
      <w:pPr>
        <w:numPr>
          <w:ilvl w:val="0"/>
          <w:numId w:val="22"/>
        </w:numPr>
        <w:spacing w:line="360" w:lineRule="auto"/>
        <w:rPr>
          <w:rFonts w:ascii="宋体" w:hAnsi="宋体"/>
          <w:snapToGrid w:val="0"/>
          <w:kern w:val="0"/>
          <w:szCs w:val="21"/>
        </w:rPr>
      </w:pPr>
      <w:r>
        <w:rPr>
          <w:rFonts w:hint="eastAsia" w:ascii="宋体" w:hAnsi="宋体"/>
          <w:snapToGrid w:val="0"/>
          <w:kern w:val="0"/>
          <w:szCs w:val="21"/>
        </w:rPr>
        <w:t>技术参数；</w:t>
      </w:r>
    </w:p>
    <w:p w14:paraId="68CE51D3">
      <w:pPr>
        <w:numPr>
          <w:ilvl w:val="0"/>
          <w:numId w:val="22"/>
        </w:numPr>
        <w:spacing w:line="360" w:lineRule="auto"/>
        <w:rPr>
          <w:rFonts w:ascii="宋体" w:hAnsi="宋体"/>
          <w:snapToGrid w:val="0"/>
          <w:kern w:val="0"/>
          <w:szCs w:val="21"/>
        </w:rPr>
      </w:pPr>
      <w:r>
        <w:rPr>
          <w:rFonts w:hint="eastAsia" w:ascii="宋体" w:hAnsi="宋体"/>
          <w:snapToGrid w:val="0"/>
          <w:kern w:val="0"/>
          <w:szCs w:val="21"/>
        </w:rPr>
        <w:t>功能描述；</w:t>
      </w:r>
    </w:p>
    <w:p w14:paraId="2127D235">
      <w:pPr>
        <w:numPr>
          <w:ilvl w:val="0"/>
          <w:numId w:val="22"/>
        </w:numPr>
        <w:spacing w:line="360" w:lineRule="auto"/>
        <w:rPr>
          <w:rFonts w:ascii="宋体" w:hAnsi="宋体"/>
          <w:snapToGrid w:val="0"/>
          <w:kern w:val="0"/>
          <w:szCs w:val="21"/>
        </w:rPr>
      </w:pPr>
      <w:r>
        <w:rPr>
          <w:rFonts w:hint="eastAsia" w:ascii="宋体" w:hAnsi="宋体"/>
          <w:snapToGrid w:val="0"/>
          <w:kern w:val="0"/>
          <w:szCs w:val="21"/>
        </w:rPr>
        <w:t>设备平面布置；</w:t>
      </w:r>
    </w:p>
    <w:p w14:paraId="31394546">
      <w:pPr>
        <w:numPr>
          <w:ilvl w:val="0"/>
          <w:numId w:val="22"/>
        </w:numPr>
        <w:spacing w:line="360" w:lineRule="auto"/>
        <w:rPr>
          <w:rFonts w:ascii="宋体" w:hAnsi="宋体"/>
          <w:snapToGrid w:val="0"/>
          <w:kern w:val="0"/>
          <w:szCs w:val="21"/>
        </w:rPr>
      </w:pPr>
      <w:r>
        <w:rPr>
          <w:rFonts w:hint="eastAsia" w:ascii="宋体" w:hAnsi="宋体"/>
          <w:snapToGrid w:val="0"/>
          <w:kern w:val="0"/>
          <w:szCs w:val="21"/>
        </w:rPr>
        <w:t>控制台布置；</w:t>
      </w:r>
    </w:p>
    <w:p w14:paraId="5B497FAA">
      <w:pPr>
        <w:numPr>
          <w:ilvl w:val="0"/>
          <w:numId w:val="22"/>
        </w:numPr>
        <w:spacing w:line="360" w:lineRule="auto"/>
        <w:rPr>
          <w:rFonts w:ascii="宋体" w:hAnsi="宋体"/>
          <w:snapToGrid w:val="0"/>
          <w:kern w:val="0"/>
          <w:szCs w:val="21"/>
        </w:rPr>
      </w:pPr>
      <w:r>
        <w:rPr>
          <w:rFonts w:hint="eastAsia" w:ascii="宋体" w:hAnsi="宋体"/>
          <w:snapToGrid w:val="0"/>
          <w:kern w:val="0"/>
          <w:szCs w:val="21"/>
        </w:rPr>
        <w:t>各系统的电路方框图及其说明；</w:t>
      </w:r>
    </w:p>
    <w:p w14:paraId="74FF1CFB">
      <w:pPr>
        <w:numPr>
          <w:ilvl w:val="0"/>
          <w:numId w:val="22"/>
        </w:numPr>
        <w:spacing w:line="360" w:lineRule="auto"/>
        <w:rPr>
          <w:rFonts w:ascii="宋体" w:hAnsi="宋体"/>
          <w:snapToGrid w:val="0"/>
          <w:kern w:val="0"/>
          <w:szCs w:val="21"/>
        </w:rPr>
      </w:pPr>
      <w:r>
        <w:rPr>
          <w:rFonts w:hint="eastAsia" w:ascii="宋体" w:hAnsi="宋体"/>
          <w:snapToGrid w:val="0"/>
          <w:kern w:val="0"/>
          <w:szCs w:val="21"/>
        </w:rPr>
        <w:t>空气和液压控制系统综合管路图说明（如有）。</w:t>
      </w:r>
    </w:p>
    <w:p w14:paraId="171F9FD3">
      <w:pPr>
        <w:pStyle w:val="41"/>
        <w:numPr>
          <w:ilvl w:val="0"/>
          <w:numId w:val="21"/>
        </w:numPr>
        <w:spacing w:line="360" w:lineRule="auto"/>
        <w:ind w:firstLineChars="0"/>
        <w:rPr>
          <w:rFonts w:ascii="宋体" w:hAnsi="宋体"/>
          <w:snapToGrid w:val="0"/>
          <w:kern w:val="0"/>
          <w:szCs w:val="21"/>
        </w:rPr>
      </w:pPr>
      <w:r>
        <w:rPr>
          <w:rFonts w:hint="eastAsia" w:ascii="宋体" w:hAnsi="宋体"/>
          <w:snapToGrid w:val="0"/>
          <w:kern w:val="0"/>
          <w:szCs w:val="21"/>
        </w:rPr>
        <w:t>控制系统的说明，包括原理电路、控制逻辑、功能和布置。</w:t>
      </w:r>
    </w:p>
    <w:p w14:paraId="00E75666">
      <w:pPr>
        <w:pStyle w:val="41"/>
        <w:numPr>
          <w:ilvl w:val="0"/>
          <w:numId w:val="18"/>
        </w:numPr>
        <w:spacing w:line="360" w:lineRule="auto"/>
        <w:ind w:firstLineChars="0"/>
        <w:rPr>
          <w:rFonts w:ascii="宋体" w:hAnsi="宋体"/>
          <w:snapToGrid w:val="0"/>
          <w:kern w:val="0"/>
          <w:szCs w:val="21"/>
        </w:rPr>
      </w:pPr>
      <w:r>
        <w:rPr>
          <w:rFonts w:hint="eastAsia" w:ascii="宋体" w:hAnsi="宋体"/>
          <w:snapToGrid w:val="0"/>
          <w:kern w:val="0"/>
          <w:szCs w:val="21"/>
        </w:rPr>
        <w:t>承载计算、探伤报告</w:t>
      </w:r>
    </w:p>
    <w:p w14:paraId="311DE680">
      <w:pPr>
        <w:spacing w:line="360" w:lineRule="auto"/>
        <w:ind w:left="134" w:firstLine="286"/>
        <w:rPr>
          <w:rFonts w:ascii="宋体" w:hAnsi="宋体"/>
          <w:snapToGrid w:val="0"/>
          <w:kern w:val="0"/>
          <w:szCs w:val="21"/>
        </w:rPr>
      </w:pPr>
      <w:r>
        <w:rPr>
          <w:rFonts w:hint="eastAsia" w:ascii="宋体" w:hAnsi="宋体"/>
          <w:snapToGrid w:val="0"/>
          <w:kern w:val="0"/>
          <w:szCs w:val="21"/>
        </w:rPr>
        <w:t>投标人应提交的计算报告至少包括：</w:t>
      </w:r>
    </w:p>
    <w:p w14:paraId="4E3A2FB5">
      <w:pPr>
        <w:spacing w:line="360" w:lineRule="auto"/>
        <w:ind w:left="840" w:leftChars="200" w:hanging="420" w:hangingChars="200"/>
        <w:rPr>
          <w:rFonts w:ascii="宋体" w:hAnsi="宋体"/>
          <w:snapToGrid w:val="0"/>
          <w:kern w:val="0"/>
          <w:szCs w:val="21"/>
        </w:rPr>
      </w:pPr>
      <w:r>
        <w:rPr>
          <w:rFonts w:hint="eastAsia" w:ascii="宋体" w:hAnsi="宋体"/>
          <w:snapToGrid w:val="0"/>
          <w:kern w:val="0"/>
          <w:szCs w:val="21"/>
        </w:rPr>
        <w:t>承载机构强度计算报告，投标人应提供关键部件的焊接、探伤报告。</w:t>
      </w:r>
    </w:p>
    <w:p w14:paraId="45D1DD70">
      <w:pPr>
        <w:pStyle w:val="41"/>
        <w:numPr>
          <w:ilvl w:val="0"/>
          <w:numId w:val="18"/>
        </w:numPr>
        <w:spacing w:line="360" w:lineRule="auto"/>
        <w:ind w:firstLineChars="0"/>
        <w:rPr>
          <w:rFonts w:ascii="宋体" w:hAnsi="宋体"/>
          <w:snapToGrid w:val="0"/>
          <w:kern w:val="0"/>
          <w:szCs w:val="21"/>
        </w:rPr>
      </w:pPr>
      <w:r>
        <w:rPr>
          <w:rFonts w:hint="eastAsia" w:ascii="宋体" w:hAnsi="宋体"/>
          <w:snapToGrid w:val="0"/>
          <w:kern w:val="0"/>
          <w:szCs w:val="21"/>
        </w:rPr>
        <w:t>微机控制说明书</w:t>
      </w:r>
    </w:p>
    <w:p w14:paraId="3D55DFE4">
      <w:pPr>
        <w:spacing w:line="360" w:lineRule="auto"/>
        <w:ind w:left="134" w:firstLine="286"/>
        <w:rPr>
          <w:rFonts w:ascii="宋体" w:hAnsi="宋体"/>
          <w:snapToGrid w:val="0"/>
          <w:kern w:val="0"/>
          <w:szCs w:val="21"/>
        </w:rPr>
      </w:pPr>
      <w:r>
        <w:rPr>
          <w:rFonts w:hint="eastAsia" w:ascii="宋体" w:hAnsi="宋体"/>
          <w:snapToGrid w:val="0"/>
          <w:kern w:val="0"/>
          <w:szCs w:val="21"/>
        </w:rPr>
        <w:t>微机控制说明书应包括：</w:t>
      </w:r>
    </w:p>
    <w:p w14:paraId="7BAB418B">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（1）计算机硬件技术说明书</w:t>
      </w:r>
      <w:r>
        <w:rPr>
          <w:rFonts w:ascii="宋体" w:hAnsi="宋体"/>
          <w:snapToGrid w:val="0"/>
          <w:kern w:val="0"/>
          <w:szCs w:val="21"/>
        </w:rPr>
        <w:tab/>
      </w:r>
    </w:p>
    <w:p w14:paraId="7BEA2854">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（2）计算机硬件维修手册；</w:t>
      </w:r>
    </w:p>
    <w:p w14:paraId="606D44CA">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（3）计算机硬件装配手册；</w:t>
      </w:r>
    </w:p>
    <w:p w14:paraId="518F7275">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（4）计算机软件的操作系统技术手册；</w:t>
      </w:r>
    </w:p>
    <w:p w14:paraId="445CC418">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（5）设备PLC程序的逻辑控制图；</w:t>
      </w:r>
    </w:p>
    <w:p w14:paraId="6002971C">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（6）计算机外围设备，功能模块和I/O设备的软件和硬件技术说明书和各种辅助手册；</w:t>
      </w:r>
    </w:p>
    <w:p w14:paraId="1FE52094">
      <w:pPr>
        <w:spacing w:line="360" w:lineRule="auto"/>
        <w:ind w:left="1260" w:leftChars="400" w:hanging="420" w:hangingChars="200"/>
        <w:rPr>
          <w:rFonts w:ascii="宋体" w:hAnsi="宋体"/>
          <w:snapToGrid w:val="0"/>
          <w:kern w:val="0"/>
          <w:szCs w:val="21"/>
        </w:rPr>
      </w:pPr>
      <w:r>
        <w:rPr>
          <w:rFonts w:hint="eastAsia" w:ascii="宋体" w:hAnsi="宋体"/>
          <w:snapToGrid w:val="0"/>
          <w:kern w:val="0"/>
          <w:szCs w:val="21"/>
        </w:rPr>
        <w:t>（7）计算机调试工具的软件、硬件技术说明书。</w:t>
      </w:r>
    </w:p>
    <w:p w14:paraId="691FDADF">
      <w:pPr>
        <w:spacing w:line="360" w:lineRule="auto"/>
        <w:ind w:left="840"/>
        <w:rPr>
          <w:rFonts w:ascii="宋体" w:hAnsi="宋体"/>
          <w:snapToGrid w:val="0"/>
          <w:kern w:val="0"/>
          <w:szCs w:val="21"/>
        </w:rPr>
      </w:pPr>
      <w:r>
        <w:rPr>
          <w:rFonts w:hint="eastAsia" w:ascii="宋体" w:hAnsi="宋体"/>
          <w:snapToGrid w:val="0"/>
          <w:kern w:val="0"/>
          <w:szCs w:val="21"/>
        </w:rPr>
        <w:t>（8）控制系统中所有的保护、控制参数(即门槛值)及相应的处理方法需在有关的技术文件中明确</w:t>
      </w:r>
    </w:p>
    <w:p w14:paraId="6EBB511D">
      <w:pPr>
        <w:pStyle w:val="5"/>
        <w:widowControl/>
        <w:spacing w:before="156" w:beforeLines="50" w:after="156" w:afterLines="50" w:line="276" w:lineRule="auto"/>
        <w:jc w:val="left"/>
        <w:rPr>
          <w:rFonts w:ascii="黑体" w:hAnsi="黑体" w:eastAsia="黑体"/>
          <w:b w:val="0"/>
          <w:sz w:val="21"/>
          <w:szCs w:val="21"/>
        </w:rPr>
      </w:pPr>
      <w:bookmarkStart w:id="92" w:name="_Toc491173573"/>
      <w:bookmarkStart w:id="93" w:name="_Toc463690176"/>
      <w:bookmarkStart w:id="94" w:name="_Toc419981399"/>
      <w:bookmarkStart w:id="95" w:name="_Toc250979015"/>
      <w:r>
        <w:rPr>
          <w:rFonts w:hint="eastAsia" w:ascii="黑体" w:hAnsi="黑体" w:eastAsia="黑体"/>
          <w:b w:val="0"/>
          <w:sz w:val="21"/>
          <w:szCs w:val="21"/>
        </w:rPr>
        <w:t>5.4.5</w:t>
      </w:r>
      <w:r>
        <w:rPr>
          <w:rFonts w:ascii="黑体" w:hAnsi="黑体" w:eastAsia="黑体"/>
          <w:b w:val="0"/>
          <w:sz w:val="21"/>
          <w:szCs w:val="21"/>
        </w:rPr>
        <w:t xml:space="preserve"> </w:t>
      </w:r>
      <w:r>
        <w:rPr>
          <w:rFonts w:hint="eastAsia" w:ascii="黑体" w:hAnsi="黑体" w:eastAsia="黑体"/>
          <w:b w:val="0"/>
          <w:sz w:val="21"/>
          <w:szCs w:val="21"/>
        </w:rPr>
        <w:t>图纸和技术文件的审查</w:t>
      </w:r>
      <w:bookmarkEnd w:id="92"/>
      <w:r>
        <w:rPr>
          <w:rFonts w:hint="eastAsia" w:ascii="黑体" w:hAnsi="黑体" w:eastAsia="黑体"/>
          <w:b w:val="0"/>
          <w:sz w:val="21"/>
          <w:szCs w:val="21"/>
        </w:rPr>
        <w:t>和确认</w:t>
      </w:r>
      <w:bookmarkEnd w:id="93"/>
      <w:bookmarkEnd w:id="94"/>
      <w:bookmarkEnd w:id="95"/>
    </w:p>
    <w:p w14:paraId="39DBD383">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投标人设计图纸和技术文件，应先经过买方审查和确认。买方确认后，在图纸上签字或加盖审查章，该确认仅表明买方已同意投标人按图生产。买方的确认不改变投标人对设计和设备，系统及质量的责任。</w:t>
      </w:r>
    </w:p>
    <w:p w14:paraId="20C66278">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需要买方审查的图纸和技术文件，在设计联络/审查会议商定。</w:t>
      </w:r>
    </w:p>
    <w:p w14:paraId="514C2D3F">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需要买方审查的图纸和技术文件，投标人如果延迟提交，买方将保留追讨赔偿的权利。</w:t>
      </w:r>
    </w:p>
    <w:p w14:paraId="35787E59">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如果图纸和技术文件经过了买方审查，投标人未按该确认的图纸生产，买方有权拒绝接收该产品。</w:t>
      </w:r>
    </w:p>
    <w:p w14:paraId="138DF061">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投标人在设计联络会议上应提交整套设计图纸的目录，以及图纸审查的时间，由双方讨论决定。</w:t>
      </w:r>
    </w:p>
    <w:p w14:paraId="37E2A0BD">
      <w:pPr>
        <w:pStyle w:val="41"/>
        <w:numPr>
          <w:ilvl w:val="0"/>
          <w:numId w:val="23"/>
        </w:numPr>
        <w:spacing w:line="360" w:lineRule="auto"/>
        <w:ind w:firstLineChars="0"/>
        <w:rPr>
          <w:rFonts w:ascii="宋体" w:hAnsi="宋体"/>
          <w:snapToGrid w:val="0"/>
          <w:kern w:val="0"/>
          <w:szCs w:val="21"/>
        </w:rPr>
      </w:pPr>
      <w:r>
        <w:rPr>
          <w:rFonts w:hint="eastAsia" w:ascii="宋体" w:hAnsi="宋体"/>
          <w:snapToGrid w:val="0"/>
          <w:kern w:val="0"/>
          <w:szCs w:val="21"/>
        </w:rPr>
        <w:t>技术文件的审查确认的具体范围、时间和程序，在设计联络会议上由双方讨论决定。</w:t>
      </w:r>
    </w:p>
    <w:p w14:paraId="7DE787E0">
      <w:pPr>
        <w:pStyle w:val="5"/>
        <w:widowControl/>
        <w:spacing w:before="156" w:beforeLines="50" w:after="156" w:afterLines="50" w:line="276" w:lineRule="auto"/>
        <w:jc w:val="left"/>
        <w:rPr>
          <w:rFonts w:ascii="黑体" w:hAnsi="黑体" w:eastAsia="黑体"/>
          <w:b w:val="0"/>
          <w:sz w:val="21"/>
          <w:szCs w:val="21"/>
        </w:rPr>
      </w:pPr>
      <w:bookmarkStart w:id="96" w:name="_Toc250979016"/>
      <w:bookmarkStart w:id="97" w:name="_Toc491173574"/>
      <w:bookmarkStart w:id="98" w:name="_Toc463690177"/>
      <w:bookmarkStart w:id="99" w:name="_Toc419981400"/>
      <w:r>
        <w:rPr>
          <w:rFonts w:hint="eastAsia" w:ascii="黑体" w:hAnsi="黑体" w:eastAsia="黑体"/>
          <w:b w:val="0"/>
          <w:sz w:val="21"/>
          <w:szCs w:val="21"/>
        </w:rPr>
        <w:t>5.4.6 图纸、手册和技术文件的交付</w:t>
      </w:r>
      <w:bookmarkEnd w:id="96"/>
      <w:bookmarkEnd w:id="97"/>
      <w:bookmarkEnd w:id="98"/>
      <w:bookmarkEnd w:id="99"/>
    </w:p>
    <w:p w14:paraId="7FB11BEF">
      <w:pPr>
        <w:pStyle w:val="5"/>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5.4.6.1文件种类及交付数量与时间</w:t>
      </w:r>
    </w:p>
    <w:p w14:paraId="60C2744A">
      <w:pPr>
        <w:pStyle w:val="41"/>
        <w:numPr>
          <w:ilvl w:val="0"/>
          <w:numId w:val="24"/>
        </w:numPr>
        <w:spacing w:line="360" w:lineRule="auto"/>
        <w:ind w:firstLineChars="0"/>
        <w:rPr>
          <w:rFonts w:ascii="宋体" w:hAnsi="宋体"/>
          <w:szCs w:val="21"/>
        </w:rPr>
      </w:pPr>
      <w:r>
        <w:rPr>
          <w:rFonts w:hint="eastAsia" w:ascii="宋体" w:hAnsi="宋体"/>
          <w:szCs w:val="21"/>
        </w:rPr>
        <w:t>所有下述技术文件的电子版提交，打印文本应装订成册（提交数量依设备数量而定）</w:t>
      </w:r>
      <w:r>
        <w:rPr>
          <w:rFonts w:ascii="宋体" w:hAnsi="宋体"/>
          <w:szCs w:val="21"/>
        </w:rPr>
        <w:t>。</w:t>
      </w:r>
    </w:p>
    <w:tbl>
      <w:tblPr>
        <w:tblStyle w:val="23"/>
        <w:tblW w:w="5000"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2154"/>
        <w:gridCol w:w="5523"/>
      </w:tblGrid>
      <w:tr w14:paraId="42CEC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2033A72D">
            <w:pPr>
              <w:spacing w:line="360" w:lineRule="auto"/>
              <w:rPr>
                <w:rFonts w:ascii="宋体" w:hAnsi="宋体"/>
                <w:szCs w:val="21"/>
              </w:rPr>
            </w:pPr>
            <w:r>
              <w:rPr>
                <w:rFonts w:hint="eastAsia" w:ascii="宋体" w:hAnsi="宋体"/>
                <w:szCs w:val="21"/>
              </w:rPr>
              <w:t>序号</w:t>
            </w:r>
          </w:p>
        </w:tc>
        <w:tc>
          <w:tcPr>
            <w:tcW w:w="1264" w:type="pct"/>
            <w:vAlign w:val="center"/>
          </w:tcPr>
          <w:p w14:paraId="21DE5D7B">
            <w:pPr>
              <w:spacing w:line="360" w:lineRule="auto"/>
              <w:rPr>
                <w:rFonts w:ascii="宋体" w:hAnsi="宋体"/>
                <w:szCs w:val="21"/>
              </w:rPr>
            </w:pPr>
            <w:r>
              <w:rPr>
                <w:rFonts w:hint="eastAsia" w:ascii="宋体" w:hAnsi="宋体"/>
                <w:szCs w:val="21"/>
              </w:rPr>
              <w:t>名称</w:t>
            </w:r>
          </w:p>
        </w:tc>
        <w:tc>
          <w:tcPr>
            <w:tcW w:w="3240" w:type="pct"/>
            <w:vAlign w:val="center"/>
          </w:tcPr>
          <w:p w14:paraId="0625F933">
            <w:pPr>
              <w:spacing w:line="360" w:lineRule="auto"/>
              <w:rPr>
                <w:rFonts w:ascii="宋体" w:hAnsi="宋体"/>
                <w:szCs w:val="21"/>
              </w:rPr>
            </w:pPr>
            <w:r>
              <w:rPr>
                <w:rFonts w:hint="eastAsia" w:ascii="宋体" w:hAnsi="宋体"/>
                <w:szCs w:val="21"/>
              </w:rPr>
              <w:t>交付时间</w:t>
            </w:r>
          </w:p>
        </w:tc>
      </w:tr>
      <w:tr w14:paraId="32EC6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23E42E8F">
            <w:pPr>
              <w:spacing w:line="360" w:lineRule="auto"/>
              <w:rPr>
                <w:rFonts w:ascii="宋体" w:hAnsi="宋体"/>
                <w:szCs w:val="21"/>
              </w:rPr>
            </w:pPr>
            <w:r>
              <w:rPr>
                <w:rFonts w:ascii="宋体" w:hAnsi="宋体"/>
                <w:szCs w:val="21"/>
              </w:rPr>
              <w:t>1</w:t>
            </w:r>
          </w:p>
        </w:tc>
        <w:tc>
          <w:tcPr>
            <w:tcW w:w="1264" w:type="pct"/>
            <w:vAlign w:val="center"/>
          </w:tcPr>
          <w:p w14:paraId="6883C75B">
            <w:pPr>
              <w:spacing w:line="360" w:lineRule="auto"/>
              <w:rPr>
                <w:rFonts w:ascii="宋体" w:hAnsi="宋体"/>
                <w:szCs w:val="21"/>
              </w:rPr>
            </w:pPr>
            <w:r>
              <w:rPr>
                <w:rFonts w:hint="eastAsia" w:ascii="宋体" w:hAnsi="宋体"/>
                <w:szCs w:val="21"/>
              </w:rPr>
              <w:t>操作手册</w:t>
            </w:r>
          </w:p>
        </w:tc>
        <w:tc>
          <w:tcPr>
            <w:tcW w:w="3240" w:type="pct"/>
            <w:vAlign w:val="center"/>
          </w:tcPr>
          <w:p w14:paraId="01CD40CB">
            <w:pPr>
              <w:adjustRightInd w:val="0"/>
              <w:snapToGrid w:val="0"/>
              <w:rPr>
                <w:rFonts w:ascii="宋体" w:hAnsi="宋体"/>
                <w:szCs w:val="21"/>
              </w:rPr>
            </w:pPr>
            <w:r>
              <w:rPr>
                <w:rFonts w:hint="eastAsia" w:ascii="宋体" w:hAnsi="宋体"/>
                <w:szCs w:val="21"/>
              </w:rPr>
              <w:t>设备到货时提供，如有修订，须在修订后一个月内提供修订版本</w:t>
            </w:r>
          </w:p>
        </w:tc>
      </w:tr>
      <w:tr w14:paraId="533EC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7FED3C4F">
            <w:pPr>
              <w:spacing w:line="360" w:lineRule="auto"/>
              <w:rPr>
                <w:rFonts w:ascii="宋体" w:hAnsi="宋体"/>
                <w:szCs w:val="21"/>
              </w:rPr>
            </w:pPr>
            <w:r>
              <w:rPr>
                <w:rFonts w:ascii="宋体" w:hAnsi="宋体"/>
                <w:szCs w:val="21"/>
              </w:rPr>
              <w:t>2</w:t>
            </w:r>
          </w:p>
        </w:tc>
        <w:tc>
          <w:tcPr>
            <w:tcW w:w="1264" w:type="pct"/>
            <w:vAlign w:val="center"/>
          </w:tcPr>
          <w:p w14:paraId="2618740D">
            <w:pPr>
              <w:spacing w:line="360" w:lineRule="auto"/>
              <w:rPr>
                <w:rFonts w:ascii="宋体" w:hAnsi="宋体"/>
                <w:szCs w:val="21"/>
              </w:rPr>
            </w:pPr>
            <w:r>
              <w:rPr>
                <w:rFonts w:hint="eastAsia" w:ascii="宋体" w:hAnsi="宋体"/>
                <w:szCs w:val="21"/>
              </w:rPr>
              <w:t>设计资料和图纸</w:t>
            </w:r>
          </w:p>
        </w:tc>
        <w:tc>
          <w:tcPr>
            <w:tcW w:w="3240" w:type="pct"/>
            <w:vAlign w:val="center"/>
          </w:tcPr>
          <w:p w14:paraId="04B3176D">
            <w:pPr>
              <w:adjustRightInd w:val="0"/>
              <w:snapToGrid w:val="0"/>
              <w:rPr>
                <w:rFonts w:ascii="宋体" w:hAnsi="宋体"/>
                <w:szCs w:val="21"/>
              </w:rPr>
            </w:pPr>
            <w:r>
              <w:rPr>
                <w:rFonts w:hint="eastAsia" w:ascii="宋体" w:hAnsi="宋体"/>
                <w:szCs w:val="21"/>
              </w:rPr>
              <w:t>初版：设计联络或设计审查会议召开前两周；</w:t>
            </w:r>
          </w:p>
          <w:p w14:paraId="608FECE0">
            <w:pPr>
              <w:adjustRightInd w:val="0"/>
              <w:snapToGrid w:val="0"/>
              <w:rPr>
                <w:rFonts w:ascii="宋体" w:hAnsi="宋体"/>
                <w:szCs w:val="21"/>
              </w:rPr>
            </w:pPr>
            <w:r>
              <w:rPr>
                <w:rFonts w:hint="eastAsia" w:ascii="宋体" w:hAnsi="宋体"/>
                <w:szCs w:val="21"/>
              </w:rPr>
              <w:t>修订版：设计联络或设计审查会议结束后两周内；</w:t>
            </w:r>
          </w:p>
        </w:tc>
      </w:tr>
      <w:tr w14:paraId="6487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3C57BAC7">
            <w:pPr>
              <w:spacing w:line="360" w:lineRule="auto"/>
              <w:rPr>
                <w:rFonts w:ascii="宋体" w:hAnsi="宋体"/>
                <w:szCs w:val="21"/>
              </w:rPr>
            </w:pPr>
            <w:r>
              <w:rPr>
                <w:rFonts w:ascii="宋体" w:hAnsi="宋体"/>
                <w:szCs w:val="21"/>
              </w:rPr>
              <w:t>3</w:t>
            </w:r>
          </w:p>
        </w:tc>
        <w:tc>
          <w:tcPr>
            <w:tcW w:w="1264" w:type="pct"/>
            <w:vAlign w:val="center"/>
          </w:tcPr>
          <w:p w14:paraId="756FE407">
            <w:pPr>
              <w:adjustRightInd w:val="0"/>
              <w:snapToGrid w:val="0"/>
              <w:rPr>
                <w:rFonts w:ascii="宋体" w:hAnsi="宋体"/>
                <w:szCs w:val="21"/>
              </w:rPr>
            </w:pPr>
            <w:r>
              <w:rPr>
                <w:rFonts w:hint="eastAsia" w:ascii="宋体" w:hAnsi="宋体"/>
                <w:szCs w:val="21"/>
              </w:rPr>
              <w:t>维修，保养和大修手册</w:t>
            </w:r>
          </w:p>
        </w:tc>
        <w:tc>
          <w:tcPr>
            <w:tcW w:w="3240" w:type="pct"/>
            <w:vAlign w:val="center"/>
          </w:tcPr>
          <w:p w14:paraId="19496368">
            <w:pPr>
              <w:adjustRightInd w:val="0"/>
              <w:snapToGrid w:val="0"/>
              <w:rPr>
                <w:rFonts w:ascii="宋体" w:hAnsi="宋体"/>
                <w:szCs w:val="21"/>
              </w:rPr>
            </w:pPr>
            <w:r>
              <w:rPr>
                <w:rFonts w:hint="eastAsia" w:ascii="宋体" w:hAnsi="宋体"/>
                <w:szCs w:val="21"/>
              </w:rPr>
              <w:t>设备预验收时提供，如有修订，须在修订后一个月内提供修订版本</w:t>
            </w:r>
          </w:p>
        </w:tc>
      </w:tr>
      <w:tr w14:paraId="44440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0C9B8DD2">
            <w:pPr>
              <w:spacing w:line="360" w:lineRule="auto"/>
              <w:rPr>
                <w:rFonts w:ascii="宋体" w:hAnsi="宋体"/>
                <w:szCs w:val="21"/>
              </w:rPr>
            </w:pPr>
            <w:r>
              <w:rPr>
                <w:rFonts w:ascii="宋体" w:hAnsi="宋体"/>
                <w:szCs w:val="21"/>
              </w:rPr>
              <w:t>4</w:t>
            </w:r>
          </w:p>
        </w:tc>
        <w:tc>
          <w:tcPr>
            <w:tcW w:w="1264" w:type="pct"/>
            <w:vAlign w:val="center"/>
          </w:tcPr>
          <w:p w14:paraId="545E9EB0">
            <w:pPr>
              <w:spacing w:line="360" w:lineRule="auto"/>
              <w:rPr>
                <w:rFonts w:ascii="宋体" w:hAnsi="宋体"/>
                <w:szCs w:val="21"/>
              </w:rPr>
            </w:pPr>
            <w:r>
              <w:rPr>
                <w:rFonts w:hint="eastAsia" w:ascii="宋体" w:hAnsi="宋体"/>
                <w:szCs w:val="21"/>
              </w:rPr>
              <w:t>电路图与管路图</w:t>
            </w:r>
          </w:p>
        </w:tc>
        <w:tc>
          <w:tcPr>
            <w:tcW w:w="3240" w:type="pct"/>
            <w:vAlign w:val="center"/>
          </w:tcPr>
          <w:p w14:paraId="76AEC294">
            <w:pPr>
              <w:adjustRightInd w:val="0"/>
              <w:snapToGrid w:val="0"/>
              <w:rPr>
                <w:rFonts w:ascii="宋体" w:hAnsi="宋体"/>
                <w:szCs w:val="21"/>
              </w:rPr>
            </w:pPr>
            <w:r>
              <w:rPr>
                <w:rFonts w:hint="eastAsia" w:ascii="宋体" w:hAnsi="宋体"/>
                <w:szCs w:val="21"/>
              </w:rPr>
              <w:t>设备到货时提供，如有修订，须在修订后一个月内提供修订版本</w:t>
            </w:r>
          </w:p>
        </w:tc>
      </w:tr>
      <w:tr w14:paraId="60104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31876CBE">
            <w:pPr>
              <w:spacing w:line="360" w:lineRule="auto"/>
              <w:rPr>
                <w:rFonts w:ascii="宋体" w:hAnsi="宋体"/>
                <w:szCs w:val="21"/>
              </w:rPr>
            </w:pPr>
            <w:r>
              <w:rPr>
                <w:rFonts w:ascii="宋体" w:hAnsi="宋体"/>
                <w:szCs w:val="21"/>
              </w:rPr>
              <w:t>5</w:t>
            </w:r>
          </w:p>
        </w:tc>
        <w:tc>
          <w:tcPr>
            <w:tcW w:w="1264" w:type="pct"/>
            <w:vAlign w:val="center"/>
          </w:tcPr>
          <w:p w14:paraId="51BC8DFA">
            <w:pPr>
              <w:spacing w:line="360" w:lineRule="auto"/>
              <w:rPr>
                <w:rFonts w:ascii="宋体" w:hAnsi="宋体"/>
                <w:szCs w:val="21"/>
              </w:rPr>
            </w:pPr>
            <w:r>
              <w:rPr>
                <w:rFonts w:hint="eastAsia" w:ascii="宋体" w:hAnsi="宋体"/>
                <w:szCs w:val="21"/>
              </w:rPr>
              <w:t>计算报告</w:t>
            </w:r>
          </w:p>
        </w:tc>
        <w:tc>
          <w:tcPr>
            <w:tcW w:w="3240" w:type="pct"/>
            <w:vAlign w:val="center"/>
          </w:tcPr>
          <w:p w14:paraId="238C1C67">
            <w:pPr>
              <w:adjustRightInd w:val="0"/>
              <w:snapToGrid w:val="0"/>
              <w:rPr>
                <w:rFonts w:ascii="宋体" w:hAnsi="宋体"/>
                <w:szCs w:val="21"/>
              </w:rPr>
            </w:pPr>
            <w:r>
              <w:rPr>
                <w:rFonts w:hint="eastAsia" w:ascii="宋体" w:hAnsi="宋体"/>
                <w:szCs w:val="21"/>
              </w:rPr>
              <w:t>初版：在设计审查会前</w:t>
            </w:r>
            <w:r>
              <w:rPr>
                <w:rFonts w:ascii="宋体" w:hAnsi="宋体"/>
                <w:szCs w:val="21"/>
              </w:rPr>
              <w:t>1</w:t>
            </w:r>
            <w:r>
              <w:rPr>
                <w:rFonts w:hint="eastAsia" w:ascii="宋体" w:hAnsi="宋体"/>
                <w:szCs w:val="21"/>
              </w:rPr>
              <w:t>个月</w:t>
            </w:r>
          </w:p>
          <w:p w14:paraId="26F28B5D">
            <w:pPr>
              <w:adjustRightInd w:val="0"/>
              <w:snapToGrid w:val="0"/>
              <w:rPr>
                <w:rFonts w:ascii="宋体" w:hAnsi="宋体"/>
                <w:szCs w:val="21"/>
              </w:rPr>
            </w:pPr>
            <w:r>
              <w:rPr>
                <w:rFonts w:hint="eastAsia" w:ascii="宋体" w:hAnsi="宋体"/>
                <w:szCs w:val="21"/>
              </w:rPr>
              <w:t>最终版：设备预验收后交付</w:t>
            </w:r>
          </w:p>
        </w:tc>
      </w:tr>
      <w:tr w14:paraId="3664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0FF6CB96">
            <w:pPr>
              <w:spacing w:line="360" w:lineRule="auto"/>
              <w:rPr>
                <w:rFonts w:ascii="宋体" w:hAnsi="宋体"/>
                <w:szCs w:val="21"/>
              </w:rPr>
            </w:pPr>
            <w:r>
              <w:rPr>
                <w:rFonts w:ascii="宋体" w:hAnsi="宋体"/>
                <w:szCs w:val="21"/>
              </w:rPr>
              <w:t>7</w:t>
            </w:r>
          </w:p>
        </w:tc>
        <w:tc>
          <w:tcPr>
            <w:tcW w:w="1264" w:type="pct"/>
            <w:vAlign w:val="center"/>
          </w:tcPr>
          <w:p w14:paraId="52560042">
            <w:pPr>
              <w:spacing w:line="360" w:lineRule="auto"/>
              <w:rPr>
                <w:rFonts w:ascii="宋体" w:hAnsi="宋体"/>
                <w:szCs w:val="21"/>
              </w:rPr>
            </w:pPr>
            <w:r>
              <w:rPr>
                <w:rFonts w:hint="eastAsia" w:ascii="宋体" w:hAnsi="宋体"/>
                <w:szCs w:val="21"/>
              </w:rPr>
              <w:t>部件说明书</w:t>
            </w:r>
          </w:p>
        </w:tc>
        <w:tc>
          <w:tcPr>
            <w:tcW w:w="3240" w:type="pct"/>
            <w:vAlign w:val="center"/>
          </w:tcPr>
          <w:p w14:paraId="1A19CAF6">
            <w:pPr>
              <w:adjustRightInd w:val="0"/>
              <w:snapToGrid w:val="0"/>
              <w:rPr>
                <w:rFonts w:ascii="宋体" w:hAnsi="宋体"/>
                <w:szCs w:val="21"/>
              </w:rPr>
            </w:pPr>
            <w:r>
              <w:rPr>
                <w:rFonts w:hint="eastAsia" w:ascii="宋体" w:hAnsi="宋体"/>
                <w:szCs w:val="21"/>
              </w:rPr>
              <w:t>设备预验收时提供，如有修订，须在修订后一个月内提供修订版本</w:t>
            </w:r>
          </w:p>
        </w:tc>
      </w:tr>
      <w:tr w14:paraId="61E11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2DCE094B">
            <w:pPr>
              <w:spacing w:line="360" w:lineRule="auto"/>
              <w:rPr>
                <w:rFonts w:ascii="宋体" w:hAnsi="宋体"/>
                <w:szCs w:val="21"/>
              </w:rPr>
            </w:pPr>
            <w:r>
              <w:rPr>
                <w:rFonts w:ascii="宋体" w:hAnsi="宋体"/>
                <w:szCs w:val="21"/>
              </w:rPr>
              <w:t>8</w:t>
            </w:r>
          </w:p>
        </w:tc>
        <w:tc>
          <w:tcPr>
            <w:tcW w:w="1264" w:type="pct"/>
            <w:vAlign w:val="center"/>
          </w:tcPr>
          <w:p w14:paraId="0D2D9AA4">
            <w:pPr>
              <w:spacing w:line="360" w:lineRule="auto"/>
              <w:rPr>
                <w:rFonts w:ascii="宋体" w:hAnsi="宋体"/>
                <w:szCs w:val="21"/>
              </w:rPr>
            </w:pPr>
            <w:r>
              <w:rPr>
                <w:rFonts w:hint="eastAsia" w:ascii="宋体" w:hAnsi="宋体"/>
                <w:szCs w:val="21"/>
              </w:rPr>
              <w:t>微机控制说明书</w:t>
            </w:r>
          </w:p>
        </w:tc>
        <w:tc>
          <w:tcPr>
            <w:tcW w:w="3240" w:type="pct"/>
            <w:vAlign w:val="center"/>
          </w:tcPr>
          <w:p w14:paraId="412B96B0">
            <w:pPr>
              <w:adjustRightInd w:val="0"/>
              <w:snapToGrid w:val="0"/>
              <w:rPr>
                <w:rFonts w:ascii="宋体" w:hAnsi="宋体"/>
                <w:szCs w:val="21"/>
              </w:rPr>
            </w:pPr>
            <w:r>
              <w:rPr>
                <w:rFonts w:hint="eastAsia" w:ascii="宋体" w:hAnsi="宋体"/>
                <w:szCs w:val="21"/>
              </w:rPr>
              <w:t>设备预验收时提供，如有修订，须在修订后一个月内提供修订版本</w:t>
            </w:r>
          </w:p>
        </w:tc>
      </w:tr>
      <w:tr w14:paraId="197A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298B22CF">
            <w:pPr>
              <w:spacing w:line="360" w:lineRule="auto"/>
              <w:rPr>
                <w:rFonts w:ascii="宋体" w:hAnsi="宋体"/>
                <w:szCs w:val="21"/>
              </w:rPr>
            </w:pPr>
            <w:r>
              <w:rPr>
                <w:rFonts w:ascii="宋体" w:hAnsi="宋体"/>
                <w:szCs w:val="21"/>
              </w:rPr>
              <w:t>9</w:t>
            </w:r>
          </w:p>
        </w:tc>
        <w:tc>
          <w:tcPr>
            <w:tcW w:w="1264" w:type="pct"/>
            <w:vAlign w:val="center"/>
          </w:tcPr>
          <w:p w14:paraId="5246708E">
            <w:pPr>
              <w:spacing w:line="360" w:lineRule="auto"/>
              <w:rPr>
                <w:rFonts w:ascii="宋体" w:hAnsi="宋体"/>
                <w:szCs w:val="21"/>
              </w:rPr>
            </w:pPr>
            <w:r>
              <w:rPr>
                <w:rFonts w:hint="eastAsia" w:ascii="宋体" w:hAnsi="宋体"/>
                <w:szCs w:val="21"/>
              </w:rPr>
              <w:t>培训教材</w:t>
            </w:r>
          </w:p>
        </w:tc>
        <w:tc>
          <w:tcPr>
            <w:tcW w:w="3240" w:type="pct"/>
            <w:vAlign w:val="center"/>
          </w:tcPr>
          <w:p w14:paraId="43D1B25B">
            <w:pPr>
              <w:spacing w:line="360" w:lineRule="auto"/>
              <w:rPr>
                <w:rFonts w:ascii="宋体" w:hAnsi="宋体"/>
                <w:szCs w:val="21"/>
              </w:rPr>
            </w:pPr>
            <w:r>
              <w:rPr>
                <w:rFonts w:hint="eastAsia" w:ascii="宋体" w:hAnsi="宋体"/>
                <w:szCs w:val="21"/>
              </w:rPr>
              <w:t>培训前</w:t>
            </w:r>
            <w:r>
              <w:rPr>
                <w:rFonts w:ascii="宋体" w:hAnsi="宋体"/>
                <w:szCs w:val="21"/>
              </w:rPr>
              <w:t>1个月</w:t>
            </w:r>
          </w:p>
        </w:tc>
      </w:tr>
      <w:tr w14:paraId="3CBA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56D5ACA4">
            <w:pPr>
              <w:spacing w:line="360" w:lineRule="auto"/>
              <w:rPr>
                <w:rFonts w:ascii="宋体" w:hAnsi="宋体"/>
                <w:szCs w:val="21"/>
              </w:rPr>
            </w:pPr>
            <w:r>
              <w:rPr>
                <w:rFonts w:ascii="宋体" w:hAnsi="宋体"/>
                <w:szCs w:val="21"/>
              </w:rPr>
              <w:t>11</w:t>
            </w:r>
          </w:p>
        </w:tc>
        <w:tc>
          <w:tcPr>
            <w:tcW w:w="1264" w:type="pct"/>
            <w:vAlign w:val="center"/>
          </w:tcPr>
          <w:p w14:paraId="7A02E246">
            <w:pPr>
              <w:adjustRightInd w:val="0"/>
              <w:snapToGrid w:val="0"/>
              <w:rPr>
                <w:rFonts w:ascii="宋体" w:hAnsi="宋体"/>
                <w:szCs w:val="21"/>
              </w:rPr>
            </w:pPr>
            <w:r>
              <w:rPr>
                <w:rFonts w:hint="eastAsia" w:ascii="宋体" w:hAnsi="宋体"/>
                <w:szCs w:val="21"/>
              </w:rPr>
              <w:t>零部件及材料明细手册</w:t>
            </w:r>
          </w:p>
        </w:tc>
        <w:tc>
          <w:tcPr>
            <w:tcW w:w="3240" w:type="pct"/>
            <w:vAlign w:val="center"/>
          </w:tcPr>
          <w:p w14:paraId="14738D80">
            <w:pPr>
              <w:adjustRightInd w:val="0"/>
              <w:snapToGrid w:val="0"/>
              <w:rPr>
                <w:rFonts w:ascii="宋体" w:hAnsi="宋体"/>
                <w:szCs w:val="21"/>
              </w:rPr>
            </w:pPr>
            <w:r>
              <w:rPr>
                <w:rFonts w:hint="eastAsia" w:ascii="宋体" w:hAnsi="宋体"/>
                <w:szCs w:val="21"/>
              </w:rPr>
              <w:t>设备预验收时提供，如有修订，须在修订后一个月内提供修订版本</w:t>
            </w:r>
          </w:p>
        </w:tc>
      </w:tr>
      <w:tr w14:paraId="3C2C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Align w:val="center"/>
          </w:tcPr>
          <w:p w14:paraId="35856FAC">
            <w:pPr>
              <w:spacing w:line="360" w:lineRule="auto"/>
              <w:rPr>
                <w:rFonts w:ascii="宋体" w:hAnsi="宋体"/>
                <w:szCs w:val="21"/>
              </w:rPr>
            </w:pPr>
            <w:r>
              <w:rPr>
                <w:rFonts w:ascii="宋体" w:hAnsi="宋体"/>
                <w:szCs w:val="21"/>
              </w:rPr>
              <w:t>13</w:t>
            </w:r>
          </w:p>
        </w:tc>
        <w:tc>
          <w:tcPr>
            <w:tcW w:w="1264" w:type="pct"/>
            <w:vAlign w:val="center"/>
          </w:tcPr>
          <w:p w14:paraId="7D2335F9">
            <w:pPr>
              <w:spacing w:line="360" w:lineRule="auto"/>
              <w:rPr>
                <w:rFonts w:ascii="宋体" w:hAnsi="宋体"/>
                <w:szCs w:val="21"/>
              </w:rPr>
            </w:pPr>
            <w:r>
              <w:rPr>
                <w:rFonts w:hint="eastAsia" w:ascii="宋体" w:hAnsi="宋体"/>
                <w:szCs w:val="21"/>
              </w:rPr>
              <w:t>其他技术文件</w:t>
            </w:r>
          </w:p>
        </w:tc>
        <w:tc>
          <w:tcPr>
            <w:tcW w:w="3240" w:type="pct"/>
            <w:vAlign w:val="center"/>
          </w:tcPr>
          <w:p w14:paraId="6344916C">
            <w:pPr>
              <w:spacing w:line="360" w:lineRule="auto"/>
              <w:rPr>
                <w:rFonts w:ascii="宋体" w:hAnsi="宋体"/>
                <w:szCs w:val="21"/>
              </w:rPr>
            </w:pPr>
            <w:r>
              <w:rPr>
                <w:rFonts w:hint="eastAsia" w:ascii="宋体" w:hAnsi="宋体"/>
                <w:szCs w:val="21"/>
              </w:rPr>
              <w:t>双方协商</w:t>
            </w:r>
          </w:p>
        </w:tc>
      </w:tr>
      <w:tr w14:paraId="36EA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Merge w:val="restart"/>
            <w:vAlign w:val="center"/>
          </w:tcPr>
          <w:p w14:paraId="304FCC5C">
            <w:pPr>
              <w:spacing w:line="360" w:lineRule="auto"/>
              <w:rPr>
                <w:rFonts w:ascii="宋体" w:hAnsi="宋体"/>
                <w:szCs w:val="21"/>
              </w:rPr>
            </w:pPr>
            <w:r>
              <w:rPr>
                <w:rFonts w:ascii="宋体" w:hAnsi="宋体"/>
                <w:szCs w:val="21"/>
              </w:rPr>
              <w:t>14</w:t>
            </w:r>
          </w:p>
        </w:tc>
        <w:tc>
          <w:tcPr>
            <w:tcW w:w="1264" w:type="pct"/>
            <w:vAlign w:val="center"/>
          </w:tcPr>
          <w:p w14:paraId="026096EB">
            <w:pPr>
              <w:spacing w:line="360" w:lineRule="auto"/>
              <w:rPr>
                <w:rFonts w:ascii="宋体" w:hAnsi="宋体"/>
                <w:szCs w:val="21"/>
              </w:rPr>
            </w:pPr>
            <w:r>
              <w:rPr>
                <w:rFonts w:hint="eastAsia" w:ascii="宋体" w:hAnsi="宋体"/>
                <w:szCs w:val="21"/>
              </w:rPr>
              <w:t>试验大纲</w:t>
            </w:r>
          </w:p>
        </w:tc>
        <w:tc>
          <w:tcPr>
            <w:tcW w:w="3240" w:type="pct"/>
            <w:vAlign w:val="center"/>
          </w:tcPr>
          <w:p w14:paraId="0D3DE709">
            <w:pPr>
              <w:spacing w:line="360" w:lineRule="auto"/>
              <w:rPr>
                <w:rFonts w:ascii="宋体" w:hAnsi="宋体"/>
                <w:szCs w:val="21"/>
              </w:rPr>
            </w:pPr>
            <w:r>
              <w:rPr>
                <w:rFonts w:hint="eastAsia" w:ascii="宋体" w:hAnsi="宋体"/>
                <w:szCs w:val="21"/>
              </w:rPr>
              <w:t>在试验前</w:t>
            </w:r>
            <w:r>
              <w:rPr>
                <w:rFonts w:ascii="宋体" w:hAnsi="宋体"/>
                <w:szCs w:val="21"/>
              </w:rPr>
              <w:t>1</w:t>
            </w:r>
            <w:r>
              <w:rPr>
                <w:rFonts w:hint="eastAsia" w:ascii="宋体" w:hAnsi="宋体"/>
                <w:szCs w:val="21"/>
              </w:rPr>
              <w:t>个月</w:t>
            </w:r>
          </w:p>
        </w:tc>
      </w:tr>
      <w:tr w14:paraId="32C7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96" w:type="pct"/>
            <w:vMerge w:val="continue"/>
          </w:tcPr>
          <w:p w14:paraId="645CDF84">
            <w:pPr>
              <w:spacing w:line="360" w:lineRule="auto"/>
              <w:rPr>
                <w:rFonts w:ascii="宋体" w:hAnsi="宋体"/>
                <w:szCs w:val="21"/>
              </w:rPr>
            </w:pPr>
          </w:p>
        </w:tc>
        <w:tc>
          <w:tcPr>
            <w:tcW w:w="1264" w:type="pct"/>
            <w:vAlign w:val="center"/>
          </w:tcPr>
          <w:p w14:paraId="20D4CDD4">
            <w:pPr>
              <w:spacing w:line="360" w:lineRule="auto"/>
              <w:rPr>
                <w:rFonts w:ascii="宋体" w:hAnsi="宋体"/>
                <w:szCs w:val="21"/>
              </w:rPr>
            </w:pPr>
            <w:r>
              <w:rPr>
                <w:rFonts w:hint="eastAsia" w:ascii="宋体" w:hAnsi="宋体"/>
                <w:szCs w:val="21"/>
              </w:rPr>
              <w:t>试验报告</w:t>
            </w:r>
          </w:p>
        </w:tc>
        <w:tc>
          <w:tcPr>
            <w:tcW w:w="3240" w:type="pct"/>
            <w:vAlign w:val="center"/>
          </w:tcPr>
          <w:p w14:paraId="49916D6D">
            <w:pPr>
              <w:spacing w:line="360" w:lineRule="auto"/>
              <w:rPr>
                <w:rFonts w:ascii="宋体" w:hAnsi="宋体"/>
                <w:szCs w:val="21"/>
              </w:rPr>
            </w:pPr>
            <w:r>
              <w:rPr>
                <w:rFonts w:hint="eastAsia" w:ascii="宋体" w:hAnsi="宋体"/>
                <w:szCs w:val="21"/>
              </w:rPr>
              <w:t>设备预验收前交付</w:t>
            </w:r>
          </w:p>
        </w:tc>
      </w:tr>
    </w:tbl>
    <w:p w14:paraId="5EF43844">
      <w:pPr>
        <w:pStyle w:val="41"/>
        <w:numPr>
          <w:ilvl w:val="0"/>
          <w:numId w:val="24"/>
        </w:numPr>
        <w:spacing w:line="360" w:lineRule="auto"/>
        <w:ind w:firstLineChars="0"/>
        <w:rPr>
          <w:rFonts w:ascii="宋体" w:hAnsi="宋体"/>
          <w:szCs w:val="21"/>
        </w:rPr>
      </w:pPr>
      <w:r>
        <w:rPr>
          <w:rFonts w:hint="eastAsia" w:ascii="宋体" w:hAnsi="宋体"/>
          <w:szCs w:val="21"/>
        </w:rPr>
        <w:t>以上文件修订部分须有修订标记和修订内容对比清单。</w:t>
      </w:r>
    </w:p>
    <w:p w14:paraId="3C55434B">
      <w:pPr>
        <w:pStyle w:val="41"/>
        <w:numPr>
          <w:ilvl w:val="0"/>
          <w:numId w:val="24"/>
        </w:numPr>
        <w:spacing w:line="360" w:lineRule="auto"/>
        <w:ind w:firstLineChars="0"/>
        <w:rPr>
          <w:rFonts w:ascii="宋体" w:hAnsi="宋体"/>
          <w:szCs w:val="21"/>
        </w:rPr>
      </w:pPr>
      <w:r>
        <w:rPr>
          <w:rFonts w:hint="eastAsia" w:ascii="宋体" w:hAnsi="宋体"/>
          <w:szCs w:val="21"/>
        </w:rPr>
        <w:t>投标人应提供上述所有资料的电子文件。其中的图纸都可由买方修改编辑。</w:t>
      </w:r>
    </w:p>
    <w:p w14:paraId="6C72C47F">
      <w:pPr>
        <w:pStyle w:val="5"/>
        <w:widowControl/>
        <w:spacing w:before="156" w:beforeLines="50" w:after="156" w:afterLines="50" w:line="276" w:lineRule="auto"/>
        <w:jc w:val="left"/>
        <w:rPr>
          <w:rFonts w:ascii="黑体" w:hAnsi="黑体" w:eastAsia="黑体"/>
          <w:b w:val="0"/>
          <w:bCs w:val="0"/>
          <w:sz w:val="21"/>
          <w:szCs w:val="21"/>
        </w:rPr>
      </w:pPr>
      <w:r>
        <w:rPr>
          <w:rFonts w:hint="eastAsia" w:ascii="黑体" w:hAnsi="黑体" w:eastAsia="黑体"/>
          <w:b w:val="0"/>
          <w:bCs w:val="0"/>
          <w:sz w:val="21"/>
          <w:szCs w:val="21"/>
        </w:rPr>
        <w:t>5.4.6.2 资料归档</w:t>
      </w:r>
    </w:p>
    <w:p w14:paraId="00212F35">
      <w:pPr>
        <w:spacing w:line="360" w:lineRule="auto"/>
        <w:ind w:left="420" w:firstLine="420"/>
        <w:rPr>
          <w:rFonts w:ascii="宋体" w:hAnsi="宋体"/>
          <w:szCs w:val="21"/>
        </w:rPr>
      </w:pPr>
      <w:r>
        <w:rPr>
          <w:rFonts w:hint="eastAsia" w:ascii="宋体" w:hAnsi="宋体"/>
          <w:szCs w:val="21"/>
        </w:rPr>
        <w:t>设备预验收结束后三个月内，应根据长沙穗城工程竣工档案移交相关制度的要求，并依据国家及长沙穗城档案资料部门相关的档案格式、标准要求编制并移交设备档案。档案编制制作费用由设备投标人负责。</w:t>
      </w:r>
    </w:p>
    <w:p w14:paraId="18D9B4B3">
      <w:pPr>
        <w:pStyle w:val="4"/>
        <w:widowControl/>
        <w:spacing w:before="156" w:beforeLines="50" w:after="156" w:afterLines="50" w:line="276" w:lineRule="auto"/>
        <w:jc w:val="left"/>
        <w:rPr>
          <w:rFonts w:ascii="黑体" w:hAnsi="黑体" w:eastAsia="黑体"/>
          <w:b w:val="0"/>
          <w:sz w:val="21"/>
          <w:szCs w:val="21"/>
        </w:rPr>
      </w:pPr>
      <w:bookmarkStart w:id="100" w:name="_Toc192580509"/>
      <w:bookmarkStart w:id="101" w:name="_Toc20561"/>
      <w:r>
        <w:rPr>
          <w:rFonts w:hint="eastAsia" w:ascii="黑体" w:hAnsi="黑体" w:eastAsia="黑体"/>
          <w:b w:val="0"/>
          <w:sz w:val="21"/>
          <w:szCs w:val="21"/>
        </w:rPr>
        <w:t>5</w:t>
      </w:r>
      <w:r>
        <w:rPr>
          <w:rFonts w:ascii="黑体" w:hAnsi="黑体" w:eastAsia="黑体"/>
          <w:b w:val="0"/>
          <w:sz w:val="21"/>
          <w:szCs w:val="21"/>
        </w:rPr>
        <w:t xml:space="preserve">.5 </w:t>
      </w:r>
      <w:r>
        <w:rPr>
          <w:rFonts w:hint="eastAsia" w:ascii="黑体" w:hAnsi="黑体" w:eastAsia="黑体"/>
          <w:b w:val="0"/>
          <w:sz w:val="21"/>
          <w:szCs w:val="21"/>
        </w:rPr>
        <w:t>设计和设计联络/审查会议</w:t>
      </w:r>
      <w:bookmarkEnd w:id="100"/>
      <w:bookmarkEnd w:id="101"/>
    </w:p>
    <w:p w14:paraId="40F583CE">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w:t>
      </w:r>
      <w:r>
        <w:rPr>
          <w:rFonts w:ascii="黑体" w:hAnsi="黑体" w:eastAsia="黑体"/>
          <w:b w:val="0"/>
          <w:sz w:val="21"/>
          <w:szCs w:val="21"/>
        </w:rPr>
        <w:t>5</w:t>
      </w:r>
      <w:r>
        <w:rPr>
          <w:rFonts w:hint="eastAsia" w:ascii="黑体" w:hAnsi="黑体" w:eastAsia="黑体"/>
          <w:b w:val="0"/>
          <w:sz w:val="21"/>
          <w:szCs w:val="21"/>
        </w:rPr>
        <w:t>.1 概述</w:t>
      </w:r>
      <w:r>
        <w:rPr>
          <w:rFonts w:ascii="黑体" w:hAnsi="黑体" w:eastAsia="黑体"/>
          <w:b w:val="0"/>
          <w:sz w:val="21"/>
          <w:szCs w:val="21"/>
        </w:rPr>
        <w:tab/>
      </w:r>
    </w:p>
    <w:p w14:paraId="36521506">
      <w:pPr>
        <w:pStyle w:val="41"/>
        <w:numPr>
          <w:ilvl w:val="0"/>
          <w:numId w:val="25"/>
        </w:numPr>
        <w:spacing w:line="360" w:lineRule="auto"/>
        <w:ind w:firstLineChars="0"/>
        <w:rPr>
          <w:rFonts w:ascii="宋体" w:hAnsi="宋体"/>
          <w:snapToGrid w:val="0"/>
          <w:kern w:val="0"/>
          <w:szCs w:val="21"/>
        </w:rPr>
      </w:pPr>
      <w:r>
        <w:rPr>
          <w:rFonts w:hint="eastAsia" w:hAnsi="宋体"/>
          <w:snapToGrid w:val="0"/>
          <w:szCs w:val="21"/>
        </w:rPr>
        <w:t>设计阶段将召开设计联络/审查会议，以澄清有关的技术问题和审核卖方的设计文件</w:t>
      </w:r>
      <w:r>
        <w:rPr>
          <w:rFonts w:hint="eastAsia"/>
        </w:rPr>
        <w:t>。</w:t>
      </w:r>
    </w:p>
    <w:p w14:paraId="50B01A68">
      <w:pPr>
        <w:pStyle w:val="41"/>
        <w:numPr>
          <w:ilvl w:val="0"/>
          <w:numId w:val="25"/>
        </w:numPr>
        <w:spacing w:line="360" w:lineRule="auto"/>
        <w:ind w:firstLineChars="0"/>
        <w:rPr>
          <w:rFonts w:hAnsi="宋体"/>
          <w:snapToGrid w:val="0"/>
          <w:szCs w:val="21"/>
        </w:rPr>
      </w:pPr>
      <w:r>
        <w:rPr>
          <w:rFonts w:hint="eastAsia" w:hAnsi="宋体"/>
          <w:snapToGrid w:val="0"/>
          <w:szCs w:val="21"/>
        </w:rPr>
        <w:t>买卖双方在设计联络/审查会上将就本次采购设备的设计要求、设计方案等有关的必要的图纸和数据充分交流意见并讨论。</w:t>
      </w:r>
    </w:p>
    <w:p w14:paraId="09B6A2E5">
      <w:pPr>
        <w:pStyle w:val="41"/>
        <w:numPr>
          <w:ilvl w:val="0"/>
          <w:numId w:val="25"/>
        </w:numPr>
        <w:spacing w:line="360" w:lineRule="auto"/>
        <w:ind w:firstLineChars="0"/>
        <w:rPr>
          <w:rFonts w:hAnsi="宋体"/>
          <w:snapToGrid w:val="0"/>
          <w:szCs w:val="21"/>
        </w:rPr>
      </w:pPr>
      <w:r>
        <w:rPr>
          <w:rFonts w:hint="eastAsia" w:hAnsi="宋体"/>
          <w:snapToGrid w:val="0"/>
          <w:szCs w:val="21"/>
        </w:rPr>
        <w:t xml:space="preserve">买卖双方在设计联络/审查会上将就卖方提交的设备的设计文件及资料，包括设计方案、计算参数、总体设计图纸、选用材料以及设备测试等进行澄清和讨论，并达成一致意见。 </w:t>
      </w:r>
    </w:p>
    <w:p w14:paraId="70A8055B">
      <w:pPr>
        <w:pStyle w:val="41"/>
        <w:numPr>
          <w:ilvl w:val="0"/>
          <w:numId w:val="25"/>
        </w:numPr>
        <w:spacing w:line="360" w:lineRule="auto"/>
        <w:ind w:firstLineChars="0"/>
        <w:rPr>
          <w:rFonts w:hAnsi="宋体"/>
          <w:snapToGrid w:val="0"/>
          <w:szCs w:val="21"/>
        </w:rPr>
      </w:pPr>
      <w:r>
        <w:rPr>
          <w:rFonts w:hint="eastAsia" w:hAnsi="宋体"/>
          <w:snapToGrid w:val="0"/>
          <w:szCs w:val="21"/>
        </w:rPr>
        <w:t>卖方应在设计联络/审查会议召开前（至少提前两周）将设计联络/审查会议期间需讨论的资料提交买方，所提供的资料应包括电子文件和纸质文件。</w:t>
      </w:r>
    </w:p>
    <w:p w14:paraId="65DD208D">
      <w:pPr>
        <w:pStyle w:val="5"/>
        <w:widowControl/>
        <w:spacing w:before="156" w:beforeLines="50" w:after="156" w:afterLines="50" w:line="276" w:lineRule="auto"/>
        <w:jc w:val="left"/>
        <w:rPr>
          <w:rFonts w:ascii="黑体" w:hAnsi="黑体" w:eastAsia="黑体"/>
          <w:b w:val="0"/>
          <w:sz w:val="21"/>
          <w:szCs w:val="21"/>
        </w:rPr>
      </w:pPr>
      <w:r>
        <w:rPr>
          <w:rFonts w:hint="eastAsia" w:ascii="黑体" w:hAnsi="黑体" w:eastAsia="黑体"/>
          <w:b w:val="0"/>
          <w:sz w:val="21"/>
          <w:szCs w:val="21"/>
        </w:rPr>
        <w:t>5.</w:t>
      </w:r>
      <w:r>
        <w:rPr>
          <w:rFonts w:ascii="黑体" w:hAnsi="黑体" w:eastAsia="黑体"/>
          <w:b w:val="0"/>
          <w:sz w:val="21"/>
          <w:szCs w:val="21"/>
        </w:rPr>
        <w:t>5</w:t>
      </w:r>
      <w:r>
        <w:rPr>
          <w:rFonts w:hint="eastAsia" w:ascii="黑体" w:hAnsi="黑体" w:eastAsia="黑体"/>
          <w:b w:val="0"/>
          <w:sz w:val="21"/>
          <w:szCs w:val="21"/>
        </w:rPr>
        <w:t>.</w:t>
      </w:r>
      <w:r>
        <w:rPr>
          <w:rFonts w:ascii="黑体" w:hAnsi="黑体" w:eastAsia="黑体"/>
          <w:b w:val="0"/>
          <w:sz w:val="21"/>
          <w:szCs w:val="21"/>
        </w:rPr>
        <w:t>2</w:t>
      </w:r>
      <w:r>
        <w:rPr>
          <w:rFonts w:hint="eastAsia" w:ascii="黑体" w:hAnsi="黑体" w:eastAsia="黑体"/>
          <w:b w:val="0"/>
          <w:sz w:val="21"/>
          <w:szCs w:val="21"/>
        </w:rPr>
        <w:t xml:space="preserve"> 一般要求</w:t>
      </w:r>
      <w:r>
        <w:rPr>
          <w:rFonts w:ascii="黑体" w:hAnsi="黑体" w:eastAsia="黑体"/>
          <w:b w:val="0"/>
          <w:sz w:val="21"/>
          <w:szCs w:val="21"/>
        </w:rPr>
        <w:tab/>
      </w:r>
    </w:p>
    <w:p w14:paraId="434182D4">
      <w:pPr>
        <w:pStyle w:val="41"/>
        <w:numPr>
          <w:ilvl w:val="0"/>
          <w:numId w:val="26"/>
        </w:numPr>
        <w:spacing w:line="360" w:lineRule="auto"/>
        <w:ind w:firstLineChars="0"/>
        <w:rPr>
          <w:rFonts w:hAnsi="宋体"/>
          <w:snapToGrid w:val="0"/>
          <w:szCs w:val="21"/>
        </w:rPr>
      </w:pPr>
      <w:r>
        <w:rPr>
          <w:rFonts w:hint="eastAsia" w:hAnsi="宋体"/>
          <w:snapToGrid w:val="0"/>
          <w:szCs w:val="21"/>
        </w:rPr>
        <w:t>对参加会议的人员,应授予在会议期间对讨论的问题作决定和对需澄清的问题做出必要的澄清的权力。</w:t>
      </w:r>
    </w:p>
    <w:p w14:paraId="04DAFD72">
      <w:pPr>
        <w:pStyle w:val="41"/>
        <w:numPr>
          <w:ilvl w:val="0"/>
          <w:numId w:val="26"/>
        </w:numPr>
        <w:spacing w:line="360" w:lineRule="auto"/>
        <w:ind w:firstLineChars="0"/>
        <w:rPr>
          <w:rFonts w:hAnsi="宋体"/>
          <w:snapToGrid w:val="0"/>
          <w:szCs w:val="21"/>
        </w:rPr>
      </w:pPr>
      <w:r>
        <w:rPr>
          <w:rFonts w:hint="eastAsia" w:hAnsi="宋体"/>
          <w:snapToGrid w:val="0"/>
          <w:szCs w:val="21"/>
        </w:rPr>
        <w:t xml:space="preserve">在设计联络/审查会上，如买方和/或卖方认为有必要，将对技术规格书逐章逐条进行审核与讨论。审核讨论的结果和所做的决定,应成为技术规格书的组成部分。 </w:t>
      </w:r>
    </w:p>
    <w:p w14:paraId="795C3118">
      <w:pPr>
        <w:pStyle w:val="41"/>
        <w:numPr>
          <w:ilvl w:val="0"/>
          <w:numId w:val="26"/>
        </w:numPr>
        <w:spacing w:line="360" w:lineRule="auto"/>
        <w:ind w:firstLineChars="0"/>
        <w:rPr>
          <w:rFonts w:hAnsi="宋体"/>
          <w:snapToGrid w:val="0"/>
          <w:szCs w:val="21"/>
        </w:rPr>
      </w:pPr>
      <w:r>
        <w:rPr>
          <w:rFonts w:hint="eastAsia" w:hAnsi="宋体"/>
          <w:snapToGrid w:val="0"/>
          <w:szCs w:val="21"/>
        </w:rPr>
        <w:t>设计联络/审查会议应对与产线设备有关的所有问题进行讨论，以尽可能取得一致意见，对于存在的问题要安排给予解决。</w:t>
      </w:r>
    </w:p>
    <w:p w14:paraId="7A5BB5CE">
      <w:pPr>
        <w:pStyle w:val="41"/>
        <w:numPr>
          <w:ilvl w:val="0"/>
          <w:numId w:val="26"/>
        </w:numPr>
        <w:spacing w:line="360" w:lineRule="auto"/>
        <w:ind w:firstLineChars="0"/>
        <w:rPr>
          <w:rFonts w:hAnsi="宋体"/>
          <w:snapToGrid w:val="0"/>
          <w:szCs w:val="21"/>
        </w:rPr>
      </w:pPr>
      <w:r>
        <w:rPr>
          <w:rFonts w:hint="eastAsia" w:hAnsi="宋体"/>
          <w:snapToGrid w:val="0"/>
          <w:szCs w:val="21"/>
        </w:rPr>
        <w:t>对经过买方审核认可的设计图纸文件，买方应给予书面的确认，如签字、提交审核信函等。</w:t>
      </w:r>
    </w:p>
    <w:p w14:paraId="3375C91B">
      <w:pPr>
        <w:pStyle w:val="41"/>
        <w:numPr>
          <w:ilvl w:val="0"/>
          <w:numId w:val="26"/>
        </w:numPr>
        <w:spacing w:line="360" w:lineRule="auto"/>
        <w:ind w:firstLineChars="0"/>
        <w:rPr>
          <w:rFonts w:hAnsi="宋体"/>
          <w:snapToGrid w:val="0"/>
          <w:szCs w:val="21"/>
        </w:rPr>
      </w:pPr>
      <w:r>
        <w:rPr>
          <w:rFonts w:hint="eastAsia" w:hAnsi="宋体"/>
          <w:snapToGrid w:val="0"/>
          <w:szCs w:val="21"/>
        </w:rPr>
        <w:t>买方的审核并不减轻卖方责任范围所承担的所有责任。</w:t>
      </w:r>
    </w:p>
    <w:p w14:paraId="7C66A280">
      <w:pPr>
        <w:pStyle w:val="41"/>
        <w:numPr>
          <w:ilvl w:val="0"/>
          <w:numId w:val="26"/>
        </w:numPr>
        <w:spacing w:line="360" w:lineRule="auto"/>
        <w:ind w:firstLineChars="0"/>
        <w:rPr>
          <w:rFonts w:hAnsi="宋体"/>
          <w:snapToGrid w:val="0"/>
          <w:szCs w:val="21"/>
        </w:rPr>
      </w:pPr>
      <w:r>
        <w:rPr>
          <w:rFonts w:hint="eastAsia" w:hAnsi="宋体"/>
          <w:snapToGrid w:val="0"/>
          <w:szCs w:val="21"/>
        </w:rPr>
        <w:t>卖方应在会前或讨论前两周提供会议期间所需讨论问题的全部资料。</w:t>
      </w:r>
    </w:p>
    <w:p w14:paraId="7F7FD209">
      <w:pPr>
        <w:pStyle w:val="41"/>
        <w:numPr>
          <w:ilvl w:val="0"/>
          <w:numId w:val="26"/>
        </w:numPr>
        <w:spacing w:line="360" w:lineRule="auto"/>
        <w:ind w:firstLineChars="0"/>
        <w:rPr>
          <w:rFonts w:hAnsi="宋体"/>
          <w:snapToGrid w:val="0"/>
          <w:szCs w:val="21"/>
        </w:rPr>
      </w:pPr>
      <w:r>
        <w:rPr>
          <w:rFonts w:hint="eastAsia" w:hAnsi="宋体"/>
          <w:snapToGrid w:val="0"/>
          <w:szCs w:val="21"/>
        </w:rPr>
        <w:t>在设计联络/审查会开始前，买卖双方应确定每次会议的具体议程/时间表，提出需讨论的问题和预期进度安排。</w:t>
      </w:r>
    </w:p>
    <w:p w14:paraId="7B1A541F">
      <w:pPr>
        <w:pStyle w:val="41"/>
        <w:numPr>
          <w:ilvl w:val="0"/>
          <w:numId w:val="26"/>
        </w:numPr>
        <w:spacing w:line="360" w:lineRule="auto"/>
        <w:ind w:firstLineChars="0"/>
        <w:rPr>
          <w:rFonts w:hAnsi="宋体"/>
          <w:snapToGrid w:val="0"/>
          <w:szCs w:val="21"/>
        </w:rPr>
      </w:pPr>
      <w:r>
        <w:rPr>
          <w:rFonts w:hint="eastAsia" w:hAnsi="宋体"/>
          <w:snapToGrid w:val="0"/>
          <w:szCs w:val="21"/>
        </w:rPr>
        <w:t>在会议中提出的问题也应尽量在会议中解决。</w:t>
      </w:r>
    </w:p>
    <w:p w14:paraId="4337B613">
      <w:pPr>
        <w:pStyle w:val="41"/>
        <w:numPr>
          <w:ilvl w:val="0"/>
          <w:numId w:val="26"/>
        </w:numPr>
        <w:spacing w:line="360" w:lineRule="auto"/>
        <w:ind w:firstLineChars="0"/>
        <w:rPr>
          <w:rFonts w:hAnsi="宋体"/>
          <w:snapToGrid w:val="0"/>
          <w:szCs w:val="21"/>
        </w:rPr>
      </w:pPr>
      <w:r>
        <w:rPr>
          <w:rFonts w:hint="eastAsia" w:hAnsi="宋体"/>
          <w:snapToGrid w:val="0"/>
          <w:szCs w:val="21"/>
        </w:rPr>
        <w:t>会议上讨论的结果和所做的决定应在会议结束前形成会议纪要, 并由双方签字确认。</w:t>
      </w:r>
    </w:p>
    <w:bookmarkEnd w:id="76"/>
    <w:bookmarkEnd w:id="77"/>
    <w:p w14:paraId="470B27D6">
      <w:pPr>
        <w:pStyle w:val="3"/>
        <w:numPr>
          <w:ilvl w:val="0"/>
          <w:numId w:val="1"/>
        </w:numPr>
        <w:tabs>
          <w:tab w:val="left" w:pos="360"/>
        </w:tabs>
        <w:ind w:left="0" w:firstLine="0"/>
        <w:rPr>
          <w:rFonts w:ascii="黑体" w:hAnsi="黑体" w:eastAsia="黑体"/>
          <w:b w:val="0"/>
          <w:bCs w:val="0"/>
          <w:sz w:val="21"/>
          <w:szCs w:val="21"/>
        </w:rPr>
      </w:pPr>
      <w:bookmarkStart w:id="102" w:name="_Toc117680715"/>
      <w:bookmarkStart w:id="103" w:name="_Toc117680616"/>
      <w:bookmarkStart w:id="104" w:name="_Toc192580510"/>
      <w:bookmarkStart w:id="105" w:name="_Toc9738"/>
      <w:bookmarkStart w:id="106" w:name="_Toc117697543"/>
      <w:r>
        <w:rPr>
          <w:rFonts w:hint="eastAsia" w:ascii="黑体" w:hAnsi="黑体" w:eastAsia="黑体"/>
          <w:b w:val="0"/>
          <w:bCs w:val="0"/>
          <w:sz w:val="21"/>
          <w:szCs w:val="21"/>
        </w:rPr>
        <w:t>工期要求</w:t>
      </w:r>
      <w:bookmarkEnd w:id="102"/>
      <w:bookmarkEnd w:id="103"/>
      <w:bookmarkEnd w:id="104"/>
      <w:bookmarkEnd w:id="105"/>
      <w:bookmarkEnd w:id="106"/>
      <w:r>
        <w:rPr>
          <w:rFonts w:ascii="宋体"/>
          <w:b w:val="0"/>
          <w:bCs w:val="0"/>
          <w:kern w:val="0"/>
          <w:sz w:val="21"/>
          <w:szCs w:val="21"/>
        </w:rPr>
        <w:t>（★）</w:t>
      </w:r>
    </w:p>
    <w:p w14:paraId="77F5F511">
      <w:pPr>
        <w:numPr>
          <w:ilvl w:val="0"/>
          <w:numId w:val="27"/>
        </w:numPr>
        <w:spacing w:line="360" w:lineRule="auto"/>
        <w:rPr>
          <w:rFonts w:ascii="宋体" w:hAnsi="宋体"/>
          <w:szCs w:val="21"/>
        </w:rPr>
      </w:pPr>
      <w:r>
        <w:rPr>
          <w:rFonts w:hint="eastAsia" w:ascii="宋体" w:hAnsi="宋体"/>
          <w:szCs w:val="21"/>
        </w:rPr>
        <w:t>项目工期自设计联络/审查会议完成且各方签署书面确认文件之日起正式计算，总工期为120个自然日（含法定节假日）。</w:t>
      </w:r>
    </w:p>
    <w:p w14:paraId="1651AF9B">
      <w:pPr>
        <w:numPr>
          <w:ilvl w:val="0"/>
          <w:numId w:val="27"/>
        </w:numPr>
        <w:spacing w:line="360" w:lineRule="auto"/>
        <w:rPr>
          <w:rFonts w:ascii="宋体" w:hAnsi="宋体"/>
          <w:szCs w:val="21"/>
        </w:rPr>
      </w:pPr>
      <w:r>
        <w:rPr>
          <w:rFonts w:ascii="宋体" w:hAnsi="宋体"/>
          <w:szCs w:val="21"/>
        </w:rPr>
        <w:t>如遇下列情况，经</w:t>
      </w:r>
      <w:r>
        <w:rPr>
          <w:rFonts w:hint="eastAsia" w:ascii="宋体" w:hAnsi="宋体"/>
          <w:szCs w:val="21"/>
        </w:rPr>
        <w:t>业主同意后</w:t>
      </w:r>
      <w:r>
        <w:rPr>
          <w:rFonts w:ascii="宋体" w:hAnsi="宋体"/>
          <w:szCs w:val="21"/>
        </w:rPr>
        <w:t>，工期</w:t>
      </w:r>
      <w:r>
        <w:rPr>
          <w:rFonts w:hint="eastAsia" w:ascii="宋体" w:hAnsi="宋体"/>
          <w:szCs w:val="21"/>
        </w:rPr>
        <w:t>可作</w:t>
      </w:r>
      <w:r>
        <w:rPr>
          <w:rFonts w:ascii="宋体" w:hAnsi="宋体"/>
          <w:szCs w:val="21"/>
        </w:rPr>
        <w:t>相应顺延</w:t>
      </w:r>
      <w:r>
        <w:rPr>
          <w:rFonts w:hint="eastAsia" w:ascii="宋体" w:hAnsi="宋体"/>
          <w:szCs w:val="21"/>
        </w:rPr>
        <w:t>，但不作其他任何经济补偿：</w:t>
      </w:r>
    </w:p>
    <w:p w14:paraId="067E7A03">
      <w:pPr>
        <w:pStyle w:val="12"/>
        <w:numPr>
          <w:ilvl w:val="0"/>
          <w:numId w:val="21"/>
        </w:numPr>
        <w:spacing w:line="360" w:lineRule="auto"/>
        <w:ind w:left="884" w:hanging="442"/>
        <w:rPr>
          <w:rFonts w:ascii="宋体" w:hAnsi="宋体"/>
          <w:color w:val="auto"/>
          <w:szCs w:val="21"/>
        </w:rPr>
      </w:pPr>
      <w:r>
        <w:rPr>
          <w:rFonts w:ascii="宋体" w:hAnsi="宋体"/>
          <w:color w:val="auto"/>
          <w:szCs w:val="21"/>
        </w:rPr>
        <w:t>按</w:t>
      </w:r>
      <w:r>
        <w:rPr>
          <w:rFonts w:hint="eastAsia" w:ascii="宋体" w:hAnsi="宋体"/>
          <w:color w:val="auto"/>
          <w:szCs w:val="21"/>
        </w:rPr>
        <w:t>合同约定</w:t>
      </w:r>
      <w:r>
        <w:rPr>
          <w:rFonts w:ascii="宋体" w:hAnsi="宋体"/>
          <w:color w:val="auto"/>
          <w:szCs w:val="21"/>
        </w:rPr>
        <w:t>，</w:t>
      </w:r>
      <w:r>
        <w:rPr>
          <w:rFonts w:hint="eastAsia" w:ascii="宋体" w:hAnsi="宋体"/>
          <w:color w:val="auto"/>
          <w:szCs w:val="21"/>
        </w:rPr>
        <w:t>业主</w:t>
      </w:r>
      <w:r>
        <w:rPr>
          <w:rFonts w:ascii="宋体" w:hAnsi="宋体"/>
          <w:color w:val="auto"/>
          <w:szCs w:val="21"/>
        </w:rPr>
        <w:t>不能提供施工场地，水，电源，障碍物未能清除，影响进场</w:t>
      </w:r>
      <w:r>
        <w:rPr>
          <w:rFonts w:hint="eastAsia" w:ascii="宋体" w:hAnsi="宋体"/>
          <w:color w:val="auto"/>
          <w:szCs w:val="21"/>
        </w:rPr>
        <w:t>作业；</w:t>
      </w:r>
    </w:p>
    <w:p w14:paraId="7A4E3F76">
      <w:pPr>
        <w:pStyle w:val="12"/>
        <w:numPr>
          <w:ilvl w:val="0"/>
          <w:numId w:val="21"/>
        </w:numPr>
        <w:spacing w:line="360" w:lineRule="auto"/>
        <w:ind w:left="884" w:hanging="442"/>
        <w:rPr>
          <w:rFonts w:ascii="宋体" w:hAnsi="宋体"/>
          <w:color w:val="auto"/>
          <w:szCs w:val="21"/>
        </w:rPr>
      </w:pPr>
      <w:r>
        <w:rPr>
          <w:rFonts w:hint="eastAsia" w:ascii="宋体" w:hAnsi="宋体"/>
          <w:color w:val="auto"/>
          <w:szCs w:val="21"/>
        </w:rPr>
        <w:t>因地铁运营及其他原因而影响作业；</w:t>
      </w:r>
    </w:p>
    <w:p w14:paraId="01FD759F">
      <w:pPr>
        <w:pStyle w:val="12"/>
        <w:numPr>
          <w:ilvl w:val="0"/>
          <w:numId w:val="21"/>
        </w:numPr>
        <w:spacing w:line="360" w:lineRule="auto"/>
        <w:ind w:left="884" w:hanging="442"/>
        <w:rPr>
          <w:rFonts w:ascii="宋体" w:hAnsi="宋体"/>
          <w:color w:val="auto"/>
          <w:szCs w:val="21"/>
        </w:rPr>
      </w:pPr>
      <w:r>
        <w:rPr>
          <w:rFonts w:hint="eastAsia" w:ascii="宋体" w:hAnsi="宋体"/>
          <w:color w:val="auto"/>
          <w:szCs w:val="21"/>
        </w:rPr>
        <w:t>因</w:t>
      </w:r>
      <w:r>
        <w:rPr>
          <w:rFonts w:ascii="宋体" w:hAnsi="宋体"/>
          <w:color w:val="auto"/>
          <w:szCs w:val="21"/>
        </w:rPr>
        <w:t>不可抗</w:t>
      </w:r>
      <w:r>
        <w:rPr>
          <w:rFonts w:hint="eastAsia" w:ascii="宋体" w:hAnsi="宋体"/>
          <w:color w:val="auto"/>
          <w:szCs w:val="21"/>
        </w:rPr>
        <w:t>力</w:t>
      </w:r>
      <w:r>
        <w:rPr>
          <w:rFonts w:ascii="宋体" w:hAnsi="宋体"/>
          <w:color w:val="auto"/>
          <w:szCs w:val="21"/>
        </w:rPr>
        <w:t>的因素而延误工期。</w:t>
      </w:r>
    </w:p>
    <w:bookmarkEnd w:id="30"/>
    <w:p w14:paraId="2C04194A">
      <w:pPr>
        <w:pStyle w:val="3"/>
        <w:numPr>
          <w:ilvl w:val="0"/>
          <w:numId w:val="1"/>
        </w:numPr>
        <w:tabs>
          <w:tab w:val="left" w:pos="360"/>
        </w:tabs>
        <w:ind w:left="0" w:firstLine="0"/>
        <w:rPr>
          <w:rFonts w:ascii="黑体" w:hAnsi="黑体" w:eastAsia="黑体"/>
          <w:b w:val="0"/>
          <w:bCs w:val="0"/>
          <w:sz w:val="21"/>
          <w:szCs w:val="21"/>
        </w:rPr>
      </w:pPr>
      <w:bookmarkStart w:id="107" w:name="_Toc117680716"/>
      <w:bookmarkStart w:id="108" w:name="_Toc117697544"/>
      <w:bookmarkStart w:id="109" w:name="_Toc192580511"/>
      <w:bookmarkStart w:id="110" w:name="_Toc21791"/>
      <w:bookmarkStart w:id="111" w:name="_Toc117680617"/>
      <w:bookmarkStart w:id="112" w:name="_Toc117697545"/>
      <w:bookmarkStart w:id="113" w:name="_Toc117680618"/>
      <w:bookmarkStart w:id="114" w:name="_Toc10641179"/>
      <w:bookmarkStart w:id="115" w:name="_Toc117680717"/>
      <w:bookmarkStart w:id="116" w:name="_Toc414890851"/>
      <w:r>
        <w:rPr>
          <w:rFonts w:hint="eastAsia" w:ascii="黑体" w:hAnsi="黑体" w:eastAsia="黑体"/>
          <w:b w:val="0"/>
          <w:bCs w:val="0"/>
          <w:sz w:val="21"/>
          <w:szCs w:val="21"/>
        </w:rPr>
        <w:t>工程量清单</w:t>
      </w:r>
      <w:bookmarkEnd w:id="107"/>
      <w:bookmarkEnd w:id="108"/>
      <w:bookmarkEnd w:id="109"/>
      <w:bookmarkEnd w:id="110"/>
      <w:bookmarkEnd w:id="111"/>
    </w:p>
    <w:p w14:paraId="577FB08D">
      <w:pPr>
        <w:spacing w:line="360" w:lineRule="auto"/>
        <w:ind w:firstLine="420" w:firstLineChars="200"/>
        <w:rPr>
          <w:rFonts w:ascii="宋体" w:hAnsi="宋体"/>
          <w:szCs w:val="21"/>
        </w:rPr>
      </w:pPr>
      <w:bookmarkStart w:id="117" w:name="_Toc192580512"/>
      <w:bookmarkStart w:id="118" w:name="_Toc11411"/>
      <w:r>
        <w:rPr>
          <w:rFonts w:hint="eastAsia" w:ascii="宋体" w:hAnsi="宋体"/>
          <w:szCs w:val="21"/>
        </w:rPr>
        <w:t>详见5.2.3供货清单</w:t>
      </w:r>
    </w:p>
    <w:bookmarkEnd w:id="117"/>
    <w:bookmarkEnd w:id="118"/>
    <w:p w14:paraId="2DBE8397">
      <w:pPr>
        <w:pStyle w:val="3"/>
        <w:numPr>
          <w:ilvl w:val="0"/>
          <w:numId w:val="1"/>
        </w:numPr>
        <w:tabs>
          <w:tab w:val="left" w:pos="360"/>
        </w:tabs>
        <w:ind w:left="0" w:firstLine="0"/>
        <w:rPr>
          <w:rFonts w:ascii="黑体" w:hAnsi="黑体" w:eastAsia="黑体"/>
          <w:b w:val="0"/>
          <w:bCs w:val="0"/>
          <w:sz w:val="21"/>
          <w:szCs w:val="21"/>
        </w:rPr>
      </w:pPr>
      <w:bookmarkStart w:id="119" w:name="_Toc25178"/>
      <w:bookmarkStart w:id="120" w:name="_Toc192580514"/>
      <w:r>
        <w:rPr>
          <w:rFonts w:hint="eastAsia" w:ascii="黑体" w:hAnsi="黑体" w:eastAsia="黑体"/>
          <w:b w:val="0"/>
          <w:bCs w:val="0"/>
          <w:sz w:val="21"/>
          <w:szCs w:val="21"/>
        </w:rPr>
        <w:t>施工一般要求</w:t>
      </w:r>
      <w:bookmarkEnd w:id="112"/>
      <w:bookmarkEnd w:id="113"/>
      <w:bookmarkEnd w:id="114"/>
      <w:bookmarkEnd w:id="115"/>
      <w:bookmarkEnd w:id="116"/>
      <w:bookmarkEnd w:id="119"/>
      <w:bookmarkEnd w:id="120"/>
      <w:r>
        <w:rPr>
          <w:rFonts w:ascii="宋体"/>
          <w:b w:val="0"/>
          <w:bCs w:val="0"/>
          <w:kern w:val="0"/>
          <w:sz w:val="21"/>
          <w:szCs w:val="21"/>
        </w:rPr>
        <w:t>（★）</w:t>
      </w:r>
    </w:p>
    <w:p w14:paraId="53487278">
      <w:pPr>
        <w:spacing w:line="360" w:lineRule="auto"/>
        <w:ind w:firstLine="420" w:firstLineChars="200"/>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投标人负责本项目的安全管理工作，落实生产安全、消防安全、交通安全、应急管理、职业病防治、维稳综治内保工作的要求，预防各类事故的发生，保障国家和人民生命财产安全，维护社会稳定。</w:t>
      </w:r>
    </w:p>
    <w:p w14:paraId="67331AB2">
      <w:pPr>
        <w:spacing w:line="360" w:lineRule="auto"/>
        <w:ind w:firstLine="420" w:firstLineChars="200"/>
        <w:rPr>
          <w:rFonts w:ascii="宋体" w:hAnsi="宋体"/>
          <w:szCs w:val="21"/>
        </w:rPr>
      </w:pPr>
      <w:r>
        <w:rPr>
          <w:rFonts w:hint="eastAsia" w:ascii="宋体" w:hAnsi="宋体"/>
          <w:szCs w:val="21"/>
        </w:rPr>
        <w:t>2.</w:t>
      </w:r>
      <w:r>
        <w:rPr>
          <w:rFonts w:hint="eastAsia" w:ascii="宋体" w:hAnsi="宋体"/>
          <w:szCs w:val="21"/>
        </w:rPr>
        <w:tab/>
      </w:r>
      <w:r>
        <w:rPr>
          <w:rFonts w:hint="eastAsia" w:ascii="宋体" w:hAnsi="宋体"/>
          <w:szCs w:val="21"/>
        </w:rPr>
        <w:t>投标人负责对作业人员的监管，不得损坏买方设备，投标人在买方管辖区域作业时不得影响买方生产工作，一切设备、物品或机具等，均不得影响买方设备设施运行。</w:t>
      </w:r>
    </w:p>
    <w:p w14:paraId="75749C5C">
      <w:pPr>
        <w:spacing w:line="360" w:lineRule="auto"/>
        <w:ind w:firstLine="420" w:firstLineChars="200"/>
        <w:rPr>
          <w:rFonts w:ascii="宋体" w:hAnsi="宋体"/>
          <w:szCs w:val="21"/>
        </w:rPr>
      </w:pPr>
      <w:r>
        <w:rPr>
          <w:rFonts w:hint="eastAsia" w:ascii="宋体" w:hAnsi="宋体"/>
          <w:szCs w:val="21"/>
        </w:rPr>
        <w:t>3.</w:t>
      </w:r>
      <w:r>
        <w:rPr>
          <w:rFonts w:hint="eastAsia" w:ascii="宋体" w:hAnsi="宋体"/>
          <w:szCs w:val="21"/>
        </w:rPr>
        <w:tab/>
      </w:r>
      <w:r>
        <w:rPr>
          <w:rFonts w:hint="eastAsia" w:ascii="宋体" w:hAnsi="宋体"/>
          <w:szCs w:val="21"/>
        </w:rPr>
        <w:t>投标人作业人员的安全生产、文明施工管理，组织作业人员入场前、定期和经常性的安全、文明施工教育培训；保证作业人员具备必要的安全生产知识、熟悉有关的安全生产规章制度和安全操作规程，掌握安全操作技能和紧急情况下的应急避险措施，并督促作业人员自觉遵守安全生产的各项规章制度。</w:t>
      </w:r>
    </w:p>
    <w:p w14:paraId="680332FF">
      <w:pPr>
        <w:spacing w:line="360" w:lineRule="auto"/>
        <w:ind w:firstLine="420" w:firstLineChars="200"/>
        <w:rPr>
          <w:rFonts w:ascii="宋体" w:hAnsi="宋体"/>
          <w:szCs w:val="21"/>
        </w:rPr>
      </w:pPr>
      <w:r>
        <w:rPr>
          <w:rFonts w:hint="eastAsia" w:ascii="宋体" w:hAnsi="宋体"/>
          <w:szCs w:val="21"/>
        </w:rPr>
        <w:t>4.</w:t>
      </w:r>
      <w:r>
        <w:rPr>
          <w:rFonts w:hint="eastAsia" w:ascii="宋体" w:hAnsi="宋体"/>
          <w:szCs w:val="21"/>
        </w:rPr>
        <w:tab/>
      </w:r>
      <w:r>
        <w:rPr>
          <w:rFonts w:hint="eastAsia" w:ascii="宋体" w:hAnsi="宋体"/>
          <w:szCs w:val="21"/>
        </w:rPr>
        <w:t>投标人须严格遵守买方相关施工、安全管理规定，做好作业过程中的安全管理，作业完毕后做到工清场清，确保人员和作业安全。</w:t>
      </w:r>
    </w:p>
    <w:p w14:paraId="2AD6AE5A">
      <w:pPr>
        <w:spacing w:line="360" w:lineRule="auto"/>
        <w:ind w:firstLine="420" w:firstLineChars="200"/>
        <w:rPr>
          <w:rFonts w:ascii="宋体" w:hAnsi="宋体"/>
          <w:szCs w:val="21"/>
        </w:rPr>
      </w:pPr>
      <w:r>
        <w:rPr>
          <w:rFonts w:hint="eastAsia" w:ascii="宋体" w:hAnsi="宋体"/>
          <w:szCs w:val="21"/>
        </w:rPr>
        <w:t>5.</w:t>
      </w:r>
      <w:r>
        <w:rPr>
          <w:rFonts w:hint="eastAsia" w:ascii="宋体" w:hAnsi="宋体"/>
          <w:szCs w:val="21"/>
        </w:rPr>
        <w:tab/>
      </w:r>
      <w:r>
        <w:rPr>
          <w:rFonts w:hint="eastAsia" w:ascii="宋体" w:hAnsi="宋体"/>
          <w:szCs w:val="21"/>
        </w:rPr>
        <w:t>投标人须遵守国家、地方、行业及买方有关高处作业、电工作业等特种作业安全管理相关要求，同时 落实有限空间作业、动火作业等安全管理相关要求。</w:t>
      </w:r>
    </w:p>
    <w:p w14:paraId="6AFA95AA">
      <w:pPr>
        <w:spacing w:line="360" w:lineRule="auto"/>
        <w:ind w:firstLine="420" w:firstLineChars="200"/>
        <w:rPr>
          <w:rFonts w:ascii="宋体" w:hAnsi="宋体"/>
          <w:szCs w:val="21"/>
        </w:rPr>
      </w:pPr>
      <w:r>
        <w:rPr>
          <w:rFonts w:hint="eastAsia" w:ascii="宋体" w:hAnsi="宋体"/>
          <w:szCs w:val="21"/>
        </w:rPr>
        <w:t>6.</w:t>
      </w:r>
      <w:r>
        <w:rPr>
          <w:rFonts w:hint="eastAsia" w:ascii="宋体" w:hAnsi="宋体"/>
          <w:szCs w:val="21"/>
        </w:rPr>
        <w:tab/>
      </w:r>
      <w:r>
        <w:rPr>
          <w:rFonts w:hint="eastAsia" w:ascii="宋体" w:hAnsi="宋体"/>
          <w:szCs w:val="21"/>
        </w:rPr>
        <w:t>投标人须为作业人员提供符合国家标准或者行业标准的劳动防护用品，并监督、教育作业人员按照使用规则佩戴、使用。</w:t>
      </w:r>
    </w:p>
    <w:p w14:paraId="4E9FC7DB">
      <w:pPr>
        <w:spacing w:line="360" w:lineRule="auto"/>
        <w:ind w:firstLine="420" w:firstLineChars="200"/>
        <w:rPr>
          <w:rFonts w:ascii="宋体" w:hAnsi="宋体"/>
          <w:szCs w:val="21"/>
        </w:rPr>
      </w:pPr>
      <w:r>
        <w:rPr>
          <w:rFonts w:hint="eastAsia" w:ascii="宋体" w:hAnsi="宋体"/>
          <w:szCs w:val="21"/>
        </w:rPr>
        <w:t>7.</w:t>
      </w:r>
      <w:r>
        <w:rPr>
          <w:rFonts w:hint="eastAsia" w:ascii="宋体" w:hAnsi="宋体"/>
          <w:szCs w:val="21"/>
        </w:rPr>
        <w:tab/>
      </w:r>
      <w:r>
        <w:rPr>
          <w:rFonts w:hint="eastAsia" w:ascii="宋体" w:hAnsi="宋体"/>
          <w:szCs w:val="21"/>
        </w:rPr>
        <w:t>投标人须及时、如实向买方提供作业人员相关信息；严禁雇佣童工、未成年工、不适宜从事有关工种的作业人员及身份不明的人员。</w:t>
      </w:r>
    </w:p>
    <w:p w14:paraId="48794F2C">
      <w:pPr>
        <w:spacing w:line="360" w:lineRule="auto"/>
        <w:ind w:firstLine="420" w:firstLineChars="200"/>
        <w:rPr>
          <w:rFonts w:ascii="宋体" w:hAnsi="宋体"/>
          <w:szCs w:val="21"/>
        </w:rPr>
      </w:pPr>
      <w:r>
        <w:rPr>
          <w:rFonts w:hint="eastAsia" w:ascii="宋体" w:hAnsi="宋体"/>
          <w:szCs w:val="21"/>
        </w:rPr>
        <w:t>8.</w:t>
      </w:r>
      <w:r>
        <w:rPr>
          <w:rFonts w:hint="eastAsia" w:ascii="宋体" w:hAnsi="宋体"/>
          <w:szCs w:val="21"/>
        </w:rPr>
        <w:tab/>
      </w:r>
      <w:r>
        <w:rPr>
          <w:rFonts w:hint="eastAsia" w:ascii="宋体" w:hAnsi="宋体"/>
          <w:szCs w:val="21"/>
        </w:rPr>
        <w:t>投标人严禁存在住宿与生产、仓储、经营合用的“三合一”场所。</w:t>
      </w:r>
    </w:p>
    <w:p w14:paraId="5E926EEA">
      <w:pPr>
        <w:spacing w:line="360" w:lineRule="auto"/>
        <w:ind w:firstLine="420" w:firstLineChars="200"/>
        <w:rPr>
          <w:rFonts w:ascii="宋体" w:hAnsi="宋体"/>
          <w:szCs w:val="21"/>
        </w:rPr>
      </w:pPr>
      <w:r>
        <w:rPr>
          <w:rFonts w:hint="eastAsia" w:ascii="宋体" w:hAnsi="宋体"/>
          <w:szCs w:val="21"/>
        </w:rPr>
        <w:t>9.</w:t>
      </w:r>
      <w:r>
        <w:rPr>
          <w:rFonts w:hint="eastAsia" w:ascii="宋体" w:hAnsi="宋体"/>
          <w:szCs w:val="21"/>
        </w:rPr>
        <w:tab/>
      </w:r>
      <w:r>
        <w:rPr>
          <w:rFonts w:hint="eastAsia" w:ascii="宋体" w:hAnsi="宋体"/>
          <w:szCs w:val="21"/>
        </w:rPr>
        <w:t>投标人负责调查本单位作业过程中发生或影响买方生产安全的事故（事件），制订、落实有效改进和防范措施，两个工作日内向买方提供分析、处理报告。</w:t>
      </w:r>
    </w:p>
    <w:p w14:paraId="2AA2CE3E">
      <w:pPr>
        <w:pStyle w:val="3"/>
        <w:numPr>
          <w:ilvl w:val="0"/>
          <w:numId w:val="1"/>
        </w:numPr>
        <w:tabs>
          <w:tab w:val="left" w:pos="360"/>
        </w:tabs>
        <w:ind w:left="0" w:firstLine="0"/>
        <w:rPr>
          <w:rFonts w:ascii="黑体" w:hAnsi="黑体" w:eastAsia="黑体"/>
          <w:b w:val="0"/>
          <w:bCs w:val="0"/>
          <w:sz w:val="21"/>
          <w:szCs w:val="21"/>
        </w:rPr>
      </w:pPr>
      <w:bookmarkStart w:id="121" w:name="_Toc31549"/>
      <w:bookmarkStart w:id="122" w:name="_Toc117680718"/>
      <w:bookmarkStart w:id="123" w:name="_Toc117680619"/>
      <w:bookmarkStart w:id="124" w:name="_Toc117697546"/>
      <w:bookmarkStart w:id="125" w:name="_Toc192580515"/>
      <w:r>
        <w:rPr>
          <w:rFonts w:hint="eastAsia" w:ascii="黑体" w:hAnsi="黑体" w:eastAsia="黑体"/>
          <w:b w:val="0"/>
          <w:bCs w:val="0"/>
          <w:sz w:val="21"/>
          <w:szCs w:val="21"/>
        </w:rPr>
        <w:t>安全要求</w:t>
      </w:r>
      <w:bookmarkEnd w:id="121"/>
      <w:bookmarkEnd w:id="122"/>
      <w:bookmarkEnd w:id="123"/>
      <w:bookmarkEnd w:id="124"/>
      <w:bookmarkEnd w:id="125"/>
      <w:r>
        <w:rPr>
          <w:rFonts w:ascii="宋体"/>
          <w:b w:val="0"/>
          <w:bCs w:val="0"/>
          <w:kern w:val="0"/>
          <w:sz w:val="21"/>
          <w:szCs w:val="21"/>
        </w:rPr>
        <w:t>（★）</w:t>
      </w:r>
    </w:p>
    <w:p w14:paraId="1742C9E5">
      <w:pPr>
        <w:spacing w:line="360" w:lineRule="auto"/>
        <w:ind w:firstLine="420" w:firstLineChars="200"/>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施工方（投标人）严格遵守长沙穗城的各项规章制度和作业管理规定，接受买方的管理.</w:t>
      </w:r>
    </w:p>
    <w:p w14:paraId="22086B1D">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w:t>
      </w:r>
      <w:r>
        <w:rPr>
          <w:rFonts w:hint="eastAsia" w:ascii="宋体" w:hAnsi="宋体"/>
          <w:szCs w:val="21"/>
        </w:rPr>
        <w:tab/>
      </w:r>
      <w:r>
        <w:rPr>
          <w:rFonts w:hint="eastAsia" w:ascii="宋体" w:hAnsi="宋体"/>
          <w:szCs w:val="21"/>
        </w:rPr>
        <w:t>电气或焊接施工，人员必须有相应的电工、焊接技能资质证书要求。</w:t>
      </w:r>
    </w:p>
    <w:p w14:paraId="143F1A54">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hint="eastAsia" w:ascii="宋体" w:hAnsi="宋体"/>
          <w:szCs w:val="21"/>
        </w:rPr>
        <w:tab/>
      </w:r>
      <w:r>
        <w:rPr>
          <w:rFonts w:hint="eastAsia" w:ascii="宋体" w:hAnsi="宋体"/>
          <w:szCs w:val="21"/>
        </w:rPr>
        <w:t>施工前签订安全协议，作业前必须办理进场作业令，作业人员要佩戴有效证件，承包方在施工时，必须保护好现场设备(设施)，并做好应急处理预案，不能影响地铁设备第二天的正常运行，如有损坏地铁设备或者影响地铁运营，按照长沙穗城相关规定进行赔偿。</w:t>
      </w:r>
    </w:p>
    <w:p w14:paraId="489D1BF9">
      <w:pPr>
        <w:spacing w:line="360" w:lineRule="auto"/>
        <w:ind w:firstLine="420" w:firstLineChars="200"/>
        <w:rPr>
          <w:rFonts w:ascii="宋体" w:hAnsi="宋体"/>
          <w:szCs w:val="21"/>
        </w:rPr>
      </w:pPr>
      <w:r>
        <w:rPr>
          <w:rFonts w:ascii="宋体" w:hAnsi="宋体"/>
          <w:szCs w:val="21"/>
        </w:rPr>
        <w:t>4</w:t>
      </w:r>
      <w:r>
        <w:rPr>
          <w:rFonts w:hint="eastAsia" w:ascii="宋体" w:hAnsi="宋体"/>
          <w:szCs w:val="21"/>
        </w:rPr>
        <w:t>.</w:t>
      </w:r>
      <w:r>
        <w:rPr>
          <w:rFonts w:hint="eastAsia" w:ascii="宋体" w:hAnsi="宋体"/>
          <w:szCs w:val="21"/>
        </w:rPr>
        <w:tab/>
      </w:r>
      <w:r>
        <w:rPr>
          <w:rFonts w:hint="eastAsia" w:ascii="宋体" w:hAnsi="宋体"/>
          <w:szCs w:val="21"/>
        </w:rPr>
        <w:t>施工地点要按规定设置安全防护及安全标志。</w:t>
      </w:r>
    </w:p>
    <w:p w14:paraId="3B42D56F">
      <w:pPr>
        <w:spacing w:line="360" w:lineRule="auto"/>
        <w:ind w:firstLine="420" w:firstLineChars="200"/>
        <w:rPr>
          <w:rFonts w:ascii="宋体" w:hAnsi="宋体"/>
          <w:szCs w:val="21"/>
        </w:rPr>
      </w:pPr>
      <w:r>
        <w:rPr>
          <w:rFonts w:ascii="宋体" w:hAnsi="宋体"/>
          <w:szCs w:val="21"/>
        </w:rPr>
        <w:t>5</w:t>
      </w:r>
      <w:r>
        <w:rPr>
          <w:rFonts w:hint="eastAsia" w:ascii="宋体" w:hAnsi="宋体"/>
          <w:szCs w:val="21"/>
        </w:rPr>
        <w:t>.</w:t>
      </w:r>
      <w:r>
        <w:rPr>
          <w:rFonts w:hint="eastAsia" w:ascii="宋体" w:hAnsi="宋体"/>
          <w:szCs w:val="21"/>
        </w:rPr>
        <w:tab/>
      </w:r>
      <w:r>
        <w:rPr>
          <w:rFonts w:hint="eastAsia" w:ascii="宋体" w:hAnsi="宋体"/>
          <w:szCs w:val="21"/>
        </w:rPr>
        <w:t>施工方（投标人）负责本方人员的各项安全，</w:t>
      </w:r>
      <w:r>
        <w:rPr>
          <w:rFonts w:ascii="宋体" w:hAnsi="宋体"/>
          <w:szCs w:val="21"/>
        </w:rPr>
        <w:t>投标人在施工中发生事故，应及时报告</w:t>
      </w:r>
      <w:r>
        <w:rPr>
          <w:rFonts w:hint="eastAsia" w:ascii="宋体" w:hAnsi="宋体"/>
          <w:szCs w:val="21"/>
        </w:rPr>
        <w:t>买方</w:t>
      </w:r>
      <w:r>
        <w:rPr>
          <w:rFonts w:ascii="宋体" w:hAnsi="宋体"/>
          <w:szCs w:val="21"/>
        </w:rPr>
        <w:t>代表</w:t>
      </w:r>
      <w:r>
        <w:rPr>
          <w:rFonts w:hint="eastAsia" w:ascii="宋体" w:hAnsi="宋体"/>
          <w:szCs w:val="21"/>
        </w:rPr>
        <w:t>。</w:t>
      </w:r>
    </w:p>
    <w:p w14:paraId="09CADC8C">
      <w:pPr>
        <w:spacing w:line="360" w:lineRule="auto"/>
        <w:ind w:firstLine="420" w:firstLineChars="200"/>
        <w:rPr>
          <w:rFonts w:ascii="宋体" w:hAnsi="宋体"/>
          <w:szCs w:val="21"/>
        </w:rPr>
      </w:pPr>
      <w:r>
        <w:rPr>
          <w:rFonts w:ascii="宋体" w:hAnsi="宋体"/>
          <w:szCs w:val="21"/>
        </w:rPr>
        <w:t>6</w:t>
      </w:r>
      <w:r>
        <w:rPr>
          <w:rFonts w:hint="eastAsia" w:ascii="宋体" w:hAnsi="宋体"/>
          <w:szCs w:val="21"/>
        </w:rPr>
        <w:t>.</w:t>
      </w:r>
      <w:r>
        <w:rPr>
          <w:rFonts w:hint="eastAsia" w:ascii="宋体" w:hAnsi="宋体"/>
          <w:szCs w:val="21"/>
        </w:rPr>
        <w:tab/>
      </w:r>
      <w:r>
        <w:rPr>
          <w:rFonts w:hint="eastAsia" w:ascii="宋体" w:hAnsi="宋体"/>
          <w:szCs w:val="21"/>
        </w:rPr>
        <w:t>遵守长沙穗城的有关管理规定，全体人员必须持证上岗。</w:t>
      </w:r>
    </w:p>
    <w:p w14:paraId="087ABF02">
      <w:pPr>
        <w:pStyle w:val="3"/>
        <w:numPr>
          <w:ilvl w:val="0"/>
          <w:numId w:val="1"/>
        </w:numPr>
        <w:tabs>
          <w:tab w:val="left" w:pos="360"/>
        </w:tabs>
        <w:ind w:left="0" w:firstLine="0"/>
        <w:rPr>
          <w:rFonts w:ascii="黑体" w:hAnsi="黑体" w:eastAsia="黑体"/>
          <w:b w:val="0"/>
          <w:bCs w:val="0"/>
          <w:sz w:val="21"/>
          <w:szCs w:val="21"/>
        </w:rPr>
      </w:pPr>
      <w:bookmarkStart w:id="126" w:name="_Toc117680620"/>
      <w:bookmarkStart w:id="127" w:name="_Toc117697547"/>
      <w:bookmarkStart w:id="128" w:name="_Toc117680719"/>
      <w:bookmarkStart w:id="129" w:name="_Toc12117"/>
      <w:bookmarkStart w:id="130" w:name="_Toc192580516"/>
      <w:bookmarkStart w:id="131" w:name="_Toc164752334"/>
      <w:r>
        <w:rPr>
          <w:rFonts w:hint="eastAsia" w:ascii="黑体" w:hAnsi="黑体" w:eastAsia="黑体"/>
          <w:b w:val="0"/>
          <w:bCs w:val="0"/>
          <w:sz w:val="21"/>
          <w:szCs w:val="21"/>
        </w:rPr>
        <w:t>项目验收要求</w:t>
      </w:r>
      <w:bookmarkEnd w:id="126"/>
      <w:bookmarkEnd w:id="127"/>
      <w:bookmarkEnd w:id="128"/>
      <w:bookmarkEnd w:id="129"/>
      <w:bookmarkEnd w:id="130"/>
      <w:r>
        <w:rPr>
          <w:rFonts w:ascii="宋体"/>
          <w:b w:val="0"/>
          <w:bCs w:val="0"/>
          <w:kern w:val="0"/>
          <w:sz w:val="21"/>
          <w:szCs w:val="21"/>
        </w:rPr>
        <w:t>（★）</w:t>
      </w:r>
    </w:p>
    <w:bookmarkEnd w:id="131"/>
    <w:p w14:paraId="75EA19F4">
      <w:pPr>
        <w:pStyle w:val="59"/>
        <w:adjustRightInd w:val="0"/>
        <w:snapToGrid w:val="0"/>
        <w:spacing w:after="156" w:line="360" w:lineRule="auto"/>
        <w:ind w:left="0" w:firstLine="420" w:firstLineChars="200"/>
        <w:rPr>
          <w:rFonts w:ascii="宋体"/>
          <w:bCs/>
          <w:color w:val="auto"/>
          <w:szCs w:val="21"/>
        </w:rPr>
      </w:pPr>
      <w:bookmarkStart w:id="132" w:name="_Toc117680621"/>
      <w:bookmarkStart w:id="133" w:name="_Toc117697548"/>
      <w:bookmarkStart w:id="134" w:name="_Toc117680720"/>
      <w:r>
        <w:rPr>
          <w:rFonts w:hint="eastAsia" w:ascii="宋体"/>
          <w:bCs/>
          <w:color w:val="auto"/>
          <w:szCs w:val="21"/>
        </w:rPr>
        <w:t>合同项下设备、系统及材料的检验和验收程序如下（可根据项目具体情况调整）：</w:t>
      </w:r>
    </w:p>
    <w:p w14:paraId="4F3B8D31">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（1）工厂检验(制造过程中)；</w:t>
      </w:r>
    </w:p>
    <w:p w14:paraId="634313EA">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 xml:space="preserve">（2）出厂检验(在生产调试完后装运前，出厂检验完成后，由买方和卖方签字出具出厂检验报告)； </w:t>
      </w:r>
    </w:p>
    <w:p w14:paraId="14BE0B1C">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（3）到货检查(货物交到工地/仓库后，入库单或交接单应由买方和卖方签字)；</w:t>
      </w:r>
    </w:p>
    <w:p w14:paraId="5DE57F6E">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 xml:space="preserve">（4）开箱检验(货物交到工地/仓库，开箱检验结束后，买方和卖方检验人员应签署开箱检验报告)； </w:t>
      </w:r>
    </w:p>
    <w:p w14:paraId="3AC8F89C">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（5）功能测试(安装和调试完成后的测试)；</w:t>
      </w:r>
    </w:p>
    <w:p w14:paraId="2B523C1F">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 xml:space="preserve">（6）预验收（在设备完成合同中规定的所有检验测试项目后，如买方对测试结果无异议时，合同双方签署预验收报告，预验收报告签署后十四天内买方签发预验收证书）； </w:t>
      </w:r>
    </w:p>
    <w:p w14:paraId="6D6F0817">
      <w:pPr>
        <w:pStyle w:val="59"/>
        <w:adjustRightInd w:val="0"/>
        <w:snapToGrid w:val="0"/>
        <w:spacing w:after="156" w:line="360" w:lineRule="auto"/>
        <w:ind w:left="0" w:firstLine="420" w:firstLineChars="200"/>
        <w:rPr>
          <w:rFonts w:ascii="宋体"/>
          <w:bCs/>
          <w:color w:val="auto"/>
          <w:szCs w:val="21"/>
        </w:rPr>
      </w:pPr>
      <w:r>
        <w:rPr>
          <w:rFonts w:hint="eastAsia" w:ascii="宋体"/>
          <w:bCs/>
          <w:color w:val="auto"/>
          <w:szCs w:val="21"/>
        </w:rPr>
        <w:t>（7）最终验收(如买方对整个项目无异议时，买方应于质量保证期结束后45天内签署最终验收证书)。</w:t>
      </w:r>
    </w:p>
    <w:p w14:paraId="0A135A84">
      <w:pPr>
        <w:pStyle w:val="59"/>
        <w:adjustRightInd w:val="0"/>
        <w:snapToGrid w:val="0"/>
        <w:spacing w:after="0" w:line="360" w:lineRule="auto"/>
        <w:ind w:left="0" w:firstLine="420" w:firstLineChars="200"/>
        <w:rPr>
          <w:rFonts w:ascii="宋体"/>
          <w:bCs/>
          <w:color w:val="auto"/>
          <w:szCs w:val="21"/>
        </w:rPr>
      </w:pPr>
      <w:r>
        <w:rPr>
          <w:rFonts w:hint="eastAsia" w:ascii="宋体"/>
          <w:bCs/>
          <w:color w:val="auto"/>
          <w:szCs w:val="21"/>
        </w:rPr>
        <w:t>注：设备须在买卖双方签署预验收证书后方能投入使用。</w:t>
      </w:r>
    </w:p>
    <w:p w14:paraId="05BBD9C8">
      <w:pPr>
        <w:pStyle w:val="3"/>
        <w:numPr>
          <w:ilvl w:val="0"/>
          <w:numId w:val="1"/>
        </w:numPr>
        <w:tabs>
          <w:tab w:val="left" w:pos="360"/>
        </w:tabs>
        <w:ind w:left="0" w:firstLine="0"/>
        <w:rPr>
          <w:rFonts w:ascii="黑体" w:hAnsi="黑体" w:eastAsia="黑体"/>
          <w:b w:val="0"/>
          <w:bCs w:val="0"/>
          <w:sz w:val="21"/>
          <w:szCs w:val="21"/>
        </w:rPr>
      </w:pPr>
      <w:bookmarkStart w:id="135" w:name="_Toc192580517"/>
      <w:bookmarkStart w:id="136" w:name="_Toc23925"/>
      <w:r>
        <w:rPr>
          <w:rFonts w:hint="eastAsia" w:ascii="黑体" w:hAnsi="黑体" w:eastAsia="黑体"/>
          <w:b w:val="0"/>
          <w:bCs w:val="0"/>
          <w:sz w:val="21"/>
          <w:szCs w:val="21"/>
        </w:rPr>
        <w:t>质保要求</w:t>
      </w:r>
      <w:bookmarkEnd w:id="132"/>
      <w:bookmarkEnd w:id="133"/>
      <w:bookmarkEnd w:id="134"/>
      <w:bookmarkEnd w:id="135"/>
      <w:bookmarkEnd w:id="136"/>
      <w:r>
        <w:rPr>
          <w:rFonts w:ascii="宋体"/>
          <w:b w:val="0"/>
          <w:bCs w:val="0"/>
          <w:kern w:val="0"/>
          <w:sz w:val="21"/>
          <w:szCs w:val="21"/>
        </w:rPr>
        <w:t>（★）</w:t>
      </w:r>
    </w:p>
    <w:p w14:paraId="120DCD3B">
      <w:pPr>
        <w:pStyle w:val="41"/>
        <w:numPr>
          <w:ilvl w:val="0"/>
          <w:numId w:val="28"/>
        </w:numPr>
        <w:adjustRightInd w:val="0"/>
        <w:snapToGrid w:val="0"/>
        <w:spacing w:line="360" w:lineRule="auto"/>
        <w:ind w:firstLineChars="0"/>
        <w:rPr>
          <w:szCs w:val="21"/>
        </w:rPr>
      </w:pPr>
      <w:r>
        <w:rPr>
          <w:rFonts w:hint="eastAsia"/>
          <w:szCs w:val="21"/>
        </w:rPr>
        <w:t>合同设备的质保期为24个月，从设备预验收双方签字后算起。</w:t>
      </w:r>
    </w:p>
    <w:p w14:paraId="17289C3F">
      <w:pPr>
        <w:pStyle w:val="41"/>
        <w:numPr>
          <w:ilvl w:val="0"/>
          <w:numId w:val="28"/>
        </w:numPr>
        <w:adjustRightInd w:val="0"/>
        <w:snapToGrid w:val="0"/>
        <w:spacing w:line="360" w:lineRule="auto"/>
        <w:ind w:left="726" w:hanging="442" w:firstLineChars="0"/>
        <w:rPr>
          <w:szCs w:val="21"/>
        </w:rPr>
      </w:pPr>
      <w:r>
        <w:rPr>
          <w:rFonts w:hint="eastAsia"/>
          <w:szCs w:val="21"/>
        </w:rPr>
        <w:t>如果合同设备于质保期内在正常运行条件下出现与用户需求书要求的技术条款质量不符的缺陷或故障，卖方负责免费更换、维修和重新调试，被更换的部分的质保期将从此时算起为24个月。</w:t>
      </w:r>
    </w:p>
    <w:p w14:paraId="4E2004E2">
      <w:pPr>
        <w:pStyle w:val="41"/>
        <w:numPr>
          <w:ilvl w:val="0"/>
          <w:numId w:val="28"/>
        </w:numPr>
        <w:adjustRightInd w:val="0"/>
        <w:snapToGrid w:val="0"/>
        <w:spacing w:line="360" w:lineRule="auto"/>
        <w:ind w:left="726" w:hanging="442" w:firstLineChars="0"/>
        <w:rPr>
          <w:szCs w:val="21"/>
        </w:rPr>
      </w:pPr>
      <w:r>
        <w:rPr>
          <w:rFonts w:hint="eastAsia"/>
          <w:szCs w:val="21"/>
        </w:rPr>
        <w:t>投标人应在接到招标人要求履行质保期服务的通知后</w:t>
      </w:r>
      <w:r>
        <w:rPr>
          <w:szCs w:val="21"/>
        </w:rPr>
        <w:t>24</w:t>
      </w:r>
      <w:r>
        <w:rPr>
          <w:rFonts w:hint="eastAsia"/>
          <w:szCs w:val="21"/>
        </w:rPr>
        <w:t>小时内将维修计划告知招标人，并在接到招标人通知后一周内完成维修及调试工作，并使之达到用户需求书的有关要求。</w:t>
      </w:r>
    </w:p>
    <w:p w14:paraId="3016C749">
      <w:pPr>
        <w:pStyle w:val="41"/>
        <w:numPr>
          <w:ilvl w:val="0"/>
          <w:numId w:val="28"/>
        </w:numPr>
        <w:adjustRightInd w:val="0"/>
        <w:snapToGrid w:val="0"/>
        <w:spacing w:line="360" w:lineRule="auto"/>
        <w:ind w:left="726" w:hanging="442" w:firstLineChars="0"/>
        <w:rPr>
          <w:szCs w:val="21"/>
        </w:rPr>
      </w:pPr>
      <w:r>
        <w:rPr>
          <w:rFonts w:hint="eastAsia"/>
          <w:szCs w:val="21"/>
        </w:rPr>
        <w:t>投标人应保证合同项下所提供的设备及部件是全新的、未使用过的、且是用优质的材料和工艺生产制造的。不应该存在设备因工艺粗糙、设计错误或不合理而造成的缺陷；或由于材料选用或制造工艺不当而产生的缺陷。</w:t>
      </w:r>
    </w:p>
    <w:p w14:paraId="439C836A">
      <w:pPr>
        <w:pStyle w:val="41"/>
        <w:numPr>
          <w:ilvl w:val="0"/>
          <w:numId w:val="28"/>
        </w:numPr>
        <w:adjustRightInd w:val="0"/>
        <w:snapToGrid w:val="0"/>
        <w:spacing w:line="360" w:lineRule="auto"/>
        <w:ind w:left="726" w:hanging="442" w:firstLineChars="0"/>
        <w:rPr>
          <w:szCs w:val="21"/>
        </w:rPr>
      </w:pPr>
      <w:r>
        <w:rPr>
          <w:rFonts w:hint="eastAsia"/>
          <w:szCs w:val="21"/>
        </w:rPr>
        <w:t>投标人应保证合同项下所提供的服务包括设计、培训、安装、现场调试等按合同既定方式和公认的良好方式进行，并保证不存在因卖方工作人员的过失、错误或疏忽而产生的服务问题。</w:t>
      </w:r>
    </w:p>
    <w:p w14:paraId="25610E34">
      <w:pPr>
        <w:pStyle w:val="41"/>
        <w:numPr>
          <w:ilvl w:val="0"/>
          <w:numId w:val="28"/>
        </w:numPr>
        <w:adjustRightInd w:val="0"/>
        <w:snapToGrid w:val="0"/>
        <w:spacing w:line="360" w:lineRule="auto"/>
        <w:ind w:left="726" w:hanging="442" w:firstLineChars="0"/>
        <w:rPr>
          <w:szCs w:val="21"/>
        </w:rPr>
      </w:pPr>
      <w:r>
        <w:rPr>
          <w:rFonts w:hint="eastAsia"/>
          <w:szCs w:val="21"/>
        </w:rPr>
        <w:t>潜在缺陷的质保期</w:t>
      </w:r>
    </w:p>
    <w:p w14:paraId="4AD32AF0">
      <w:pPr>
        <w:pStyle w:val="41"/>
        <w:adjustRightInd w:val="0"/>
        <w:snapToGrid w:val="0"/>
        <w:spacing w:line="360" w:lineRule="auto"/>
        <w:ind w:left="726" w:firstLineChars="0"/>
        <w:rPr>
          <w:szCs w:val="21"/>
        </w:rPr>
      </w:pPr>
      <w:r>
        <w:rPr>
          <w:rFonts w:hint="eastAsia"/>
          <w:szCs w:val="21"/>
        </w:rPr>
        <w:t>在正常的质保期之内，投标人应对设备及部件中因工艺、设计错误和材料缺陷但在正常的质保期届满之前的合理检测中未发现的潜在缺陷负责。</w:t>
      </w:r>
    </w:p>
    <w:p w14:paraId="058E4A0B">
      <w:pPr>
        <w:pStyle w:val="41"/>
        <w:adjustRightInd w:val="0"/>
        <w:snapToGrid w:val="0"/>
        <w:spacing w:line="360" w:lineRule="auto"/>
        <w:ind w:left="726" w:firstLineChars="0"/>
        <w:rPr>
          <w:szCs w:val="21"/>
        </w:rPr>
      </w:pPr>
      <w:r>
        <w:rPr>
          <w:rFonts w:hint="eastAsia"/>
          <w:szCs w:val="21"/>
        </w:rPr>
        <w:t>潜在缺陷的质保期为正常质保期后的24个月。</w:t>
      </w:r>
      <w:bookmarkStart w:id="137" w:name="_Toc485202327"/>
      <w:bookmarkStart w:id="138" w:name="_Toc485460472"/>
      <w:bookmarkStart w:id="139" w:name="_Toc510335921"/>
      <w:bookmarkStart w:id="140" w:name="_Toc36720786"/>
      <w:bookmarkStart w:id="141" w:name="_Toc485089663"/>
      <w:bookmarkStart w:id="142" w:name="_Toc487342077"/>
    </w:p>
    <w:p w14:paraId="5CE612E1">
      <w:pPr>
        <w:pStyle w:val="41"/>
        <w:numPr>
          <w:ilvl w:val="0"/>
          <w:numId w:val="28"/>
        </w:numPr>
        <w:adjustRightInd w:val="0"/>
        <w:snapToGrid w:val="0"/>
        <w:spacing w:line="360" w:lineRule="auto"/>
        <w:ind w:left="726" w:hanging="442" w:firstLineChars="0"/>
        <w:rPr>
          <w:szCs w:val="21"/>
        </w:rPr>
      </w:pPr>
      <w:r>
        <w:rPr>
          <w:rFonts w:hint="eastAsia"/>
          <w:szCs w:val="21"/>
        </w:rPr>
        <w:t>质保期内投标人的保证责任</w:t>
      </w:r>
      <w:bookmarkEnd w:id="137"/>
      <w:bookmarkEnd w:id="138"/>
      <w:bookmarkEnd w:id="139"/>
      <w:bookmarkEnd w:id="140"/>
      <w:bookmarkEnd w:id="141"/>
      <w:bookmarkEnd w:id="142"/>
    </w:p>
    <w:p w14:paraId="1E144C1A">
      <w:pPr>
        <w:pStyle w:val="41"/>
        <w:adjustRightInd w:val="0"/>
        <w:snapToGrid w:val="0"/>
        <w:spacing w:line="360" w:lineRule="auto"/>
        <w:ind w:left="726" w:firstLineChars="0"/>
        <w:rPr>
          <w:szCs w:val="21"/>
        </w:rPr>
      </w:pPr>
      <w:r>
        <w:rPr>
          <w:rFonts w:hint="eastAsia"/>
          <w:szCs w:val="21"/>
        </w:rPr>
        <w:t>若在正常质保期内出现的缺陷或工程上的损坏或在潜在缺陷的质保期之内出现的潜在缺陷，招标人应以书面形式向卖方索赔，说明其缺陷或损坏的程度以及要求弥补缺陷或损坏的方法。</w:t>
      </w:r>
    </w:p>
    <w:p w14:paraId="0931FC73">
      <w:pPr>
        <w:pStyle w:val="41"/>
        <w:adjustRightInd w:val="0"/>
        <w:snapToGrid w:val="0"/>
        <w:spacing w:line="360" w:lineRule="auto"/>
        <w:ind w:left="726" w:firstLineChars="0"/>
        <w:rPr>
          <w:szCs w:val="21"/>
        </w:rPr>
      </w:pPr>
      <w:r>
        <w:rPr>
          <w:rFonts w:hint="eastAsia"/>
          <w:szCs w:val="21"/>
        </w:rPr>
        <w:t>除非另有规定</w:t>
      </w:r>
      <w:r>
        <w:rPr>
          <w:szCs w:val="21"/>
        </w:rPr>
        <w:t>，</w:t>
      </w:r>
      <w:r>
        <w:rPr>
          <w:rFonts w:hint="eastAsia"/>
          <w:szCs w:val="21"/>
        </w:rPr>
        <w:t>原则上投标人应在招标人提出索赔的两周内应根据相关条款的有关办法完成补救，投标人应根据招标人的要求，尽快修复、更换、重新设计或更新设备及部件中有缺陷的部分，以使设备或部件的相应部分恢复到合同所规定的状态和规格。</w:t>
      </w:r>
    </w:p>
    <w:p w14:paraId="34317B77">
      <w:pPr>
        <w:pStyle w:val="41"/>
        <w:numPr>
          <w:ilvl w:val="0"/>
          <w:numId w:val="28"/>
        </w:numPr>
        <w:adjustRightInd w:val="0"/>
        <w:snapToGrid w:val="0"/>
        <w:spacing w:line="360" w:lineRule="auto"/>
        <w:ind w:left="726" w:hanging="442" w:firstLineChars="0"/>
        <w:rPr>
          <w:szCs w:val="21"/>
        </w:rPr>
      </w:pPr>
      <w:bookmarkStart w:id="143" w:name="_Toc36720787"/>
      <w:r>
        <w:rPr>
          <w:rFonts w:hint="eastAsia"/>
          <w:szCs w:val="21"/>
        </w:rPr>
        <w:t>投标人应承担因修补设备或部件而发生的所有费用</w:t>
      </w:r>
      <w:bookmarkEnd w:id="143"/>
    </w:p>
    <w:p w14:paraId="56C077C6">
      <w:pPr>
        <w:pStyle w:val="41"/>
        <w:adjustRightInd w:val="0"/>
        <w:snapToGrid w:val="0"/>
        <w:spacing w:line="360" w:lineRule="auto"/>
        <w:ind w:left="840" w:firstLineChars="0"/>
      </w:pPr>
      <w:r>
        <w:rPr>
          <w:rFonts w:hint="eastAsia" w:hAnsi="宋体"/>
          <w:szCs w:val="21"/>
        </w:rPr>
        <w:t>包括但不限于修理、更换、重新设计或更新设备及部件中的缺陷部分、移动、重新安装的费用及往返工地之间的运输费用。若卖方不能在所规定的时限内完成设备或部件的修补，则买方/招标人可在通知卖方后自行修补缺损</w:t>
      </w:r>
      <w:r>
        <w:rPr>
          <w:rFonts w:hAnsi="宋体"/>
          <w:szCs w:val="21"/>
        </w:rPr>
        <w:t>。</w:t>
      </w:r>
      <w:r>
        <w:rPr>
          <w:rFonts w:hint="eastAsia" w:hAnsi="宋体"/>
          <w:szCs w:val="21"/>
        </w:rPr>
        <w:t>其费用及风险均由卖方承担</w:t>
      </w:r>
      <w:r>
        <w:rPr>
          <w:rFonts w:hAnsi="宋体"/>
          <w:szCs w:val="21"/>
        </w:rPr>
        <w:t>，</w:t>
      </w:r>
      <w:r>
        <w:rPr>
          <w:rFonts w:hint="eastAsia" w:hAnsi="宋体"/>
          <w:szCs w:val="21"/>
        </w:rPr>
        <w:t>但这并不影响合同所规定的卖方的责任。</w:t>
      </w:r>
    </w:p>
    <w:sectPr>
      <w:footerReference r:id="rId5"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entury Schoolbook">
    <w:altName w:val="Segoe Print"/>
    <w:panose1 w:val="02040604050505020304"/>
    <w:charset w:val="00"/>
    <w:family w:val="roman"/>
    <w:pitch w:val="default"/>
    <w:sig w:usb0="00000000" w:usb1="00000000" w:usb2="00000000" w:usb3="00000000" w:csb0="0000009F" w:csb1="00000000"/>
  </w:font>
  <w:font w:name="KaiTi_GB2312-Identity-H">
    <w:altName w:val="宋体"/>
    <w:panose1 w:val="00000000000000000000"/>
    <w:charset w:val="86"/>
    <w:family w:val="auto"/>
    <w:pitch w:val="default"/>
    <w:sig w:usb0="00000000" w:usb1="00000000" w:usb2="00000010" w:usb3="00000000" w:csb0="00040000" w:csb1="00000000"/>
  </w:font>
  <w:font w:name="Kino MT">
    <w:altName w:val="Courier New"/>
    <w:panose1 w:val="00000000000000000000"/>
    <w:charset w:val="00"/>
    <w:family w:val="decorative"/>
    <w:pitch w:val="default"/>
    <w:sig w:usb0="00000000" w:usb1="00000000" w:usb2="00000000" w:usb3="00000000" w:csb0="00000001" w:csb1="00000000"/>
  </w:font>
  <w:font w:name="宋体w..ā">
    <w:altName w:val="宋体"/>
    <w:panose1 w:val="00000000000000000000"/>
    <w:charset w:val="86"/>
    <w:family w:val="roma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D4340">
    <w:pPr>
      <w:pStyle w:val="16"/>
      <w:jc w:val="center"/>
    </w:pPr>
  </w:p>
  <w:p w14:paraId="7AFC121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D2C54">
    <w:pPr>
      <w:pStyle w:val="16"/>
      <w:jc w:val="center"/>
    </w:pPr>
    <w:r>
      <w:fldChar w:fldCharType="begin"/>
    </w:r>
    <w:r>
      <w:instrText xml:space="preserve">PAGE   \* MERGEFORMAT</w:instrText>
    </w:r>
    <w:r>
      <w:fldChar w:fldCharType="separate"/>
    </w:r>
    <w:r>
      <w:rPr>
        <w:lang w:val="zh-CN"/>
      </w:rPr>
      <w:t>1</w:t>
    </w:r>
    <w:r>
      <w:fldChar w:fldCharType="end"/>
    </w:r>
  </w:p>
  <w:p w14:paraId="75564A93">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47D20">
    <w:pPr>
      <w:pStyle w:val="16"/>
      <w:jc w:val="center"/>
    </w:pPr>
    <w:r>
      <w:fldChar w:fldCharType="begin"/>
    </w:r>
    <w:r>
      <w:instrText xml:space="preserve">PAGE   \* MERGEFORMAT</w:instrText>
    </w:r>
    <w:r>
      <w:fldChar w:fldCharType="separate"/>
    </w:r>
    <w:r>
      <w:rPr>
        <w:lang w:val="zh-CN"/>
      </w:rPr>
      <w:t>25</w:t>
    </w:r>
    <w:r>
      <w:fldChar w:fldCharType="end"/>
    </w:r>
  </w:p>
  <w:p w14:paraId="1ECFAE31">
    <w:pPr>
      <w:pStyle w:val="1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2C7D24"/>
    <w:multiLevelType w:val="multilevel"/>
    <w:tmpl w:val="062C7D24"/>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08E14302"/>
    <w:multiLevelType w:val="multilevel"/>
    <w:tmpl w:val="08E14302"/>
    <w:lvl w:ilvl="0" w:tentative="0">
      <w:start w:val="1"/>
      <w:numFmt w:val="decimal"/>
      <w:lvlText w:val="%1."/>
      <w:lvlJc w:val="left"/>
      <w:pPr>
        <w:ind w:left="440" w:hanging="440"/>
      </w:pPr>
    </w:lvl>
    <w:lvl w:ilvl="1" w:tentative="0">
      <w:start w:val="1"/>
      <w:numFmt w:val="decimal"/>
      <w:isLgl/>
      <w:lvlText w:val="%1.%2"/>
      <w:lvlJc w:val="left"/>
      <w:pPr>
        <w:ind w:left="735" w:hanging="735"/>
      </w:pPr>
      <w:rPr>
        <w:rFonts w:hint="default"/>
      </w:rPr>
    </w:lvl>
    <w:lvl w:ilvl="2" w:tentative="0">
      <w:start w:val="8"/>
      <w:numFmt w:val="decimal"/>
      <w:isLgl/>
      <w:lvlText w:val="%1.%2.%3"/>
      <w:lvlJc w:val="left"/>
      <w:pPr>
        <w:ind w:left="735" w:hanging="735"/>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2">
    <w:nsid w:val="0FAE3490"/>
    <w:multiLevelType w:val="multilevel"/>
    <w:tmpl w:val="0FAE3490"/>
    <w:lvl w:ilvl="0" w:tentative="0">
      <w:start w:val="1"/>
      <w:numFmt w:val="decimal"/>
      <w:lvlText w:val="%1."/>
      <w:lvlJc w:val="left"/>
      <w:pPr>
        <w:ind w:left="582" w:hanging="440"/>
      </w:pPr>
    </w:lvl>
    <w:lvl w:ilvl="1" w:tentative="0">
      <w:start w:val="1"/>
      <w:numFmt w:val="lowerLetter"/>
      <w:lvlText w:val="%2)"/>
      <w:lvlJc w:val="left"/>
      <w:pPr>
        <w:ind w:left="1022" w:hanging="440"/>
      </w:pPr>
    </w:lvl>
    <w:lvl w:ilvl="2" w:tentative="0">
      <w:start w:val="1"/>
      <w:numFmt w:val="lowerRoman"/>
      <w:lvlText w:val="%3."/>
      <w:lvlJc w:val="right"/>
      <w:pPr>
        <w:ind w:left="1462" w:hanging="440"/>
      </w:pPr>
    </w:lvl>
    <w:lvl w:ilvl="3" w:tentative="0">
      <w:start w:val="1"/>
      <w:numFmt w:val="decimal"/>
      <w:lvlText w:val="%4."/>
      <w:lvlJc w:val="left"/>
      <w:pPr>
        <w:ind w:left="1902" w:hanging="440"/>
      </w:pPr>
    </w:lvl>
    <w:lvl w:ilvl="4" w:tentative="0">
      <w:start w:val="1"/>
      <w:numFmt w:val="lowerLetter"/>
      <w:lvlText w:val="%5)"/>
      <w:lvlJc w:val="left"/>
      <w:pPr>
        <w:ind w:left="2342" w:hanging="440"/>
      </w:pPr>
    </w:lvl>
    <w:lvl w:ilvl="5" w:tentative="0">
      <w:start w:val="1"/>
      <w:numFmt w:val="lowerRoman"/>
      <w:lvlText w:val="%6."/>
      <w:lvlJc w:val="right"/>
      <w:pPr>
        <w:ind w:left="2782" w:hanging="440"/>
      </w:pPr>
    </w:lvl>
    <w:lvl w:ilvl="6" w:tentative="0">
      <w:start w:val="1"/>
      <w:numFmt w:val="decimal"/>
      <w:lvlText w:val="%7."/>
      <w:lvlJc w:val="left"/>
      <w:pPr>
        <w:ind w:left="3222" w:hanging="440"/>
      </w:pPr>
    </w:lvl>
    <w:lvl w:ilvl="7" w:tentative="0">
      <w:start w:val="1"/>
      <w:numFmt w:val="lowerLetter"/>
      <w:lvlText w:val="%8)"/>
      <w:lvlJc w:val="left"/>
      <w:pPr>
        <w:ind w:left="3662" w:hanging="440"/>
      </w:pPr>
    </w:lvl>
    <w:lvl w:ilvl="8" w:tentative="0">
      <w:start w:val="1"/>
      <w:numFmt w:val="lowerRoman"/>
      <w:lvlText w:val="%9."/>
      <w:lvlJc w:val="right"/>
      <w:pPr>
        <w:ind w:left="4102" w:hanging="440"/>
      </w:pPr>
    </w:lvl>
  </w:abstractNum>
  <w:abstractNum w:abstractNumId="3">
    <w:nsid w:val="10DB4958"/>
    <w:multiLevelType w:val="multilevel"/>
    <w:tmpl w:val="10DB4958"/>
    <w:lvl w:ilvl="0" w:tentative="0">
      <w:start w:val="1"/>
      <w:numFmt w:val="decimal"/>
      <w:lvlText w:val="（%1）"/>
      <w:lvlJc w:val="left"/>
      <w:pPr>
        <w:ind w:left="987" w:hanging="420"/>
      </w:pPr>
      <w:rPr>
        <w:rFonts w:hint="default"/>
        <w:lang w:val="en-US"/>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4">
    <w:nsid w:val="11E11E96"/>
    <w:multiLevelType w:val="multilevel"/>
    <w:tmpl w:val="11E11E96"/>
    <w:lvl w:ilvl="0" w:tentative="0">
      <w:start w:val="1"/>
      <w:numFmt w:val="decimal"/>
      <w:lvlText w:val="%1)"/>
      <w:lvlJc w:val="left"/>
      <w:pPr>
        <w:ind w:left="1564" w:hanging="420"/>
      </w:pPr>
      <w:rPr>
        <w:rFonts w:hint="default"/>
        <w:lang w:val="en-US"/>
      </w:rPr>
    </w:lvl>
    <w:lvl w:ilvl="1" w:tentative="0">
      <w:start w:val="1"/>
      <w:numFmt w:val="lowerLetter"/>
      <w:lvlText w:val="%2)"/>
      <w:lvlJc w:val="left"/>
      <w:pPr>
        <w:ind w:left="1559" w:hanging="420"/>
      </w:pPr>
    </w:lvl>
    <w:lvl w:ilvl="2" w:tentative="0">
      <w:start w:val="1"/>
      <w:numFmt w:val="lowerRoman"/>
      <w:lvlText w:val="%3."/>
      <w:lvlJc w:val="right"/>
      <w:pPr>
        <w:ind w:left="1979" w:hanging="420"/>
      </w:pPr>
    </w:lvl>
    <w:lvl w:ilvl="3" w:tentative="0">
      <w:start w:val="1"/>
      <w:numFmt w:val="decimal"/>
      <w:lvlText w:val="%4."/>
      <w:lvlJc w:val="left"/>
      <w:pPr>
        <w:ind w:left="2399" w:hanging="420"/>
      </w:pPr>
    </w:lvl>
    <w:lvl w:ilvl="4" w:tentative="0">
      <w:start w:val="1"/>
      <w:numFmt w:val="lowerLetter"/>
      <w:lvlText w:val="%5)"/>
      <w:lvlJc w:val="left"/>
      <w:pPr>
        <w:ind w:left="2819" w:hanging="420"/>
      </w:pPr>
    </w:lvl>
    <w:lvl w:ilvl="5" w:tentative="0">
      <w:start w:val="1"/>
      <w:numFmt w:val="lowerRoman"/>
      <w:lvlText w:val="%6."/>
      <w:lvlJc w:val="right"/>
      <w:pPr>
        <w:ind w:left="3239" w:hanging="420"/>
      </w:pPr>
    </w:lvl>
    <w:lvl w:ilvl="6" w:tentative="0">
      <w:start w:val="1"/>
      <w:numFmt w:val="decimal"/>
      <w:lvlText w:val="%7."/>
      <w:lvlJc w:val="left"/>
      <w:pPr>
        <w:ind w:left="3659" w:hanging="420"/>
      </w:pPr>
    </w:lvl>
    <w:lvl w:ilvl="7" w:tentative="0">
      <w:start w:val="1"/>
      <w:numFmt w:val="lowerLetter"/>
      <w:lvlText w:val="%8)"/>
      <w:lvlJc w:val="left"/>
      <w:pPr>
        <w:ind w:left="4079" w:hanging="420"/>
      </w:pPr>
    </w:lvl>
    <w:lvl w:ilvl="8" w:tentative="0">
      <w:start w:val="1"/>
      <w:numFmt w:val="lowerRoman"/>
      <w:lvlText w:val="%9."/>
      <w:lvlJc w:val="right"/>
      <w:pPr>
        <w:ind w:left="4499" w:hanging="420"/>
      </w:pPr>
    </w:lvl>
  </w:abstractNum>
  <w:abstractNum w:abstractNumId="5">
    <w:nsid w:val="159E0822"/>
    <w:multiLevelType w:val="multilevel"/>
    <w:tmpl w:val="159E0822"/>
    <w:lvl w:ilvl="0" w:tentative="0">
      <w:start w:val="1"/>
      <w:numFmt w:val="decimal"/>
      <w:lvlText w:val="（%1）"/>
      <w:lvlJc w:val="left"/>
      <w:pPr>
        <w:ind w:left="582" w:hanging="440"/>
      </w:pPr>
      <w:rPr>
        <w:rFonts w:hint="default"/>
      </w:rPr>
    </w:lvl>
    <w:lvl w:ilvl="1" w:tentative="0">
      <w:start w:val="1"/>
      <w:numFmt w:val="lowerLetter"/>
      <w:lvlText w:val="%2)"/>
      <w:lvlJc w:val="left"/>
      <w:pPr>
        <w:ind w:left="1022" w:hanging="440"/>
      </w:pPr>
    </w:lvl>
    <w:lvl w:ilvl="2" w:tentative="0">
      <w:start w:val="1"/>
      <w:numFmt w:val="lowerRoman"/>
      <w:lvlText w:val="%3."/>
      <w:lvlJc w:val="right"/>
      <w:pPr>
        <w:ind w:left="1462" w:hanging="440"/>
      </w:pPr>
    </w:lvl>
    <w:lvl w:ilvl="3" w:tentative="0">
      <w:start w:val="1"/>
      <w:numFmt w:val="decimal"/>
      <w:lvlText w:val="%4."/>
      <w:lvlJc w:val="left"/>
      <w:pPr>
        <w:ind w:left="1902" w:hanging="440"/>
      </w:pPr>
    </w:lvl>
    <w:lvl w:ilvl="4" w:tentative="0">
      <w:start w:val="1"/>
      <w:numFmt w:val="lowerLetter"/>
      <w:lvlText w:val="%5)"/>
      <w:lvlJc w:val="left"/>
      <w:pPr>
        <w:ind w:left="2342" w:hanging="440"/>
      </w:pPr>
    </w:lvl>
    <w:lvl w:ilvl="5" w:tentative="0">
      <w:start w:val="1"/>
      <w:numFmt w:val="lowerRoman"/>
      <w:lvlText w:val="%6."/>
      <w:lvlJc w:val="right"/>
      <w:pPr>
        <w:ind w:left="2782" w:hanging="440"/>
      </w:pPr>
    </w:lvl>
    <w:lvl w:ilvl="6" w:tentative="0">
      <w:start w:val="1"/>
      <w:numFmt w:val="decimal"/>
      <w:lvlText w:val="%7."/>
      <w:lvlJc w:val="left"/>
      <w:pPr>
        <w:ind w:left="3222" w:hanging="440"/>
      </w:pPr>
    </w:lvl>
    <w:lvl w:ilvl="7" w:tentative="0">
      <w:start w:val="1"/>
      <w:numFmt w:val="lowerLetter"/>
      <w:lvlText w:val="%8)"/>
      <w:lvlJc w:val="left"/>
      <w:pPr>
        <w:ind w:left="3662" w:hanging="440"/>
      </w:pPr>
    </w:lvl>
    <w:lvl w:ilvl="8" w:tentative="0">
      <w:start w:val="1"/>
      <w:numFmt w:val="lowerRoman"/>
      <w:lvlText w:val="%9."/>
      <w:lvlJc w:val="right"/>
      <w:pPr>
        <w:ind w:left="4102" w:hanging="440"/>
      </w:pPr>
    </w:lvl>
  </w:abstractNum>
  <w:abstractNum w:abstractNumId="6">
    <w:nsid w:val="15D78CE3"/>
    <w:multiLevelType w:val="singleLevel"/>
    <w:tmpl w:val="15D78CE3"/>
    <w:lvl w:ilvl="0" w:tentative="0">
      <w:start w:val="4"/>
      <w:numFmt w:val="decimal"/>
      <w:suff w:val="nothing"/>
      <w:lvlText w:val="%1）"/>
      <w:lvlJc w:val="left"/>
    </w:lvl>
  </w:abstractNum>
  <w:abstractNum w:abstractNumId="7">
    <w:nsid w:val="17070F5A"/>
    <w:multiLevelType w:val="multilevel"/>
    <w:tmpl w:val="17070F5A"/>
    <w:lvl w:ilvl="0" w:tentative="0">
      <w:start w:val="1"/>
      <w:numFmt w:val="decimal"/>
      <w:suff w:val="space"/>
      <w:lvlText w:val="（%1）"/>
      <w:lvlJc w:val="left"/>
      <w:pPr>
        <w:ind w:left="724" w:hanging="440"/>
      </w:pPr>
      <w:rPr>
        <w:rFonts w:hint="default"/>
        <w:lang w:val="en-US"/>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8">
    <w:nsid w:val="19B15D07"/>
    <w:multiLevelType w:val="multilevel"/>
    <w:tmpl w:val="19B15D07"/>
    <w:lvl w:ilvl="0" w:tentative="0">
      <w:start w:val="1"/>
      <w:numFmt w:val="decimal"/>
      <w:lvlText w:val="（%1）"/>
      <w:lvlJc w:val="left"/>
      <w:pPr>
        <w:ind w:left="724" w:hanging="440"/>
      </w:pPr>
      <w:rPr>
        <w:rFonts w:hint="default"/>
        <w:lang w:val="en-US"/>
      </w:rPr>
    </w:lvl>
    <w:lvl w:ilvl="1" w:tentative="0">
      <w:start w:val="1"/>
      <w:numFmt w:val="lowerLetter"/>
      <w:lvlText w:val="%2)"/>
      <w:lvlJc w:val="left"/>
      <w:pPr>
        <w:ind w:left="1164" w:hanging="440"/>
      </w:pPr>
    </w:lvl>
    <w:lvl w:ilvl="2" w:tentative="0">
      <w:start w:val="1"/>
      <w:numFmt w:val="lowerRoman"/>
      <w:lvlText w:val="%3."/>
      <w:lvlJc w:val="right"/>
      <w:pPr>
        <w:ind w:left="1604" w:hanging="440"/>
      </w:pPr>
    </w:lvl>
    <w:lvl w:ilvl="3" w:tentative="0">
      <w:start w:val="1"/>
      <w:numFmt w:val="decimal"/>
      <w:lvlText w:val="%4."/>
      <w:lvlJc w:val="left"/>
      <w:pPr>
        <w:ind w:left="2044" w:hanging="440"/>
      </w:pPr>
    </w:lvl>
    <w:lvl w:ilvl="4" w:tentative="0">
      <w:start w:val="1"/>
      <w:numFmt w:val="lowerLetter"/>
      <w:lvlText w:val="%5)"/>
      <w:lvlJc w:val="left"/>
      <w:pPr>
        <w:ind w:left="2484" w:hanging="440"/>
      </w:pPr>
    </w:lvl>
    <w:lvl w:ilvl="5" w:tentative="0">
      <w:start w:val="1"/>
      <w:numFmt w:val="lowerRoman"/>
      <w:lvlText w:val="%6."/>
      <w:lvlJc w:val="right"/>
      <w:pPr>
        <w:ind w:left="2924" w:hanging="440"/>
      </w:pPr>
    </w:lvl>
    <w:lvl w:ilvl="6" w:tentative="0">
      <w:start w:val="1"/>
      <w:numFmt w:val="decimal"/>
      <w:lvlText w:val="%7."/>
      <w:lvlJc w:val="left"/>
      <w:pPr>
        <w:ind w:left="3364" w:hanging="440"/>
      </w:pPr>
    </w:lvl>
    <w:lvl w:ilvl="7" w:tentative="0">
      <w:start w:val="1"/>
      <w:numFmt w:val="lowerLetter"/>
      <w:lvlText w:val="%8)"/>
      <w:lvlJc w:val="left"/>
      <w:pPr>
        <w:ind w:left="3804" w:hanging="440"/>
      </w:pPr>
    </w:lvl>
    <w:lvl w:ilvl="8" w:tentative="0">
      <w:start w:val="1"/>
      <w:numFmt w:val="lowerRoman"/>
      <w:lvlText w:val="%9."/>
      <w:lvlJc w:val="right"/>
      <w:pPr>
        <w:ind w:left="4244" w:hanging="440"/>
      </w:pPr>
    </w:lvl>
  </w:abstractNum>
  <w:abstractNum w:abstractNumId="9">
    <w:nsid w:val="1A2E1020"/>
    <w:multiLevelType w:val="multilevel"/>
    <w:tmpl w:val="1A2E1020"/>
    <w:lvl w:ilvl="0" w:tentative="0">
      <w:start w:val="1"/>
      <w:numFmt w:val="decimal"/>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0">
    <w:nsid w:val="1C3A1FDE"/>
    <w:multiLevelType w:val="multilevel"/>
    <w:tmpl w:val="1C3A1FDE"/>
    <w:lvl w:ilvl="0" w:tentative="0">
      <w:start w:val="1"/>
      <w:numFmt w:val="decimal"/>
      <w:lvlText w:val="%1."/>
      <w:lvlJc w:val="left"/>
      <w:pPr>
        <w:ind w:left="724" w:hanging="440"/>
      </w:pPr>
    </w:lvl>
    <w:lvl w:ilvl="1" w:tentative="0">
      <w:start w:val="1"/>
      <w:numFmt w:val="lowerLetter"/>
      <w:lvlText w:val="%2)"/>
      <w:lvlJc w:val="left"/>
      <w:pPr>
        <w:ind w:left="1164" w:hanging="440"/>
      </w:pPr>
    </w:lvl>
    <w:lvl w:ilvl="2" w:tentative="0">
      <w:start w:val="1"/>
      <w:numFmt w:val="lowerRoman"/>
      <w:lvlText w:val="%3."/>
      <w:lvlJc w:val="right"/>
      <w:pPr>
        <w:ind w:left="1604" w:hanging="440"/>
      </w:pPr>
    </w:lvl>
    <w:lvl w:ilvl="3" w:tentative="0">
      <w:start w:val="1"/>
      <w:numFmt w:val="decimal"/>
      <w:lvlText w:val="%4."/>
      <w:lvlJc w:val="left"/>
      <w:pPr>
        <w:ind w:left="2044" w:hanging="440"/>
      </w:pPr>
    </w:lvl>
    <w:lvl w:ilvl="4" w:tentative="0">
      <w:start w:val="1"/>
      <w:numFmt w:val="lowerLetter"/>
      <w:lvlText w:val="%5)"/>
      <w:lvlJc w:val="left"/>
      <w:pPr>
        <w:ind w:left="2484" w:hanging="440"/>
      </w:pPr>
    </w:lvl>
    <w:lvl w:ilvl="5" w:tentative="0">
      <w:start w:val="1"/>
      <w:numFmt w:val="lowerRoman"/>
      <w:lvlText w:val="%6."/>
      <w:lvlJc w:val="right"/>
      <w:pPr>
        <w:ind w:left="2924" w:hanging="440"/>
      </w:pPr>
    </w:lvl>
    <w:lvl w:ilvl="6" w:tentative="0">
      <w:start w:val="1"/>
      <w:numFmt w:val="decimal"/>
      <w:lvlText w:val="%7."/>
      <w:lvlJc w:val="left"/>
      <w:pPr>
        <w:ind w:left="3364" w:hanging="440"/>
      </w:pPr>
    </w:lvl>
    <w:lvl w:ilvl="7" w:tentative="0">
      <w:start w:val="1"/>
      <w:numFmt w:val="lowerLetter"/>
      <w:lvlText w:val="%8)"/>
      <w:lvlJc w:val="left"/>
      <w:pPr>
        <w:ind w:left="3804" w:hanging="440"/>
      </w:pPr>
    </w:lvl>
    <w:lvl w:ilvl="8" w:tentative="0">
      <w:start w:val="1"/>
      <w:numFmt w:val="lowerRoman"/>
      <w:lvlText w:val="%9."/>
      <w:lvlJc w:val="right"/>
      <w:pPr>
        <w:ind w:left="4244" w:hanging="440"/>
      </w:pPr>
    </w:lvl>
  </w:abstractNum>
  <w:abstractNum w:abstractNumId="11">
    <w:nsid w:val="1D9765EB"/>
    <w:multiLevelType w:val="multilevel"/>
    <w:tmpl w:val="1D9765EB"/>
    <w:lvl w:ilvl="0" w:tentative="0">
      <w:start w:val="1"/>
      <w:numFmt w:val="decimal"/>
      <w:lvlText w:val="%1)"/>
      <w:lvlJc w:val="left"/>
      <w:pPr>
        <w:ind w:left="1300" w:hanging="440"/>
      </w:pPr>
    </w:lvl>
    <w:lvl w:ilvl="1" w:tentative="0">
      <w:start w:val="1"/>
      <w:numFmt w:val="lowerLetter"/>
      <w:lvlText w:val="%2)"/>
      <w:lvlJc w:val="left"/>
      <w:pPr>
        <w:ind w:left="1740" w:hanging="440"/>
      </w:pPr>
    </w:lvl>
    <w:lvl w:ilvl="2" w:tentative="0">
      <w:start w:val="1"/>
      <w:numFmt w:val="lowerRoman"/>
      <w:lvlText w:val="%3."/>
      <w:lvlJc w:val="right"/>
      <w:pPr>
        <w:ind w:left="2180" w:hanging="440"/>
      </w:pPr>
    </w:lvl>
    <w:lvl w:ilvl="3" w:tentative="0">
      <w:start w:val="1"/>
      <w:numFmt w:val="decimal"/>
      <w:lvlText w:val="%4."/>
      <w:lvlJc w:val="left"/>
      <w:pPr>
        <w:ind w:left="2620" w:hanging="440"/>
      </w:pPr>
    </w:lvl>
    <w:lvl w:ilvl="4" w:tentative="0">
      <w:start w:val="1"/>
      <w:numFmt w:val="lowerLetter"/>
      <w:lvlText w:val="%5)"/>
      <w:lvlJc w:val="left"/>
      <w:pPr>
        <w:ind w:left="3060" w:hanging="440"/>
      </w:pPr>
    </w:lvl>
    <w:lvl w:ilvl="5" w:tentative="0">
      <w:start w:val="1"/>
      <w:numFmt w:val="lowerRoman"/>
      <w:lvlText w:val="%6."/>
      <w:lvlJc w:val="right"/>
      <w:pPr>
        <w:ind w:left="3500" w:hanging="440"/>
      </w:pPr>
    </w:lvl>
    <w:lvl w:ilvl="6" w:tentative="0">
      <w:start w:val="1"/>
      <w:numFmt w:val="decimal"/>
      <w:lvlText w:val="%7."/>
      <w:lvlJc w:val="left"/>
      <w:pPr>
        <w:ind w:left="3940" w:hanging="440"/>
      </w:pPr>
    </w:lvl>
    <w:lvl w:ilvl="7" w:tentative="0">
      <w:start w:val="1"/>
      <w:numFmt w:val="lowerLetter"/>
      <w:lvlText w:val="%8)"/>
      <w:lvlJc w:val="left"/>
      <w:pPr>
        <w:ind w:left="4380" w:hanging="440"/>
      </w:pPr>
    </w:lvl>
    <w:lvl w:ilvl="8" w:tentative="0">
      <w:start w:val="1"/>
      <w:numFmt w:val="lowerRoman"/>
      <w:lvlText w:val="%9."/>
      <w:lvlJc w:val="right"/>
      <w:pPr>
        <w:ind w:left="4820" w:hanging="440"/>
      </w:pPr>
    </w:lvl>
  </w:abstractNum>
  <w:abstractNum w:abstractNumId="12">
    <w:nsid w:val="1E665BB8"/>
    <w:multiLevelType w:val="multilevel"/>
    <w:tmpl w:val="1E665BB8"/>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370"/>
        </w:tabs>
        <w:ind w:left="370" w:hanging="420"/>
      </w:pPr>
    </w:lvl>
    <w:lvl w:ilvl="2" w:tentative="0">
      <w:start w:val="1"/>
      <w:numFmt w:val="lowerRoman"/>
      <w:lvlText w:val="%3."/>
      <w:lvlJc w:val="right"/>
      <w:pPr>
        <w:tabs>
          <w:tab w:val="left" w:pos="790"/>
        </w:tabs>
        <w:ind w:left="790" w:hanging="420"/>
      </w:pPr>
    </w:lvl>
    <w:lvl w:ilvl="3" w:tentative="0">
      <w:start w:val="1"/>
      <w:numFmt w:val="decimal"/>
      <w:lvlText w:val="%4."/>
      <w:lvlJc w:val="left"/>
      <w:pPr>
        <w:tabs>
          <w:tab w:val="left" w:pos="1210"/>
        </w:tabs>
        <w:ind w:left="1210" w:hanging="420"/>
      </w:pPr>
    </w:lvl>
    <w:lvl w:ilvl="4" w:tentative="0">
      <w:start w:val="1"/>
      <w:numFmt w:val="lowerLetter"/>
      <w:lvlText w:val="%5)"/>
      <w:lvlJc w:val="left"/>
      <w:pPr>
        <w:tabs>
          <w:tab w:val="left" w:pos="1630"/>
        </w:tabs>
        <w:ind w:left="1630" w:hanging="420"/>
      </w:pPr>
    </w:lvl>
    <w:lvl w:ilvl="5" w:tentative="0">
      <w:start w:val="1"/>
      <w:numFmt w:val="lowerRoman"/>
      <w:lvlText w:val="%6."/>
      <w:lvlJc w:val="right"/>
      <w:pPr>
        <w:tabs>
          <w:tab w:val="left" w:pos="2050"/>
        </w:tabs>
        <w:ind w:left="2050" w:hanging="420"/>
      </w:pPr>
    </w:lvl>
    <w:lvl w:ilvl="6" w:tentative="0">
      <w:start w:val="1"/>
      <w:numFmt w:val="decimal"/>
      <w:lvlText w:val="%7."/>
      <w:lvlJc w:val="left"/>
      <w:pPr>
        <w:tabs>
          <w:tab w:val="left" w:pos="2470"/>
        </w:tabs>
        <w:ind w:left="2470" w:hanging="420"/>
      </w:pPr>
    </w:lvl>
    <w:lvl w:ilvl="7" w:tentative="0">
      <w:start w:val="1"/>
      <w:numFmt w:val="lowerLetter"/>
      <w:lvlText w:val="%8)"/>
      <w:lvlJc w:val="left"/>
      <w:pPr>
        <w:tabs>
          <w:tab w:val="left" w:pos="2890"/>
        </w:tabs>
        <w:ind w:left="2890" w:hanging="420"/>
      </w:pPr>
    </w:lvl>
    <w:lvl w:ilvl="8" w:tentative="0">
      <w:start w:val="1"/>
      <w:numFmt w:val="lowerRoman"/>
      <w:lvlText w:val="%9."/>
      <w:lvlJc w:val="right"/>
      <w:pPr>
        <w:tabs>
          <w:tab w:val="left" w:pos="3310"/>
        </w:tabs>
        <w:ind w:left="3310" w:hanging="420"/>
      </w:pPr>
    </w:lvl>
  </w:abstractNum>
  <w:abstractNum w:abstractNumId="13">
    <w:nsid w:val="23ED7065"/>
    <w:multiLevelType w:val="multilevel"/>
    <w:tmpl w:val="23ED7065"/>
    <w:lvl w:ilvl="0" w:tentative="0">
      <w:start w:val="1"/>
      <w:numFmt w:val="decimal"/>
      <w:lvlText w:val="%1."/>
      <w:lvlJc w:val="left"/>
      <w:pPr>
        <w:ind w:left="724" w:hanging="440"/>
      </w:pPr>
    </w:lvl>
    <w:lvl w:ilvl="1" w:tentative="0">
      <w:start w:val="1"/>
      <w:numFmt w:val="lowerLetter"/>
      <w:lvlText w:val="%2)"/>
      <w:lvlJc w:val="left"/>
      <w:pPr>
        <w:ind w:left="1164" w:hanging="440"/>
      </w:pPr>
    </w:lvl>
    <w:lvl w:ilvl="2" w:tentative="0">
      <w:start w:val="1"/>
      <w:numFmt w:val="lowerRoman"/>
      <w:lvlText w:val="%3."/>
      <w:lvlJc w:val="right"/>
      <w:pPr>
        <w:ind w:left="1604" w:hanging="440"/>
      </w:pPr>
    </w:lvl>
    <w:lvl w:ilvl="3" w:tentative="0">
      <w:start w:val="1"/>
      <w:numFmt w:val="decimal"/>
      <w:lvlText w:val="%4."/>
      <w:lvlJc w:val="left"/>
      <w:pPr>
        <w:ind w:left="2044" w:hanging="440"/>
      </w:pPr>
    </w:lvl>
    <w:lvl w:ilvl="4" w:tentative="0">
      <w:start w:val="1"/>
      <w:numFmt w:val="lowerLetter"/>
      <w:lvlText w:val="%5)"/>
      <w:lvlJc w:val="left"/>
      <w:pPr>
        <w:ind w:left="2484" w:hanging="440"/>
      </w:pPr>
    </w:lvl>
    <w:lvl w:ilvl="5" w:tentative="0">
      <w:start w:val="1"/>
      <w:numFmt w:val="lowerRoman"/>
      <w:lvlText w:val="%6."/>
      <w:lvlJc w:val="right"/>
      <w:pPr>
        <w:ind w:left="2924" w:hanging="440"/>
      </w:pPr>
    </w:lvl>
    <w:lvl w:ilvl="6" w:tentative="0">
      <w:start w:val="1"/>
      <w:numFmt w:val="decimal"/>
      <w:lvlText w:val="%7."/>
      <w:lvlJc w:val="left"/>
      <w:pPr>
        <w:ind w:left="3364" w:hanging="440"/>
      </w:pPr>
    </w:lvl>
    <w:lvl w:ilvl="7" w:tentative="0">
      <w:start w:val="1"/>
      <w:numFmt w:val="lowerLetter"/>
      <w:lvlText w:val="%8)"/>
      <w:lvlJc w:val="left"/>
      <w:pPr>
        <w:ind w:left="3804" w:hanging="440"/>
      </w:pPr>
    </w:lvl>
    <w:lvl w:ilvl="8" w:tentative="0">
      <w:start w:val="1"/>
      <w:numFmt w:val="lowerRoman"/>
      <w:lvlText w:val="%9."/>
      <w:lvlJc w:val="right"/>
      <w:pPr>
        <w:ind w:left="4244" w:hanging="440"/>
      </w:pPr>
    </w:lvl>
  </w:abstractNum>
  <w:abstractNum w:abstractNumId="14">
    <w:nsid w:val="24E64FA7"/>
    <w:multiLevelType w:val="multilevel"/>
    <w:tmpl w:val="24E64FA7"/>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5">
    <w:nsid w:val="2D3F09B3"/>
    <w:multiLevelType w:val="multilevel"/>
    <w:tmpl w:val="2D3F09B3"/>
    <w:lvl w:ilvl="0" w:tentative="0">
      <w:start w:val="1"/>
      <w:numFmt w:val="decimal"/>
      <w:lvlText w:val="（%1）"/>
      <w:lvlJc w:val="left"/>
      <w:pPr>
        <w:ind w:left="704" w:hanging="420"/>
      </w:pPr>
      <w:rPr>
        <w:rFonts w:hint="default"/>
        <w:lang w:val="en-US"/>
      </w:rPr>
    </w:lvl>
    <w:lvl w:ilvl="1" w:tentative="0">
      <w:start w:val="1"/>
      <w:numFmt w:val="lowerLetter"/>
      <w:lvlText w:val="%2)"/>
      <w:lvlJc w:val="left"/>
      <w:pPr>
        <w:ind w:left="699" w:hanging="420"/>
      </w:pPr>
    </w:lvl>
    <w:lvl w:ilvl="2" w:tentative="0">
      <w:start w:val="1"/>
      <w:numFmt w:val="lowerRoman"/>
      <w:lvlText w:val="%3."/>
      <w:lvlJc w:val="right"/>
      <w:pPr>
        <w:ind w:left="1119" w:hanging="420"/>
      </w:pPr>
    </w:lvl>
    <w:lvl w:ilvl="3" w:tentative="0">
      <w:start w:val="1"/>
      <w:numFmt w:val="decimal"/>
      <w:lvlText w:val="%4."/>
      <w:lvlJc w:val="left"/>
      <w:pPr>
        <w:ind w:left="1539" w:hanging="420"/>
      </w:pPr>
    </w:lvl>
    <w:lvl w:ilvl="4" w:tentative="0">
      <w:start w:val="1"/>
      <w:numFmt w:val="lowerLetter"/>
      <w:lvlText w:val="%5)"/>
      <w:lvlJc w:val="left"/>
      <w:pPr>
        <w:ind w:left="1959" w:hanging="420"/>
      </w:pPr>
    </w:lvl>
    <w:lvl w:ilvl="5" w:tentative="0">
      <w:start w:val="1"/>
      <w:numFmt w:val="lowerRoman"/>
      <w:lvlText w:val="%6."/>
      <w:lvlJc w:val="right"/>
      <w:pPr>
        <w:ind w:left="2379" w:hanging="420"/>
      </w:pPr>
    </w:lvl>
    <w:lvl w:ilvl="6" w:tentative="0">
      <w:start w:val="1"/>
      <w:numFmt w:val="decimal"/>
      <w:lvlText w:val="%7."/>
      <w:lvlJc w:val="left"/>
      <w:pPr>
        <w:ind w:left="2799" w:hanging="420"/>
      </w:pPr>
    </w:lvl>
    <w:lvl w:ilvl="7" w:tentative="0">
      <w:start w:val="1"/>
      <w:numFmt w:val="lowerLetter"/>
      <w:lvlText w:val="%8)"/>
      <w:lvlJc w:val="left"/>
      <w:pPr>
        <w:ind w:left="3219" w:hanging="420"/>
      </w:pPr>
    </w:lvl>
    <w:lvl w:ilvl="8" w:tentative="0">
      <w:start w:val="1"/>
      <w:numFmt w:val="lowerRoman"/>
      <w:lvlText w:val="%9."/>
      <w:lvlJc w:val="right"/>
      <w:pPr>
        <w:ind w:left="3639" w:hanging="420"/>
      </w:pPr>
    </w:lvl>
  </w:abstractNum>
  <w:abstractNum w:abstractNumId="16">
    <w:nsid w:val="41DA7E13"/>
    <w:multiLevelType w:val="multilevel"/>
    <w:tmpl w:val="41DA7E1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46A432D3"/>
    <w:multiLevelType w:val="multilevel"/>
    <w:tmpl w:val="46A432D3"/>
    <w:lvl w:ilvl="0" w:tentative="0">
      <w:start w:val="1"/>
      <w:numFmt w:val="bullet"/>
      <w:lvlText w:val=""/>
      <w:lvlJc w:val="left"/>
      <w:pPr>
        <w:ind w:left="1144" w:hanging="440"/>
      </w:pPr>
      <w:rPr>
        <w:rFonts w:hint="default" w:ascii="Wingdings" w:hAnsi="Wingdings"/>
      </w:rPr>
    </w:lvl>
    <w:lvl w:ilvl="1" w:tentative="0">
      <w:start w:val="1"/>
      <w:numFmt w:val="bullet"/>
      <w:lvlText w:val=""/>
      <w:lvlJc w:val="left"/>
      <w:pPr>
        <w:ind w:left="1584" w:hanging="440"/>
      </w:pPr>
      <w:rPr>
        <w:rFonts w:hint="default" w:ascii="Wingdings" w:hAnsi="Wingdings"/>
      </w:rPr>
    </w:lvl>
    <w:lvl w:ilvl="2" w:tentative="0">
      <w:start w:val="1"/>
      <w:numFmt w:val="bullet"/>
      <w:lvlText w:val=""/>
      <w:lvlJc w:val="left"/>
      <w:pPr>
        <w:ind w:left="2024" w:hanging="440"/>
      </w:pPr>
      <w:rPr>
        <w:rFonts w:hint="default" w:ascii="Wingdings" w:hAnsi="Wingdings"/>
      </w:rPr>
    </w:lvl>
    <w:lvl w:ilvl="3" w:tentative="0">
      <w:start w:val="1"/>
      <w:numFmt w:val="bullet"/>
      <w:lvlText w:val=""/>
      <w:lvlJc w:val="left"/>
      <w:pPr>
        <w:ind w:left="2464" w:hanging="440"/>
      </w:pPr>
      <w:rPr>
        <w:rFonts w:hint="default" w:ascii="Wingdings" w:hAnsi="Wingdings"/>
      </w:rPr>
    </w:lvl>
    <w:lvl w:ilvl="4" w:tentative="0">
      <w:start w:val="1"/>
      <w:numFmt w:val="bullet"/>
      <w:lvlText w:val=""/>
      <w:lvlJc w:val="left"/>
      <w:pPr>
        <w:ind w:left="2904" w:hanging="440"/>
      </w:pPr>
      <w:rPr>
        <w:rFonts w:hint="default" w:ascii="Wingdings" w:hAnsi="Wingdings"/>
      </w:rPr>
    </w:lvl>
    <w:lvl w:ilvl="5" w:tentative="0">
      <w:start w:val="1"/>
      <w:numFmt w:val="bullet"/>
      <w:lvlText w:val=""/>
      <w:lvlJc w:val="left"/>
      <w:pPr>
        <w:ind w:left="3344" w:hanging="440"/>
      </w:pPr>
      <w:rPr>
        <w:rFonts w:hint="default" w:ascii="Wingdings" w:hAnsi="Wingdings"/>
      </w:rPr>
    </w:lvl>
    <w:lvl w:ilvl="6" w:tentative="0">
      <w:start w:val="1"/>
      <w:numFmt w:val="bullet"/>
      <w:lvlText w:val=""/>
      <w:lvlJc w:val="left"/>
      <w:pPr>
        <w:ind w:left="3784" w:hanging="440"/>
      </w:pPr>
      <w:rPr>
        <w:rFonts w:hint="default" w:ascii="Wingdings" w:hAnsi="Wingdings"/>
      </w:rPr>
    </w:lvl>
    <w:lvl w:ilvl="7" w:tentative="0">
      <w:start w:val="1"/>
      <w:numFmt w:val="bullet"/>
      <w:lvlText w:val=""/>
      <w:lvlJc w:val="left"/>
      <w:pPr>
        <w:ind w:left="4224" w:hanging="440"/>
      </w:pPr>
      <w:rPr>
        <w:rFonts w:hint="default" w:ascii="Wingdings" w:hAnsi="Wingdings"/>
      </w:rPr>
    </w:lvl>
    <w:lvl w:ilvl="8" w:tentative="0">
      <w:start w:val="1"/>
      <w:numFmt w:val="bullet"/>
      <w:lvlText w:val=""/>
      <w:lvlJc w:val="left"/>
      <w:pPr>
        <w:ind w:left="4664" w:hanging="440"/>
      </w:pPr>
      <w:rPr>
        <w:rFonts w:hint="default" w:ascii="Wingdings" w:hAnsi="Wingdings"/>
      </w:rPr>
    </w:lvl>
  </w:abstractNum>
  <w:abstractNum w:abstractNumId="18">
    <w:nsid w:val="47636252"/>
    <w:multiLevelType w:val="multilevel"/>
    <w:tmpl w:val="47636252"/>
    <w:lvl w:ilvl="0" w:tentative="0">
      <w:start w:val="1"/>
      <w:numFmt w:val="decimal"/>
      <w:lvlText w:val="%1."/>
      <w:lvlJc w:val="left"/>
      <w:pPr>
        <w:ind w:left="420" w:hanging="420"/>
      </w:pPr>
      <w:rPr>
        <w:rFonts w:hint="default"/>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4AC3669E"/>
    <w:multiLevelType w:val="multilevel"/>
    <w:tmpl w:val="4AC3669E"/>
    <w:lvl w:ilvl="0" w:tentative="0">
      <w:start w:val="1"/>
      <w:numFmt w:val="decimal"/>
      <w:lvlText w:val="%1)"/>
      <w:lvlJc w:val="left"/>
      <w:pPr>
        <w:ind w:left="1302" w:hanging="440"/>
      </w:pPr>
    </w:lvl>
    <w:lvl w:ilvl="1" w:tentative="0">
      <w:start w:val="1"/>
      <w:numFmt w:val="lowerLetter"/>
      <w:lvlText w:val="%2)"/>
      <w:lvlJc w:val="left"/>
      <w:pPr>
        <w:ind w:left="1742" w:hanging="440"/>
      </w:pPr>
    </w:lvl>
    <w:lvl w:ilvl="2" w:tentative="0">
      <w:start w:val="1"/>
      <w:numFmt w:val="lowerRoman"/>
      <w:lvlText w:val="%3."/>
      <w:lvlJc w:val="right"/>
      <w:pPr>
        <w:ind w:left="2182" w:hanging="440"/>
      </w:pPr>
    </w:lvl>
    <w:lvl w:ilvl="3" w:tentative="0">
      <w:start w:val="1"/>
      <w:numFmt w:val="decimal"/>
      <w:lvlText w:val="%4."/>
      <w:lvlJc w:val="left"/>
      <w:pPr>
        <w:ind w:left="2622" w:hanging="440"/>
      </w:pPr>
    </w:lvl>
    <w:lvl w:ilvl="4" w:tentative="0">
      <w:start w:val="1"/>
      <w:numFmt w:val="lowerLetter"/>
      <w:lvlText w:val="%5)"/>
      <w:lvlJc w:val="left"/>
      <w:pPr>
        <w:ind w:left="3062" w:hanging="440"/>
      </w:pPr>
    </w:lvl>
    <w:lvl w:ilvl="5" w:tentative="0">
      <w:start w:val="1"/>
      <w:numFmt w:val="lowerRoman"/>
      <w:lvlText w:val="%6."/>
      <w:lvlJc w:val="right"/>
      <w:pPr>
        <w:ind w:left="3502" w:hanging="440"/>
      </w:pPr>
    </w:lvl>
    <w:lvl w:ilvl="6" w:tentative="0">
      <w:start w:val="1"/>
      <w:numFmt w:val="decimal"/>
      <w:lvlText w:val="%7."/>
      <w:lvlJc w:val="left"/>
      <w:pPr>
        <w:ind w:left="3942" w:hanging="440"/>
      </w:pPr>
    </w:lvl>
    <w:lvl w:ilvl="7" w:tentative="0">
      <w:start w:val="1"/>
      <w:numFmt w:val="lowerLetter"/>
      <w:lvlText w:val="%8)"/>
      <w:lvlJc w:val="left"/>
      <w:pPr>
        <w:ind w:left="4382" w:hanging="440"/>
      </w:pPr>
    </w:lvl>
    <w:lvl w:ilvl="8" w:tentative="0">
      <w:start w:val="1"/>
      <w:numFmt w:val="lowerRoman"/>
      <w:lvlText w:val="%9."/>
      <w:lvlJc w:val="right"/>
      <w:pPr>
        <w:ind w:left="4822" w:hanging="440"/>
      </w:pPr>
    </w:lvl>
  </w:abstractNum>
  <w:abstractNum w:abstractNumId="20">
    <w:nsid w:val="4DBD1809"/>
    <w:multiLevelType w:val="multilevel"/>
    <w:tmpl w:val="4DBD1809"/>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1">
    <w:nsid w:val="51DF13C3"/>
    <w:multiLevelType w:val="multilevel"/>
    <w:tmpl w:val="51DF13C3"/>
    <w:lvl w:ilvl="0" w:tentative="0">
      <w:start w:val="1"/>
      <w:numFmt w:val="decimal"/>
      <w:lvlText w:val="%1."/>
      <w:lvlJc w:val="left"/>
      <w:pPr>
        <w:ind w:left="860" w:hanging="440"/>
      </w:pPr>
    </w:lvl>
    <w:lvl w:ilvl="1" w:tentative="0">
      <w:start w:val="2"/>
      <w:numFmt w:val="decimal"/>
      <w:isLgl/>
      <w:lvlText w:val="%1.%2"/>
      <w:lvlJc w:val="left"/>
      <w:pPr>
        <w:ind w:left="960" w:hanging="540"/>
      </w:pPr>
      <w:rPr>
        <w:rFonts w:hint="default"/>
      </w:rPr>
    </w:lvl>
    <w:lvl w:ilvl="2" w:tentative="0">
      <w:start w:val="1"/>
      <w:numFmt w:val="decimal"/>
      <w:isLgl/>
      <w:lvlText w:val="%1.%2.%3"/>
      <w:lvlJc w:val="left"/>
      <w:pPr>
        <w:ind w:left="1140" w:hanging="720"/>
      </w:pPr>
      <w:rPr>
        <w:rFonts w:hint="default"/>
      </w:rPr>
    </w:lvl>
    <w:lvl w:ilvl="3" w:tentative="0">
      <w:start w:val="1"/>
      <w:numFmt w:val="decimal"/>
      <w:isLgl/>
      <w:lvlText w:val="%1.%2.%3.%4"/>
      <w:lvlJc w:val="left"/>
      <w:pPr>
        <w:ind w:left="1140" w:hanging="720"/>
      </w:pPr>
      <w:rPr>
        <w:rFonts w:hint="default"/>
      </w:rPr>
    </w:lvl>
    <w:lvl w:ilvl="4" w:tentative="0">
      <w:start w:val="1"/>
      <w:numFmt w:val="decimal"/>
      <w:isLgl/>
      <w:lvlText w:val="%1.%2.%3.%4.%5"/>
      <w:lvlJc w:val="left"/>
      <w:pPr>
        <w:ind w:left="1500" w:hanging="1080"/>
      </w:pPr>
      <w:rPr>
        <w:rFonts w:hint="default"/>
      </w:rPr>
    </w:lvl>
    <w:lvl w:ilvl="5" w:tentative="0">
      <w:start w:val="1"/>
      <w:numFmt w:val="decimal"/>
      <w:isLgl/>
      <w:lvlText w:val="%1.%2.%3.%4.%5.%6"/>
      <w:lvlJc w:val="left"/>
      <w:pPr>
        <w:ind w:left="1500" w:hanging="1080"/>
      </w:pPr>
      <w:rPr>
        <w:rFonts w:hint="default"/>
      </w:rPr>
    </w:lvl>
    <w:lvl w:ilvl="6" w:tentative="0">
      <w:start w:val="1"/>
      <w:numFmt w:val="decimal"/>
      <w:isLgl/>
      <w:lvlText w:val="%1.%2.%3.%4.%5.%6.%7"/>
      <w:lvlJc w:val="left"/>
      <w:pPr>
        <w:ind w:left="1500" w:hanging="1080"/>
      </w:pPr>
      <w:rPr>
        <w:rFonts w:hint="default"/>
      </w:rPr>
    </w:lvl>
    <w:lvl w:ilvl="7" w:tentative="0">
      <w:start w:val="1"/>
      <w:numFmt w:val="decimal"/>
      <w:isLgl/>
      <w:lvlText w:val="%1.%2.%3.%4.%5.%6.%7.%8"/>
      <w:lvlJc w:val="left"/>
      <w:pPr>
        <w:ind w:left="1860" w:hanging="1440"/>
      </w:pPr>
      <w:rPr>
        <w:rFonts w:hint="default"/>
      </w:rPr>
    </w:lvl>
    <w:lvl w:ilvl="8" w:tentative="0">
      <w:start w:val="1"/>
      <w:numFmt w:val="decimal"/>
      <w:isLgl/>
      <w:lvlText w:val="%1.%2.%3.%4.%5.%6.%7.%8.%9"/>
      <w:lvlJc w:val="left"/>
      <w:pPr>
        <w:ind w:left="1860" w:hanging="1440"/>
      </w:pPr>
      <w:rPr>
        <w:rFonts w:hint="default"/>
      </w:rPr>
    </w:lvl>
  </w:abstractNum>
  <w:abstractNum w:abstractNumId="22">
    <w:nsid w:val="62E362DE"/>
    <w:multiLevelType w:val="multilevel"/>
    <w:tmpl w:val="62E362DE"/>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3">
    <w:nsid w:val="693609C9"/>
    <w:multiLevelType w:val="multilevel"/>
    <w:tmpl w:val="693609C9"/>
    <w:lvl w:ilvl="0" w:tentative="0">
      <w:start w:val="1"/>
      <w:numFmt w:val="decimal"/>
      <w:suff w:val="space"/>
      <w:lvlText w:val="（%1）"/>
      <w:lvlJc w:val="left"/>
      <w:pPr>
        <w:ind w:left="724" w:hanging="440"/>
      </w:pPr>
      <w:rPr>
        <w:rFonts w:hint="default"/>
        <w:lang w:val="en-US"/>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4">
    <w:nsid w:val="6EA1633E"/>
    <w:multiLevelType w:val="multilevel"/>
    <w:tmpl w:val="6EA1633E"/>
    <w:lvl w:ilvl="0" w:tentative="0">
      <w:start w:val="1"/>
      <w:numFmt w:val="decimal"/>
      <w:lvlText w:val="%1."/>
      <w:lvlJc w:val="left"/>
      <w:pPr>
        <w:ind w:left="724" w:hanging="440"/>
      </w:pPr>
      <w:rPr>
        <w:rFonts w:hint="eastAsia"/>
      </w:rPr>
    </w:lvl>
    <w:lvl w:ilvl="1" w:tentative="0">
      <w:start w:val="1"/>
      <w:numFmt w:val="lowerLetter"/>
      <w:lvlText w:val="%2)"/>
      <w:lvlJc w:val="left"/>
      <w:pPr>
        <w:ind w:left="1164" w:hanging="440"/>
      </w:pPr>
      <w:rPr>
        <w:rFonts w:hint="eastAsia"/>
      </w:rPr>
    </w:lvl>
    <w:lvl w:ilvl="2" w:tentative="0">
      <w:start w:val="1"/>
      <w:numFmt w:val="lowerRoman"/>
      <w:lvlText w:val="%3."/>
      <w:lvlJc w:val="right"/>
      <w:pPr>
        <w:ind w:left="1604" w:hanging="440"/>
      </w:pPr>
      <w:rPr>
        <w:rFonts w:hint="eastAsia"/>
      </w:rPr>
    </w:lvl>
    <w:lvl w:ilvl="3" w:tentative="0">
      <w:start w:val="1"/>
      <w:numFmt w:val="decimal"/>
      <w:lvlText w:val="%4."/>
      <w:lvlJc w:val="left"/>
      <w:pPr>
        <w:ind w:left="2044" w:hanging="440"/>
      </w:pPr>
      <w:rPr>
        <w:rFonts w:hint="eastAsia"/>
      </w:rPr>
    </w:lvl>
    <w:lvl w:ilvl="4" w:tentative="0">
      <w:start w:val="1"/>
      <w:numFmt w:val="lowerLetter"/>
      <w:lvlText w:val="%5)"/>
      <w:lvlJc w:val="left"/>
      <w:pPr>
        <w:ind w:left="2484" w:hanging="440"/>
      </w:pPr>
      <w:rPr>
        <w:rFonts w:hint="eastAsia"/>
      </w:rPr>
    </w:lvl>
    <w:lvl w:ilvl="5" w:tentative="0">
      <w:start w:val="1"/>
      <w:numFmt w:val="lowerRoman"/>
      <w:lvlText w:val="%6."/>
      <w:lvlJc w:val="right"/>
      <w:pPr>
        <w:ind w:left="2924" w:hanging="440"/>
      </w:pPr>
      <w:rPr>
        <w:rFonts w:hint="eastAsia"/>
      </w:rPr>
    </w:lvl>
    <w:lvl w:ilvl="6" w:tentative="0">
      <w:start w:val="1"/>
      <w:numFmt w:val="decimal"/>
      <w:lvlText w:val="%7."/>
      <w:lvlJc w:val="left"/>
      <w:pPr>
        <w:ind w:left="3364" w:hanging="440"/>
      </w:pPr>
      <w:rPr>
        <w:rFonts w:hint="eastAsia"/>
      </w:rPr>
    </w:lvl>
    <w:lvl w:ilvl="7" w:tentative="0">
      <w:start w:val="1"/>
      <w:numFmt w:val="lowerLetter"/>
      <w:lvlText w:val="%8)"/>
      <w:lvlJc w:val="left"/>
      <w:pPr>
        <w:ind w:left="3804" w:hanging="440"/>
      </w:pPr>
      <w:rPr>
        <w:rFonts w:hint="eastAsia"/>
      </w:rPr>
    </w:lvl>
    <w:lvl w:ilvl="8" w:tentative="0">
      <w:start w:val="1"/>
      <w:numFmt w:val="lowerRoman"/>
      <w:lvlText w:val="%9."/>
      <w:lvlJc w:val="right"/>
      <w:pPr>
        <w:ind w:left="4244" w:hanging="440"/>
      </w:pPr>
      <w:rPr>
        <w:rFonts w:hint="eastAsia"/>
      </w:rPr>
    </w:lvl>
  </w:abstractNum>
  <w:abstractNum w:abstractNumId="25">
    <w:nsid w:val="719407B6"/>
    <w:multiLevelType w:val="multilevel"/>
    <w:tmpl w:val="719407B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73BF3B16"/>
    <w:multiLevelType w:val="multilevel"/>
    <w:tmpl w:val="73BF3B16"/>
    <w:lvl w:ilvl="0" w:tentative="0">
      <w:start w:val="1"/>
      <w:numFmt w:val="decimal"/>
      <w:lvlText w:val="2.%1"/>
      <w:lvlJc w:val="left"/>
      <w:pPr>
        <w:ind w:left="420" w:hanging="420"/>
      </w:pPr>
      <w:rPr>
        <w:rFonts w:hint="eastAsia"/>
        <w:b w:val="0"/>
        <w:i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114BBE"/>
    <w:multiLevelType w:val="multilevel"/>
    <w:tmpl w:val="79114BBE"/>
    <w:lvl w:ilvl="0" w:tentative="0">
      <w:start w:val="1"/>
      <w:numFmt w:val="decimal"/>
      <w:lvlText w:val="%1."/>
      <w:lvlJc w:val="left"/>
      <w:pPr>
        <w:ind w:left="440" w:hanging="440"/>
      </w:pPr>
    </w:lvl>
    <w:lvl w:ilvl="1" w:tentative="0">
      <w:start w:val="2"/>
      <w:numFmt w:val="decimal"/>
      <w:isLgl/>
      <w:lvlText w:val="%1.%2"/>
      <w:lvlJc w:val="left"/>
      <w:pPr>
        <w:ind w:left="630" w:hanging="630"/>
      </w:pPr>
      <w:rPr>
        <w:rFonts w:hint="default"/>
      </w:rPr>
    </w:lvl>
    <w:lvl w:ilvl="2" w:tentative="0">
      <w:start w:val="8"/>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num w:numId="1">
    <w:abstractNumId w:val="18"/>
  </w:num>
  <w:num w:numId="2">
    <w:abstractNumId w:val="26"/>
  </w:num>
  <w:num w:numId="3">
    <w:abstractNumId w:val="16"/>
  </w:num>
  <w:num w:numId="4">
    <w:abstractNumId w:val="14"/>
  </w:num>
  <w:num w:numId="5">
    <w:abstractNumId w:val="0"/>
  </w:num>
  <w:num w:numId="6">
    <w:abstractNumId w:val="22"/>
  </w:num>
  <w:num w:numId="7">
    <w:abstractNumId w:val="20"/>
  </w:num>
  <w:num w:numId="8">
    <w:abstractNumId w:val="6"/>
  </w:num>
  <w:num w:numId="9">
    <w:abstractNumId w:val="25"/>
  </w:num>
  <w:num w:numId="10">
    <w:abstractNumId w:val="21"/>
  </w:num>
  <w:num w:numId="11">
    <w:abstractNumId w:val="2"/>
  </w:num>
  <w:num w:numId="12">
    <w:abstractNumId w:val="9"/>
  </w:num>
  <w:num w:numId="13">
    <w:abstractNumId w:val="1"/>
  </w:num>
  <w:num w:numId="14">
    <w:abstractNumId w:val="27"/>
  </w:num>
  <w:num w:numId="15">
    <w:abstractNumId w:val="11"/>
  </w:num>
  <w:num w:numId="16">
    <w:abstractNumId w:val="3"/>
  </w:num>
  <w:num w:numId="17">
    <w:abstractNumId w:val="19"/>
  </w:num>
  <w:num w:numId="18">
    <w:abstractNumId w:val="10"/>
  </w:num>
  <w:num w:numId="19">
    <w:abstractNumId w:val="15"/>
  </w:num>
  <w:num w:numId="20">
    <w:abstractNumId w:val="8"/>
  </w:num>
  <w:num w:numId="21">
    <w:abstractNumId w:val="17"/>
  </w:num>
  <w:num w:numId="22">
    <w:abstractNumId w:val="4"/>
  </w:num>
  <w:num w:numId="23">
    <w:abstractNumId w:val="7"/>
  </w:num>
  <w:num w:numId="24">
    <w:abstractNumId w:val="5"/>
  </w:num>
  <w:num w:numId="25">
    <w:abstractNumId w:val="13"/>
  </w:num>
  <w:num w:numId="26">
    <w:abstractNumId w:val="24"/>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F7F"/>
    <w:rsid w:val="00001EAA"/>
    <w:rsid w:val="00037E5D"/>
    <w:rsid w:val="000453D7"/>
    <w:rsid w:val="000458C4"/>
    <w:rsid w:val="00070118"/>
    <w:rsid w:val="00071D49"/>
    <w:rsid w:val="00077A87"/>
    <w:rsid w:val="000821A4"/>
    <w:rsid w:val="00091F68"/>
    <w:rsid w:val="000A0049"/>
    <w:rsid w:val="000A6B5B"/>
    <w:rsid w:val="000E0896"/>
    <w:rsid w:val="000F137D"/>
    <w:rsid w:val="001023AA"/>
    <w:rsid w:val="00104565"/>
    <w:rsid w:val="0010608B"/>
    <w:rsid w:val="0012592C"/>
    <w:rsid w:val="001452D4"/>
    <w:rsid w:val="00151ED3"/>
    <w:rsid w:val="00160881"/>
    <w:rsid w:val="00164660"/>
    <w:rsid w:val="00164CF5"/>
    <w:rsid w:val="00176A7A"/>
    <w:rsid w:val="00182F17"/>
    <w:rsid w:val="00193339"/>
    <w:rsid w:val="00193F70"/>
    <w:rsid w:val="001E1210"/>
    <w:rsid w:val="001F1293"/>
    <w:rsid w:val="001F3884"/>
    <w:rsid w:val="001F50AF"/>
    <w:rsid w:val="001F5C63"/>
    <w:rsid w:val="001F7CBE"/>
    <w:rsid w:val="00205BD4"/>
    <w:rsid w:val="002065E4"/>
    <w:rsid w:val="00207E01"/>
    <w:rsid w:val="002217BC"/>
    <w:rsid w:val="00226175"/>
    <w:rsid w:val="002327E5"/>
    <w:rsid w:val="00247025"/>
    <w:rsid w:val="00250B84"/>
    <w:rsid w:val="00255450"/>
    <w:rsid w:val="00264217"/>
    <w:rsid w:val="00264920"/>
    <w:rsid w:val="00271FA0"/>
    <w:rsid w:val="002746CA"/>
    <w:rsid w:val="00282977"/>
    <w:rsid w:val="002931D0"/>
    <w:rsid w:val="002B2A26"/>
    <w:rsid w:val="002B2F74"/>
    <w:rsid w:val="002D0738"/>
    <w:rsid w:val="002D2D6B"/>
    <w:rsid w:val="002D482C"/>
    <w:rsid w:val="002D691A"/>
    <w:rsid w:val="002E568A"/>
    <w:rsid w:val="002F171E"/>
    <w:rsid w:val="00302114"/>
    <w:rsid w:val="00306448"/>
    <w:rsid w:val="00314892"/>
    <w:rsid w:val="00317ECF"/>
    <w:rsid w:val="00336677"/>
    <w:rsid w:val="0034201E"/>
    <w:rsid w:val="00343B3D"/>
    <w:rsid w:val="00353043"/>
    <w:rsid w:val="00354D42"/>
    <w:rsid w:val="00354F13"/>
    <w:rsid w:val="00361353"/>
    <w:rsid w:val="003658EC"/>
    <w:rsid w:val="003A0E28"/>
    <w:rsid w:val="003C2088"/>
    <w:rsid w:val="003E41C9"/>
    <w:rsid w:val="004032A3"/>
    <w:rsid w:val="004216BF"/>
    <w:rsid w:val="0043782D"/>
    <w:rsid w:val="00444556"/>
    <w:rsid w:val="00444810"/>
    <w:rsid w:val="00446943"/>
    <w:rsid w:val="00457808"/>
    <w:rsid w:val="00462592"/>
    <w:rsid w:val="00463CF8"/>
    <w:rsid w:val="00480294"/>
    <w:rsid w:val="0049043D"/>
    <w:rsid w:val="004A190D"/>
    <w:rsid w:val="004A51C2"/>
    <w:rsid w:val="004B3630"/>
    <w:rsid w:val="004B63DB"/>
    <w:rsid w:val="004C3375"/>
    <w:rsid w:val="004C569D"/>
    <w:rsid w:val="004D1E67"/>
    <w:rsid w:val="004E7308"/>
    <w:rsid w:val="0050186A"/>
    <w:rsid w:val="00502872"/>
    <w:rsid w:val="005134A1"/>
    <w:rsid w:val="00513606"/>
    <w:rsid w:val="0052308C"/>
    <w:rsid w:val="00523339"/>
    <w:rsid w:val="00527775"/>
    <w:rsid w:val="00546B3D"/>
    <w:rsid w:val="00546B68"/>
    <w:rsid w:val="00557CE8"/>
    <w:rsid w:val="00572460"/>
    <w:rsid w:val="00580D39"/>
    <w:rsid w:val="0058186D"/>
    <w:rsid w:val="005859A7"/>
    <w:rsid w:val="005963FA"/>
    <w:rsid w:val="005C6C27"/>
    <w:rsid w:val="005E7579"/>
    <w:rsid w:val="00606409"/>
    <w:rsid w:val="00611B8A"/>
    <w:rsid w:val="00617E33"/>
    <w:rsid w:val="006246FC"/>
    <w:rsid w:val="00625B4A"/>
    <w:rsid w:val="00634D60"/>
    <w:rsid w:val="00645642"/>
    <w:rsid w:val="00650549"/>
    <w:rsid w:val="00650BC9"/>
    <w:rsid w:val="00651CF5"/>
    <w:rsid w:val="00653E12"/>
    <w:rsid w:val="00656AB9"/>
    <w:rsid w:val="006573BC"/>
    <w:rsid w:val="00670F52"/>
    <w:rsid w:val="0069401B"/>
    <w:rsid w:val="006B60B5"/>
    <w:rsid w:val="006C64DA"/>
    <w:rsid w:val="006C7918"/>
    <w:rsid w:val="006D2D96"/>
    <w:rsid w:val="006D4DD1"/>
    <w:rsid w:val="006E3D00"/>
    <w:rsid w:val="006E5B1D"/>
    <w:rsid w:val="00717FDE"/>
    <w:rsid w:val="007272BC"/>
    <w:rsid w:val="0073058C"/>
    <w:rsid w:val="00732AAC"/>
    <w:rsid w:val="00732C25"/>
    <w:rsid w:val="007531E7"/>
    <w:rsid w:val="00781584"/>
    <w:rsid w:val="00783A8E"/>
    <w:rsid w:val="007C2347"/>
    <w:rsid w:val="007C2FDD"/>
    <w:rsid w:val="007D3AC5"/>
    <w:rsid w:val="007E1EEE"/>
    <w:rsid w:val="007E485E"/>
    <w:rsid w:val="007E4B8F"/>
    <w:rsid w:val="0080634C"/>
    <w:rsid w:val="00824216"/>
    <w:rsid w:val="00840494"/>
    <w:rsid w:val="008504B2"/>
    <w:rsid w:val="00853A80"/>
    <w:rsid w:val="008611D4"/>
    <w:rsid w:val="00880B43"/>
    <w:rsid w:val="00893D6A"/>
    <w:rsid w:val="00894EA3"/>
    <w:rsid w:val="008C0788"/>
    <w:rsid w:val="008C26F7"/>
    <w:rsid w:val="008E29AA"/>
    <w:rsid w:val="008E2A3E"/>
    <w:rsid w:val="008F17B8"/>
    <w:rsid w:val="008F27B3"/>
    <w:rsid w:val="009033C4"/>
    <w:rsid w:val="0090615E"/>
    <w:rsid w:val="00907F7F"/>
    <w:rsid w:val="00921495"/>
    <w:rsid w:val="009502E0"/>
    <w:rsid w:val="00963124"/>
    <w:rsid w:val="0097413D"/>
    <w:rsid w:val="009823B5"/>
    <w:rsid w:val="009870A2"/>
    <w:rsid w:val="009942E3"/>
    <w:rsid w:val="0099454A"/>
    <w:rsid w:val="009C654D"/>
    <w:rsid w:val="009D13BC"/>
    <w:rsid w:val="009D40A5"/>
    <w:rsid w:val="009D7C94"/>
    <w:rsid w:val="009E0841"/>
    <w:rsid w:val="009E6E1E"/>
    <w:rsid w:val="009F031C"/>
    <w:rsid w:val="009F708F"/>
    <w:rsid w:val="00A107C1"/>
    <w:rsid w:val="00A12B69"/>
    <w:rsid w:val="00A247CE"/>
    <w:rsid w:val="00A30527"/>
    <w:rsid w:val="00A32B28"/>
    <w:rsid w:val="00A34622"/>
    <w:rsid w:val="00A349A6"/>
    <w:rsid w:val="00A40F25"/>
    <w:rsid w:val="00A5133F"/>
    <w:rsid w:val="00A51E4B"/>
    <w:rsid w:val="00A579C9"/>
    <w:rsid w:val="00A653A9"/>
    <w:rsid w:val="00A7499C"/>
    <w:rsid w:val="00A915BD"/>
    <w:rsid w:val="00A921CE"/>
    <w:rsid w:val="00AA463F"/>
    <w:rsid w:val="00AC4DF9"/>
    <w:rsid w:val="00AD251B"/>
    <w:rsid w:val="00AE1AB8"/>
    <w:rsid w:val="00AF2A69"/>
    <w:rsid w:val="00B13F22"/>
    <w:rsid w:val="00B17EA9"/>
    <w:rsid w:val="00B231A7"/>
    <w:rsid w:val="00B34521"/>
    <w:rsid w:val="00B35E3A"/>
    <w:rsid w:val="00B553AD"/>
    <w:rsid w:val="00B8557C"/>
    <w:rsid w:val="00B96DE9"/>
    <w:rsid w:val="00BB0594"/>
    <w:rsid w:val="00BC0806"/>
    <w:rsid w:val="00BC0996"/>
    <w:rsid w:val="00BC7151"/>
    <w:rsid w:val="00BC7159"/>
    <w:rsid w:val="00BD6819"/>
    <w:rsid w:val="00C056F9"/>
    <w:rsid w:val="00C22438"/>
    <w:rsid w:val="00C42141"/>
    <w:rsid w:val="00C454EC"/>
    <w:rsid w:val="00C705E4"/>
    <w:rsid w:val="00C73297"/>
    <w:rsid w:val="00C8754E"/>
    <w:rsid w:val="00C90704"/>
    <w:rsid w:val="00C91831"/>
    <w:rsid w:val="00C940BC"/>
    <w:rsid w:val="00C94498"/>
    <w:rsid w:val="00CA049F"/>
    <w:rsid w:val="00CA579D"/>
    <w:rsid w:val="00CC0C0B"/>
    <w:rsid w:val="00CC28AD"/>
    <w:rsid w:val="00CC32F3"/>
    <w:rsid w:val="00CE1024"/>
    <w:rsid w:val="00CE1C51"/>
    <w:rsid w:val="00CE4175"/>
    <w:rsid w:val="00D20012"/>
    <w:rsid w:val="00D23F54"/>
    <w:rsid w:val="00D24A50"/>
    <w:rsid w:val="00D31CA0"/>
    <w:rsid w:val="00D344DE"/>
    <w:rsid w:val="00D35C56"/>
    <w:rsid w:val="00D602F9"/>
    <w:rsid w:val="00D60A3B"/>
    <w:rsid w:val="00D72D17"/>
    <w:rsid w:val="00D83286"/>
    <w:rsid w:val="00D87E9D"/>
    <w:rsid w:val="00D90DBB"/>
    <w:rsid w:val="00DC143B"/>
    <w:rsid w:val="00DC5A58"/>
    <w:rsid w:val="00DD3BE1"/>
    <w:rsid w:val="00DD4B16"/>
    <w:rsid w:val="00DF6A4D"/>
    <w:rsid w:val="00E014ED"/>
    <w:rsid w:val="00E03D0F"/>
    <w:rsid w:val="00E06BDD"/>
    <w:rsid w:val="00E14718"/>
    <w:rsid w:val="00E172A3"/>
    <w:rsid w:val="00E21130"/>
    <w:rsid w:val="00E21228"/>
    <w:rsid w:val="00E33B49"/>
    <w:rsid w:val="00E35328"/>
    <w:rsid w:val="00E44117"/>
    <w:rsid w:val="00E44D47"/>
    <w:rsid w:val="00E5456C"/>
    <w:rsid w:val="00E81537"/>
    <w:rsid w:val="00E83843"/>
    <w:rsid w:val="00E90096"/>
    <w:rsid w:val="00EA507B"/>
    <w:rsid w:val="00EA568F"/>
    <w:rsid w:val="00EB0E9B"/>
    <w:rsid w:val="00EC6480"/>
    <w:rsid w:val="00EE11D6"/>
    <w:rsid w:val="00EE57C9"/>
    <w:rsid w:val="00EF4653"/>
    <w:rsid w:val="00F15A71"/>
    <w:rsid w:val="00F15F37"/>
    <w:rsid w:val="00F23ADE"/>
    <w:rsid w:val="00F27F09"/>
    <w:rsid w:val="00F35643"/>
    <w:rsid w:val="00F374F5"/>
    <w:rsid w:val="00F56FAB"/>
    <w:rsid w:val="00F71200"/>
    <w:rsid w:val="00F75911"/>
    <w:rsid w:val="00F91768"/>
    <w:rsid w:val="00F97CEF"/>
    <w:rsid w:val="00FA68E3"/>
    <w:rsid w:val="00FB22E5"/>
    <w:rsid w:val="00FB3228"/>
    <w:rsid w:val="00FD1FEC"/>
    <w:rsid w:val="00FD54FA"/>
    <w:rsid w:val="00FE51B3"/>
    <w:rsid w:val="00FF27B9"/>
    <w:rsid w:val="00FF6AAA"/>
    <w:rsid w:val="01672AF3"/>
    <w:rsid w:val="03D96137"/>
    <w:rsid w:val="07B80D15"/>
    <w:rsid w:val="09D145B1"/>
    <w:rsid w:val="171F5D72"/>
    <w:rsid w:val="1BAD4B8D"/>
    <w:rsid w:val="1CC70723"/>
    <w:rsid w:val="1DE467D9"/>
    <w:rsid w:val="1F0112D9"/>
    <w:rsid w:val="210A2704"/>
    <w:rsid w:val="24AC11A2"/>
    <w:rsid w:val="25F27417"/>
    <w:rsid w:val="26963AC5"/>
    <w:rsid w:val="29704272"/>
    <w:rsid w:val="2AF66A43"/>
    <w:rsid w:val="2B515682"/>
    <w:rsid w:val="2D4A3388"/>
    <w:rsid w:val="2E200339"/>
    <w:rsid w:val="2EB52DA2"/>
    <w:rsid w:val="337E053C"/>
    <w:rsid w:val="35205C03"/>
    <w:rsid w:val="35D03704"/>
    <w:rsid w:val="38730CFC"/>
    <w:rsid w:val="39555BD1"/>
    <w:rsid w:val="3B5B38D0"/>
    <w:rsid w:val="40EF1917"/>
    <w:rsid w:val="438918AE"/>
    <w:rsid w:val="4CA57EAC"/>
    <w:rsid w:val="50D15CF8"/>
    <w:rsid w:val="51C41E8B"/>
    <w:rsid w:val="56333E91"/>
    <w:rsid w:val="578D66F1"/>
    <w:rsid w:val="58321D0D"/>
    <w:rsid w:val="59AF099B"/>
    <w:rsid w:val="5D431D2B"/>
    <w:rsid w:val="5D7E6E9A"/>
    <w:rsid w:val="604007A4"/>
    <w:rsid w:val="62197A4E"/>
    <w:rsid w:val="66214BD4"/>
    <w:rsid w:val="683B13D0"/>
    <w:rsid w:val="6A8E092A"/>
    <w:rsid w:val="6F6B7F58"/>
    <w:rsid w:val="76DC463E"/>
    <w:rsid w:val="774E5BD9"/>
    <w:rsid w:val="78C961F4"/>
    <w:rsid w:val="791B0913"/>
    <w:rsid w:val="7A5B654D"/>
    <w:rsid w:val="7A6D61E2"/>
    <w:rsid w:val="7AA25117"/>
    <w:rsid w:val="7AC470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Calibri Light" w:hAnsi="Calibri Light"/>
      <w:b/>
      <w:bCs/>
      <w:sz w:val="32"/>
      <w:szCs w:val="32"/>
    </w:rPr>
  </w:style>
  <w:style w:type="paragraph" w:styleId="5">
    <w:name w:val="heading 3"/>
    <w:basedOn w:val="1"/>
    <w:next w:val="1"/>
    <w:link w:val="29"/>
    <w:qFormat/>
    <w:uiPriority w:val="0"/>
    <w:pPr>
      <w:keepNext/>
      <w:keepLines/>
      <w:spacing w:before="260" w:after="260" w:line="416" w:lineRule="auto"/>
      <w:outlineLvl w:val="2"/>
    </w:pPr>
    <w:rPr>
      <w:b/>
      <w:bCs/>
      <w:sz w:val="32"/>
      <w:szCs w:val="32"/>
    </w:rPr>
  </w:style>
  <w:style w:type="paragraph" w:styleId="6">
    <w:name w:val="heading 4"/>
    <w:basedOn w:val="1"/>
    <w:next w:val="1"/>
    <w:link w:val="30"/>
    <w:qFormat/>
    <w:uiPriority w:val="0"/>
    <w:pPr>
      <w:keepNext/>
      <w:keepLines/>
      <w:spacing w:before="280" w:after="290" w:line="376" w:lineRule="auto"/>
      <w:outlineLvl w:val="3"/>
    </w:pPr>
    <w:rPr>
      <w:rFonts w:ascii="Calibri Light" w:hAnsi="Calibri Light"/>
      <w:b/>
      <w:bCs/>
      <w:sz w:val="28"/>
      <w:szCs w:val="28"/>
    </w:rPr>
  </w:style>
  <w:style w:type="paragraph" w:styleId="7">
    <w:name w:val="heading 5"/>
    <w:basedOn w:val="1"/>
    <w:next w:val="1"/>
    <w:link w:val="31"/>
    <w:qFormat/>
    <w:uiPriority w:val="9"/>
    <w:pPr>
      <w:keepNext/>
      <w:keepLines/>
      <w:spacing w:before="280" w:after="290" w:line="376" w:lineRule="auto"/>
      <w:outlineLvl w:val="4"/>
    </w:pPr>
    <w:rPr>
      <w:rFonts w:ascii="Calibri" w:hAnsi="Calibri"/>
      <w:b/>
      <w:bCs/>
      <w:sz w:val="28"/>
      <w:szCs w:val="28"/>
    </w:rPr>
  </w:style>
  <w:style w:type="paragraph" w:styleId="8">
    <w:name w:val="heading 6"/>
    <w:basedOn w:val="1"/>
    <w:next w:val="1"/>
    <w:link w:val="32"/>
    <w:qFormat/>
    <w:uiPriority w:val="9"/>
    <w:pPr>
      <w:keepNext/>
      <w:keepLines/>
      <w:spacing w:before="240" w:after="64" w:line="320" w:lineRule="auto"/>
      <w:outlineLvl w:val="5"/>
    </w:pPr>
    <w:rPr>
      <w:rFonts w:ascii="Calibri Light" w:hAnsi="Calibri Light"/>
      <w:b/>
      <w:bCs/>
      <w:sz w:val="24"/>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8"/>
    <w:qFormat/>
    <w:uiPriority w:val="0"/>
    <w:pPr>
      <w:widowControl/>
      <w:autoSpaceDE w:val="0"/>
      <w:autoSpaceDN w:val="0"/>
      <w:adjustRightInd w:val="0"/>
      <w:spacing w:line="360" w:lineRule="atLeast"/>
      <w:ind w:firstLine="420"/>
      <w:jc w:val="left"/>
      <w:textAlignment w:val="baseline"/>
    </w:pPr>
    <w:rPr>
      <w:rFonts w:ascii="宋体"/>
      <w:kern w:val="0"/>
      <w:sz w:val="24"/>
      <w:szCs w:val="20"/>
    </w:rPr>
  </w:style>
  <w:style w:type="paragraph" w:styleId="9">
    <w:name w:val="toa heading"/>
    <w:basedOn w:val="1"/>
    <w:next w:val="1"/>
    <w:qFormat/>
    <w:uiPriority w:val="0"/>
    <w:pPr>
      <w:widowControl/>
      <w:spacing w:before="120"/>
      <w:jc w:val="left"/>
    </w:pPr>
    <w:rPr>
      <w:rFonts w:ascii="Arial" w:hAnsi="Arial" w:cs="Arial"/>
      <w:sz w:val="24"/>
    </w:rPr>
  </w:style>
  <w:style w:type="paragraph" w:styleId="10">
    <w:name w:val="annotation text"/>
    <w:basedOn w:val="1"/>
    <w:link w:val="33"/>
    <w:qFormat/>
    <w:uiPriority w:val="99"/>
    <w:pPr>
      <w:jc w:val="left"/>
    </w:pPr>
  </w:style>
  <w:style w:type="paragraph" w:styleId="11">
    <w:name w:val="Body Text"/>
    <w:basedOn w:val="1"/>
    <w:link w:val="34"/>
    <w:qFormat/>
    <w:uiPriority w:val="99"/>
    <w:pPr>
      <w:spacing w:after="120"/>
    </w:pPr>
  </w:style>
  <w:style w:type="paragraph" w:styleId="12">
    <w:name w:val="Body Text Indent"/>
    <w:basedOn w:val="1"/>
    <w:qFormat/>
    <w:uiPriority w:val="0"/>
    <w:pPr>
      <w:spacing w:line="440" w:lineRule="atLeast"/>
      <w:ind w:firstLine="480"/>
    </w:pPr>
    <w:rPr>
      <w:color w:val="FF0000"/>
    </w:rPr>
  </w:style>
  <w:style w:type="paragraph" w:styleId="13">
    <w:name w:val="toc 3"/>
    <w:basedOn w:val="1"/>
    <w:next w:val="1"/>
    <w:unhideWhenUsed/>
    <w:qFormat/>
    <w:uiPriority w:val="39"/>
    <w:pPr>
      <w:widowControl/>
      <w:spacing w:after="100" w:line="259" w:lineRule="auto"/>
      <w:ind w:left="440"/>
      <w:jc w:val="left"/>
    </w:pPr>
    <w:rPr>
      <w:rFonts w:ascii="Calibri" w:hAnsi="Calibri"/>
      <w:kern w:val="0"/>
      <w:sz w:val="22"/>
      <w:szCs w:val="22"/>
    </w:rPr>
  </w:style>
  <w:style w:type="paragraph" w:styleId="14">
    <w:name w:val="Plain Text"/>
    <w:basedOn w:val="1"/>
    <w:link w:val="35"/>
    <w:qFormat/>
    <w:uiPriority w:val="0"/>
    <w:rPr>
      <w:rFonts w:ascii="宋体" w:hAnsi="Courier New"/>
      <w:kern w:val="0"/>
      <w:sz w:val="20"/>
      <w:szCs w:val="20"/>
    </w:rPr>
  </w:style>
  <w:style w:type="paragraph" w:styleId="15">
    <w:name w:val="Balloon Text"/>
    <w:basedOn w:val="1"/>
    <w:link w:val="36"/>
    <w:unhideWhenUsed/>
    <w:qFormat/>
    <w:uiPriority w:val="99"/>
    <w:rPr>
      <w:rFonts w:ascii="Calibri" w:hAnsi="Calibri"/>
      <w:sz w:val="18"/>
      <w:szCs w:val="18"/>
    </w:rPr>
  </w:style>
  <w:style w:type="paragraph" w:styleId="16">
    <w:name w:val="footer"/>
    <w:basedOn w:val="1"/>
    <w:link w:val="37"/>
    <w:unhideWhenUsed/>
    <w:qFormat/>
    <w:uiPriority w:val="99"/>
    <w:pPr>
      <w:tabs>
        <w:tab w:val="center" w:pos="4153"/>
        <w:tab w:val="right" w:pos="8306"/>
      </w:tabs>
      <w:snapToGrid w:val="0"/>
      <w:jc w:val="left"/>
    </w:pPr>
    <w:rPr>
      <w:rFonts w:ascii="Calibri" w:hAnsi="Calibri"/>
      <w:sz w:val="18"/>
      <w:szCs w:val="18"/>
    </w:rPr>
  </w:style>
  <w:style w:type="paragraph" w:styleId="17">
    <w:name w:val="header"/>
    <w:basedOn w:val="1"/>
    <w:link w:val="38"/>
    <w:qFormat/>
    <w:uiPriority w:val="99"/>
    <w:pP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59" w:lineRule="auto"/>
      <w:jc w:val="left"/>
    </w:pPr>
    <w:rPr>
      <w:rFonts w:ascii="Calibri" w:hAnsi="Calibri"/>
      <w:kern w:val="0"/>
      <w:sz w:val="22"/>
      <w:szCs w:val="22"/>
    </w:rPr>
  </w:style>
  <w:style w:type="paragraph" w:styleId="19">
    <w:name w:val="toc 2"/>
    <w:basedOn w:val="1"/>
    <w:next w:val="1"/>
    <w:unhideWhenUsed/>
    <w:qFormat/>
    <w:uiPriority w:val="39"/>
    <w:pPr>
      <w:widowControl/>
      <w:spacing w:after="100" w:line="259" w:lineRule="auto"/>
      <w:ind w:left="220"/>
      <w:jc w:val="left"/>
    </w:pPr>
    <w:rPr>
      <w:rFonts w:ascii="Calibri" w:hAnsi="Calibri"/>
      <w:kern w:val="0"/>
      <w:sz w:val="22"/>
      <w:szCs w:val="22"/>
    </w:rPr>
  </w:style>
  <w:style w:type="paragraph" w:styleId="20">
    <w:name w:val="Normal (Web)"/>
    <w:basedOn w:val="1"/>
    <w:qFormat/>
    <w:uiPriority w:val="0"/>
    <w:pPr>
      <w:widowControl/>
      <w:spacing w:before="100" w:beforeAutospacing="1" w:after="100" w:afterAutospacing="1"/>
      <w:jc w:val="left"/>
    </w:pPr>
    <w:rPr>
      <w:rFonts w:ascii="宋体" w:hAnsi="宋体"/>
      <w:kern w:val="0"/>
      <w:sz w:val="24"/>
    </w:rPr>
  </w:style>
  <w:style w:type="paragraph" w:styleId="21">
    <w:name w:val="annotation subject"/>
    <w:basedOn w:val="10"/>
    <w:next w:val="10"/>
    <w:link w:val="39"/>
    <w:qFormat/>
    <w:uiPriority w:val="99"/>
    <w:rPr>
      <w:b/>
      <w:bCs/>
    </w:rPr>
  </w:style>
  <w:style w:type="paragraph" w:styleId="22">
    <w:name w:val="Body Text First Indent"/>
    <w:basedOn w:val="11"/>
    <w:link w:val="40"/>
    <w:unhideWhenUsed/>
    <w:qFormat/>
    <w:uiPriority w:val="99"/>
    <w:pPr>
      <w:spacing w:line="500" w:lineRule="exact"/>
      <w:ind w:firstLine="420" w:firstLineChars="200"/>
    </w:pPr>
  </w:style>
  <w:style w:type="table" w:styleId="24">
    <w:name w:val="Table Grid"/>
    <w:basedOn w:val="23"/>
    <w:qFormat/>
    <w:uiPriority w:val="5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unhideWhenUsed/>
    <w:qFormat/>
    <w:uiPriority w:val="99"/>
    <w:rPr>
      <w:color w:val="0563C1"/>
      <w:u w:val="single"/>
    </w:rPr>
  </w:style>
  <w:style w:type="character" w:styleId="27">
    <w:name w:val="annotation reference"/>
    <w:qFormat/>
    <w:uiPriority w:val="99"/>
    <w:rPr>
      <w:sz w:val="21"/>
      <w:szCs w:val="21"/>
    </w:rPr>
  </w:style>
  <w:style w:type="character" w:customStyle="1" w:styleId="28">
    <w:name w:val="正文缩进 字符"/>
    <w:link w:val="2"/>
    <w:qFormat/>
    <w:uiPriority w:val="0"/>
    <w:rPr>
      <w:rFonts w:ascii="宋体" w:hAnsi="Times New Roman" w:eastAsia="宋体" w:cs="Times New Roman"/>
      <w:sz w:val="24"/>
    </w:rPr>
  </w:style>
  <w:style w:type="character" w:customStyle="1" w:styleId="29">
    <w:name w:val="标题 3 字符"/>
    <w:link w:val="5"/>
    <w:qFormat/>
    <w:uiPriority w:val="0"/>
    <w:rPr>
      <w:rFonts w:ascii="Times New Roman" w:hAnsi="Times New Roman" w:eastAsia="宋体" w:cs="Times New Roman"/>
      <w:b/>
      <w:bCs/>
      <w:kern w:val="2"/>
      <w:sz w:val="32"/>
      <w:szCs w:val="32"/>
    </w:rPr>
  </w:style>
  <w:style w:type="character" w:customStyle="1" w:styleId="30">
    <w:name w:val="标题 4 字符"/>
    <w:link w:val="6"/>
    <w:qFormat/>
    <w:uiPriority w:val="0"/>
    <w:rPr>
      <w:rFonts w:ascii="Calibri Light" w:hAnsi="Calibri Light" w:eastAsia="宋体" w:cs="Times New Roman"/>
      <w:b/>
      <w:bCs/>
      <w:kern w:val="2"/>
      <w:sz w:val="28"/>
      <w:szCs w:val="28"/>
    </w:rPr>
  </w:style>
  <w:style w:type="character" w:customStyle="1" w:styleId="31">
    <w:name w:val="标题 5 字符"/>
    <w:link w:val="7"/>
    <w:qFormat/>
    <w:uiPriority w:val="9"/>
    <w:rPr>
      <w:b/>
      <w:bCs/>
      <w:kern w:val="2"/>
      <w:sz w:val="28"/>
      <w:szCs w:val="28"/>
    </w:rPr>
  </w:style>
  <w:style w:type="character" w:customStyle="1" w:styleId="32">
    <w:name w:val="标题 6 字符"/>
    <w:link w:val="8"/>
    <w:qFormat/>
    <w:uiPriority w:val="9"/>
    <w:rPr>
      <w:rFonts w:ascii="Calibri Light" w:hAnsi="Calibri Light" w:eastAsia="宋体" w:cs="Times New Roman"/>
      <w:b/>
      <w:bCs/>
      <w:kern w:val="2"/>
      <w:sz w:val="24"/>
      <w:szCs w:val="24"/>
    </w:rPr>
  </w:style>
  <w:style w:type="character" w:customStyle="1" w:styleId="33">
    <w:name w:val="批注文字 字符"/>
    <w:link w:val="10"/>
    <w:qFormat/>
    <w:uiPriority w:val="99"/>
    <w:rPr>
      <w:rFonts w:ascii="Times New Roman" w:hAnsi="Times New Roman" w:eastAsia="宋体" w:cs="Times New Roman"/>
      <w:kern w:val="2"/>
      <w:sz w:val="21"/>
      <w:szCs w:val="24"/>
    </w:rPr>
  </w:style>
  <w:style w:type="character" w:customStyle="1" w:styleId="34">
    <w:name w:val="正文文本 字符"/>
    <w:link w:val="11"/>
    <w:qFormat/>
    <w:uiPriority w:val="99"/>
    <w:rPr>
      <w:rFonts w:ascii="Times New Roman" w:hAnsi="Times New Roman" w:eastAsia="宋体" w:cs="Times New Roman"/>
      <w:kern w:val="2"/>
      <w:sz w:val="21"/>
      <w:szCs w:val="24"/>
    </w:rPr>
  </w:style>
  <w:style w:type="character" w:customStyle="1" w:styleId="35">
    <w:name w:val="纯文本 字符"/>
    <w:link w:val="14"/>
    <w:qFormat/>
    <w:uiPriority w:val="0"/>
    <w:rPr>
      <w:rFonts w:ascii="宋体" w:hAnsi="Courier New" w:eastAsia="宋体" w:cs="Times New Roman"/>
    </w:rPr>
  </w:style>
  <w:style w:type="character" w:customStyle="1" w:styleId="36">
    <w:name w:val="批注框文本 字符"/>
    <w:link w:val="15"/>
    <w:qFormat/>
    <w:uiPriority w:val="99"/>
    <w:rPr>
      <w:kern w:val="2"/>
      <w:sz w:val="18"/>
      <w:szCs w:val="18"/>
    </w:rPr>
  </w:style>
  <w:style w:type="character" w:customStyle="1" w:styleId="37">
    <w:name w:val="页脚 字符"/>
    <w:link w:val="16"/>
    <w:qFormat/>
    <w:uiPriority w:val="99"/>
    <w:rPr>
      <w:kern w:val="2"/>
      <w:sz w:val="18"/>
      <w:szCs w:val="18"/>
    </w:rPr>
  </w:style>
  <w:style w:type="character" w:customStyle="1" w:styleId="38">
    <w:name w:val="页眉 字符"/>
    <w:link w:val="17"/>
    <w:qFormat/>
    <w:uiPriority w:val="99"/>
    <w:rPr>
      <w:rFonts w:ascii="Times New Roman" w:hAnsi="Times New Roman" w:eastAsia="宋体" w:cs="Times New Roman"/>
      <w:kern w:val="2"/>
      <w:sz w:val="18"/>
      <w:szCs w:val="18"/>
    </w:rPr>
  </w:style>
  <w:style w:type="character" w:customStyle="1" w:styleId="39">
    <w:name w:val="批注主题 字符"/>
    <w:link w:val="21"/>
    <w:qFormat/>
    <w:uiPriority w:val="99"/>
    <w:rPr>
      <w:rFonts w:ascii="Times New Roman" w:hAnsi="Times New Roman" w:eastAsia="宋体" w:cs="Times New Roman"/>
      <w:b/>
      <w:bCs/>
      <w:kern w:val="2"/>
      <w:sz w:val="21"/>
      <w:szCs w:val="24"/>
    </w:rPr>
  </w:style>
  <w:style w:type="character" w:customStyle="1" w:styleId="40">
    <w:name w:val="正文首行缩进 字符"/>
    <w:link w:val="22"/>
    <w:qFormat/>
    <w:uiPriority w:val="99"/>
    <w:rPr>
      <w:rFonts w:ascii="Times New Roman" w:hAnsi="Times New Roman" w:eastAsia="宋体" w:cs="Times New Roman"/>
      <w:kern w:val="2"/>
      <w:sz w:val="21"/>
      <w:szCs w:val="24"/>
    </w:rPr>
  </w:style>
  <w:style w:type="paragraph" w:styleId="41">
    <w:name w:val="List Paragraph"/>
    <w:basedOn w:val="1"/>
    <w:link w:val="42"/>
    <w:qFormat/>
    <w:uiPriority w:val="34"/>
    <w:pPr>
      <w:ind w:firstLine="420" w:firstLineChars="200"/>
    </w:pPr>
  </w:style>
  <w:style w:type="character" w:customStyle="1" w:styleId="42">
    <w:name w:val="列出段落 字符"/>
    <w:link w:val="41"/>
    <w:qFormat/>
    <w:uiPriority w:val="34"/>
    <w:rPr>
      <w:rFonts w:ascii="Times New Roman" w:hAnsi="Times New Roman" w:eastAsia="宋体" w:cs="Times New Roman"/>
      <w:kern w:val="2"/>
      <w:sz w:val="21"/>
      <w:szCs w:val="24"/>
    </w:rPr>
  </w:style>
  <w:style w:type="paragraph" w:customStyle="1" w:styleId="43">
    <w:name w:val="章标题"/>
    <w:next w:val="1"/>
    <w:qFormat/>
    <w:uiPriority w:val="0"/>
    <w:pPr>
      <w:spacing w:beforeLines="50" w:afterLines="50"/>
      <w:jc w:val="both"/>
      <w:outlineLvl w:val="1"/>
    </w:pPr>
    <w:rPr>
      <w:rFonts w:ascii="黑体" w:hAnsi="Times New Roman" w:eastAsia="黑体" w:cs="Times New Roman"/>
      <w:sz w:val="21"/>
      <w:szCs w:val="22"/>
      <w:lang w:val="en-US" w:eastAsia="zh-CN" w:bidi="ar-SA"/>
    </w:rPr>
  </w:style>
  <w:style w:type="character" w:customStyle="1" w:styleId="44">
    <w:name w:val="c lh15"/>
    <w:qFormat/>
    <w:uiPriority w:val="0"/>
  </w:style>
  <w:style w:type="paragraph" w:customStyle="1" w:styleId="45">
    <w:name w:val="列出段落1"/>
    <w:basedOn w:val="1"/>
    <w:qFormat/>
    <w:uiPriority w:val="0"/>
    <w:pPr>
      <w:ind w:firstLine="420" w:firstLineChars="200"/>
    </w:pPr>
    <w:rPr>
      <w:rFonts w:ascii="Calibri" w:hAnsi="Calibri"/>
      <w:szCs w:val="20"/>
    </w:rPr>
  </w:style>
  <w:style w:type="paragraph" w:customStyle="1" w:styleId="46">
    <w:name w:val="列出段落2"/>
    <w:basedOn w:val="1"/>
    <w:qFormat/>
    <w:uiPriority w:val="0"/>
    <w:pPr>
      <w:ind w:firstLine="420" w:firstLineChars="200"/>
    </w:pPr>
    <w:rPr>
      <w:rFonts w:ascii="Calibri" w:hAnsi="Calibri"/>
    </w:rPr>
  </w:style>
  <w:style w:type="paragraph" w:customStyle="1" w:styleId="47">
    <w:name w:val="内容1"/>
    <w:basedOn w:val="1"/>
    <w:semiHidden/>
    <w:qFormat/>
    <w:uiPriority w:val="0"/>
    <w:pPr>
      <w:ind w:firstLine="536"/>
    </w:pPr>
    <w:rPr>
      <w:spacing w:val="-6"/>
      <w:kern w:val="28"/>
    </w:rPr>
  </w:style>
  <w:style w:type="paragraph" w:customStyle="1" w:styleId="48">
    <w:name w:val="样式 正文文本 + 首行缩进:  2 字符"/>
    <w:basedOn w:val="11"/>
    <w:qFormat/>
    <w:uiPriority w:val="0"/>
    <w:pPr>
      <w:adjustRightInd w:val="0"/>
      <w:snapToGrid w:val="0"/>
      <w:spacing w:after="0" w:line="360" w:lineRule="auto"/>
      <w:ind w:firstLine="480" w:firstLineChars="200"/>
      <w:jc w:val="left"/>
    </w:pPr>
    <w:rPr>
      <w:rFonts w:ascii="宋体" w:hAnsi="宋体" w:cs="宋体"/>
      <w:sz w:val="24"/>
      <w:szCs w:val="20"/>
    </w:rPr>
  </w:style>
  <w:style w:type="paragraph" w:customStyle="1" w:styleId="49">
    <w:name w:val="表字"/>
    <w:basedOn w:val="1"/>
    <w:next w:val="1"/>
    <w:qFormat/>
    <w:uiPriority w:val="0"/>
    <w:pPr>
      <w:spacing w:line="360" w:lineRule="auto"/>
    </w:pPr>
    <w:rPr>
      <w:rFonts w:hAnsi="Calibri" w:eastAsia="Times New Roman"/>
      <w:sz w:val="18"/>
      <w:szCs w:val="22"/>
    </w:rPr>
  </w:style>
  <w:style w:type="paragraph" w:customStyle="1" w:styleId="50">
    <w:name w:val="修订1"/>
    <w:unhideWhenUsed/>
    <w:qFormat/>
    <w:uiPriority w:val="99"/>
    <w:rPr>
      <w:rFonts w:ascii="Calibri" w:hAnsi="Calibri" w:eastAsia="宋体" w:cs="Times New Roman"/>
      <w:kern w:val="2"/>
      <w:sz w:val="21"/>
      <w:szCs w:val="22"/>
      <w:lang w:val="en-US" w:eastAsia="zh-CN" w:bidi="ar-SA"/>
    </w:rPr>
  </w:style>
  <w:style w:type="paragraph" w:customStyle="1" w:styleId="51">
    <w:name w:val="修订2"/>
    <w:unhideWhenUsed/>
    <w:qFormat/>
    <w:uiPriority w:val="99"/>
    <w:rPr>
      <w:rFonts w:ascii="Calibri" w:hAnsi="Calibri" w:eastAsia="宋体" w:cs="Times New Roman"/>
      <w:kern w:val="2"/>
      <w:sz w:val="21"/>
      <w:szCs w:val="22"/>
      <w:lang w:val="en-US" w:eastAsia="zh-CN" w:bidi="ar-SA"/>
    </w:rPr>
  </w:style>
  <w:style w:type="paragraph" w:customStyle="1" w:styleId="52">
    <w:name w:val="DocParagraph"/>
    <w:basedOn w:val="1"/>
    <w:qFormat/>
    <w:uiPriority w:val="0"/>
    <w:pPr>
      <w:spacing w:line="360" w:lineRule="auto"/>
      <w:ind w:left="236" w:hanging="236" w:hangingChars="236"/>
    </w:pPr>
    <w:rPr>
      <w:rFonts w:ascii="Arial" w:hAnsi="Arial"/>
      <w:szCs w:val="21"/>
    </w:rPr>
  </w:style>
  <w:style w:type="paragraph" w:customStyle="1" w:styleId="53">
    <w:name w:val="修订3"/>
    <w:unhideWhenUsed/>
    <w:qFormat/>
    <w:uiPriority w:val="99"/>
    <w:rPr>
      <w:rFonts w:ascii="Calibri" w:hAnsi="Calibri" w:eastAsia="宋体" w:cs="Times New Roman"/>
      <w:kern w:val="2"/>
      <w:sz w:val="21"/>
      <w:szCs w:val="22"/>
      <w:lang w:val="en-US" w:eastAsia="zh-CN" w:bidi="ar-SA"/>
    </w:rPr>
  </w:style>
  <w:style w:type="paragraph" w:customStyle="1" w:styleId="54">
    <w:name w:val="TOC 标题1"/>
    <w:basedOn w:val="3"/>
    <w:next w:val="1"/>
    <w:unhideWhenUsed/>
    <w:qFormat/>
    <w:uiPriority w:val="39"/>
    <w:pPr>
      <w:widowControl/>
      <w:spacing w:before="240" w:after="0" w:line="259" w:lineRule="auto"/>
      <w:jc w:val="left"/>
      <w:outlineLvl w:val="9"/>
    </w:pPr>
    <w:rPr>
      <w:rFonts w:ascii="Calibri Light" w:hAnsi="Calibri Light"/>
      <w:b w:val="0"/>
      <w:bCs w:val="0"/>
      <w:color w:val="2E75B5"/>
      <w:kern w:val="0"/>
      <w:sz w:val="32"/>
      <w:szCs w:val="32"/>
    </w:rPr>
  </w:style>
  <w:style w:type="paragraph" w:customStyle="1" w:styleId="55">
    <w:name w:val="样式 宋体 四号 首行缩进:  2 字符"/>
    <w:basedOn w:val="1"/>
    <w:qFormat/>
    <w:uiPriority w:val="0"/>
    <w:pPr>
      <w:tabs>
        <w:tab w:val="left" w:pos="547"/>
        <w:tab w:val="left" w:pos="1080"/>
      </w:tabs>
      <w:wordWrap w:val="0"/>
      <w:ind w:firstLine="736"/>
      <w:jc w:val="left"/>
    </w:pPr>
    <w:rPr>
      <w:rFonts w:ascii="Calibri" w:hAnsi="宋体" w:cs="宋体"/>
      <w:sz w:val="28"/>
      <w:szCs w:val="28"/>
    </w:rPr>
  </w:style>
  <w:style w:type="paragraph" w:customStyle="1" w:styleId="56">
    <w:name w:val="正文中"/>
    <w:basedOn w:val="1"/>
    <w:qFormat/>
    <w:uiPriority w:val="0"/>
    <w:pPr>
      <w:spacing w:line="480" w:lineRule="exact"/>
      <w:ind w:firstLine="480" w:firstLineChars="200"/>
    </w:pPr>
    <w:rPr>
      <w:rFonts w:ascii="Calibri" w:hAnsi="宋体" w:cs="宋体"/>
      <w:color w:val="0000FF"/>
      <w:sz w:val="24"/>
      <w:szCs w:val="22"/>
    </w:rPr>
  </w:style>
  <w:style w:type="paragraph" w:customStyle="1" w:styleId="57">
    <w:name w:val="WPSOffice手动目录 1"/>
    <w:qFormat/>
    <w:uiPriority w:val="0"/>
    <w:rPr>
      <w:rFonts w:ascii="Times New Roman" w:hAnsi="Times New Roman" w:eastAsia="宋体" w:cs="Times New Roman"/>
      <w:lang w:val="en-US" w:eastAsia="zh-CN" w:bidi="ar-SA"/>
    </w:rPr>
  </w:style>
  <w:style w:type="paragraph" w:customStyle="1" w:styleId="5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9">
    <w:name w:val="_Style 58"/>
    <w:basedOn w:val="1"/>
    <w:next w:val="41"/>
    <w:qFormat/>
    <w:uiPriority w:val="34"/>
    <w:pPr>
      <w:widowControl/>
      <w:spacing w:after="200" w:line="300" w:lineRule="auto"/>
      <w:ind w:left="720"/>
      <w:contextualSpacing/>
      <w:jc w:val="left"/>
    </w:pPr>
    <w:rPr>
      <w:rFonts w:ascii="Century Schoolbook" w:hAnsi="Century Schoolbook"/>
      <w:color w:val="414751"/>
      <w:kern w:val="0"/>
      <w:szCs w:val="20"/>
    </w:rPr>
  </w:style>
  <w:style w:type="paragraph" w:customStyle="1" w:styleId="60">
    <w:name w:val="_Style 59"/>
    <w:basedOn w:val="1"/>
    <w:next w:val="41"/>
    <w:qFormat/>
    <w:uiPriority w:val="34"/>
    <w:pPr>
      <w:widowControl/>
      <w:spacing w:after="200" w:line="300" w:lineRule="auto"/>
      <w:ind w:left="720"/>
      <w:contextualSpacing/>
      <w:jc w:val="left"/>
    </w:pPr>
    <w:rPr>
      <w:rFonts w:ascii="Century Schoolbook" w:hAnsi="Century Schoolbook"/>
      <w:color w:val="414751"/>
      <w:kern w:val="0"/>
      <w:szCs w:val="20"/>
    </w:rPr>
  </w:style>
  <w:style w:type="paragraph" w:customStyle="1" w:styleId="61">
    <w:name w:val="Table Paragraph"/>
    <w:basedOn w:val="1"/>
    <w:qFormat/>
    <w:uiPriority w:val="1"/>
    <w:pPr>
      <w:jc w:val="left"/>
    </w:pPr>
    <w:rPr>
      <w:rFonts w:ascii="Calibri" w:hAnsi="Calibri" w:eastAsia="Calibri"/>
      <w:kern w:val="0"/>
      <w:sz w:val="22"/>
      <w:szCs w:val="22"/>
      <w:lang w:eastAsia="en-US"/>
    </w:rPr>
  </w:style>
  <w:style w:type="paragraph" w:customStyle="1" w:styleId="62">
    <w:name w:val="_Style 581"/>
    <w:basedOn w:val="1"/>
    <w:next w:val="41"/>
    <w:qFormat/>
    <w:uiPriority w:val="34"/>
    <w:pPr>
      <w:widowControl/>
      <w:spacing w:after="200" w:line="300" w:lineRule="auto"/>
      <w:ind w:left="720"/>
      <w:contextualSpacing/>
      <w:jc w:val="left"/>
    </w:pPr>
    <w:rPr>
      <w:rFonts w:ascii="Century Schoolbook" w:hAnsi="Century Schoolbook"/>
      <w:color w:val="414751"/>
      <w:kern w:val="0"/>
      <w:szCs w:val="20"/>
    </w:rPr>
  </w:style>
  <w:style w:type="character" w:customStyle="1" w:styleId="63">
    <w:name w:val="cjHD正文 Char Char"/>
    <w:link w:val="64"/>
    <w:uiPriority w:val="0"/>
    <w:rPr>
      <w:rFonts w:ascii="宋体" w:hAnsi="宋体" w:cs="宋体"/>
      <w:sz w:val="24"/>
      <w:szCs w:val="28"/>
    </w:rPr>
  </w:style>
  <w:style w:type="paragraph" w:customStyle="1" w:styleId="64">
    <w:name w:val="cjHD正文"/>
    <w:basedOn w:val="1"/>
    <w:next w:val="20"/>
    <w:link w:val="63"/>
    <w:qFormat/>
    <w:uiPriority w:val="0"/>
    <w:pPr>
      <w:widowControl/>
      <w:spacing w:line="360" w:lineRule="auto"/>
      <w:ind w:firstLine="480"/>
      <w:jc w:val="left"/>
    </w:pPr>
    <w:rPr>
      <w:rFonts w:ascii="宋体" w:hAnsi="宋体" w:cs="宋体"/>
      <w:kern w:val="0"/>
      <w:sz w:val="24"/>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198</Words>
  <Characters>240</Characters>
  <Lines>22</Lines>
  <Paragraphs>41</Paragraphs>
  <TotalTime>31</TotalTime>
  <ScaleCrop>false</ScaleCrop>
  <LinksUpToDate>false</LinksUpToDate>
  <CharactersWithSpaces>281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2025-07-08T03:36:00Z</dcterms:created>
  <dc:creator>lixiaoyi</dc:creator>
  <cp:lastModifiedBy>刘志勇</cp:lastModifiedBy>
  <cp:lastPrinted>2025-03-11T06:06:00Z</cp:lastPrinted>
  <dcterms:modified xsi:type="dcterms:W3CDTF">2025-07-08T06:38:51Z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C73A2B3C6B9D4B35A1B9842012B0E1F0</vt:lpwstr>
  </property>
  <property fmtid="{D5CDD505-2E9C-101B-9397-08002B2CF9AE}" pid="4" name="KSOTemplateDocerSaveRecord">
    <vt:lpwstr>eyJoZGlkIjoiN2Y2YzBjODg5ZDVmNjJhMDY5ZjIwYzg2OTljZTliMzIiLCJ1c2VySWQiOiI5NDQ4MDcwOTcifQ==</vt:lpwstr>
  </property>
</Properties>
</file>