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704014">
      <w:pPr>
        <w:widowControl/>
        <w:wordWrap w:val="0"/>
        <w:spacing w:line="360" w:lineRule="auto"/>
        <w:rPr>
          <w:rFonts w:hint="eastAsia" w:ascii="黑体" w:hAnsi="黑体" w:eastAsia="黑体"/>
          <w:color w:val="auto"/>
          <w:sz w:val="28"/>
          <w:szCs w:val="28"/>
          <w:highlight w:val="none"/>
          <w:u w:val="single"/>
        </w:rPr>
      </w:pPr>
      <w:bookmarkStart w:id="0" w:name="_Toc43689937"/>
    </w:p>
    <w:p w14:paraId="52571429">
      <w:pPr>
        <w:wordWrap w:val="0"/>
        <w:spacing w:line="360" w:lineRule="auto"/>
        <w:jc w:val="center"/>
        <w:rPr>
          <w:b/>
          <w:bCs/>
          <w:color w:val="auto"/>
          <w:sz w:val="44"/>
          <w:szCs w:val="44"/>
          <w:highlight w:val="none"/>
        </w:rPr>
      </w:pPr>
    </w:p>
    <w:p w14:paraId="71AD3B03">
      <w:pPr>
        <w:wordWrap w:val="0"/>
        <w:spacing w:line="360" w:lineRule="auto"/>
        <w:jc w:val="center"/>
        <w:rPr>
          <w:b/>
          <w:bCs/>
          <w:color w:val="auto"/>
          <w:sz w:val="44"/>
          <w:szCs w:val="44"/>
          <w:highlight w:val="none"/>
        </w:rPr>
      </w:pPr>
    </w:p>
    <w:p w14:paraId="36405CE9">
      <w:pPr>
        <w:wordWrap w:val="0"/>
        <w:spacing w:line="360" w:lineRule="auto"/>
        <w:jc w:val="center"/>
        <w:rPr>
          <w:rFonts w:hint="eastAsia"/>
          <w:b/>
          <w:bCs/>
          <w:color w:val="auto"/>
          <w:sz w:val="44"/>
          <w:szCs w:val="44"/>
          <w:highlight w:val="none"/>
          <w:lang w:val="en-US" w:eastAsia="zh-CN"/>
        </w:rPr>
      </w:pPr>
      <w:r>
        <w:rPr>
          <w:rFonts w:hint="eastAsia"/>
          <w:b/>
          <w:bCs/>
          <w:color w:val="auto"/>
          <w:sz w:val="44"/>
          <w:szCs w:val="44"/>
          <w:highlight w:val="none"/>
          <w:lang w:val="en-US" w:eastAsia="zh-CN"/>
        </w:rPr>
        <w:t>长沙穗城轨道交通有限公司</w:t>
      </w:r>
    </w:p>
    <w:p w14:paraId="67F50441">
      <w:pPr>
        <w:wordWrap w:val="0"/>
        <w:spacing w:line="360" w:lineRule="auto"/>
        <w:jc w:val="center"/>
        <w:rPr>
          <w:b/>
          <w:bCs/>
          <w:color w:val="auto"/>
          <w:sz w:val="44"/>
          <w:szCs w:val="44"/>
          <w:highlight w:val="none"/>
        </w:rPr>
      </w:pPr>
      <w:r>
        <w:rPr>
          <w:rFonts w:hint="eastAsia"/>
          <w:b/>
          <w:bCs/>
          <w:color w:val="auto"/>
          <w:sz w:val="44"/>
          <w:szCs w:val="44"/>
          <w:highlight w:val="none"/>
          <w:lang w:val="en-US" w:eastAsia="zh-CN"/>
        </w:rPr>
        <w:t>2025-2028年网络安全服务项目</w:t>
      </w:r>
    </w:p>
    <w:p w14:paraId="3DB13111">
      <w:pPr>
        <w:wordWrap w:val="0"/>
        <w:spacing w:line="360" w:lineRule="auto"/>
        <w:jc w:val="center"/>
        <w:rPr>
          <w:b/>
          <w:bCs/>
          <w:color w:val="auto"/>
          <w:sz w:val="44"/>
          <w:szCs w:val="44"/>
          <w:highlight w:val="none"/>
        </w:rPr>
      </w:pPr>
    </w:p>
    <w:p w14:paraId="51B431E4">
      <w:pPr>
        <w:wordWrap w:val="0"/>
        <w:spacing w:line="360" w:lineRule="auto"/>
        <w:rPr>
          <w:color w:val="auto"/>
          <w:highlight w:val="none"/>
        </w:rPr>
      </w:pPr>
    </w:p>
    <w:p w14:paraId="08EAD412">
      <w:pPr>
        <w:wordWrap w:val="0"/>
        <w:autoSpaceDE w:val="0"/>
        <w:autoSpaceDN w:val="0"/>
        <w:spacing w:before="120" w:beforeLines="50" w:line="360" w:lineRule="auto"/>
        <w:jc w:val="center"/>
        <w:textAlignment w:val="bottom"/>
        <w:rPr>
          <w:rFonts w:hint="eastAsia" w:ascii="宋体" w:hAnsi="宋体"/>
          <w:b/>
          <w:color w:val="auto"/>
          <w:sz w:val="100"/>
          <w:szCs w:val="100"/>
          <w:highlight w:val="none"/>
        </w:rPr>
      </w:pPr>
      <w:r>
        <w:rPr>
          <w:rFonts w:hint="eastAsia" w:ascii="宋体" w:hAnsi="宋体"/>
          <w:b/>
          <w:color w:val="auto"/>
          <w:sz w:val="100"/>
          <w:szCs w:val="100"/>
          <w:highlight w:val="none"/>
        </w:rPr>
        <w:t>招 标 文 件</w:t>
      </w:r>
    </w:p>
    <w:p w14:paraId="33D65AA8">
      <w:pPr>
        <w:widowControl/>
        <w:wordWrap w:val="0"/>
        <w:spacing w:line="360" w:lineRule="auto"/>
        <w:ind w:left="-2"/>
        <w:jc w:val="center"/>
        <w:rPr>
          <w:rFonts w:hint="eastAsia" w:ascii="宋体" w:hAnsi="宋体" w:cs="宋体"/>
          <w:color w:val="auto"/>
          <w:sz w:val="36"/>
          <w:szCs w:val="36"/>
          <w:highlight w:val="none"/>
          <w:u w:val="single"/>
        </w:rPr>
      </w:pPr>
    </w:p>
    <w:p w14:paraId="4160A7A3">
      <w:pPr>
        <w:wordWrap w:val="0"/>
        <w:spacing w:line="360" w:lineRule="auto"/>
        <w:rPr>
          <w:rFonts w:hint="eastAsia" w:ascii="宋体" w:hAnsi="宋体" w:cs="宋体"/>
          <w:color w:val="auto"/>
          <w:sz w:val="28"/>
          <w:szCs w:val="28"/>
          <w:highlight w:val="none"/>
        </w:rPr>
      </w:pPr>
    </w:p>
    <w:p w14:paraId="340BF26E">
      <w:pPr>
        <w:wordWrap w:val="0"/>
        <w:spacing w:line="360" w:lineRule="auto"/>
        <w:ind w:firstLine="1260" w:firstLineChars="450"/>
        <w:rPr>
          <w:rFonts w:hint="eastAsia" w:ascii="宋体" w:hAnsi="宋体" w:cs="宋体"/>
          <w:color w:val="auto"/>
          <w:sz w:val="28"/>
          <w:szCs w:val="28"/>
          <w:highlight w:val="none"/>
        </w:rPr>
      </w:pPr>
    </w:p>
    <w:p w14:paraId="4960341C">
      <w:pPr>
        <w:wordWrap w:val="0"/>
        <w:spacing w:line="360" w:lineRule="auto"/>
        <w:ind w:firstLine="1260" w:firstLineChars="450"/>
        <w:rPr>
          <w:rFonts w:hint="eastAsia" w:ascii="宋体" w:hAnsi="宋体" w:cs="宋体"/>
          <w:color w:val="auto"/>
          <w:sz w:val="28"/>
          <w:szCs w:val="28"/>
          <w:highlight w:val="none"/>
        </w:rPr>
      </w:pPr>
    </w:p>
    <w:p w14:paraId="0ABC0153">
      <w:pPr>
        <w:wordWrap w:val="0"/>
        <w:spacing w:line="360" w:lineRule="auto"/>
        <w:ind w:firstLine="1265" w:firstLineChars="450"/>
        <w:rPr>
          <w:rFonts w:hint="eastAsia" w:ascii="宋体" w:hAnsi="宋体" w:cs="宋体"/>
          <w:b/>
          <w:color w:val="auto"/>
          <w:sz w:val="28"/>
          <w:szCs w:val="28"/>
          <w:highlight w:val="none"/>
        </w:rPr>
      </w:pPr>
    </w:p>
    <w:p w14:paraId="698B76E3">
      <w:pPr>
        <w:wordWrap w:val="0"/>
        <w:spacing w:line="360" w:lineRule="auto"/>
        <w:ind w:firstLine="1417" w:firstLineChars="392"/>
        <w:rPr>
          <w:rFonts w:hint="default" w:ascii="宋体" w:hAnsi="宋体" w:eastAsia="宋体" w:cs="宋体"/>
          <w:color w:val="auto"/>
          <w:sz w:val="32"/>
          <w:szCs w:val="32"/>
          <w:highlight w:val="none"/>
          <w:u w:val="single"/>
          <w:lang w:val="en-US" w:eastAsia="zh-CN"/>
        </w:rPr>
      </w:pPr>
      <w:r>
        <w:rPr>
          <w:rFonts w:hint="eastAsia" w:ascii="宋体" w:hAnsi="宋体" w:cs="宋体"/>
          <w:b/>
          <w:color w:val="auto"/>
          <w:sz w:val="36"/>
          <w:szCs w:val="36"/>
          <w:highlight w:val="none"/>
        </w:rPr>
        <w:t>招标编号：CSSC-2025-</w:t>
      </w:r>
      <w:r>
        <w:rPr>
          <w:rFonts w:hint="eastAsia" w:ascii="宋体" w:hAnsi="宋体" w:cs="宋体"/>
          <w:b/>
          <w:color w:val="auto"/>
          <w:sz w:val="36"/>
          <w:szCs w:val="36"/>
          <w:highlight w:val="none"/>
          <w:lang w:val="en-US" w:eastAsia="zh-CN"/>
        </w:rPr>
        <w:t xml:space="preserve">11 </w:t>
      </w:r>
    </w:p>
    <w:p w14:paraId="265CC2F9">
      <w:pPr>
        <w:wordWrap w:val="0"/>
        <w:spacing w:line="360" w:lineRule="auto"/>
        <w:ind w:firstLine="1417" w:firstLineChars="392"/>
        <w:rPr>
          <w:rFonts w:hint="eastAsia" w:ascii="宋体" w:hAnsi="宋体" w:cs="宋体"/>
          <w:b/>
          <w:color w:val="auto"/>
          <w:sz w:val="36"/>
          <w:szCs w:val="36"/>
          <w:highlight w:val="none"/>
        </w:rPr>
      </w:pPr>
      <w:r>
        <w:rPr>
          <w:rFonts w:hint="eastAsia" w:ascii="宋体" w:hAnsi="宋体" w:cs="宋体"/>
          <w:b/>
          <w:color w:val="auto"/>
          <w:sz w:val="36"/>
          <w:szCs w:val="36"/>
          <w:highlight w:val="none"/>
        </w:rPr>
        <w:t>招 标 人：</w:t>
      </w:r>
      <w:r>
        <w:rPr>
          <w:rFonts w:hint="eastAsia" w:ascii="宋体" w:hAnsi="宋体" w:cs="宋体"/>
          <w:b/>
          <w:bCs/>
          <w:color w:val="auto"/>
          <w:sz w:val="36"/>
          <w:szCs w:val="36"/>
          <w:highlight w:val="none"/>
        </w:rPr>
        <w:t>长沙穗城轨道交通有限公司</w:t>
      </w:r>
    </w:p>
    <w:p w14:paraId="4FB0A27F">
      <w:pPr>
        <w:wordWrap w:val="0"/>
        <w:spacing w:line="360" w:lineRule="auto"/>
        <w:ind w:firstLine="1417" w:firstLineChars="392"/>
        <w:rPr>
          <w:rFonts w:hint="eastAsia" w:ascii="宋体" w:hAnsi="宋体" w:cs="宋体"/>
          <w:b/>
          <w:color w:val="auto"/>
          <w:sz w:val="36"/>
          <w:szCs w:val="36"/>
          <w:highlight w:val="none"/>
        </w:rPr>
      </w:pPr>
      <w:r>
        <w:rPr>
          <w:rFonts w:hint="eastAsia" w:ascii="宋体" w:hAnsi="宋体" w:cs="宋体"/>
          <w:b/>
          <w:color w:val="auto"/>
          <w:sz w:val="36"/>
          <w:szCs w:val="36"/>
          <w:highlight w:val="none"/>
        </w:rPr>
        <w:t>日    期：2025年</w:t>
      </w:r>
      <w:r>
        <w:rPr>
          <w:rFonts w:hint="eastAsia" w:ascii="宋体" w:hAnsi="宋体" w:cs="宋体"/>
          <w:b/>
          <w:color w:val="auto"/>
          <w:sz w:val="36"/>
          <w:szCs w:val="36"/>
          <w:highlight w:val="none"/>
          <w:lang w:val="en-US" w:eastAsia="zh-CN"/>
        </w:rPr>
        <w:t>11</w:t>
      </w:r>
      <w:r>
        <w:rPr>
          <w:rFonts w:hint="eastAsia" w:ascii="宋体" w:hAnsi="宋体" w:cs="宋体"/>
          <w:b/>
          <w:color w:val="auto"/>
          <w:sz w:val="36"/>
          <w:szCs w:val="36"/>
          <w:highlight w:val="none"/>
        </w:rPr>
        <w:t>月</w:t>
      </w:r>
    </w:p>
    <w:p w14:paraId="4656CC63">
      <w:pPr>
        <w:wordWrap w:val="0"/>
        <w:rPr>
          <w:rFonts w:hint="eastAsia" w:ascii="宋体" w:hAnsi="宋体"/>
          <w:b/>
          <w:color w:val="auto"/>
          <w:sz w:val="44"/>
          <w:szCs w:val="44"/>
          <w:highlight w:val="none"/>
        </w:rPr>
      </w:pPr>
      <w:r>
        <w:rPr>
          <w:rFonts w:ascii="宋体" w:hAnsi="宋体"/>
          <w:b/>
          <w:color w:val="auto"/>
          <w:sz w:val="44"/>
          <w:szCs w:val="44"/>
          <w:highlight w:val="none"/>
        </w:rPr>
        <w:br w:type="page"/>
      </w:r>
    </w:p>
    <w:p w14:paraId="0AEBBB2C">
      <w:pPr>
        <w:widowControl/>
        <w:wordWrap w:val="0"/>
        <w:spacing w:line="360" w:lineRule="auto"/>
        <w:jc w:val="center"/>
        <w:rPr>
          <w:rFonts w:hint="eastAsia" w:ascii="宋体" w:hAnsi="宋体"/>
          <w:b/>
          <w:color w:val="auto"/>
          <w:sz w:val="44"/>
          <w:szCs w:val="44"/>
          <w:highlight w:val="none"/>
        </w:rPr>
      </w:pPr>
      <w:r>
        <w:rPr>
          <w:rFonts w:ascii="宋体" w:hAnsi="宋体"/>
          <w:b/>
          <w:color w:val="auto"/>
          <w:sz w:val="44"/>
          <w:szCs w:val="44"/>
          <w:highlight w:val="none"/>
        </w:rPr>
        <w:t>目  录</w:t>
      </w:r>
    </w:p>
    <w:p w14:paraId="10784C39">
      <w:pPr>
        <w:pStyle w:val="42"/>
        <w:tabs>
          <w:tab w:val="right" w:leader="dot" w:pos="9747"/>
        </w:tabs>
        <w:rPr>
          <w:rFonts w:hint="eastAsia" w:ascii="宋体" w:hAnsi="宋体" w:cs="宋体"/>
          <w:color w:val="auto"/>
          <w:sz w:val="24"/>
          <w:szCs w:val="24"/>
          <w:highlight w:val="none"/>
        </w:rPr>
      </w:pPr>
      <w:r>
        <w:rPr>
          <w:rFonts w:hint="eastAsia" w:ascii="宋体" w:hAnsi="宋体" w:cs="宋体"/>
          <w:b w:val="0"/>
          <w:caps w:val="0"/>
          <w:color w:val="auto"/>
          <w:sz w:val="24"/>
          <w:szCs w:val="24"/>
          <w:highlight w:val="none"/>
        </w:rPr>
        <w:fldChar w:fldCharType="begin"/>
      </w:r>
      <w:r>
        <w:rPr>
          <w:rFonts w:hint="eastAsia" w:ascii="宋体" w:hAnsi="宋体" w:cs="宋体"/>
          <w:b w:val="0"/>
          <w:caps w:val="0"/>
          <w:color w:val="auto"/>
          <w:sz w:val="24"/>
          <w:szCs w:val="24"/>
          <w:highlight w:val="none"/>
        </w:rPr>
        <w:instrText xml:space="preserve"> TOC \o "1-1" \h \z \u </w:instrText>
      </w:r>
      <w:r>
        <w:rPr>
          <w:rFonts w:hint="eastAsia" w:ascii="宋体" w:hAnsi="宋体" w:cs="宋体"/>
          <w:b w:val="0"/>
          <w:caps w:val="0"/>
          <w:color w:val="auto"/>
          <w:sz w:val="24"/>
          <w:szCs w:val="24"/>
          <w:highlight w:val="none"/>
        </w:rPr>
        <w:fldChar w:fldCharType="separate"/>
      </w:r>
      <w:r>
        <w:rPr>
          <w:rFonts w:hint="eastAsia"/>
          <w:color w:val="auto"/>
          <w:highlight w:val="none"/>
        </w:rPr>
        <w:fldChar w:fldCharType="begin"/>
      </w:r>
      <w:r>
        <w:rPr>
          <w:color w:val="auto"/>
          <w:highlight w:val="none"/>
        </w:rPr>
        <w:instrText xml:space="preserve"> HYPERLINK \l "_Toc1099" </w:instrText>
      </w:r>
      <w:r>
        <w:rPr>
          <w:rFonts w:hint="eastAsia"/>
          <w:color w:val="auto"/>
          <w:highlight w:val="none"/>
        </w:rPr>
        <w:fldChar w:fldCharType="separate"/>
      </w:r>
      <w:r>
        <w:rPr>
          <w:rFonts w:hint="eastAsia" w:ascii="宋体" w:hAnsi="宋体" w:cs="宋体"/>
          <w:color w:val="auto"/>
          <w:sz w:val="24"/>
          <w:szCs w:val="24"/>
          <w:highlight w:val="none"/>
        </w:rPr>
        <w:t>第一章 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_Toc1099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210D3E3">
      <w:pPr>
        <w:pStyle w:val="42"/>
        <w:tabs>
          <w:tab w:val="right" w:leader="dot" w:pos="9747"/>
        </w:tabs>
        <w:rPr>
          <w:rFonts w:hint="eastAsia" w:ascii="宋体" w:hAnsi="宋体" w:cs="宋体"/>
          <w:color w:val="auto"/>
          <w:sz w:val="24"/>
          <w:szCs w:val="24"/>
          <w:highlight w:val="none"/>
        </w:rPr>
      </w:pPr>
      <w:r>
        <w:rPr>
          <w:rFonts w:hint="eastAsia"/>
          <w:color w:val="auto"/>
          <w:highlight w:val="none"/>
        </w:rPr>
        <w:fldChar w:fldCharType="begin"/>
      </w:r>
      <w:r>
        <w:rPr>
          <w:color w:val="auto"/>
          <w:highlight w:val="none"/>
        </w:rPr>
        <w:instrText xml:space="preserve"> HYPERLINK \l "_Toc1353" </w:instrText>
      </w:r>
      <w:r>
        <w:rPr>
          <w:rFonts w:hint="eastAsia"/>
          <w:color w:val="auto"/>
          <w:highlight w:val="none"/>
        </w:rPr>
        <w:fldChar w:fldCharType="separate"/>
      </w:r>
      <w:r>
        <w:rPr>
          <w:rFonts w:hint="eastAsia" w:ascii="宋体" w:hAnsi="宋体" w:cs="宋体"/>
          <w:color w:val="auto"/>
          <w:sz w:val="24"/>
          <w:szCs w:val="24"/>
          <w:highlight w:val="none"/>
        </w:rPr>
        <w:t>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_Toc1353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A9D999D">
      <w:pPr>
        <w:pStyle w:val="42"/>
        <w:tabs>
          <w:tab w:val="right" w:leader="dot" w:pos="9747"/>
        </w:tabs>
        <w:rPr>
          <w:rFonts w:hint="eastAsia" w:ascii="宋体" w:hAnsi="宋体" w:cs="宋体"/>
          <w:color w:val="auto"/>
          <w:sz w:val="24"/>
          <w:szCs w:val="24"/>
          <w:highlight w:val="none"/>
        </w:rPr>
      </w:pPr>
      <w:r>
        <w:rPr>
          <w:rFonts w:hint="eastAsia"/>
          <w:color w:val="auto"/>
          <w:highlight w:val="none"/>
        </w:rPr>
        <w:fldChar w:fldCharType="begin"/>
      </w:r>
      <w:r>
        <w:rPr>
          <w:color w:val="auto"/>
          <w:highlight w:val="none"/>
        </w:rPr>
        <w:instrText xml:space="preserve"> HYPERLINK \l "_Toc31477" </w:instrText>
      </w:r>
      <w:r>
        <w:rPr>
          <w:rFonts w:hint="eastAsia"/>
          <w:color w:val="auto"/>
          <w:highlight w:val="none"/>
        </w:rPr>
        <w:fldChar w:fldCharType="separate"/>
      </w:r>
      <w:r>
        <w:rPr>
          <w:rFonts w:hint="eastAsia" w:ascii="宋体" w:hAnsi="宋体" w:cs="宋体"/>
          <w:color w:val="auto"/>
          <w:sz w:val="24"/>
          <w:szCs w:val="24"/>
          <w:highlight w:val="none"/>
        </w:rPr>
        <w:t>第三章 评标办法（</w:t>
      </w:r>
      <w:r>
        <w:rPr>
          <w:rFonts w:hint="eastAsia" w:ascii="宋体" w:hAnsi="宋体" w:cs="宋体"/>
          <w:color w:val="auto"/>
          <w:sz w:val="24"/>
          <w:szCs w:val="24"/>
          <w:highlight w:val="none"/>
          <w:lang w:eastAsia="zh-CN"/>
        </w:rPr>
        <w:t>综合评估法</w:t>
      </w:r>
      <w:r>
        <w:rPr>
          <w:rFonts w:hint="eastAsia" w:ascii="宋体" w:hAnsi="宋体" w:cs="宋体"/>
          <w:color w:val="auto"/>
          <w:sz w:val="24"/>
          <w:szCs w:val="24"/>
          <w:highlight w:val="none"/>
        </w:rPr>
        <w:t>）</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_Toc31477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5B1AD01C">
      <w:pPr>
        <w:pStyle w:val="42"/>
        <w:tabs>
          <w:tab w:val="right" w:leader="dot" w:pos="9747"/>
        </w:tabs>
        <w:rPr>
          <w:rFonts w:hint="eastAsia" w:ascii="宋体" w:hAnsi="宋体" w:cs="宋体"/>
          <w:color w:val="auto"/>
          <w:sz w:val="24"/>
          <w:szCs w:val="24"/>
          <w:highlight w:val="none"/>
        </w:rPr>
      </w:pPr>
      <w:r>
        <w:rPr>
          <w:rFonts w:hint="eastAsia"/>
          <w:color w:val="auto"/>
          <w:highlight w:val="none"/>
        </w:rPr>
        <w:fldChar w:fldCharType="begin"/>
      </w:r>
      <w:r>
        <w:rPr>
          <w:color w:val="auto"/>
          <w:highlight w:val="none"/>
        </w:rPr>
        <w:instrText xml:space="preserve"> HYPERLINK \l "_Toc4396" </w:instrText>
      </w:r>
      <w:r>
        <w:rPr>
          <w:rFonts w:hint="eastAsia"/>
          <w:color w:val="auto"/>
          <w:highlight w:val="none"/>
        </w:rPr>
        <w:fldChar w:fldCharType="separate"/>
      </w:r>
      <w:r>
        <w:rPr>
          <w:rFonts w:hint="eastAsia" w:ascii="宋体" w:hAnsi="宋体" w:cs="宋体"/>
          <w:color w:val="auto"/>
          <w:sz w:val="24"/>
          <w:szCs w:val="24"/>
          <w:highlight w:val="none"/>
        </w:rPr>
        <w:t>第四章 合同条款及格式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_Toc4396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2EAEA53A">
      <w:pPr>
        <w:pStyle w:val="42"/>
        <w:tabs>
          <w:tab w:val="right" w:leader="dot" w:pos="9747"/>
        </w:tabs>
        <w:rPr>
          <w:rFonts w:hint="eastAsia" w:ascii="宋体" w:hAnsi="宋体" w:cs="宋体"/>
          <w:color w:val="auto"/>
          <w:sz w:val="24"/>
          <w:szCs w:val="24"/>
          <w:highlight w:val="none"/>
        </w:rPr>
      </w:pPr>
      <w:r>
        <w:rPr>
          <w:rFonts w:hint="eastAsia"/>
          <w:color w:val="auto"/>
          <w:highlight w:val="none"/>
        </w:rPr>
        <w:fldChar w:fldCharType="begin"/>
      </w:r>
      <w:r>
        <w:rPr>
          <w:color w:val="auto"/>
          <w:highlight w:val="none"/>
        </w:rPr>
        <w:instrText xml:space="preserve"> HYPERLINK \l "_Toc1347" </w:instrText>
      </w:r>
      <w:r>
        <w:rPr>
          <w:rFonts w:hint="eastAsia"/>
          <w:color w:val="auto"/>
          <w:highlight w:val="none"/>
        </w:rPr>
        <w:fldChar w:fldCharType="separate"/>
      </w:r>
      <w:r>
        <w:rPr>
          <w:rFonts w:hint="eastAsia" w:ascii="宋体" w:hAnsi="宋体" w:cs="宋体"/>
          <w:color w:val="auto"/>
          <w:sz w:val="24"/>
          <w:szCs w:val="24"/>
          <w:highlight w:val="none"/>
        </w:rPr>
        <w:t>第五章 用户需求书</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_Toc1347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D0580DA">
      <w:pPr>
        <w:pStyle w:val="42"/>
        <w:tabs>
          <w:tab w:val="right" w:leader="dot" w:pos="9747"/>
        </w:tabs>
        <w:rPr>
          <w:rFonts w:hint="eastAsia" w:ascii="宋体" w:hAnsi="宋体" w:cs="宋体"/>
          <w:color w:val="auto"/>
          <w:sz w:val="24"/>
          <w:szCs w:val="24"/>
          <w:highlight w:val="none"/>
        </w:rPr>
      </w:pPr>
      <w:r>
        <w:rPr>
          <w:rFonts w:hint="eastAsia"/>
          <w:color w:val="auto"/>
          <w:highlight w:val="none"/>
        </w:rPr>
        <w:fldChar w:fldCharType="begin"/>
      </w:r>
      <w:r>
        <w:rPr>
          <w:color w:val="auto"/>
          <w:highlight w:val="none"/>
        </w:rPr>
        <w:instrText xml:space="preserve"> HYPERLINK \l "_Toc28542" </w:instrText>
      </w:r>
      <w:r>
        <w:rPr>
          <w:rFonts w:hint="eastAsia"/>
          <w:color w:val="auto"/>
          <w:highlight w:val="none"/>
        </w:rPr>
        <w:fldChar w:fldCharType="separate"/>
      </w:r>
      <w:r>
        <w:rPr>
          <w:rFonts w:hint="eastAsia" w:ascii="宋体" w:hAnsi="宋体" w:cs="宋体"/>
          <w:color w:val="auto"/>
          <w:sz w:val="24"/>
          <w:szCs w:val="24"/>
          <w:highlight w:val="none"/>
        </w:rPr>
        <w:t>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_Toc28542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572D22C8">
      <w:pPr>
        <w:widowControl/>
        <w:wordWrap w:val="0"/>
        <w:spacing w:line="360" w:lineRule="auto"/>
        <w:jc w:val="center"/>
        <w:rPr>
          <w:rFonts w:hint="eastAsia" w:ascii="宋体" w:hAnsi="宋体" w:cs="宋体"/>
          <w:bCs/>
          <w:color w:val="auto"/>
          <w:szCs w:val="24"/>
          <w:highlight w:val="none"/>
        </w:rPr>
      </w:pPr>
      <w:r>
        <w:rPr>
          <w:rFonts w:hint="eastAsia" w:ascii="宋体" w:hAnsi="宋体" w:cs="宋体"/>
          <w:bCs/>
          <w:color w:val="auto"/>
          <w:sz w:val="24"/>
          <w:szCs w:val="24"/>
          <w:highlight w:val="none"/>
        </w:rPr>
        <w:fldChar w:fldCharType="end"/>
      </w:r>
    </w:p>
    <w:bookmarkEnd w:id="0"/>
    <w:p w14:paraId="799C2899">
      <w:pPr>
        <w:pStyle w:val="2"/>
        <w:wordWrap w:val="0"/>
        <w:spacing w:line="360" w:lineRule="auto"/>
        <w:rPr>
          <w:rFonts w:hint="eastAsia" w:hAnsi="黑体"/>
          <w:color w:val="auto"/>
          <w:sz w:val="44"/>
          <w:szCs w:val="44"/>
          <w:highlight w:val="none"/>
        </w:rPr>
        <w:sectPr>
          <w:pgSz w:w="11907" w:h="16839"/>
          <w:pgMar w:top="1440" w:right="1080" w:bottom="1440" w:left="1080" w:header="567" w:footer="567" w:gutter="0"/>
          <w:pgBorders>
            <w:top w:val="none" w:sz="0" w:space="0"/>
            <w:left w:val="none" w:sz="0" w:space="0"/>
            <w:bottom w:val="none" w:sz="0" w:space="0"/>
            <w:right w:val="none" w:sz="0" w:space="0"/>
          </w:pgBorders>
          <w:cols w:space="720" w:num="1"/>
          <w:docGrid w:linePitch="286" w:charSpace="0"/>
        </w:sectPr>
      </w:pPr>
    </w:p>
    <w:p w14:paraId="01A32BA8">
      <w:pPr>
        <w:pStyle w:val="2"/>
        <w:wordWrap w:val="0"/>
        <w:spacing w:line="360" w:lineRule="auto"/>
        <w:jc w:val="center"/>
        <w:rPr>
          <w:rFonts w:hAnsi="黑体"/>
          <w:color w:val="0D0D0D" w:themeColor="text1" w:themeTint="F2"/>
          <w:sz w:val="44"/>
          <w:szCs w:val="44"/>
          <w:highlight w:val="none"/>
          <w14:textFill>
            <w14:solidFill>
              <w14:schemeClr w14:val="tx1">
                <w14:lumMod w14:val="95000"/>
                <w14:lumOff w14:val="5000"/>
              </w14:schemeClr>
            </w14:solidFill>
          </w14:textFill>
        </w:rPr>
      </w:pPr>
      <w:bookmarkStart w:id="1" w:name="_Toc1099"/>
      <w:r>
        <w:rPr>
          <w:rFonts w:hAnsi="黑体"/>
          <w:color w:val="0D0D0D" w:themeColor="text1" w:themeTint="F2"/>
          <w:sz w:val="44"/>
          <w:szCs w:val="44"/>
          <w:highlight w:val="none"/>
          <w14:textFill>
            <w14:solidFill>
              <w14:schemeClr w14:val="tx1">
                <w14:lumMod w14:val="95000"/>
                <w14:lumOff w14:val="5000"/>
              </w14:schemeClr>
            </w14:solidFill>
          </w14:textFill>
        </w:rPr>
        <w:t>第一章</w:t>
      </w:r>
      <w:r>
        <w:rPr>
          <w:rFonts w:hint="eastAsia" w:hAnsi="黑体"/>
          <w:color w:val="0D0D0D" w:themeColor="text1" w:themeTint="F2"/>
          <w:sz w:val="44"/>
          <w:szCs w:val="44"/>
          <w:highlight w:val="none"/>
          <w14:textFill>
            <w14:solidFill>
              <w14:schemeClr w14:val="tx1">
                <w14:lumMod w14:val="95000"/>
                <w14:lumOff w14:val="5000"/>
              </w14:schemeClr>
            </w14:solidFill>
          </w14:textFill>
        </w:rPr>
        <w:t xml:space="preserve"> </w:t>
      </w:r>
      <w:r>
        <w:rPr>
          <w:rFonts w:hAnsi="黑体"/>
          <w:color w:val="0D0D0D" w:themeColor="text1" w:themeTint="F2"/>
          <w:sz w:val="44"/>
          <w:szCs w:val="44"/>
          <w:highlight w:val="none"/>
          <w14:textFill>
            <w14:solidFill>
              <w14:schemeClr w14:val="tx1">
                <w14:lumMod w14:val="95000"/>
                <w14:lumOff w14:val="5000"/>
              </w14:schemeClr>
            </w14:solidFill>
          </w14:textFill>
        </w:rPr>
        <w:t>招标公告</w:t>
      </w:r>
    </w:p>
    <w:p w14:paraId="1B6215A1">
      <w:pPr>
        <w:wordWrap w:val="0"/>
        <w:spacing w:before="156" w:beforeLines="50" w:after="156" w:afterLines="50" w:line="360" w:lineRule="auto"/>
        <w:ind w:left="221" w:right="340" w:firstLine="204" w:firstLineChars="97"/>
        <w:jc w:val="left"/>
        <w:outlineLvl w:val="1"/>
        <w:rPr>
          <w:rFonts w:ascii="宋体" w:hAnsi="宋体" w:cs="宋体"/>
          <w:b/>
          <w:snapToGrid w:val="0"/>
          <w:color w:val="0D0D0D" w:themeColor="text1" w:themeTint="F2"/>
          <w:kern w:val="0"/>
          <w:szCs w:val="21"/>
          <w:highlight w:val="none"/>
          <w14:textFill>
            <w14:solidFill>
              <w14:schemeClr w14:val="tx1">
                <w14:lumMod w14:val="95000"/>
                <w14:lumOff w14:val="5000"/>
              </w14:schemeClr>
            </w14:solidFill>
          </w14:textFill>
        </w:rPr>
      </w:pPr>
      <w:r>
        <w:rPr>
          <w:rFonts w:hint="eastAsia" w:ascii="宋体" w:hAnsi="宋体" w:cs="宋体"/>
          <w:b/>
          <w:snapToGrid w:val="0"/>
          <w:color w:val="0D0D0D" w:themeColor="text1" w:themeTint="F2"/>
          <w:kern w:val="0"/>
          <w:szCs w:val="21"/>
          <w:highlight w:val="none"/>
          <w14:textFill>
            <w14:solidFill>
              <w14:schemeClr w14:val="tx1">
                <w14:lumMod w14:val="95000"/>
                <w14:lumOff w14:val="5000"/>
              </w14:schemeClr>
            </w14:solidFill>
          </w14:textFill>
        </w:rPr>
        <w:t>1.招标条件</w:t>
      </w:r>
    </w:p>
    <w:p w14:paraId="68047AA8">
      <w:pPr>
        <w:wordWrap w:val="0"/>
        <w:spacing w:line="360" w:lineRule="auto"/>
        <w:ind w:firstLine="420" w:firstLineChars="200"/>
        <w:rPr>
          <w:rFonts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本招标项目</w:t>
      </w:r>
      <w:r>
        <w:rPr>
          <w:rFonts w:hint="eastAsia" w:ascii="宋体" w:hAnsi="宋体" w:cs="宋体"/>
          <w:snapToGrid w:val="0"/>
          <w:color w:val="0D0D0D" w:themeColor="text1" w:themeTint="F2"/>
          <w:kern w:val="0"/>
          <w:szCs w:val="21"/>
          <w:highlight w:val="none"/>
          <w:lang w:eastAsia="zh-CN"/>
          <w14:textFill>
            <w14:solidFill>
              <w14:schemeClr w14:val="tx1">
                <w14:lumMod w14:val="95000"/>
                <w14:lumOff w14:val="5000"/>
              </w14:schemeClr>
            </w14:solidFill>
          </w14:textFill>
        </w:rPr>
        <w:t>长沙穗城轨道交通有限公司</w:t>
      </w:r>
      <w:r>
        <w:rPr>
          <w:rFonts w:hint="eastAsia" w:ascii="宋体" w:hAnsi="宋体" w:cs="宋体"/>
          <w:snapToGrid w:val="0"/>
          <w:color w:val="0D0D0D" w:themeColor="text1" w:themeTint="F2"/>
          <w:kern w:val="0"/>
          <w:szCs w:val="21"/>
          <w:highlight w:val="none"/>
          <w:lang w:val="en-US" w:eastAsia="zh-CN"/>
          <w14:textFill>
            <w14:solidFill>
              <w14:schemeClr w14:val="tx1">
                <w14:lumMod w14:val="95000"/>
                <w14:lumOff w14:val="5000"/>
              </w14:schemeClr>
            </w14:solidFill>
          </w14:textFill>
        </w:rPr>
        <w:t>2025-2028年网络安全服务项目</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，招标编号为</w:t>
      </w:r>
      <w:r>
        <w:rPr>
          <w:rFonts w:hint="eastAsia" w:ascii="宋体" w:hAnsi="宋体" w:cs="宋体"/>
          <w:color w:val="0D0D0D" w:themeColor="text1" w:themeTint="F2"/>
          <w:szCs w:val="21"/>
          <w:highlight w:val="none"/>
          <w:u w:val="single"/>
          <w:lang w:val="en-US" w:eastAsia="zh-CN"/>
          <w14:textFill>
            <w14:solidFill>
              <w14:schemeClr w14:val="tx1">
                <w14:lumMod w14:val="95000"/>
                <w14:lumOff w14:val="5000"/>
              </w14:schemeClr>
            </w14:solidFill>
          </w14:textFill>
        </w:rPr>
        <w:t>CSSC-2025-11</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，招标人为</w:t>
      </w:r>
      <w:r>
        <w:rPr>
          <w:rFonts w:hint="eastAsia" w:ascii="宋体" w:hAnsi="宋体" w:cs="宋体"/>
          <w:snapToGrid w:val="0"/>
          <w:color w:val="0D0D0D" w:themeColor="text1" w:themeTint="F2"/>
          <w:kern w:val="0"/>
          <w:szCs w:val="21"/>
          <w:highlight w:val="none"/>
          <w14:textFill>
            <w14:solidFill>
              <w14:schemeClr w14:val="tx1">
                <w14:lumMod w14:val="95000"/>
                <w14:lumOff w14:val="5000"/>
              </w14:schemeClr>
            </w14:solidFill>
          </w14:textFill>
        </w:rPr>
        <w:t>长沙穗城轨道交通有限公司</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，招标项目资金来源已落实。该项目已具备招标条件，现进行公开招标。</w:t>
      </w:r>
    </w:p>
    <w:p w14:paraId="5A0E6BDD">
      <w:pPr>
        <w:wordWrap w:val="0"/>
        <w:spacing w:before="156" w:beforeLines="50" w:after="156" w:afterLines="50" w:line="360" w:lineRule="auto"/>
        <w:ind w:left="221" w:right="340" w:firstLine="204" w:firstLineChars="97"/>
        <w:jc w:val="left"/>
        <w:outlineLvl w:val="1"/>
        <w:rPr>
          <w:rFonts w:ascii="宋体" w:hAnsi="宋体" w:cs="宋体"/>
          <w:b/>
          <w:snapToGrid w:val="0"/>
          <w:color w:val="0D0D0D" w:themeColor="text1" w:themeTint="F2"/>
          <w:kern w:val="0"/>
          <w:szCs w:val="21"/>
          <w:highlight w:val="none"/>
          <w14:textFill>
            <w14:solidFill>
              <w14:schemeClr w14:val="tx1">
                <w14:lumMod w14:val="95000"/>
                <w14:lumOff w14:val="5000"/>
              </w14:schemeClr>
            </w14:solidFill>
          </w14:textFill>
        </w:rPr>
      </w:pPr>
      <w:r>
        <w:rPr>
          <w:rFonts w:hint="eastAsia" w:ascii="宋体" w:hAnsi="宋体" w:cs="宋体"/>
          <w:b/>
          <w:snapToGrid w:val="0"/>
          <w:color w:val="0D0D0D" w:themeColor="text1" w:themeTint="F2"/>
          <w:kern w:val="0"/>
          <w:szCs w:val="21"/>
          <w:highlight w:val="none"/>
          <w14:textFill>
            <w14:solidFill>
              <w14:schemeClr w14:val="tx1">
                <w14:lumMod w14:val="95000"/>
                <w14:lumOff w14:val="5000"/>
              </w14:schemeClr>
            </w14:solidFill>
          </w14:textFill>
        </w:rPr>
        <w:t>2.项目概况与招标范围</w:t>
      </w:r>
    </w:p>
    <w:p w14:paraId="1F9D8A7C">
      <w:pPr>
        <w:wordWrap w:val="0"/>
        <w:spacing w:line="360" w:lineRule="auto"/>
        <w:ind w:firstLine="420" w:firstLineChars="200"/>
        <w:rPr>
          <w:rFonts w:hint="eastAsia" w:ascii="宋体" w:hAnsi="宋体" w:eastAsia="宋体" w:cs="宋体"/>
          <w:color w:val="0D0D0D" w:themeColor="text1" w:themeTint="F2"/>
          <w:szCs w:val="21"/>
          <w:highlight w:val="none"/>
          <w:lang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2.</w:t>
      </w:r>
      <w:r>
        <w:rPr>
          <w:rFonts w:ascii="宋体" w:hAnsi="宋体" w:cs="宋体"/>
          <w:color w:val="0D0D0D" w:themeColor="text1" w:themeTint="F2"/>
          <w:szCs w:val="21"/>
          <w:highlight w:val="none"/>
          <w14:textFill>
            <w14:solidFill>
              <w14:schemeClr w14:val="tx1">
                <w14:lumMod w14:val="95000"/>
                <w14:lumOff w14:val="5000"/>
              </w14:schemeClr>
            </w14:solidFill>
          </w14:textFill>
        </w:rPr>
        <w:t>1</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项目名称:</w:t>
      </w:r>
      <w:r>
        <w:rPr>
          <w:rFonts w:hint="eastAsia" w:ascii="宋体" w:hAnsi="宋体" w:cs="宋体"/>
          <w:color w:val="0D0D0D" w:themeColor="text1" w:themeTint="F2"/>
          <w:szCs w:val="21"/>
          <w:highlight w:val="none"/>
          <w:lang w:eastAsia="zh-CN"/>
          <w14:textFill>
            <w14:solidFill>
              <w14:schemeClr w14:val="tx1">
                <w14:lumMod w14:val="95000"/>
                <w14:lumOff w14:val="5000"/>
              </w14:schemeClr>
            </w14:solidFill>
          </w14:textFill>
        </w:rPr>
        <w:t>长沙穗城轨道交通有限公司</w:t>
      </w:r>
      <w:r>
        <w:rPr>
          <w:rFonts w:hint="eastAsia" w:ascii="宋体" w:hAnsi="宋体" w:cs="宋体"/>
          <w:snapToGrid w:val="0"/>
          <w:color w:val="0D0D0D" w:themeColor="text1" w:themeTint="F2"/>
          <w:kern w:val="0"/>
          <w:szCs w:val="21"/>
          <w:highlight w:val="none"/>
          <w:lang w:val="en-US" w:eastAsia="zh-CN"/>
          <w14:textFill>
            <w14:solidFill>
              <w14:schemeClr w14:val="tx1">
                <w14:lumMod w14:val="95000"/>
                <w14:lumOff w14:val="5000"/>
              </w14:schemeClr>
            </w14:solidFill>
          </w14:textFill>
        </w:rPr>
        <w:t>2025-2028年网络安全服务项目</w:t>
      </w:r>
    </w:p>
    <w:p w14:paraId="2D3C11EC">
      <w:pPr>
        <w:wordWrap w:val="0"/>
        <w:spacing w:line="360" w:lineRule="auto"/>
        <w:ind w:firstLine="420" w:firstLineChars="200"/>
        <w:rPr>
          <w:rFonts w:hint="default"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pPr>
      <w:r>
        <w:rPr>
          <w:rFonts w:ascii="宋体" w:hAnsi="宋体" w:cs="宋体"/>
          <w:color w:val="0D0D0D" w:themeColor="text1" w:themeTint="F2"/>
          <w:szCs w:val="21"/>
          <w:highlight w:val="none"/>
          <w14:textFill>
            <w14:solidFill>
              <w14:schemeClr w14:val="tx1">
                <w14:lumMod w14:val="95000"/>
                <w14:lumOff w14:val="5000"/>
              </w14:schemeClr>
            </w14:solidFill>
          </w14:textFill>
        </w:rPr>
        <w:t>2.2</w:t>
      </w: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项目类型：服务类</w:t>
      </w:r>
    </w:p>
    <w:p w14:paraId="1FF8C0D8">
      <w:pPr>
        <w:wordWrap w:val="0"/>
        <w:spacing w:line="360" w:lineRule="auto"/>
        <w:ind w:firstLine="420" w:firstLineChars="200"/>
        <w:rPr>
          <w:rFonts w:hint="default" w:ascii="宋体" w:hAnsi="宋体" w:eastAsia="宋体" w:cs="宋体"/>
          <w:color w:val="0D0D0D" w:themeColor="text1" w:themeTint="F2"/>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2.3</w:t>
      </w:r>
      <w:r>
        <w:rPr>
          <w:rFonts w:ascii="宋体" w:hAnsi="宋体" w:cs="宋体"/>
          <w:color w:val="0D0D0D" w:themeColor="text1" w:themeTint="F2"/>
          <w:szCs w:val="21"/>
          <w:highlight w:val="none"/>
          <w14:textFill>
            <w14:solidFill>
              <w14:schemeClr w14:val="tx1">
                <w14:lumMod w14:val="95000"/>
                <w14:lumOff w14:val="5000"/>
              </w14:schemeClr>
            </w14:solidFill>
          </w14:textFill>
        </w:rPr>
        <w:t>招标</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编号：</w:t>
      </w: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CSSC-2025-11</w:t>
      </w:r>
    </w:p>
    <w:p w14:paraId="55D55804">
      <w:pPr>
        <w:wordWrap w:val="0"/>
        <w:spacing w:line="360" w:lineRule="auto"/>
        <w:ind w:firstLine="420" w:firstLineChars="200"/>
        <w:rPr>
          <w:rFonts w:hint="default"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pPr>
      <w:r>
        <w:rPr>
          <w:rFonts w:ascii="宋体" w:hAnsi="宋体" w:cs="宋体"/>
          <w:color w:val="0D0D0D" w:themeColor="text1" w:themeTint="F2"/>
          <w:szCs w:val="21"/>
          <w:highlight w:val="none"/>
          <w14:textFill>
            <w14:solidFill>
              <w14:schemeClr w14:val="tx1">
                <w14:lumMod w14:val="95000"/>
                <w14:lumOff w14:val="5000"/>
              </w14:schemeClr>
            </w14:solidFill>
          </w14:textFill>
        </w:rPr>
        <w:t>2.</w:t>
      </w: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4</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最高投</w:t>
      </w: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标</w:t>
      </w:r>
      <w:r>
        <w:rPr>
          <w:rFonts w:hint="eastAsia" w:ascii="宋体" w:hAnsi="宋体"/>
          <w:color w:val="0D0D0D" w:themeColor="text1" w:themeTint="F2"/>
          <w:szCs w:val="21"/>
          <w:highlight w:val="none"/>
          <w:u w:val="none"/>
          <w:lang w:val="en-US" w:eastAsia="zh-CN"/>
          <w14:textFill>
            <w14:solidFill>
              <w14:schemeClr w14:val="tx1">
                <w14:lumMod w14:val="95000"/>
                <w14:lumOff w14:val="5000"/>
              </w14:schemeClr>
            </w14:solidFill>
          </w14:textFill>
        </w:rPr>
        <w:t>单项限价</w:t>
      </w: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（含税）</w:t>
      </w:r>
      <w:r>
        <w:rPr>
          <w:rFonts w:hint="eastAsia" w:ascii="宋体" w:hAnsi="宋体" w:cs="宋体"/>
          <w:color w:val="0D0D0D" w:themeColor="text1" w:themeTint="F2"/>
          <w:szCs w:val="21"/>
          <w:highlight w:val="none"/>
          <w:u w:val="none"/>
          <w:lang w:eastAsia="zh-CN"/>
          <w14:textFill>
            <w14:solidFill>
              <w14:schemeClr w14:val="tx1">
                <w14:lumMod w14:val="95000"/>
                <w14:lumOff w14:val="5000"/>
              </w14:schemeClr>
            </w14:solidFill>
          </w14:textFill>
        </w:rPr>
        <w:t>：</w:t>
      </w: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本项目最高投标限价274.5930万元，项目采用单项限价，详见附表：《长沙穗城轨道交通有限公司2025-2028年网络安全服务项目单项控制价公示表》。</w:t>
      </w:r>
    </w:p>
    <w:p w14:paraId="3044FE6D">
      <w:pPr>
        <w:spacing w:beforeLines="0" w:afterLines="0" w:line="360" w:lineRule="auto"/>
        <w:ind w:firstLine="420" w:firstLineChars="200"/>
        <w:rPr>
          <w:rFonts w:hint="eastAsia" w:ascii="宋体" w:hAnsi="宋体" w:eastAsia="宋体" w:cs="宋体"/>
          <w:color w:val="auto"/>
          <w:szCs w:val="21"/>
          <w:highlight w:val="none"/>
          <w:u w:val="none"/>
        </w:rPr>
      </w:pP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2.</w:t>
      </w: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5</w:t>
      </w:r>
      <w:r>
        <w:rPr>
          <w:rFonts w:hint="eastAsia" w:ascii="宋体" w:hAnsi="宋体" w:eastAsia="宋体" w:cs="宋体"/>
          <w:color w:val="auto"/>
          <w:szCs w:val="21"/>
          <w:highlight w:val="none"/>
          <w:u w:val="none"/>
        </w:rPr>
        <w:t>标段划分：1个标段。</w:t>
      </w:r>
    </w:p>
    <w:p w14:paraId="166F130D">
      <w:pPr>
        <w:wordWrap w:val="0"/>
        <w:spacing w:line="360" w:lineRule="auto"/>
        <w:ind w:firstLine="420" w:firstLineChars="200"/>
        <w:rPr>
          <w:rFonts w:ascii="宋体" w:hAnsi="宋体" w:cs="宋体"/>
          <w:color w:val="0D0D0D" w:themeColor="text1" w:themeTint="F2"/>
          <w:szCs w:val="21"/>
          <w:highlight w:val="none"/>
          <w:u w:val="none"/>
          <w14:textFill>
            <w14:solidFill>
              <w14:schemeClr w14:val="tx1">
                <w14:lumMod w14:val="95000"/>
                <w14:lumOff w14:val="5000"/>
              </w14:schemeClr>
            </w14:solidFill>
          </w14:textFill>
        </w:rPr>
      </w:pPr>
      <w:r>
        <w:rPr>
          <w:rFonts w:ascii="宋体" w:hAnsi="宋体" w:cs="宋体"/>
          <w:color w:val="0D0D0D" w:themeColor="text1" w:themeTint="F2"/>
          <w:szCs w:val="21"/>
          <w:highlight w:val="none"/>
          <w:u w:val="none"/>
          <w14:textFill>
            <w14:solidFill>
              <w14:schemeClr w14:val="tx1">
                <w14:lumMod w14:val="95000"/>
                <w14:lumOff w14:val="5000"/>
              </w14:schemeClr>
            </w14:solidFill>
          </w14:textFill>
        </w:rPr>
        <w:t>2</w:t>
      </w: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w:t>
      </w: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6</w:t>
      </w: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项目实施地点：湖南省长沙市，具体以招标人要求为准。</w:t>
      </w:r>
    </w:p>
    <w:p w14:paraId="3B210DAD">
      <w:pPr>
        <w:wordWrap w:val="0"/>
        <w:spacing w:line="360" w:lineRule="auto"/>
        <w:ind w:firstLine="420" w:firstLineChars="200"/>
        <w:rPr>
          <w:rFonts w:hint="default" w:ascii="宋体" w:hAnsi="宋体" w:eastAsia="宋体" w:cs="宋体"/>
          <w:color w:val="0D0D0D" w:themeColor="text1" w:themeTint="F2"/>
          <w:szCs w:val="21"/>
          <w:highlight w:val="none"/>
          <w:u w:val="none"/>
          <w:lang w:val="en-US" w:eastAsia="zh-CN"/>
          <w14:textFill>
            <w14:solidFill>
              <w14:schemeClr w14:val="tx1">
                <w14:lumMod w14:val="95000"/>
                <w14:lumOff w14:val="5000"/>
              </w14:schemeClr>
            </w14:solidFill>
          </w14:textFill>
        </w:rPr>
      </w:pPr>
      <w:bookmarkStart w:id="2" w:name="_Hlk56519541"/>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2.</w:t>
      </w: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7</w:t>
      </w: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服务期限：</w:t>
      </w:r>
      <w:bookmarkEnd w:id="2"/>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3年。</w:t>
      </w:r>
    </w:p>
    <w:p w14:paraId="59C3AD67">
      <w:pPr>
        <w:spacing w:line="360" w:lineRule="auto"/>
        <w:ind w:firstLine="420" w:firstLineChars="200"/>
        <w:rPr>
          <w:rFonts w:hint="default" w:ascii="宋体" w:hAnsi="宋体" w:eastAsia="宋体" w:cs="宋体"/>
          <w:color w:val="0D0D0D" w:themeColor="text1" w:themeTint="F2"/>
          <w:szCs w:val="21"/>
          <w:highlight w:val="none"/>
          <w:u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2.8</w:t>
      </w: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招标范围：网络安全服务，包括安全监控服务、安全测评服务、网络安全保障、安全培训服务、网络安全支持服务</w:t>
      </w: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w:t>
      </w:r>
    </w:p>
    <w:p w14:paraId="085F5FD7">
      <w:pPr>
        <w:wordWrap w:val="0"/>
        <w:spacing w:before="156" w:beforeLines="50" w:after="156" w:afterLines="50" w:line="360" w:lineRule="auto"/>
        <w:ind w:left="221" w:right="340" w:firstLine="204" w:firstLineChars="97"/>
        <w:jc w:val="left"/>
        <w:outlineLvl w:val="1"/>
        <w:rPr>
          <w:rFonts w:ascii="宋体" w:hAnsi="宋体" w:cs="宋体"/>
          <w:b/>
          <w:snapToGrid w:val="0"/>
          <w:color w:val="0D0D0D" w:themeColor="text1" w:themeTint="F2"/>
          <w:kern w:val="0"/>
          <w:szCs w:val="21"/>
          <w:highlight w:val="none"/>
          <w:u w:val="none"/>
          <w14:textFill>
            <w14:solidFill>
              <w14:schemeClr w14:val="tx1">
                <w14:lumMod w14:val="95000"/>
                <w14:lumOff w14:val="5000"/>
              </w14:schemeClr>
            </w14:solidFill>
          </w14:textFill>
        </w:rPr>
      </w:pPr>
      <w:r>
        <w:rPr>
          <w:rFonts w:hint="eastAsia" w:ascii="宋体" w:hAnsi="宋体" w:cs="宋体"/>
          <w:b/>
          <w:snapToGrid w:val="0"/>
          <w:color w:val="0D0D0D" w:themeColor="text1" w:themeTint="F2"/>
          <w:kern w:val="0"/>
          <w:szCs w:val="21"/>
          <w:highlight w:val="none"/>
          <w:u w:val="none"/>
          <w14:textFill>
            <w14:solidFill>
              <w14:schemeClr w14:val="tx1">
                <w14:lumMod w14:val="95000"/>
                <w14:lumOff w14:val="5000"/>
              </w14:schemeClr>
            </w14:solidFill>
          </w14:textFill>
        </w:rPr>
        <w:t>3.投标人资格要求</w:t>
      </w:r>
    </w:p>
    <w:p w14:paraId="323B03C3">
      <w:pPr>
        <w:wordWrap w:val="0"/>
        <w:adjustRightInd w:val="0"/>
        <w:snapToGrid w:val="0"/>
        <w:spacing w:line="360" w:lineRule="auto"/>
        <w:ind w:firstLine="420" w:firstLineChars="200"/>
        <w:rPr>
          <w:rFonts w:ascii="宋体" w:hAnsi="宋体" w:cs="宋体"/>
          <w:color w:val="0D0D0D" w:themeColor="text1" w:themeTint="F2"/>
          <w:szCs w:val="21"/>
          <w:highlight w:val="none"/>
          <w:u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3.1投标人须具有独立法人资格并依法取得企业营业执照</w:t>
      </w:r>
      <w:r>
        <w:rPr>
          <w:rFonts w:hint="eastAsia" w:ascii="宋体" w:hAnsi="宋体" w:eastAsia="宋体" w:cs="宋体"/>
          <w:bCs/>
          <w:snapToGrid w:val="0"/>
          <w:color w:val="000000"/>
          <w:kern w:val="0"/>
          <w:szCs w:val="21"/>
          <w:highlight w:val="none"/>
          <w:lang w:val="en-US" w:eastAsia="zh-CN"/>
        </w:rPr>
        <w:t>(</w:t>
      </w:r>
      <w:r>
        <w:rPr>
          <w:rFonts w:hint="eastAsia" w:ascii="宋体" w:hAnsi="宋体" w:eastAsia="宋体" w:cs="宋体"/>
          <w:bCs/>
          <w:snapToGrid w:val="0"/>
          <w:color w:val="000000"/>
          <w:kern w:val="0"/>
          <w:szCs w:val="21"/>
          <w:highlight w:val="none"/>
        </w:rPr>
        <w:t>或法人登记证书</w:t>
      </w:r>
      <w:r>
        <w:rPr>
          <w:rFonts w:hint="eastAsia" w:ascii="宋体" w:hAnsi="宋体" w:eastAsia="宋体" w:cs="宋体"/>
          <w:bCs/>
          <w:snapToGrid w:val="0"/>
          <w:color w:val="000000"/>
          <w:kern w:val="0"/>
          <w:szCs w:val="21"/>
          <w:highlight w:val="none"/>
          <w:lang w:val="en-US" w:eastAsia="zh-CN"/>
        </w:rPr>
        <w:t>)</w:t>
      </w: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，且营业执照</w:t>
      </w:r>
      <w:r>
        <w:rPr>
          <w:rFonts w:hint="eastAsia" w:ascii="宋体" w:hAnsi="宋体" w:eastAsia="宋体" w:cs="宋体"/>
          <w:bCs/>
          <w:snapToGrid w:val="0"/>
          <w:color w:val="000000"/>
          <w:kern w:val="0"/>
          <w:szCs w:val="21"/>
          <w:highlight w:val="none"/>
          <w:lang w:val="en-US" w:eastAsia="zh-CN"/>
        </w:rPr>
        <w:t>(</w:t>
      </w:r>
      <w:r>
        <w:rPr>
          <w:rFonts w:hint="eastAsia" w:ascii="宋体" w:hAnsi="宋体" w:eastAsia="宋体" w:cs="宋体"/>
          <w:bCs/>
          <w:snapToGrid w:val="0"/>
          <w:color w:val="000000"/>
          <w:kern w:val="0"/>
          <w:szCs w:val="21"/>
          <w:highlight w:val="none"/>
        </w:rPr>
        <w:t>或法人登记证书</w:t>
      </w:r>
      <w:r>
        <w:rPr>
          <w:rFonts w:hint="eastAsia" w:ascii="宋体" w:hAnsi="宋体" w:eastAsia="宋体" w:cs="宋体"/>
          <w:bCs/>
          <w:snapToGrid w:val="0"/>
          <w:color w:val="000000"/>
          <w:kern w:val="0"/>
          <w:szCs w:val="21"/>
          <w:highlight w:val="none"/>
          <w:lang w:val="en-US" w:eastAsia="zh-CN"/>
        </w:rPr>
        <w:t>)</w:t>
      </w:r>
      <w:r>
        <w:rPr>
          <w:rFonts w:hint="eastAsia" w:ascii="宋体" w:hAnsi="宋体" w:cs="宋体"/>
          <w:color w:val="0D0D0D" w:themeColor="text1" w:themeTint="F2"/>
          <w:szCs w:val="21"/>
          <w:highlight w:val="none"/>
          <w:u w:val="none"/>
          <w14:textFill>
            <w14:solidFill>
              <w14:schemeClr w14:val="tx1">
                <w14:lumMod w14:val="95000"/>
                <w14:lumOff w14:val="5000"/>
              </w14:schemeClr>
            </w14:solidFill>
          </w14:textFill>
        </w:rPr>
        <w:t>处于有效期内。</w:t>
      </w:r>
    </w:p>
    <w:p w14:paraId="7883BFE4">
      <w:pPr>
        <w:spacing w:before="0" w:line="360" w:lineRule="auto"/>
        <w:ind w:right="0" w:firstLine="420" w:firstLineChars="200"/>
        <w:rPr>
          <w:rFonts w:hint="eastAsia" w:ascii="宋体" w:hAnsi="宋体" w:eastAsia="宋体" w:cs="宋体"/>
          <w:color w:val="000000"/>
          <w:kern w:val="2"/>
          <w:sz w:val="21"/>
          <w:szCs w:val="21"/>
          <w:highlight w:val="none"/>
          <w:u w:val="none"/>
          <w:lang w:val="en-US" w:eastAsia="zh-CN" w:bidi="ar-SA"/>
        </w:rPr>
      </w:pPr>
      <w:r>
        <w:rPr>
          <w:rFonts w:hint="eastAsia" w:ascii="宋体" w:hAnsi="宋体" w:eastAsia="宋体" w:cs="宋体"/>
          <w:color w:val="000000"/>
          <w:szCs w:val="21"/>
          <w:highlight w:val="none"/>
          <w:u w:val="none"/>
          <w:lang w:val="en-US" w:eastAsia="zh-CN"/>
        </w:rPr>
        <w:t>3.2</w:t>
      </w:r>
      <w:r>
        <w:rPr>
          <w:rFonts w:hint="eastAsia" w:ascii="宋体" w:hAnsi="宋体" w:eastAsia="宋体" w:cs="宋体"/>
          <w:color w:val="000000"/>
          <w:szCs w:val="21"/>
          <w:highlight w:val="none"/>
          <w:u w:val="none"/>
        </w:rPr>
        <w:t>投标人入围业绩</w:t>
      </w:r>
      <w:r>
        <w:rPr>
          <w:rFonts w:hint="eastAsia" w:ascii="宋体" w:hAnsi="宋体" w:cs="宋体"/>
          <w:color w:val="000000"/>
          <w:szCs w:val="21"/>
          <w:highlight w:val="none"/>
          <w:u w:val="none"/>
          <w:lang w:val="en-US" w:eastAsia="zh-CN"/>
        </w:rPr>
        <w:t>要求</w:t>
      </w:r>
      <w:r>
        <w:rPr>
          <w:rFonts w:hint="eastAsia" w:ascii="宋体" w:hAnsi="宋体" w:eastAsia="宋体" w:cs="宋体"/>
          <w:color w:val="000000"/>
          <w:szCs w:val="21"/>
          <w:highlight w:val="none"/>
          <w:u w:val="none"/>
        </w:rPr>
        <w:t>：</w:t>
      </w:r>
      <w:r>
        <w:rPr>
          <w:spacing w:val="-6"/>
          <w:highlight w:val="none"/>
          <w:u w:val="none"/>
        </w:rPr>
        <w:t>投</w:t>
      </w:r>
      <w:r>
        <w:rPr>
          <w:rFonts w:hint="eastAsia" w:ascii="宋体" w:hAnsi="宋体" w:eastAsia="宋体" w:cs="宋体"/>
          <w:color w:val="000000"/>
          <w:kern w:val="2"/>
          <w:sz w:val="21"/>
          <w:szCs w:val="21"/>
          <w:highlight w:val="none"/>
          <w:u w:val="none"/>
          <w:lang w:val="en-US" w:eastAsia="zh-CN" w:bidi="ar-SA"/>
        </w:rPr>
        <w:t>标人在投标截止之日前36个月内</w:t>
      </w:r>
      <w:r>
        <w:rPr>
          <w:rFonts w:hint="eastAsia" w:ascii="宋体" w:hAnsi="宋体" w:cs="宋体"/>
          <w:color w:val="000000"/>
          <w:kern w:val="2"/>
          <w:sz w:val="21"/>
          <w:szCs w:val="21"/>
          <w:highlight w:val="none"/>
          <w:u w:val="none"/>
          <w:lang w:val="en-US" w:eastAsia="zh-CN" w:bidi="ar-SA"/>
        </w:rPr>
        <w:t>，</w:t>
      </w:r>
      <w:r>
        <w:rPr>
          <w:rFonts w:hint="eastAsia" w:ascii="宋体" w:hAnsi="宋体" w:eastAsia="宋体" w:cs="宋体"/>
          <w:color w:val="000000"/>
          <w:kern w:val="2"/>
          <w:sz w:val="21"/>
          <w:szCs w:val="21"/>
          <w:highlight w:val="none"/>
          <w:u w:val="none"/>
          <w:lang w:val="en-US" w:eastAsia="zh-CN" w:bidi="ar-SA"/>
        </w:rPr>
        <w:t>具有1个单项合同金额不少于</w:t>
      </w:r>
      <w:r>
        <w:rPr>
          <w:rFonts w:hint="eastAsia" w:ascii="宋体" w:hAnsi="宋体" w:cs="宋体"/>
          <w:color w:val="000000"/>
          <w:kern w:val="2"/>
          <w:sz w:val="21"/>
          <w:szCs w:val="21"/>
          <w:highlight w:val="none"/>
          <w:u w:val="none"/>
          <w:lang w:val="en-US" w:eastAsia="zh-CN" w:bidi="ar-SA"/>
        </w:rPr>
        <w:t>130万元</w:t>
      </w:r>
      <w:r>
        <w:rPr>
          <w:rFonts w:hint="eastAsia" w:ascii="宋体" w:hAnsi="宋体" w:eastAsia="宋体" w:cs="宋体"/>
          <w:color w:val="000000"/>
          <w:kern w:val="2"/>
          <w:sz w:val="21"/>
          <w:szCs w:val="21"/>
          <w:highlight w:val="none"/>
          <w:u w:val="none"/>
          <w:lang w:val="en-US" w:eastAsia="zh-CN" w:bidi="ar-SA"/>
        </w:rPr>
        <w:t>的</w:t>
      </w:r>
      <w:r>
        <w:rPr>
          <w:rFonts w:hint="eastAsia" w:ascii="宋体" w:hAnsi="宋体" w:cs="宋体"/>
          <w:color w:val="000000"/>
          <w:kern w:val="2"/>
          <w:sz w:val="21"/>
          <w:szCs w:val="21"/>
          <w:highlight w:val="none"/>
          <w:u w:val="none"/>
          <w:lang w:val="en-US" w:eastAsia="zh-CN" w:bidi="ar-SA"/>
        </w:rPr>
        <w:t>网络安全服务类</w:t>
      </w:r>
      <w:r>
        <w:rPr>
          <w:rFonts w:hint="eastAsia" w:ascii="宋体" w:hAnsi="宋体" w:eastAsia="宋体" w:cs="宋体"/>
          <w:color w:val="000000"/>
          <w:kern w:val="2"/>
          <w:sz w:val="21"/>
          <w:szCs w:val="21"/>
          <w:highlight w:val="none"/>
          <w:u w:val="none"/>
          <w:lang w:val="en-US" w:eastAsia="zh-CN" w:bidi="ar-SA"/>
        </w:rPr>
        <w:t>业绩。</w:t>
      </w:r>
    </w:p>
    <w:p w14:paraId="77BAA3FE">
      <w:pPr>
        <w:wordWrap w:val="0"/>
        <w:spacing w:line="360" w:lineRule="auto"/>
        <w:ind w:firstLine="422" w:firstLineChars="20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业绩证明材料以合同为准，且须提供合同复印件；业绩金额以合同中的相应金额为准，合同中相应金额无法</w:t>
      </w:r>
      <w:r>
        <w:rPr>
          <w:rFonts w:hint="eastAsia" w:ascii="宋体" w:hAnsi="宋体" w:cs="宋体"/>
          <w:b/>
          <w:bCs/>
          <w:color w:val="000000"/>
          <w:szCs w:val="21"/>
          <w:highlight w:val="none"/>
          <w:lang w:val="en-US" w:eastAsia="zh-CN"/>
        </w:rPr>
        <w:t>体现</w:t>
      </w:r>
      <w:r>
        <w:rPr>
          <w:rFonts w:hint="eastAsia" w:ascii="宋体" w:hAnsi="宋体" w:eastAsia="宋体" w:cs="宋体"/>
          <w:b/>
          <w:bCs/>
          <w:color w:val="000000"/>
          <w:szCs w:val="21"/>
          <w:highlight w:val="none"/>
        </w:rPr>
        <w:t>或计算</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rPr>
        <w:t>汇总</w:t>
      </w:r>
      <w:r>
        <w:rPr>
          <w:rFonts w:hint="eastAsia" w:ascii="宋体" w:hAnsi="宋体" w:cs="宋体"/>
          <w:b/>
          <w:bCs/>
          <w:color w:val="000000"/>
          <w:szCs w:val="21"/>
          <w:highlight w:val="none"/>
          <w:lang w:val="en-US" w:eastAsia="zh-CN"/>
        </w:rPr>
        <w:t>出金额</w:t>
      </w:r>
      <w:r>
        <w:rPr>
          <w:rFonts w:hint="eastAsia" w:ascii="宋体" w:hAnsi="宋体" w:eastAsia="宋体" w:cs="宋体"/>
          <w:b/>
          <w:bCs/>
          <w:color w:val="000000"/>
          <w:szCs w:val="21"/>
          <w:highlight w:val="none"/>
        </w:rPr>
        <w:t>的，须另外提供由业主单位出具的</w:t>
      </w:r>
      <w:r>
        <w:rPr>
          <w:rFonts w:hint="eastAsia" w:ascii="宋体" w:hAnsi="宋体" w:cs="宋体"/>
          <w:b/>
          <w:bCs/>
          <w:color w:val="000000"/>
          <w:szCs w:val="21"/>
          <w:highlight w:val="none"/>
          <w:lang w:val="en-US" w:eastAsia="zh-CN"/>
        </w:rPr>
        <w:t>证明材料</w:t>
      </w:r>
      <w:r>
        <w:rPr>
          <w:rFonts w:hint="eastAsia" w:ascii="宋体" w:hAnsi="宋体" w:eastAsia="宋体" w:cs="宋体"/>
          <w:b/>
          <w:bCs/>
          <w:color w:val="000000"/>
          <w:szCs w:val="21"/>
          <w:highlight w:val="none"/>
        </w:rPr>
        <w:t>；</w:t>
      </w:r>
      <w:r>
        <w:rPr>
          <w:rFonts w:hint="eastAsia" w:ascii="宋体" w:hAnsi="宋体" w:cs="宋体"/>
          <w:b/>
          <w:bCs/>
          <w:color w:val="000000"/>
          <w:szCs w:val="21"/>
          <w:highlight w:val="none"/>
          <w:lang w:val="en-US" w:eastAsia="zh-CN"/>
        </w:rPr>
        <w:t>业绩的</w:t>
      </w:r>
      <w:r>
        <w:rPr>
          <w:rFonts w:hint="eastAsia" w:ascii="宋体" w:hAnsi="宋体" w:eastAsia="宋体" w:cs="宋体"/>
          <w:b/>
          <w:bCs/>
          <w:color w:val="000000"/>
          <w:szCs w:val="21"/>
          <w:highlight w:val="none"/>
        </w:rPr>
        <w:t>时间以合同中较晚一方签字时间为准；以上业绩不接受联合体业绩，不接受港澳台或境外业绩。</w:t>
      </w:r>
    </w:p>
    <w:p w14:paraId="20DA9DEF">
      <w:pPr>
        <w:wordWrap w:val="0"/>
        <w:spacing w:line="360" w:lineRule="auto"/>
        <w:ind w:firstLine="420" w:firstLineChars="20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3.3</w:t>
      </w:r>
      <w:r>
        <w:rPr>
          <w:rFonts w:hint="eastAsia" w:ascii="宋体" w:hAnsi="宋体" w:cs="宋体"/>
          <w:color w:val="000000"/>
          <w:szCs w:val="21"/>
          <w:highlight w:val="none"/>
          <w:lang w:val="en-US" w:eastAsia="zh-CN"/>
        </w:rPr>
        <w:t>投标人</w:t>
      </w:r>
      <w:r>
        <w:rPr>
          <w:rFonts w:hint="eastAsia" w:ascii="宋体" w:hAnsi="宋体" w:eastAsia="宋体" w:cs="宋体"/>
          <w:color w:val="000000"/>
          <w:szCs w:val="21"/>
          <w:highlight w:val="none"/>
          <w:lang w:val="en-US" w:eastAsia="zh-CN"/>
        </w:rPr>
        <w:t>须具备中国网络安全审查认证和市场监管大数据中心颁发的</w:t>
      </w:r>
      <w:r>
        <w:rPr>
          <w:rFonts w:hint="eastAsia" w:ascii="宋体" w:hAnsi="宋体" w:cs="宋体"/>
          <w:color w:val="000000"/>
          <w:szCs w:val="21"/>
          <w:highlight w:val="none"/>
          <w:lang w:val="en-US" w:eastAsia="zh-CN"/>
        </w:rPr>
        <w:t>任一业务类别二级及以上信息安全服务资质证书</w:t>
      </w:r>
      <w:r>
        <w:rPr>
          <w:rFonts w:hint="eastAsia" w:ascii="宋体" w:hAnsi="宋体" w:eastAsia="宋体" w:cs="宋体"/>
          <w:color w:val="000000"/>
          <w:szCs w:val="21"/>
          <w:highlight w:val="none"/>
          <w:lang w:val="en-US" w:eastAsia="zh-CN"/>
        </w:rPr>
        <w:t>，</w:t>
      </w:r>
      <w:r>
        <w:rPr>
          <w:rFonts w:hint="eastAsia" w:ascii="宋体" w:hAnsi="宋体" w:cs="宋体"/>
          <w:color w:val="000000"/>
          <w:szCs w:val="21"/>
          <w:highlight w:val="none"/>
          <w:lang w:val="en-US" w:eastAsia="zh-CN"/>
        </w:rPr>
        <w:t>且</w:t>
      </w:r>
      <w:r>
        <w:rPr>
          <w:rFonts w:hint="eastAsia" w:ascii="宋体" w:hAnsi="宋体" w:eastAsia="宋体" w:cs="宋体"/>
          <w:color w:val="000000"/>
          <w:szCs w:val="21"/>
          <w:highlight w:val="none"/>
          <w:lang w:val="en-US" w:eastAsia="zh-CN"/>
        </w:rPr>
        <w:t>证书处于有效期内</w:t>
      </w:r>
      <w:r>
        <w:rPr>
          <w:rFonts w:hint="eastAsia" w:ascii="宋体" w:hAnsi="宋体" w:cs="宋体"/>
          <w:color w:val="000000"/>
          <w:szCs w:val="21"/>
          <w:highlight w:val="none"/>
          <w:lang w:val="en-US" w:eastAsia="zh-CN"/>
        </w:rPr>
        <w:t>。</w:t>
      </w:r>
    </w:p>
    <w:p w14:paraId="7BD3F30E">
      <w:pPr>
        <w:wordWrap w:val="0"/>
        <w:spacing w:line="360" w:lineRule="auto"/>
        <w:ind w:firstLine="420" w:firstLineChars="20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w:t>
      </w:r>
      <w:r>
        <w:rPr>
          <w:rFonts w:hint="eastAsia" w:ascii="宋体" w:hAnsi="宋体" w:cs="宋体"/>
          <w:color w:val="000000"/>
          <w:szCs w:val="21"/>
          <w:highlight w:val="none"/>
          <w:lang w:val="en-US" w:eastAsia="zh-CN"/>
        </w:rPr>
        <w:t>4</w:t>
      </w:r>
      <w:r>
        <w:rPr>
          <w:rFonts w:hint="eastAsia" w:ascii="宋体" w:hAnsi="宋体" w:eastAsia="宋体" w:cs="宋体"/>
          <w:color w:val="000000"/>
          <w:szCs w:val="21"/>
          <w:highlight w:val="none"/>
          <w:lang w:val="en-US" w:eastAsia="zh-CN"/>
        </w:rPr>
        <w:t>单位负责人为同一人或者存在控股、管理关系的不同单位，不得参加同一标段投标或者未划分标段的同一招标项目投标，否则相关投标均无效。</w:t>
      </w:r>
    </w:p>
    <w:p w14:paraId="157CC23E">
      <w:pPr>
        <w:wordWrap w:val="0"/>
        <w:spacing w:line="360" w:lineRule="auto"/>
        <w:ind w:firstLine="420" w:firstLineChars="20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w:t>
      </w:r>
      <w:r>
        <w:rPr>
          <w:rFonts w:hint="eastAsia" w:ascii="宋体" w:hAnsi="宋体" w:cs="宋体"/>
          <w:color w:val="000000"/>
          <w:szCs w:val="21"/>
          <w:highlight w:val="none"/>
          <w:lang w:val="en-US" w:eastAsia="zh-CN"/>
        </w:rPr>
        <w:t>5</w:t>
      </w:r>
      <w:r>
        <w:rPr>
          <w:rFonts w:hint="eastAsia" w:ascii="宋体" w:hAnsi="宋体" w:eastAsia="宋体" w:cs="宋体"/>
          <w:color w:val="000000"/>
          <w:szCs w:val="21"/>
          <w:highlight w:val="none"/>
          <w:lang w:val="en-US" w:eastAsia="zh-CN"/>
        </w:rPr>
        <w:t>投标人不得被“信用中国”网站（www.creditchina.gov.cn）列入失信被执行人和重大税收违法案件当事人名单；投标人须提供“信用中国”网站（www.creditchina.gov.cn）下载的信用信息报告，报告生成日期须在本项目投标截止之日前7日内。</w:t>
      </w:r>
    </w:p>
    <w:p w14:paraId="70AAB237">
      <w:pPr>
        <w:wordWrap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r>
        <w:rPr>
          <w:rFonts w:hint="eastAsia" w:ascii="宋体" w:hAnsi="宋体" w:cs="宋体"/>
          <w:color w:val="000000"/>
          <w:szCs w:val="21"/>
          <w:highlight w:val="none"/>
          <w:lang w:val="en-US" w:eastAsia="zh-CN"/>
        </w:rPr>
        <w:t>6</w:t>
      </w:r>
      <w:r>
        <w:rPr>
          <w:rFonts w:hint="eastAsia" w:ascii="宋体" w:hAnsi="宋体" w:eastAsia="宋体" w:cs="宋体"/>
          <w:color w:val="000000"/>
          <w:szCs w:val="21"/>
          <w:highlight w:val="none"/>
        </w:rPr>
        <w:t>本次招标不接受联合体投标。</w:t>
      </w:r>
    </w:p>
    <w:p w14:paraId="38BF8C20">
      <w:pPr>
        <w:wordWrap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r>
        <w:rPr>
          <w:rFonts w:hint="eastAsia" w:ascii="宋体" w:hAnsi="宋体" w:cs="宋体"/>
          <w:color w:val="000000"/>
          <w:szCs w:val="21"/>
          <w:highlight w:val="none"/>
          <w:lang w:val="en-US" w:eastAsia="zh-CN"/>
        </w:rPr>
        <w:t>7</w:t>
      </w:r>
      <w:r>
        <w:rPr>
          <w:rFonts w:hint="eastAsia" w:ascii="宋体" w:hAnsi="宋体" w:eastAsia="宋体" w:cs="宋体"/>
          <w:color w:val="000000"/>
          <w:szCs w:val="21"/>
          <w:highlight w:val="none"/>
        </w:rPr>
        <w:t>被</w:t>
      </w:r>
      <w:r>
        <w:rPr>
          <w:rFonts w:hint="eastAsia" w:ascii="宋体" w:hAnsi="宋体" w:eastAsia="宋体" w:cs="宋体"/>
          <w:color w:val="000000"/>
          <w:szCs w:val="21"/>
          <w:highlight w:val="none"/>
          <w:lang w:eastAsia="zh-CN"/>
        </w:rPr>
        <w:t>长沙</w:t>
      </w:r>
      <w:r>
        <w:rPr>
          <w:rFonts w:hint="eastAsia" w:ascii="宋体" w:hAnsi="宋体" w:eastAsia="宋体" w:cs="宋体"/>
          <w:color w:val="000000"/>
          <w:szCs w:val="21"/>
          <w:highlight w:val="none"/>
          <w:lang w:val="en-US" w:eastAsia="zh-CN"/>
        </w:rPr>
        <w:t>市</w:t>
      </w:r>
      <w:r>
        <w:rPr>
          <w:rFonts w:hint="eastAsia" w:ascii="宋体" w:hAnsi="宋体" w:eastAsia="宋体" w:cs="宋体"/>
          <w:color w:val="000000"/>
          <w:szCs w:val="21"/>
          <w:highlight w:val="none"/>
          <w:lang w:eastAsia="zh-CN"/>
        </w:rPr>
        <w:t>轨道交通集团</w:t>
      </w:r>
      <w:r>
        <w:rPr>
          <w:rFonts w:hint="eastAsia" w:ascii="宋体" w:hAnsi="宋体" w:eastAsia="宋体" w:cs="宋体"/>
          <w:color w:val="000000"/>
          <w:szCs w:val="21"/>
          <w:highlight w:val="none"/>
          <w:lang w:val="en-US" w:eastAsia="zh-CN"/>
        </w:rPr>
        <w:t>有限公司</w:t>
      </w:r>
      <w:r>
        <w:rPr>
          <w:rFonts w:hint="eastAsia" w:ascii="宋体" w:hAnsi="宋体" w:eastAsia="宋体" w:cs="宋体"/>
          <w:color w:val="000000"/>
          <w:szCs w:val="21"/>
          <w:highlight w:val="none"/>
          <w:lang w:eastAsia="zh-CN"/>
        </w:rPr>
        <w:t>或</w:t>
      </w:r>
      <w:r>
        <w:rPr>
          <w:rFonts w:hint="eastAsia" w:ascii="宋体" w:hAnsi="宋体" w:eastAsia="宋体" w:cs="宋体"/>
          <w:color w:val="000000"/>
          <w:szCs w:val="21"/>
          <w:highlight w:val="none"/>
        </w:rPr>
        <w:t>长沙穗城轨道交通有限公司函告禁止在一定期限内参与</w:t>
      </w:r>
      <w:r>
        <w:rPr>
          <w:rFonts w:hint="eastAsia" w:ascii="宋体" w:hAnsi="宋体" w:eastAsia="宋体" w:cs="宋体"/>
          <w:color w:val="000000"/>
          <w:szCs w:val="21"/>
          <w:highlight w:val="none"/>
          <w:lang w:eastAsia="zh-CN"/>
        </w:rPr>
        <w:t>轨道</w:t>
      </w:r>
      <w:r>
        <w:rPr>
          <w:rFonts w:hint="eastAsia" w:ascii="宋体" w:hAnsi="宋体" w:eastAsia="宋体" w:cs="宋体"/>
          <w:color w:val="000000"/>
          <w:szCs w:val="21"/>
          <w:highlight w:val="none"/>
        </w:rPr>
        <w:t>项目投标的单位按函告内容执行。</w:t>
      </w:r>
    </w:p>
    <w:p w14:paraId="59F3EA24">
      <w:pPr>
        <w:wordWrap w:val="0"/>
        <w:spacing w:line="360" w:lineRule="auto"/>
        <w:ind w:firstLine="422" w:firstLineChars="200"/>
        <w:rPr>
          <w:rFonts w:ascii="宋体" w:hAnsi="宋体" w:cs="宋体"/>
          <w:b/>
          <w:snapToGrid w:val="0"/>
          <w:color w:val="0D0D0D" w:themeColor="text1" w:themeTint="F2"/>
          <w:kern w:val="0"/>
          <w:szCs w:val="21"/>
          <w:highlight w:val="none"/>
          <w14:textFill>
            <w14:solidFill>
              <w14:schemeClr w14:val="tx1">
                <w14:lumMod w14:val="95000"/>
                <w14:lumOff w14:val="5000"/>
              </w14:schemeClr>
            </w14:solidFill>
          </w14:textFill>
        </w:rPr>
      </w:pPr>
      <w:r>
        <w:rPr>
          <w:rFonts w:hint="eastAsia" w:ascii="宋体" w:hAnsi="宋体" w:cs="宋体"/>
          <w:b/>
          <w:snapToGrid w:val="0"/>
          <w:color w:val="0D0D0D" w:themeColor="text1" w:themeTint="F2"/>
          <w:kern w:val="0"/>
          <w:szCs w:val="21"/>
          <w:highlight w:val="none"/>
          <w14:textFill>
            <w14:solidFill>
              <w14:schemeClr w14:val="tx1">
                <w14:lumMod w14:val="95000"/>
                <w14:lumOff w14:val="5000"/>
              </w14:schemeClr>
            </w14:solidFill>
          </w14:textFill>
        </w:rPr>
        <w:t>4.评标办法</w:t>
      </w:r>
    </w:p>
    <w:p w14:paraId="6D7FCA8C">
      <w:pPr>
        <w:wordWrap w:val="0"/>
        <w:spacing w:line="360" w:lineRule="auto"/>
        <w:ind w:firstLine="420" w:firstLineChars="200"/>
        <w:rPr>
          <w:rFonts w:ascii="宋体" w:hAnsi="宋体" w:cs="宋体"/>
          <w:b/>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本项目评标办法采用综合评估法，资格审查方式为资格后审。</w:t>
      </w:r>
    </w:p>
    <w:p w14:paraId="018988A3">
      <w:pPr>
        <w:wordWrap w:val="0"/>
        <w:spacing w:before="156" w:beforeLines="50" w:after="156" w:afterLines="50" w:line="360" w:lineRule="auto"/>
        <w:ind w:left="221" w:right="340" w:firstLine="204" w:firstLineChars="97"/>
        <w:jc w:val="left"/>
        <w:outlineLvl w:val="1"/>
        <w:rPr>
          <w:rFonts w:ascii="宋体" w:hAnsi="宋体" w:cs="宋体"/>
          <w:b/>
          <w:snapToGrid w:val="0"/>
          <w:color w:val="0D0D0D" w:themeColor="text1" w:themeTint="F2"/>
          <w:kern w:val="0"/>
          <w:szCs w:val="21"/>
          <w:highlight w:val="none"/>
          <w14:textFill>
            <w14:solidFill>
              <w14:schemeClr w14:val="tx1">
                <w14:lumMod w14:val="95000"/>
                <w14:lumOff w14:val="5000"/>
              </w14:schemeClr>
            </w14:solidFill>
          </w14:textFill>
        </w:rPr>
      </w:pPr>
      <w:r>
        <w:rPr>
          <w:rFonts w:hint="eastAsia" w:ascii="宋体" w:hAnsi="宋体" w:cs="宋体"/>
          <w:b/>
          <w:snapToGrid w:val="0"/>
          <w:color w:val="0D0D0D" w:themeColor="text1" w:themeTint="F2"/>
          <w:kern w:val="0"/>
          <w:szCs w:val="21"/>
          <w:highlight w:val="none"/>
          <w14:textFill>
            <w14:solidFill>
              <w14:schemeClr w14:val="tx1">
                <w14:lumMod w14:val="95000"/>
                <w14:lumOff w14:val="5000"/>
              </w14:schemeClr>
            </w14:solidFill>
          </w14:textFill>
        </w:rPr>
        <w:t>5.投标保证金</w:t>
      </w:r>
    </w:p>
    <w:p w14:paraId="329352A1">
      <w:pPr>
        <w:keepNext w:val="0"/>
        <w:keepLines w:val="0"/>
        <w:pageBreakBefore w:val="0"/>
        <w:widowControl w:val="0"/>
        <w:tabs>
          <w:tab w:val="left" w:pos="4040"/>
          <w:tab w:val="left" w:pos="4420"/>
          <w:tab w:val="left" w:pos="4520"/>
          <w:tab w:val="left" w:pos="4620"/>
          <w:tab w:val="left" w:pos="4980"/>
          <w:tab w:val="left" w:pos="5180"/>
          <w:tab w:val="left" w:pos="5780"/>
          <w:tab w:val="left" w:pos="6280"/>
          <w:tab w:val="left" w:pos="7420"/>
          <w:tab w:val="left" w:pos="8800"/>
        </w:tabs>
        <w:kinsoku/>
        <w:wordWrap/>
        <w:overflowPunct/>
        <w:topLinePunct w:val="0"/>
        <w:autoSpaceDE/>
        <w:autoSpaceDN/>
        <w:bidi w:val="0"/>
        <w:adjustRightInd/>
        <w:snapToGrid/>
        <w:spacing w:line="360" w:lineRule="auto"/>
        <w:ind w:firstLine="420" w:firstLineChars="200"/>
        <w:jc w:val="left"/>
        <w:textAlignment w:val="auto"/>
        <w:rPr>
          <w:rFonts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5.1投标保证金金额：人民币</w:t>
      </w:r>
      <w:r>
        <w:rPr>
          <w:rFonts w:hint="eastAsia" w:ascii="宋体" w:hAnsi="宋体"/>
          <w:color w:val="0D0D0D" w:themeColor="text1" w:themeTint="F2"/>
          <w:szCs w:val="21"/>
          <w:highlight w:val="none"/>
          <w:lang w:val="en-US" w:eastAsia="zh-CN"/>
          <w14:textFill>
            <w14:solidFill>
              <w14:schemeClr w14:val="tx1">
                <w14:lumMod w14:val="95000"/>
                <w14:lumOff w14:val="5000"/>
              </w14:schemeClr>
            </w14:solidFill>
          </w14:textFill>
        </w:rPr>
        <w:t>伍万元整</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w:t>
      </w: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50000.00</w:t>
      </w: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元）。</w:t>
      </w:r>
    </w:p>
    <w:p w14:paraId="248A803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jc w:val="left"/>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5.2投标保证金递交形式：以银行转账或银行保函的方式提交。</w:t>
      </w:r>
    </w:p>
    <w:p w14:paraId="629EF951">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jc w:val="left"/>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5.3投标保证金托管账户获取方式：所有参与项目竞争的供应商（包括电子标和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0F80B163">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jc w:val="left"/>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具体操作流程如下：</w:t>
      </w:r>
    </w:p>
    <w:p w14:paraId="680926E1">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jc w:val="left"/>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p>
    <w:p w14:paraId="4971F46F">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jc w:val="left"/>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5.4交纳方式：银行转账形式提交的，从投标人单位基本账户转入投标保证金的托管账户管理。招标人不接受以现金方式提交的投标保证金，以现金方式提交的投标保证金无效；以银行保函形式提交的，投标人须在交标时同步提供保函原件，保函格式自拟，保函有效期应当不小于投标有效期；不满足上述要求的，其投标将被否决。</w:t>
      </w:r>
    </w:p>
    <w:p w14:paraId="5B675278">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jc w:val="left"/>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5.5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456C894A">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jc w:val="left"/>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14:textFill>
            <w14:solidFill>
              <w14:schemeClr w14:val="tx1">
                <w14:lumMod w14:val="95000"/>
                <w14:lumOff w14:val="5000"/>
              </w14:schemeClr>
            </w14:solidFill>
          </w14:textFill>
        </w:rPr>
        <w:t>系统操作咨询及问题反馈电话：0731-85675505</w:t>
      </w:r>
    </w:p>
    <w:p w14:paraId="3C6D46EA">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6.招标文件的澄清与答疑</w:t>
      </w:r>
    </w:p>
    <w:p w14:paraId="34672CAB">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6.1本项目不组织招标答疑会和现场踏勘。</w:t>
      </w:r>
    </w:p>
    <w:p w14:paraId="737BB7F2">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6.2投标人若对招标文件有任何疑问，应在2025年</w:t>
      </w:r>
      <w:r>
        <w:rPr>
          <w:rFonts w:hint="eastAsia" w:ascii="宋体" w:hAnsi="宋体" w:cs="宋体"/>
          <w:snapToGrid w:val="0"/>
          <w:color w:val="auto"/>
          <w:kern w:val="0"/>
          <w:szCs w:val="21"/>
          <w:highlight w:val="none"/>
          <w:lang w:val="en-US" w:eastAsia="zh-CN"/>
        </w:rPr>
        <w:t>11</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16</w:t>
      </w:r>
      <w:r>
        <w:rPr>
          <w:rFonts w:hint="eastAsia" w:ascii="宋体" w:hAnsi="宋体" w:cs="宋体"/>
          <w:snapToGrid w:val="0"/>
          <w:color w:val="auto"/>
          <w:kern w:val="0"/>
          <w:szCs w:val="21"/>
          <w:highlight w:val="none"/>
        </w:rPr>
        <w:t>日17</w:t>
      </w:r>
      <w:r>
        <w:rPr>
          <w:rFonts w:hint="eastAsia" w:ascii="宋体" w:hAnsi="宋体" w:cs="宋体"/>
          <w:snapToGrid w:val="0"/>
          <w:color w:val="auto"/>
          <w:kern w:val="0"/>
          <w:szCs w:val="21"/>
          <w:highlight w:val="none"/>
          <w:lang w:eastAsia="zh-CN"/>
        </w:rPr>
        <w:t>:</w:t>
      </w:r>
      <w:r>
        <w:rPr>
          <w:rFonts w:hint="eastAsia" w:ascii="宋体" w:hAnsi="宋体" w:cs="宋体"/>
          <w:snapToGrid w:val="0"/>
          <w:color w:val="auto"/>
          <w:kern w:val="0"/>
          <w:szCs w:val="21"/>
          <w:highlight w:val="none"/>
        </w:rPr>
        <w:t>00时（含）前以书面形式向本项目招标代理机构提出。</w:t>
      </w:r>
    </w:p>
    <w:p w14:paraId="6379235D">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6.3在投标截止时间前，招标人可主动地或在解答投标人提出的问题时对招标文件进行澄清。</w:t>
      </w:r>
    </w:p>
    <w:p w14:paraId="72D3863F">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6.4答疑文件、修改澄清文件将在潇湘交易云平台、中国招标投标公共服务平台发布，敬请获得招标文件的所有投标人关注，恕不另行通知，如有遗漏，招标人概不负责。</w:t>
      </w:r>
    </w:p>
    <w:p w14:paraId="7F4C537A">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7.投标文件的递交及开标</w:t>
      </w:r>
    </w:p>
    <w:p w14:paraId="5339DEC8">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7.1提交投标文件的截止时间及开标时间：2025年</w:t>
      </w:r>
      <w:r>
        <w:rPr>
          <w:rFonts w:hint="eastAsia" w:ascii="宋体" w:hAnsi="宋体" w:cs="宋体"/>
          <w:snapToGrid w:val="0"/>
          <w:color w:val="auto"/>
          <w:kern w:val="0"/>
          <w:szCs w:val="21"/>
          <w:highlight w:val="none"/>
          <w:lang w:val="en-US" w:eastAsia="zh-CN"/>
        </w:rPr>
        <w:t>12</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02</w:t>
      </w:r>
      <w:r>
        <w:rPr>
          <w:rFonts w:hint="eastAsia" w:ascii="宋体" w:hAnsi="宋体" w:cs="宋体"/>
          <w:snapToGrid w:val="0"/>
          <w:color w:val="auto"/>
          <w:kern w:val="0"/>
          <w:szCs w:val="21"/>
          <w:highlight w:val="none"/>
        </w:rPr>
        <w:t>日9:30时（北京时间）。</w:t>
      </w:r>
    </w:p>
    <w:p w14:paraId="61FF2958">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7.2提交投标文件地点及开标地点：湖南省长沙市芙蓉区蓉园路6号湖南省老干部大学金秋楼10楼【</w:t>
      </w:r>
      <w:r>
        <w:rPr>
          <w:rFonts w:hint="eastAsia" w:ascii="宋体" w:hAnsi="宋体" w:cs="宋体"/>
          <w:snapToGrid w:val="0"/>
          <w:color w:val="auto"/>
          <w:kern w:val="0"/>
          <w:szCs w:val="21"/>
          <w:highlight w:val="none"/>
          <w:lang w:eastAsia="zh-CN"/>
        </w:rPr>
        <w:t>中航公共资源交易平台</w:t>
      </w:r>
      <w:r>
        <w:rPr>
          <w:rFonts w:hint="eastAsia" w:ascii="宋体" w:hAnsi="宋体" w:cs="宋体"/>
          <w:snapToGrid w:val="0"/>
          <w:color w:val="auto"/>
          <w:kern w:val="0"/>
          <w:szCs w:val="21"/>
          <w:highlight w:val="none"/>
        </w:rPr>
        <w:t>】相应开标室</w:t>
      </w:r>
    </w:p>
    <w:p w14:paraId="1CD0A14A">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 xml:space="preserve">7.3逾期送达的或者未送达指定地点或未按要求密封的投标文件，招标人不予受理（★）。 </w:t>
      </w:r>
    </w:p>
    <w:p w14:paraId="31D7CE00">
      <w:pPr>
        <w:wordWrap w:val="0"/>
        <w:spacing w:line="360" w:lineRule="auto"/>
        <w:ind w:left="221" w:right="340" w:firstLine="204" w:firstLineChars="97"/>
        <w:jc w:val="left"/>
        <w:outlineLvl w:val="1"/>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8.发布公告的媒介</w:t>
      </w:r>
    </w:p>
    <w:p w14:paraId="7EED784D">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本项目招标公告和结果公告在潇湘交易云平台（http://www.avicwings.com）、中国招标投标公共服务平台（http://www.cebpubservice.com/）发布。</w:t>
      </w:r>
    </w:p>
    <w:p w14:paraId="71FECC8B">
      <w:pPr>
        <w:keepNext w:val="0"/>
        <w:keepLines w:val="0"/>
        <w:pageBreakBefore w:val="0"/>
        <w:widowControl w:val="0"/>
        <w:kinsoku/>
        <w:wordWrap/>
        <w:overflowPunct/>
        <w:topLinePunct w:val="0"/>
        <w:autoSpaceDE/>
        <w:autoSpaceDN/>
        <w:bidi w:val="0"/>
        <w:adjustRightInd/>
        <w:snapToGrid/>
        <w:spacing w:beforeLines="0" w:afterLines="0" w:line="360" w:lineRule="auto"/>
        <w:ind w:firstLine="422" w:firstLineChars="200"/>
        <w:textAlignment w:val="auto"/>
        <w:rPr>
          <w:rFonts w:hint="eastAsia" w:ascii="宋体" w:hAnsi="宋体" w:eastAsia="宋体" w:cs="宋体"/>
          <w:b/>
          <w:bCs/>
          <w:color w:val="auto"/>
          <w:sz w:val="21"/>
          <w:szCs w:val="24"/>
          <w:highlight w:val="none"/>
        </w:rPr>
      </w:pPr>
      <w:r>
        <w:rPr>
          <w:rFonts w:hint="eastAsia" w:ascii="宋体" w:hAnsi="宋体" w:cs="宋体"/>
          <w:b/>
          <w:snapToGrid w:val="0"/>
          <w:color w:val="auto"/>
          <w:kern w:val="0"/>
          <w:szCs w:val="21"/>
          <w:highlight w:val="none"/>
        </w:rPr>
        <w:t>9.</w:t>
      </w:r>
      <w:r>
        <w:rPr>
          <w:rFonts w:hint="eastAsia" w:ascii="宋体" w:hAnsi="宋体" w:eastAsia="宋体" w:cs="宋体"/>
          <w:b/>
          <w:bCs/>
          <w:color w:val="auto"/>
          <w:sz w:val="21"/>
          <w:szCs w:val="24"/>
          <w:highlight w:val="none"/>
          <w:lang w:val="en-US" w:eastAsia="zh-CN"/>
        </w:rPr>
        <w:t>监督机构</w:t>
      </w:r>
    </w:p>
    <w:p w14:paraId="7B61D758">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本次招标项目招标投标监督机构为长沙穗城轨道交通有限公司经营管理部</w:t>
      </w:r>
    </w:p>
    <w:p w14:paraId="32695227">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en-US" w:eastAsia="zh-CN"/>
        </w:rPr>
        <w:t>联系人：魏先生，电话：0731-81635488。</w:t>
      </w:r>
    </w:p>
    <w:p w14:paraId="2E43918A">
      <w:pPr>
        <w:wordWrap w:val="0"/>
        <w:spacing w:line="360" w:lineRule="auto"/>
        <w:ind w:firstLine="422" w:firstLineChars="200"/>
        <w:rPr>
          <w:rFonts w:hint="eastAsia" w:ascii="宋体" w:hAnsi="宋体" w:cs="宋体"/>
          <w:b/>
          <w:snapToGrid w:val="0"/>
          <w:color w:val="auto"/>
          <w:kern w:val="0"/>
          <w:szCs w:val="21"/>
          <w:highlight w:val="none"/>
        </w:rPr>
      </w:pPr>
      <w:r>
        <w:rPr>
          <w:rFonts w:hint="eastAsia" w:ascii="宋体" w:hAnsi="宋体" w:cs="宋体"/>
          <w:b/>
          <w:snapToGrid w:val="0"/>
          <w:color w:val="auto"/>
          <w:kern w:val="0"/>
          <w:szCs w:val="21"/>
          <w:highlight w:val="none"/>
          <w:lang w:val="en-US" w:eastAsia="zh-CN"/>
        </w:rPr>
        <w:t>10.</w:t>
      </w:r>
      <w:r>
        <w:rPr>
          <w:rFonts w:hint="eastAsia" w:ascii="宋体" w:hAnsi="宋体" w:cs="宋体"/>
          <w:b/>
          <w:snapToGrid w:val="0"/>
          <w:color w:val="auto"/>
          <w:kern w:val="0"/>
          <w:szCs w:val="21"/>
          <w:highlight w:val="none"/>
        </w:rPr>
        <w:t>招标人及其委托的招标代理机构的名称、地址和联系方法</w:t>
      </w:r>
    </w:p>
    <w:p w14:paraId="2B2C8B9E">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招标人：长沙穗城轨道交通有限公司</w:t>
      </w:r>
    </w:p>
    <w:p w14:paraId="01BAC94F">
      <w:pPr>
        <w:wordWrap w:val="0"/>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地址：湖南省长沙县榔梨街道东六路南段85号轨道交通六号线黄梨路车辆段</w:t>
      </w:r>
    </w:p>
    <w:p w14:paraId="4963BD8F">
      <w:pPr>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招标代理机构：中技建设咨询有限公司</w:t>
      </w:r>
    </w:p>
    <w:p w14:paraId="44CD0B73">
      <w:pPr>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地  址：湖南省长沙市雨花区湘府中路117号高升金典商务楼12层</w:t>
      </w:r>
    </w:p>
    <w:p w14:paraId="2BC91B09">
      <w:pPr>
        <w:spacing w:line="360" w:lineRule="auto"/>
        <w:ind w:firstLine="420" w:firstLineChars="200"/>
        <w:rPr>
          <w:rFonts w:hint="default" w:ascii="宋体" w:hAnsi="宋体" w:eastAsia="宋体" w:cs="宋体"/>
          <w:snapToGrid w:val="0"/>
          <w:color w:val="auto"/>
          <w:kern w:val="0"/>
          <w:szCs w:val="21"/>
          <w:highlight w:val="none"/>
          <w:lang w:val="en-US" w:eastAsia="zh-CN"/>
        </w:rPr>
      </w:pPr>
      <w:r>
        <w:rPr>
          <w:rFonts w:hint="eastAsia" w:ascii="宋体" w:hAnsi="宋体" w:cs="宋体"/>
          <w:snapToGrid w:val="0"/>
          <w:color w:val="auto"/>
          <w:kern w:val="0"/>
          <w:szCs w:val="21"/>
          <w:highlight w:val="none"/>
        </w:rPr>
        <w:t>联系人：</w:t>
      </w:r>
      <w:r>
        <w:rPr>
          <w:rFonts w:hint="eastAsia" w:ascii="宋体" w:hAnsi="宋体" w:eastAsia="宋体" w:cs="宋体"/>
          <w:highlight w:val="none"/>
          <w:lang w:val="en-US" w:eastAsia="zh-CN"/>
        </w:rPr>
        <w:t>杨邵芳</w:t>
      </w:r>
      <w:r>
        <w:rPr>
          <w:rFonts w:hint="eastAsia" w:ascii="宋体" w:hAnsi="宋体" w:eastAsia="宋体" w:cs="宋体"/>
          <w:highlight w:val="none"/>
        </w:rPr>
        <w:t>、陈紫璇、</w:t>
      </w:r>
      <w:r>
        <w:rPr>
          <w:rFonts w:hint="eastAsia" w:ascii="宋体" w:hAnsi="宋体" w:eastAsia="宋体" w:cs="宋体"/>
          <w:highlight w:val="none"/>
          <w:lang w:val="en-US" w:eastAsia="zh-CN"/>
        </w:rPr>
        <w:t>呙于旭</w:t>
      </w:r>
    </w:p>
    <w:p w14:paraId="62C411BC">
      <w:pPr>
        <w:wordWrap/>
        <w:spacing w:beforeLines="-2147483648" w:afterLines="-2147483648"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电  话：</w:t>
      </w:r>
      <w:r>
        <w:rPr>
          <w:rFonts w:hint="eastAsia" w:ascii="宋体" w:hAnsi="宋体" w:eastAsia="宋体" w:cs="宋体"/>
          <w:snapToGrid w:val="0"/>
          <w:color w:val="000000"/>
          <w:kern w:val="0"/>
          <w:szCs w:val="21"/>
          <w:highlight w:val="none"/>
          <w:lang w:val="en-US" w:eastAsia="zh-CN"/>
        </w:rPr>
        <w:t>15180916766、</w:t>
      </w:r>
      <w:r>
        <w:rPr>
          <w:rFonts w:hint="eastAsia" w:ascii="宋体" w:hAnsi="宋体" w:eastAsia="宋体" w:cs="宋体"/>
          <w:snapToGrid w:val="0"/>
          <w:color w:val="000000"/>
          <w:kern w:val="0"/>
          <w:szCs w:val="21"/>
          <w:highlight w:val="none"/>
        </w:rPr>
        <w:t>18229947217、1877487781</w:t>
      </w:r>
      <w:r>
        <w:rPr>
          <w:rFonts w:ascii="宋体" w:hAnsi="宋体" w:eastAsia="宋体" w:cs="宋体"/>
          <w:snapToGrid w:val="0"/>
          <w:color w:val="000000"/>
          <w:kern w:val="0"/>
          <w:szCs w:val="21"/>
          <w:highlight w:val="none"/>
        </w:rPr>
        <w:t>2</w:t>
      </w:r>
    </w:p>
    <w:p w14:paraId="589CB95A">
      <w:pPr>
        <w:wordWrap/>
        <w:spacing w:line="240" w:lineRule="auto"/>
        <w:ind w:firstLine="0" w:firstLineChars="0"/>
        <w:rPr>
          <w:rFonts w:hint="eastAsia" w:ascii="宋体" w:hAnsi="宋体"/>
          <w:color w:val="0D0D0D" w:themeColor="text1" w:themeTint="F2"/>
          <w:szCs w:val="21"/>
          <w:highlight w:val="none"/>
          <w:u w:val="none"/>
          <w:lang w:val="en-US" w:eastAsia="zh-CN"/>
          <w14:textFill>
            <w14:solidFill>
              <w14:schemeClr w14:val="tx1">
                <w14:lumMod w14:val="95000"/>
                <w14:lumOff w14:val="5000"/>
              </w14:schemeClr>
            </w14:solidFill>
          </w14:textFill>
        </w:rPr>
      </w:pPr>
      <w:r>
        <w:rPr>
          <w:rFonts w:hint="eastAsia" w:ascii="宋体" w:hAnsi="宋体"/>
          <w:color w:val="0D0D0D" w:themeColor="text1" w:themeTint="F2"/>
          <w:szCs w:val="21"/>
          <w:highlight w:val="none"/>
          <w:u w:val="none"/>
          <w:lang w:val="en-US" w:eastAsia="zh-CN"/>
          <w14:textFill>
            <w14:solidFill>
              <w14:schemeClr w14:val="tx1">
                <w14:lumMod w14:val="95000"/>
                <w14:lumOff w14:val="5000"/>
              </w14:schemeClr>
            </w14:solidFill>
          </w14:textFill>
        </w:rPr>
        <w:br w:type="page"/>
      </w:r>
    </w:p>
    <w:p w14:paraId="04100E2B">
      <w:pPr>
        <w:wordWrap w:val="0"/>
        <w:spacing w:line="360" w:lineRule="auto"/>
        <w:ind w:firstLine="420" w:firstLineChars="200"/>
        <w:rPr>
          <w:rFonts w:hint="eastAsia" w:ascii="宋体" w:hAnsi="宋体"/>
          <w:color w:val="0D0D0D" w:themeColor="text1" w:themeTint="F2"/>
          <w:szCs w:val="21"/>
          <w:highlight w:val="none"/>
          <w:u w:val="none"/>
          <w:lang w:val="en-US" w:eastAsia="zh-CN"/>
          <w14:textFill>
            <w14:solidFill>
              <w14:schemeClr w14:val="tx1">
                <w14:lumMod w14:val="95000"/>
                <w14:lumOff w14:val="5000"/>
              </w14:schemeClr>
            </w14:solidFill>
          </w14:textFill>
        </w:rPr>
      </w:pPr>
      <w:r>
        <w:rPr>
          <w:rFonts w:hint="eastAsia" w:ascii="宋体" w:hAnsi="宋体"/>
          <w:color w:val="0D0D0D" w:themeColor="text1" w:themeTint="F2"/>
          <w:szCs w:val="21"/>
          <w:highlight w:val="none"/>
          <w:u w:val="none"/>
          <w:lang w:val="en-US" w:eastAsia="zh-CN"/>
          <w14:textFill>
            <w14:solidFill>
              <w14:schemeClr w14:val="tx1">
                <w14:lumMod w14:val="95000"/>
                <w14:lumOff w14:val="5000"/>
              </w14:schemeClr>
            </w14:solidFill>
          </w14:textFill>
        </w:rPr>
        <w:t>附表：</w:t>
      </w:r>
    </w:p>
    <w:p w14:paraId="3A3CB8B8">
      <w:pPr>
        <w:wordWrap w:val="0"/>
        <w:spacing w:line="360" w:lineRule="auto"/>
        <w:ind w:firstLine="420" w:firstLineChars="200"/>
        <w:jc w:val="center"/>
        <w:rPr>
          <w:rFonts w:hint="default" w:ascii="宋体" w:hAnsi="宋体"/>
          <w:color w:val="0D0D0D" w:themeColor="text1" w:themeTint="F2"/>
          <w:szCs w:val="21"/>
          <w:highlight w:val="none"/>
          <w:u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长沙穗城轨道交通有限公司2025-2028年网络安全服务项目单项控制价公示表</w:t>
      </w:r>
    </w:p>
    <w:tbl>
      <w:tblPr>
        <w:tblStyle w:val="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3240"/>
        <w:gridCol w:w="2949"/>
      </w:tblGrid>
      <w:tr w14:paraId="20BE9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tcPr>
          <w:p w14:paraId="3999C3CD">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序号</w:t>
            </w:r>
          </w:p>
        </w:tc>
        <w:tc>
          <w:tcPr>
            <w:tcW w:w="3240" w:type="dxa"/>
            <w:vAlign w:val="top"/>
          </w:tcPr>
          <w:p w14:paraId="0AFDC507">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项目名称</w:t>
            </w:r>
          </w:p>
        </w:tc>
        <w:tc>
          <w:tcPr>
            <w:tcW w:w="2949" w:type="dxa"/>
            <w:vAlign w:val="top"/>
          </w:tcPr>
          <w:p w14:paraId="18E6F6D7">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单项控制价（元/年）</w:t>
            </w:r>
          </w:p>
        </w:tc>
      </w:tr>
      <w:tr w14:paraId="7044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top"/>
          </w:tcPr>
          <w:p w14:paraId="12DF26DC">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3240" w:type="dxa"/>
            <w:vAlign w:val="top"/>
          </w:tcPr>
          <w:p w14:paraId="0D29348E">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现场驻场人员服务</w:t>
            </w:r>
          </w:p>
        </w:tc>
        <w:tc>
          <w:tcPr>
            <w:tcW w:w="2949" w:type="dxa"/>
            <w:shd w:val="clear" w:color="auto" w:fill="auto"/>
            <w:vAlign w:val="center"/>
          </w:tcPr>
          <w:p w14:paraId="1C914E8D">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lang w:val="en-US" w:eastAsia="zh-CN"/>
              </w:rPr>
              <w:t>135014.15</w:t>
            </w:r>
          </w:p>
        </w:tc>
      </w:tr>
      <w:tr w14:paraId="7A95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top"/>
          </w:tcPr>
          <w:p w14:paraId="129BC95A">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3240" w:type="dxa"/>
            <w:vAlign w:val="top"/>
          </w:tcPr>
          <w:p w14:paraId="2370AC68">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网络防护安全服务</w:t>
            </w:r>
          </w:p>
        </w:tc>
        <w:tc>
          <w:tcPr>
            <w:tcW w:w="2949" w:type="dxa"/>
            <w:shd w:val="clear" w:color="auto" w:fill="auto"/>
            <w:vAlign w:val="center"/>
          </w:tcPr>
          <w:p w14:paraId="2F5F4A43">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lang w:val="en-US" w:eastAsia="zh-CN"/>
              </w:rPr>
              <w:t>261425.85</w:t>
            </w:r>
          </w:p>
        </w:tc>
      </w:tr>
      <w:tr w14:paraId="5750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top"/>
          </w:tcPr>
          <w:p w14:paraId="7AE512AA">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trike w:val="0"/>
                <w:dstrike w:val="0"/>
                <w:sz w:val="21"/>
                <w:szCs w:val="21"/>
                <w:highlight w:val="none"/>
                <w:lang w:val="en-US" w:eastAsia="zh-CN"/>
              </w:rPr>
              <w:t>3</w:t>
            </w:r>
          </w:p>
        </w:tc>
        <w:tc>
          <w:tcPr>
            <w:tcW w:w="3240" w:type="dxa"/>
            <w:vAlign w:val="top"/>
          </w:tcPr>
          <w:p w14:paraId="168B39A6">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trike w:val="0"/>
                <w:dstrike w:val="0"/>
                <w:sz w:val="21"/>
                <w:szCs w:val="21"/>
                <w:highlight w:val="none"/>
                <w:lang w:val="en-US" w:eastAsia="zh-CN"/>
              </w:rPr>
              <w:t>系统安全测评服务</w:t>
            </w:r>
          </w:p>
        </w:tc>
        <w:tc>
          <w:tcPr>
            <w:tcW w:w="2949" w:type="dxa"/>
            <w:vAlign w:val="center"/>
          </w:tcPr>
          <w:p w14:paraId="0488049D">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378950</w:t>
            </w:r>
          </w:p>
        </w:tc>
      </w:tr>
      <w:tr w14:paraId="3391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top"/>
          </w:tcPr>
          <w:p w14:paraId="2BE075EA">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trike w:val="0"/>
                <w:dstrike w:val="0"/>
                <w:sz w:val="21"/>
                <w:szCs w:val="21"/>
                <w:highlight w:val="none"/>
                <w:lang w:val="en-US" w:eastAsia="zh-CN"/>
              </w:rPr>
              <w:t>4</w:t>
            </w:r>
          </w:p>
        </w:tc>
        <w:tc>
          <w:tcPr>
            <w:tcW w:w="3240" w:type="dxa"/>
            <w:vAlign w:val="top"/>
          </w:tcPr>
          <w:p w14:paraId="00018E52">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trike w:val="0"/>
                <w:dstrike w:val="0"/>
                <w:sz w:val="21"/>
                <w:szCs w:val="21"/>
                <w:highlight w:val="none"/>
                <w:lang w:val="en-US" w:eastAsia="zh-CN"/>
              </w:rPr>
              <w:t>网络安全保障</w:t>
            </w:r>
          </w:p>
        </w:tc>
        <w:tc>
          <w:tcPr>
            <w:tcW w:w="2949" w:type="dxa"/>
            <w:vAlign w:val="center"/>
          </w:tcPr>
          <w:p w14:paraId="57D142E1">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116600</w:t>
            </w:r>
          </w:p>
        </w:tc>
      </w:tr>
      <w:tr w14:paraId="4782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top"/>
          </w:tcPr>
          <w:p w14:paraId="2A9D4A83">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trike w:val="0"/>
                <w:dstrike w:val="0"/>
                <w:sz w:val="21"/>
                <w:szCs w:val="21"/>
                <w:highlight w:val="none"/>
                <w:lang w:val="en-US" w:eastAsia="zh-CN"/>
              </w:rPr>
              <w:t>5</w:t>
            </w:r>
          </w:p>
        </w:tc>
        <w:tc>
          <w:tcPr>
            <w:tcW w:w="3240" w:type="dxa"/>
            <w:vAlign w:val="top"/>
          </w:tcPr>
          <w:p w14:paraId="12D2B4D1">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trike w:val="0"/>
                <w:dstrike w:val="0"/>
                <w:sz w:val="21"/>
                <w:szCs w:val="21"/>
                <w:highlight w:val="none"/>
                <w:lang w:val="en-US" w:eastAsia="zh-CN"/>
              </w:rPr>
              <w:t>信息网络安全支持服务</w:t>
            </w:r>
          </w:p>
        </w:tc>
        <w:tc>
          <w:tcPr>
            <w:tcW w:w="2949" w:type="dxa"/>
            <w:vAlign w:val="center"/>
          </w:tcPr>
          <w:p w14:paraId="53B3FC16">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17490</w:t>
            </w:r>
          </w:p>
        </w:tc>
      </w:tr>
      <w:tr w14:paraId="70A9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top"/>
          </w:tcPr>
          <w:p w14:paraId="2C9118D6">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trike w:val="0"/>
                <w:dstrike w:val="0"/>
                <w:sz w:val="21"/>
                <w:szCs w:val="21"/>
                <w:highlight w:val="none"/>
                <w:lang w:val="en-US" w:eastAsia="zh-CN"/>
              </w:rPr>
              <w:t>6</w:t>
            </w:r>
          </w:p>
        </w:tc>
        <w:tc>
          <w:tcPr>
            <w:tcW w:w="3240" w:type="dxa"/>
            <w:vAlign w:val="top"/>
          </w:tcPr>
          <w:p w14:paraId="2683C074">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trike w:val="0"/>
                <w:dstrike w:val="0"/>
                <w:sz w:val="21"/>
                <w:szCs w:val="21"/>
                <w:highlight w:val="none"/>
                <w:lang w:val="en-US" w:eastAsia="zh-CN"/>
              </w:rPr>
            </w:pPr>
            <w:r>
              <w:rPr>
                <w:rFonts w:hint="eastAsia" w:ascii="宋体" w:hAnsi="宋体" w:eastAsia="宋体" w:cs="宋体"/>
                <w:sz w:val="21"/>
                <w:szCs w:val="21"/>
                <w:highlight w:val="none"/>
                <w:vertAlign w:val="baseline"/>
                <w:lang w:val="en-US" w:eastAsia="zh-CN"/>
              </w:rPr>
              <w:t>安全培训服务</w:t>
            </w:r>
          </w:p>
        </w:tc>
        <w:tc>
          <w:tcPr>
            <w:tcW w:w="2949" w:type="dxa"/>
            <w:vAlign w:val="center"/>
          </w:tcPr>
          <w:p w14:paraId="4E5AD1EE">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hAnsi="宋体" w:eastAsia="宋体" w:cs="宋体"/>
                <w:strike w:val="0"/>
                <w:dstrike w:val="0"/>
                <w:sz w:val="21"/>
                <w:szCs w:val="21"/>
                <w:highlight w:val="none"/>
                <w:lang w:val="en-US" w:eastAsia="zh-CN"/>
              </w:rPr>
            </w:pPr>
            <w:r>
              <w:rPr>
                <w:rFonts w:hint="eastAsia" w:ascii="宋体" w:hAnsi="宋体" w:eastAsia="宋体" w:cs="宋体"/>
                <w:sz w:val="21"/>
                <w:szCs w:val="21"/>
                <w:highlight w:val="none"/>
                <w:lang w:val="en-US" w:eastAsia="zh-CN"/>
              </w:rPr>
              <w:t>5830</w:t>
            </w:r>
          </w:p>
        </w:tc>
      </w:tr>
    </w:tbl>
    <w:p w14:paraId="7A0CC3C3">
      <w:pPr>
        <w:wordWrap w:val="0"/>
        <w:spacing w:line="360" w:lineRule="auto"/>
        <w:ind w:firstLine="420" w:firstLineChars="200"/>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pPr>
    </w:p>
    <w:p w14:paraId="52F57464">
      <w:pPr>
        <w:wordWrap w:val="0"/>
        <w:rPr>
          <w:rFonts w:hAnsi="黑体"/>
          <w:color w:val="0D0D0D" w:themeColor="text1" w:themeTint="F2"/>
          <w:sz w:val="44"/>
          <w:szCs w:val="44"/>
          <w:highlight w:val="none"/>
          <w14:textFill>
            <w14:solidFill>
              <w14:schemeClr w14:val="tx1">
                <w14:lumMod w14:val="95000"/>
                <w14:lumOff w14:val="5000"/>
              </w14:schemeClr>
            </w14:solidFill>
          </w14:textFill>
        </w:rPr>
      </w:pPr>
      <w:r>
        <w:rPr>
          <w:rFonts w:hAnsi="黑体"/>
          <w:color w:val="0D0D0D" w:themeColor="text1" w:themeTint="F2"/>
          <w:sz w:val="44"/>
          <w:szCs w:val="44"/>
          <w:highlight w:val="none"/>
          <w14:textFill>
            <w14:solidFill>
              <w14:schemeClr w14:val="tx1">
                <w14:lumMod w14:val="95000"/>
                <w14:lumOff w14:val="5000"/>
              </w14:schemeClr>
            </w14:solidFill>
          </w14:textFill>
        </w:rPr>
        <w:br w:type="page"/>
      </w:r>
    </w:p>
    <w:bookmarkEnd w:id="1"/>
    <w:p w14:paraId="1AF49185">
      <w:pPr>
        <w:pStyle w:val="2"/>
        <w:wordWrap w:val="0"/>
        <w:spacing w:line="360" w:lineRule="auto"/>
        <w:ind w:left="0" w:firstLine="0"/>
        <w:jc w:val="center"/>
        <w:rPr>
          <w:rFonts w:hint="eastAsia" w:ascii="宋体" w:hAnsi="宋体"/>
          <w:color w:val="auto"/>
          <w:sz w:val="44"/>
          <w:szCs w:val="44"/>
          <w:highlight w:val="none"/>
        </w:rPr>
      </w:pPr>
      <w:bookmarkStart w:id="3" w:name="_Toc1353"/>
      <w:r>
        <w:rPr>
          <w:rFonts w:hAnsi="黑体"/>
          <w:color w:val="auto"/>
          <w:sz w:val="44"/>
          <w:szCs w:val="44"/>
          <w:highlight w:val="none"/>
        </w:rPr>
        <w:t>第二章</w:t>
      </w:r>
      <w:r>
        <w:rPr>
          <w:rFonts w:hint="eastAsia" w:hAnsi="黑体"/>
          <w:color w:val="auto"/>
          <w:sz w:val="44"/>
          <w:szCs w:val="44"/>
          <w:highlight w:val="none"/>
        </w:rPr>
        <w:t xml:space="preserve"> </w:t>
      </w:r>
      <w:r>
        <w:rPr>
          <w:rFonts w:hAnsi="黑体"/>
          <w:color w:val="auto"/>
          <w:sz w:val="44"/>
          <w:szCs w:val="44"/>
          <w:highlight w:val="none"/>
        </w:rPr>
        <w:t>投标人须知</w:t>
      </w:r>
    </w:p>
    <w:p w14:paraId="0A2F1839">
      <w:pPr>
        <w:pStyle w:val="138"/>
        <w:wordWrap w:val="0"/>
        <w:spacing w:before="0" w:line="360" w:lineRule="auto"/>
        <w:jc w:val="center"/>
        <w:rPr>
          <w:rFonts w:hint="eastAsia" w:ascii="Calibri" w:cs="宋体"/>
          <w:color w:val="auto"/>
          <w:szCs w:val="28"/>
          <w:highlight w:val="none"/>
        </w:rPr>
      </w:pPr>
      <w:r>
        <w:rPr>
          <w:rFonts w:ascii="Calibri" w:cs="宋体"/>
          <w:color w:val="auto"/>
          <w:szCs w:val="28"/>
          <w:highlight w:val="none"/>
        </w:rPr>
        <w:t>投标人须知前附表</w:t>
      </w:r>
    </w:p>
    <w:tbl>
      <w:tblPr>
        <w:tblStyle w:val="64"/>
        <w:tblW w:w="499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53"/>
        <w:gridCol w:w="920"/>
        <w:gridCol w:w="2313"/>
        <w:gridCol w:w="1232"/>
        <w:gridCol w:w="4732"/>
      </w:tblGrid>
      <w:tr w14:paraId="015412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378" w:type="pct"/>
            <w:tcBorders>
              <w:right w:val="single" w:color="auto" w:sz="4" w:space="0"/>
            </w:tcBorders>
            <w:vAlign w:val="center"/>
          </w:tcPr>
          <w:p w14:paraId="12D8AB42">
            <w:pPr>
              <w:wordWrap w:val="0"/>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462" w:type="pct"/>
            <w:tcBorders>
              <w:left w:val="single" w:color="auto" w:sz="4" w:space="0"/>
            </w:tcBorders>
            <w:vAlign w:val="center"/>
          </w:tcPr>
          <w:p w14:paraId="40768742">
            <w:pPr>
              <w:wordWrap w:val="0"/>
              <w:jc w:val="center"/>
              <w:rPr>
                <w:rFonts w:hint="eastAsia" w:ascii="宋体" w:hAnsi="宋体"/>
                <w:b/>
                <w:color w:val="auto"/>
                <w:szCs w:val="21"/>
                <w:highlight w:val="none"/>
              </w:rPr>
            </w:pPr>
            <w:r>
              <w:rPr>
                <w:rFonts w:hint="eastAsia" w:ascii="宋体" w:hAnsi="宋体"/>
                <w:b/>
                <w:color w:val="auto"/>
                <w:szCs w:val="21"/>
                <w:highlight w:val="none"/>
              </w:rPr>
              <w:t>条款号</w:t>
            </w:r>
          </w:p>
        </w:tc>
        <w:tc>
          <w:tcPr>
            <w:tcW w:w="1162" w:type="pct"/>
            <w:vAlign w:val="center"/>
          </w:tcPr>
          <w:p w14:paraId="2243410B">
            <w:pPr>
              <w:wordWrap w:val="0"/>
              <w:jc w:val="center"/>
              <w:rPr>
                <w:rFonts w:hint="eastAsia" w:ascii="宋体" w:hAnsi="宋体"/>
                <w:b/>
                <w:color w:val="auto"/>
                <w:szCs w:val="21"/>
                <w:highlight w:val="none"/>
              </w:rPr>
            </w:pPr>
            <w:r>
              <w:rPr>
                <w:rFonts w:hint="eastAsia" w:ascii="宋体" w:hAnsi="宋体"/>
                <w:b/>
                <w:color w:val="auto"/>
                <w:szCs w:val="21"/>
                <w:highlight w:val="none"/>
              </w:rPr>
              <w:t>条款名称</w:t>
            </w:r>
          </w:p>
        </w:tc>
        <w:tc>
          <w:tcPr>
            <w:tcW w:w="2996" w:type="pct"/>
            <w:gridSpan w:val="2"/>
            <w:vAlign w:val="center"/>
          </w:tcPr>
          <w:p w14:paraId="5F91BBD4">
            <w:pPr>
              <w:wordWrap w:val="0"/>
              <w:jc w:val="center"/>
              <w:rPr>
                <w:rFonts w:hint="eastAsia" w:ascii="宋体" w:hAnsi="宋体"/>
                <w:b/>
                <w:color w:val="auto"/>
                <w:szCs w:val="21"/>
                <w:highlight w:val="none"/>
              </w:rPr>
            </w:pPr>
            <w:r>
              <w:rPr>
                <w:rFonts w:hint="eastAsia" w:ascii="宋体" w:hAnsi="宋体"/>
                <w:b/>
                <w:color w:val="auto"/>
                <w:szCs w:val="21"/>
                <w:highlight w:val="none"/>
              </w:rPr>
              <w:t>编列内容</w:t>
            </w:r>
          </w:p>
        </w:tc>
      </w:tr>
      <w:tr w14:paraId="295DD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378" w:type="pct"/>
            <w:tcBorders>
              <w:right w:val="single" w:color="auto" w:sz="4" w:space="0"/>
            </w:tcBorders>
            <w:vAlign w:val="center"/>
          </w:tcPr>
          <w:p w14:paraId="2D5087AC">
            <w:pPr>
              <w:wordWrap w:val="0"/>
              <w:jc w:val="center"/>
              <w:rPr>
                <w:rFonts w:hint="eastAsia" w:ascii="宋体" w:hAnsi="宋体"/>
                <w:color w:val="auto"/>
                <w:szCs w:val="21"/>
                <w:highlight w:val="none"/>
              </w:rPr>
            </w:pPr>
            <w:r>
              <w:rPr>
                <w:rFonts w:hint="eastAsia" w:ascii="宋体" w:hAnsi="宋体"/>
                <w:color w:val="auto"/>
                <w:szCs w:val="21"/>
                <w:highlight w:val="none"/>
              </w:rPr>
              <w:t>1</w:t>
            </w:r>
          </w:p>
        </w:tc>
        <w:tc>
          <w:tcPr>
            <w:tcW w:w="462" w:type="pct"/>
            <w:tcBorders>
              <w:left w:val="single" w:color="auto" w:sz="4" w:space="0"/>
            </w:tcBorders>
            <w:vAlign w:val="center"/>
          </w:tcPr>
          <w:p w14:paraId="1F9BE380">
            <w:pPr>
              <w:wordWrap w:val="0"/>
              <w:jc w:val="center"/>
              <w:rPr>
                <w:rFonts w:hint="eastAsia" w:ascii="宋体" w:hAnsi="宋体"/>
                <w:color w:val="auto"/>
                <w:szCs w:val="21"/>
                <w:highlight w:val="none"/>
              </w:rPr>
            </w:pPr>
            <w:r>
              <w:rPr>
                <w:rFonts w:hint="eastAsia" w:ascii="宋体" w:hAnsi="宋体"/>
                <w:color w:val="auto"/>
                <w:szCs w:val="21"/>
                <w:highlight w:val="none"/>
              </w:rPr>
              <w:t>1.1.2</w:t>
            </w:r>
          </w:p>
        </w:tc>
        <w:tc>
          <w:tcPr>
            <w:tcW w:w="1162" w:type="pct"/>
            <w:vAlign w:val="center"/>
          </w:tcPr>
          <w:p w14:paraId="30BD11D5">
            <w:pPr>
              <w:wordWrap w:val="0"/>
              <w:jc w:val="center"/>
              <w:rPr>
                <w:rFonts w:hint="eastAsia" w:ascii="宋体" w:hAnsi="宋体"/>
                <w:color w:val="auto"/>
                <w:szCs w:val="21"/>
                <w:highlight w:val="none"/>
              </w:rPr>
            </w:pPr>
            <w:r>
              <w:rPr>
                <w:rFonts w:ascii="宋体" w:hAnsi="宋体"/>
                <w:color w:val="auto"/>
                <w:szCs w:val="21"/>
                <w:highlight w:val="none"/>
              </w:rPr>
              <w:t>招标人</w:t>
            </w:r>
          </w:p>
        </w:tc>
        <w:tc>
          <w:tcPr>
            <w:tcW w:w="2996" w:type="pct"/>
            <w:gridSpan w:val="2"/>
            <w:vAlign w:val="center"/>
          </w:tcPr>
          <w:p w14:paraId="04FA61B5">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7B21B9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378" w:type="pct"/>
            <w:tcBorders>
              <w:right w:val="single" w:color="auto" w:sz="4" w:space="0"/>
            </w:tcBorders>
            <w:vAlign w:val="center"/>
          </w:tcPr>
          <w:p w14:paraId="6531E5F9">
            <w:pPr>
              <w:wordWrap w:val="0"/>
              <w:jc w:val="center"/>
              <w:rPr>
                <w:rFonts w:hint="eastAsia" w:ascii="宋体" w:hAnsi="宋体"/>
                <w:color w:val="auto"/>
                <w:szCs w:val="21"/>
                <w:highlight w:val="none"/>
              </w:rPr>
            </w:pPr>
            <w:r>
              <w:rPr>
                <w:rFonts w:hint="eastAsia" w:ascii="宋体" w:hAnsi="宋体"/>
                <w:color w:val="auto"/>
                <w:szCs w:val="21"/>
                <w:highlight w:val="none"/>
              </w:rPr>
              <w:t>2</w:t>
            </w:r>
          </w:p>
        </w:tc>
        <w:tc>
          <w:tcPr>
            <w:tcW w:w="462" w:type="pct"/>
            <w:tcBorders>
              <w:left w:val="single" w:color="auto" w:sz="4" w:space="0"/>
            </w:tcBorders>
            <w:vAlign w:val="center"/>
          </w:tcPr>
          <w:p w14:paraId="1B13EE84">
            <w:pPr>
              <w:wordWrap w:val="0"/>
              <w:jc w:val="center"/>
              <w:rPr>
                <w:rFonts w:hint="eastAsia" w:ascii="宋体" w:hAnsi="宋体"/>
                <w:color w:val="auto"/>
                <w:szCs w:val="21"/>
                <w:highlight w:val="none"/>
              </w:rPr>
            </w:pPr>
            <w:r>
              <w:rPr>
                <w:rFonts w:hint="eastAsia" w:ascii="宋体" w:hAnsi="宋体"/>
                <w:color w:val="auto"/>
                <w:szCs w:val="21"/>
                <w:highlight w:val="none"/>
              </w:rPr>
              <w:t>1.1.3</w:t>
            </w:r>
          </w:p>
        </w:tc>
        <w:tc>
          <w:tcPr>
            <w:tcW w:w="1162" w:type="pct"/>
            <w:vAlign w:val="center"/>
          </w:tcPr>
          <w:p w14:paraId="2E02498C">
            <w:pPr>
              <w:wordWrap w:val="0"/>
              <w:jc w:val="center"/>
              <w:rPr>
                <w:rFonts w:hint="eastAsia" w:ascii="宋体" w:hAnsi="宋体"/>
                <w:color w:val="auto"/>
                <w:szCs w:val="21"/>
                <w:highlight w:val="none"/>
              </w:rPr>
            </w:pPr>
            <w:r>
              <w:rPr>
                <w:rFonts w:ascii="宋体" w:hAnsi="宋体"/>
                <w:color w:val="auto"/>
                <w:szCs w:val="21"/>
                <w:highlight w:val="none"/>
              </w:rPr>
              <w:t>招标项目名称</w:t>
            </w:r>
          </w:p>
        </w:tc>
        <w:tc>
          <w:tcPr>
            <w:tcW w:w="2996" w:type="pct"/>
            <w:gridSpan w:val="2"/>
            <w:vAlign w:val="center"/>
          </w:tcPr>
          <w:p w14:paraId="67D84B03">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12757A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378" w:type="pct"/>
            <w:tcBorders>
              <w:right w:val="single" w:color="auto" w:sz="4" w:space="0"/>
            </w:tcBorders>
            <w:vAlign w:val="center"/>
          </w:tcPr>
          <w:p w14:paraId="3141C10E">
            <w:pPr>
              <w:wordWrap w:val="0"/>
              <w:jc w:val="center"/>
              <w:rPr>
                <w:rFonts w:hint="eastAsia" w:ascii="宋体" w:hAnsi="宋体"/>
                <w:color w:val="auto"/>
                <w:szCs w:val="21"/>
                <w:highlight w:val="none"/>
              </w:rPr>
            </w:pPr>
            <w:r>
              <w:rPr>
                <w:rFonts w:hint="eastAsia" w:ascii="宋体" w:hAnsi="宋体"/>
                <w:color w:val="auto"/>
                <w:szCs w:val="21"/>
                <w:highlight w:val="none"/>
              </w:rPr>
              <w:t>3</w:t>
            </w:r>
          </w:p>
        </w:tc>
        <w:tc>
          <w:tcPr>
            <w:tcW w:w="462" w:type="pct"/>
            <w:tcBorders>
              <w:left w:val="single" w:color="auto" w:sz="4" w:space="0"/>
            </w:tcBorders>
            <w:vAlign w:val="center"/>
          </w:tcPr>
          <w:p w14:paraId="713A0430">
            <w:pPr>
              <w:wordWrap w:val="0"/>
              <w:jc w:val="center"/>
              <w:rPr>
                <w:rFonts w:hint="eastAsia" w:ascii="宋体" w:hAnsi="宋体"/>
                <w:color w:val="auto"/>
                <w:szCs w:val="21"/>
                <w:highlight w:val="none"/>
              </w:rPr>
            </w:pPr>
            <w:r>
              <w:rPr>
                <w:rFonts w:hint="eastAsia" w:ascii="宋体" w:hAnsi="宋体"/>
                <w:color w:val="auto"/>
                <w:szCs w:val="21"/>
                <w:highlight w:val="none"/>
              </w:rPr>
              <w:t>1.3.1</w:t>
            </w:r>
          </w:p>
        </w:tc>
        <w:tc>
          <w:tcPr>
            <w:tcW w:w="1162" w:type="pct"/>
            <w:vAlign w:val="center"/>
          </w:tcPr>
          <w:p w14:paraId="38513F0D">
            <w:pPr>
              <w:wordWrap w:val="0"/>
              <w:jc w:val="center"/>
              <w:rPr>
                <w:rFonts w:hint="eastAsia" w:ascii="宋体" w:hAnsi="宋体"/>
                <w:color w:val="auto"/>
                <w:szCs w:val="21"/>
                <w:highlight w:val="none"/>
              </w:rPr>
            </w:pPr>
            <w:r>
              <w:rPr>
                <w:rFonts w:ascii="宋体" w:hAnsi="宋体"/>
                <w:color w:val="auto"/>
                <w:szCs w:val="21"/>
                <w:highlight w:val="none"/>
              </w:rPr>
              <w:t>招标范围</w:t>
            </w:r>
          </w:p>
        </w:tc>
        <w:tc>
          <w:tcPr>
            <w:tcW w:w="2996" w:type="pct"/>
            <w:gridSpan w:val="2"/>
            <w:vAlign w:val="center"/>
          </w:tcPr>
          <w:p w14:paraId="046B0385">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6503D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378" w:type="pct"/>
            <w:tcBorders>
              <w:right w:val="single" w:color="auto" w:sz="4" w:space="0"/>
            </w:tcBorders>
            <w:vAlign w:val="center"/>
          </w:tcPr>
          <w:p w14:paraId="72EE39A4">
            <w:pPr>
              <w:wordWrap w:val="0"/>
              <w:jc w:val="center"/>
              <w:rPr>
                <w:rFonts w:hint="eastAsia" w:ascii="宋体" w:hAnsi="宋体"/>
                <w:color w:val="auto"/>
                <w:szCs w:val="21"/>
                <w:highlight w:val="none"/>
              </w:rPr>
            </w:pPr>
            <w:r>
              <w:rPr>
                <w:rFonts w:hint="eastAsia" w:ascii="宋体" w:hAnsi="宋体"/>
                <w:color w:val="auto"/>
                <w:szCs w:val="21"/>
                <w:highlight w:val="none"/>
              </w:rPr>
              <w:t>4</w:t>
            </w:r>
          </w:p>
        </w:tc>
        <w:tc>
          <w:tcPr>
            <w:tcW w:w="462" w:type="pct"/>
            <w:tcBorders>
              <w:left w:val="single" w:color="auto" w:sz="4" w:space="0"/>
            </w:tcBorders>
            <w:vAlign w:val="center"/>
          </w:tcPr>
          <w:p w14:paraId="654330EF">
            <w:pPr>
              <w:wordWrap w:val="0"/>
              <w:jc w:val="center"/>
              <w:rPr>
                <w:rFonts w:hint="eastAsia" w:ascii="宋体" w:hAnsi="宋体"/>
                <w:color w:val="auto"/>
                <w:szCs w:val="21"/>
                <w:highlight w:val="none"/>
              </w:rPr>
            </w:pPr>
            <w:r>
              <w:rPr>
                <w:rFonts w:hint="eastAsia" w:ascii="宋体" w:hAnsi="宋体"/>
                <w:color w:val="auto"/>
                <w:szCs w:val="21"/>
                <w:highlight w:val="none"/>
              </w:rPr>
              <w:t>1.3.2</w:t>
            </w:r>
          </w:p>
        </w:tc>
        <w:tc>
          <w:tcPr>
            <w:tcW w:w="1162" w:type="pct"/>
            <w:vAlign w:val="center"/>
          </w:tcPr>
          <w:p w14:paraId="2163C3CD">
            <w:pPr>
              <w:wordWrap w:val="0"/>
              <w:jc w:val="center"/>
              <w:rPr>
                <w:rFonts w:hint="eastAsia" w:ascii="宋体" w:hAnsi="宋体"/>
                <w:color w:val="auto"/>
                <w:szCs w:val="21"/>
                <w:highlight w:val="none"/>
              </w:rPr>
            </w:pPr>
            <w:r>
              <w:rPr>
                <w:rFonts w:hint="eastAsia" w:ascii="宋体" w:hAnsi="宋体"/>
                <w:color w:val="auto"/>
                <w:szCs w:val="21"/>
                <w:highlight w:val="none"/>
              </w:rPr>
              <w:t>服务期限</w:t>
            </w:r>
          </w:p>
        </w:tc>
        <w:tc>
          <w:tcPr>
            <w:tcW w:w="2996" w:type="pct"/>
            <w:gridSpan w:val="2"/>
            <w:vAlign w:val="center"/>
          </w:tcPr>
          <w:p w14:paraId="2467CA48">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4E9B47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378" w:type="pct"/>
            <w:tcBorders>
              <w:right w:val="single" w:color="auto" w:sz="4" w:space="0"/>
            </w:tcBorders>
            <w:vAlign w:val="center"/>
          </w:tcPr>
          <w:p w14:paraId="02490D23">
            <w:pPr>
              <w:wordWrap w:val="0"/>
              <w:jc w:val="center"/>
              <w:rPr>
                <w:rFonts w:hint="eastAsia" w:ascii="宋体" w:hAnsi="宋体"/>
                <w:color w:val="auto"/>
                <w:szCs w:val="21"/>
                <w:highlight w:val="none"/>
              </w:rPr>
            </w:pPr>
            <w:r>
              <w:rPr>
                <w:rFonts w:hint="eastAsia" w:ascii="宋体" w:hAnsi="宋体"/>
                <w:color w:val="auto"/>
                <w:szCs w:val="21"/>
                <w:highlight w:val="none"/>
              </w:rPr>
              <w:t>5</w:t>
            </w:r>
          </w:p>
        </w:tc>
        <w:tc>
          <w:tcPr>
            <w:tcW w:w="462" w:type="pct"/>
            <w:tcBorders>
              <w:left w:val="single" w:color="auto" w:sz="4" w:space="0"/>
            </w:tcBorders>
            <w:vAlign w:val="center"/>
          </w:tcPr>
          <w:p w14:paraId="32D3DF9E">
            <w:pPr>
              <w:wordWrap w:val="0"/>
              <w:jc w:val="center"/>
              <w:rPr>
                <w:rFonts w:hint="eastAsia" w:ascii="宋体" w:hAnsi="宋体"/>
                <w:color w:val="auto"/>
                <w:szCs w:val="21"/>
                <w:highlight w:val="none"/>
              </w:rPr>
            </w:pPr>
            <w:r>
              <w:rPr>
                <w:rFonts w:hint="eastAsia" w:ascii="宋体" w:hAnsi="宋体"/>
                <w:color w:val="auto"/>
                <w:szCs w:val="21"/>
                <w:highlight w:val="none"/>
              </w:rPr>
              <w:t>1.4.1</w:t>
            </w:r>
          </w:p>
        </w:tc>
        <w:tc>
          <w:tcPr>
            <w:tcW w:w="1162" w:type="pct"/>
            <w:vAlign w:val="center"/>
          </w:tcPr>
          <w:p w14:paraId="7D9F7E88">
            <w:pPr>
              <w:wordWrap w:val="0"/>
              <w:jc w:val="center"/>
              <w:rPr>
                <w:rFonts w:hint="eastAsia" w:ascii="宋体" w:hAnsi="宋体"/>
                <w:color w:val="auto"/>
                <w:szCs w:val="21"/>
                <w:highlight w:val="none"/>
              </w:rPr>
            </w:pPr>
            <w:r>
              <w:rPr>
                <w:rFonts w:hint="eastAsia" w:ascii="宋体" w:hAnsi="宋体"/>
                <w:color w:val="auto"/>
                <w:szCs w:val="21"/>
                <w:highlight w:val="none"/>
              </w:rPr>
              <w:t>投标人资格要求</w:t>
            </w:r>
          </w:p>
        </w:tc>
        <w:tc>
          <w:tcPr>
            <w:tcW w:w="2996" w:type="pct"/>
            <w:gridSpan w:val="2"/>
            <w:vAlign w:val="center"/>
          </w:tcPr>
          <w:p w14:paraId="241B59DE">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2646D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39A144B8">
            <w:pPr>
              <w:wordWrap w:val="0"/>
              <w:jc w:val="center"/>
              <w:rPr>
                <w:rFonts w:hint="eastAsia" w:ascii="宋体" w:hAnsi="宋体"/>
                <w:color w:val="auto"/>
                <w:szCs w:val="21"/>
                <w:highlight w:val="none"/>
              </w:rPr>
            </w:pPr>
            <w:r>
              <w:rPr>
                <w:rFonts w:hint="eastAsia" w:ascii="宋体" w:hAnsi="宋体"/>
                <w:color w:val="auto"/>
                <w:szCs w:val="21"/>
                <w:highlight w:val="none"/>
              </w:rPr>
              <w:t>6</w:t>
            </w:r>
          </w:p>
        </w:tc>
        <w:tc>
          <w:tcPr>
            <w:tcW w:w="462" w:type="pct"/>
            <w:tcBorders>
              <w:left w:val="single" w:color="auto" w:sz="4" w:space="0"/>
            </w:tcBorders>
            <w:vAlign w:val="center"/>
          </w:tcPr>
          <w:p w14:paraId="432D5C3B">
            <w:pPr>
              <w:wordWrap w:val="0"/>
              <w:jc w:val="center"/>
              <w:rPr>
                <w:rFonts w:hint="eastAsia" w:ascii="宋体" w:hAnsi="宋体"/>
                <w:color w:val="auto"/>
                <w:szCs w:val="21"/>
                <w:highlight w:val="none"/>
              </w:rPr>
            </w:pPr>
            <w:r>
              <w:rPr>
                <w:rFonts w:hint="eastAsia" w:ascii="宋体" w:hAnsi="宋体"/>
                <w:color w:val="auto"/>
                <w:szCs w:val="21"/>
                <w:highlight w:val="none"/>
              </w:rPr>
              <w:t>1.4.2</w:t>
            </w:r>
          </w:p>
        </w:tc>
        <w:tc>
          <w:tcPr>
            <w:tcW w:w="1162" w:type="pct"/>
            <w:vAlign w:val="center"/>
          </w:tcPr>
          <w:p w14:paraId="17DE7AEA">
            <w:pPr>
              <w:wordWrap w:val="0"/>
              <w:rPr>
                <w:rFonts w:hint="eastAsia" w:ascii="宋体" w:hAnsi="宋体"/>
                <w:color w:val="auto"/>
                <w:szCs w:val="21"/>
                <w:highlight w:val="none"/>
              </w:rPr>
            </w:pPr>
            <w:r>
              <w:rPr>
                <w:rFonts w:hint="eastAsia" w:ascii="宋体" w:hAnsi="宋体"/>
                <w:color w:val="auto"/>
                <w:szCs w:val="21"/>
                <w:highlight w:val="none"/>
              </w:rPr>
              <w:t>是否接受联合体投标</w:t>
            </w:r>
          </w:p>
        </w:tc>
        <w:tc>
          <w:tcPr>
            <w:tcW w:w="2996" w:type="pct"/>
            <w:gridSpan w:val="2"/>
            <w:vAlign w:val="center"/>
          </w:tcPr>
          <w:p w14:paraId="7EB36051">
            <w:pPr>
              <w:wordWrap w:val="0"/>
              <w:rPr>
                <w:rFonts w:hint="eastAsia" w:ascii="宋体" w:hAnsi="宋体"/>
                <w:color w:val="auto"/>
                <w:szCs w:val="21"/>
                <w:highlight w:val="none"/>
              </w:rPr>
            </w:pPr>
            <w:r>
              <w:rPr>
                <w:rFonts w:ascii="Wingdings 2" w:hAnsi="Wingdings 2"/>
                <w:color w:val="auto"/>
                <w:szCs w:val="21"/>
                <w:highlight w:val="none"/>
              </w:rPr>
              <w:sym w:font="Wingdings 2" w:char="F052"/>
            </w:r>
            <w:r>
              <w:rPr>
                <w:rFonts w:hint="eastAsia" w:ascii="宋体" w:hAnsi="宋体"/>
                <w:color w:val="auto"/>
                <w:szCs w:val="21"/>
                <w:highlight w:val="none"/>
              </w:rPr>
              <w:t>不接受</w:t>
            </w:r>
          </w:p>
          <w:p w14:paraId="1037431A">
            <w:pPr>
              <w:wordWrap w:val="0"/>
              <w:rPr>
                <w:rFonts w:hint="eastAsia" w:ascii="宋体" w:hAnsi="宋体"/>
                <w:color w:val="auto"/>
                <w:szCs w:val="21"/>
                <w:highlight w:val="none"/>
              </w:rPr>
            </w:pPr>
            <w:r>
              <w:rPr>
                <w:rFonts w:hint="eastAsia" w:ascii="Segoe UI Symbol" w:hAnsi="Segoe UI Symbol" w:cs="Segoe UI Symbol"/>
                <w:color w:val="auto"/>
                <w:szCs w:val="21"/>
                <w:highlight w:val="none"/>
              </w:rPr>
              <w:t>□</w:t>
            </w:r>
            <w:r>
              <w:rPr>
                <w:rFonts w:hint="eastAsia" w:ascii="宋体" w:hAnsi="宋体"/>
                <w:color w:val="auto"/>
                <w:szCs w:val="21"/>
                <w:highlight w:val="none"/>
              </w:rPr>
              <w:t>接受，应满足下列要求：详见招标公告</w:t>
            </w:r>
          </w:p>
        </w:tc>
      </w:tr>
      <w:tr w14:paraId="3422B1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2383CF51">
            <w:pPr>
              <w:wordWrap w:val="0"/>
              <w:jc w:val="center"/>
              <w:rPr>
                <w:rFonts w:hint="eastAsia" w:ascii="宋体" w:hAnsi="宋体"/>
                <w:color w:val="auto"/>
                <w:szCs w:val="21"/>
                <w:highlight w:val="none"/>
              </w:rPr>
            </w:pPr>
            <w:r>
              <w:rPr>
                <w:rFonts w:hint="eastAsia" w:ascii="宋体" w:hAnsi="宋体"/>
                <w:color w:val="auto"/>
                <w:szCs w:val="21"/>
                <w:highlight w:val="none"/>
              </w:rPr>
              <w:t>7</w:t>
            </w:r>
          </w:p>
        </w:tc>
        <w:tc>
          <w:tcPr>
            <w:tcW w:w="462" w:type="pct"/>
            <w:tcBorders>
              <w:left w:val="single" w:color="auto" w:sz="4" w:space="0"/>
            </w:tcBorders>
            <w:vAlign w:val="center"/>
          </w:tcPr>
          <w:p w14:paraId="2650C20E">
            <w:pPr>
              <w:wordWrap w:val="0"/>
              <w:jc w:val="center"/>
              <w:rPr>
                <w:rFonts w:hint="eastAsia" w:ascii="宋体" w:hAnsi="宋体"/>
                <w:color w:val="auto"/>
                <w:szCs w:val="21"/>
                <w:highlight w:val="none"/>
              </w:rPr>
            </w:pPr>
            <w:r>
              <w:rPr>
                <w:rFonts w:hint="eastAsia" w:ascii="宋体" w:hAnsi="宋体"/>
                <w:color w:val="auto"/>
                <w:szCs w:val="21"/>
                <w:highlight w:val="none"/>
              </w:rPr>
              <w:t>1.10.1</w:t>
            </w:r>
          </w:p>
        </w:tc>
        <w:tc>
          <w:tcPr>
            <w:tcW w:w="1162" w:type="pct"/>
            <w:vAlign w:val="center"/>
          </w:tcPr>
          <w:p w14:paraId="24DC226B">
            <w:pPr>
              <w:wordWrap w:val="0"/>
              <w:jc w:val="center"/>
              <w:rPr>
                <w:rFonts w:hint="eastAsia" w:ascii="宋体" w:hAnsi="宋体"/>
                <w:color w:val="auto"/>
                <w:szCs w:val="21"/>
                <w:highlight w:val="none"/>
              </w:rPr>
            </w:pPr>
            <w:r>
              <w:rPr>
                <w:rFonts w:ascii="宋体" w:hAnsi="宋体"/>
                <w:color w:val="auto"/>
                <w:szCs w:val="21"/>
                <w:highlight w:val="none"/>
              </w:rPr>
              <w:t>实质性要求和条件</w:t>
            </w:r>
          </w:p>
        </w:tc>
        <w:tc>
          <w:tcPr>
            <w:tcW w:w="2996" w:type="pct"/>
            <w:gridSpan w:val="2"/>
            <w:vAlign w:val="center"/>
          </w:tcPr>
          <w:p w14:paraId="0C87491B">
            <w:pPr>
              <w:wordWrap w:val="0"/>
              <w:rPr>
                <w:rStyle w:val="191"/>
                <w:rFonts w:hint="default"/>
                <w:color w:val="auto"/>
                <w:sz w:val="21"/>
                <w:szCs w:val="21"/>
                <w:highlight w:val="none"/>
              </w:rPr>
            </w:pPr>
            <w:r>
              <w:rPr>
                <w:rStyle w:val="191"/>
                <w:rFonts w:hint="default"/>
                <w:color w:val="auto"/>
                <w:sz w:val="21"/>
                <w:szCs w:val="21"/>
                <w:highlight w:val="none"/>
              </w:rPr>
              <w:t>1</w:t>
            </w:r>
            <w:r>
              <w:rPr>
                <w:rStyle w:val="191"/>
                <w:rFonts w:hint="eastAsia"/>
                <w:color w:val="auto"/>
                <w:sz w:val="21"/>
                <w:szCs w:val="21"/>
                <w:highlight w:val="none"/>
                <w:lang w:val="en-US" w:eastAsia="zh-CN"/>
              </w:rPr>
              <w:t>.</w:t>
            </w:r>
            <w:r>
              <w:rPr>
                <w:rStyle w:val="191"/>
                <w:rFonts w:hint="default"/>
                <w:color w:val="auto"/>
                <w:sz w:val="21"/>
                <w:szCs w:val="21"/>
                <w:highlight w:val="none"/>
              </w:rPr>
              <w:t>招标文件中规定的</w:t>
            </w:r>
            <w:r>
              <w:rPr>
                <w:rStyle w:val="191"/>
                <w:rFonts w:hint="default"/>
                <w:b/>
                <w:bCs/>
                <w:color w:val="auto"/>
                <w:sz w:val="21"/>
                <w:szCs w:val="21"/>
                <w:highlight w:val="none"/>
              </w:rPr>
              <w:t>否决</w:t>
            </w:r>
            <w:r>
              <w:rPr>
                <w:rStyle w:val="191"/>
                <w:rFonts w:hint="default"/>
                <w:color w:val="auto"/>
                <w:sz w:val="21"/>
                <w:szCs w:val="21"/>
                <w:highlight w:val="none"/>
              </w:rPr>
              <w:t>性条款；</w:t>
            </w:r>
          </w:p>
          <w:p w14:paraId="28AAD8BF">
            <w:pPr>
              <w:wordWrap w:val="0"/>
              <w:rPr>
                <w:rFonts w:hint="eastAsia" w:ascii="宋体" w:hAnsi="宋体"/>
                <w:color w:val="auto"/>
                <w:szCs w:val="21"/>
                <w:highlight w:val="none"/>
              </w:rPr>
            </w:pPr>
            <w:r>
              <w:rPr>
                <w:rStyle w:val="191"/>
                <w:rFonts w:hint="default"/>
                <w:color w:val="auto"/>
                <w:sz w:val="21"/>
                <w:szCs w:val="21"/>
                <w:highlight w:val="none"/>
              </w:rPr>
              <w:t>2</w:t>
            </w:r>
            <w:r>
              <w:rPr>
                <w:rStyle w:val="191"/>
                <w:rFonts w:hint="eastAsia"/>
                <w:color w:val="auto"/>
                <w:sz w:val="21"/>
                <w:szCs w:val="21"/>
                <w:highlight w:val="none"/>
                <w:lang w:val="en-US" w:eastAsia="zh-CN"/>
              </w:rPr>
              <w:t>.</w:t>
            </w:r>
            <w:r>
              <w:rPr>
                <w:rStyle w:val="191"/>
                <w:rFonts w:hint="default"/>
                <w:color w:val="auto"/>
                <w:sz w:val="21"/>
                <w:szCs w:val="21"/>
                <w:highlight w:val="none"/>
              </w:rPr>
              <w:t>招标文件中标注“★”符号的条款。</w:t>
            </w:r>
          </w:p>
        </w:tc>
      </w:tr>
      <w:tr w14:paraId="18EDA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7210B006">
            <w:pPr>
              <w:wordWrap w:val="0"/>
              <w:jc w:val="center"/>
              <w:rPr>
                <w:rFonts w:hint="eastAsia" w:ascii="宋体" w:hAnsi="宋体"/>
                <w:color w:val="auto"/>
                <w:szCs w:val="21"/>
                <w:highlight w:val="none"/>
              </w:rPr>
            </w:pPr>
            <w:r>
              <w:rPr>
                <w:rFonts w:hint="eastAsia" w:ascii="宋体" w:hAnsi="宋体"/>
                <w:color w:val="auto"/>
                <w:szCs w:val="21"/>
                <w:highlight w:val="none"/>
              </w:rPr>
              <w:t>8</w:t>
            </w:r>
          </w:p>
        </w:tc>
        <w:tc>
          <w:tcPr>
            <w:tcW w:w="462" w:type="pct"/>
            <w:tcBorders>
              <w:left w:val="single" w:color="auto" w:sz="4" w:space="0"/>
            </w:tcBorders>
            <w:vAlign w:val="center"/>
          </w:tcPr>
          <w:p w14:paraId="441B44E3">
            <w:pPr>
              <w:wordWrap w:val="0"/>
              <w:jc w:val="center"/>
              <w:rPr>
                <w:rFonts w:hint="eastAsia" w:ascii="宋体" w:hAnsi="宋体"/>
                <w:color w:val="auto"/>
                <w:szCs w:val="21"/>
                <w:highlight w:val="none"/>
              </w:rPr>
            </w:pPr>
            <w:r>
              <w:rPr>
                <w:rFonts w:ascii="宋体" w:hAnsi="宋体"/>
                <w:color w:val="auto"/>
                <w:szCs w:val="21"/>
                <w:highlight w:val="none"/>
              </w:rPr>
              <w:t>1.1</w:t>
            </w:r>
            <w:r>
              <w:rPr>
                <w:rFonts w:hint="eastAsia" w:ascii="宋体" w:hAnsi="宋体"/>
                <w:color w:val="auto"/>
                <w:szCs w:val="21"/>
                <w:highlight w:val="none"/>
              </w:rPr>
              <w:t>0</w:t>
            </w:r>
            <w:r>
              <w:rPr>
                <w:rFonts w:ascii="宋体" w:hAnsi="宋体"/>
                <w:color w:val="auto"/>
                <w:szCs w:val="21"/>
                <w:highlight w:val="none"/>
              </w:rPr>
              <w:t>.4</w:t>
            </w:r>
          </w:p>
        </w:tc>
        <w:tc>
          <w:tcPr>
            <w:tcW w:w="1162" w:type="pct"/>
            <w:vAlign w:val="center"/>
          </w:tcPr>
          <w:p w14:paraId="0265F847">
            <w:pPr>
              <w:wordWrap w:val="0"/>
              <w:jc w:val="center"/>
              <w:rPr>
                <w:rFonts w:hint="eastAsia" w:ascii="宋体" w:hAnsi="宋体"/>
                <w:color w:val="auto"/>
                <w:szCs w:val="21"/>
                <w:highlight w:val="none"/>
              </w:rPr>
            </w:pPr>
            <w:r>
              <w:rPr>
                <w:rFonts w:hint="eastAsia" w:ascii="宋体" w:hAnsi="宋体"/>
                <w:color w:val="auto"/>
                <w:szCs w:val="21"/>
                <w:highlight w:val="none"/>
              </w:rPr>
              <w:t>非</w:t>
            </w:r>
            <w:r>
              <w:rPr>
                <w:rFonts w:ascii="宋体" w:hAnsi="宋体"/>
                <w:color w:val="auto"/>
                <w:szCs w:val="21"/>
                <w:highlight w:val="none"/>
              </w:rPr>
              <w:t>实质性要求</w:t>
            </w:r>
            <w:r>
              <w:rPr>
                <w:rFonts w:hint="eastAsia" w:ascii="宋体" w:hAnsi="宋体"/>
                <w:color w:val="auto"/>
                <w:szCs w:val="21"/>
                <w:highlight w:val="none"/>
              </w:rPr>
              <w:t>/</w:t>
            </w:r>
            <w:r>
              <w:rPr>
                <w:rFonts w:ascii="宋体" w:hAnsi="宋体"/>
                <w:color w:val="auto"/>
                <w:szCs w:val="21"/>
                <w:highlight w:val="none"/>
              </w:rPr>
              <w:t>条件允许</w:t>
            </w:r>
            <w:r>
              <w:rPr>
                <w:rFonts w:hint="eastAsia" w:ascii="宋体" w:hAnsi="宋体"/>
                <w:color w:val="auto"/>
                <w:szCs w:val="21"/>
                <w:highlight w:val="none"/>
              </w:rPr>
              <w:t>偏差的</w:t>
            </w:r>
            <w:r>
              <w:rPr>
                <w:rFonts w:ascii="宋体" w:hAnsi="宋体"/>
                <w:color w:val="auto"/>
                <w:szCs w:val="21"/>
                <w:highlight w:val="none"/>
              </w:rPr>
              <w:t>最</w:t>
            </w:r>
            <w:r>
              <w:rPr>
                <w:rFonts w:hint="eastAsia" w:ascii="宋体" w:hAnsi="宋体"/>
                <w:color w:val="auto"/>
                <w:szCs w:val="21"/>
                <w:highlight w:val="none"/>
              </w:rPr>
              <w:t>高</w:t>
            </w:r>
            <w:r>
              <w:rPr>
                <w:rFonts w:ascii="宋体" w:hAnsi="宋体"/>
                <w:color w:val="auto"/>
                <w:szCs w:val="21"/>
                <w:highlight w:val="none"/>
              </w:rPr>
              <w:t>项数</w:t>
            </w:r>
          </w:p>
        </w:tc>
        <w:tc>
          <w:tcPr>
            <w:tcW w:w="2996" w:type="pct"/>
            <w:gridSpan w:val="2"/>
            <w:vAlign w:val="center"/>
          </w:tcPr>
          <w:p w14:paraId="6F652CE1">
            <w:pPr>
              <w:wordWrap w:val="0"/>
              <w:rPr>
                <w:rStyle w:val="191"/>
                <w:rFonts w:hint="default"/>
                <w:color w:val="auto"/>
                <w:sz w:val="21"/>
                <w:szCs w:val="21"/>
                <w:highlight w:val="none"/>
              </w:rPr>
            </w:pPr>
            <w:r>
              <w:rPr>
                <w:rStyle w:val="191"/>
                <w:rFonts w:hint="default"/>
                <w:color w:val="auto"/>
                <w:sz w:val="21"/>
                <w:szCs w:val="21"/>
                <w:highlight w:val="none"/>
              </w:rPr>
              <w:t>偏差范围：非实质性要求/条件</w:t>
            </w:r>
          </w:p>
          <w:p w14:paraId="1FFC2E4D">
            <w:pPr>
              <w:wordWrap w:val="0"/>
              <w:rPr>
                <w:rStyle w:val="191"/>
                <w:rFonts w:hint="default"/>
                <w:color w:val="auto"/>
                <w:sz w:val="21"/>
                <w:szCs w:val="21"/>
                <w:highlight w:val="none"/>
              </w:rPr>
            </w:pPr>
            <w:r>
              <w:rPr>
                <w:rStyle w:val="191"/>
                <w:rFonts w:hint="default"/>
                <w:color w:val="auto"/>
                <w:sz w:val="21"/>
                <w:szCs w:val="21"/>
                <w:highlight w:val="none"/>
              </w:rPr>
              <w:t>最高项数：偏差项数之和</w:t>
            </w:r>
            <w:r>
              <w:rPr>
                <w:rFonts w:hint="eastAsia" w:ascii="宋体" w:hAnsi="宋体"/>
                <w:color w:val="auto"/>
                <w:szCs w:val="21"/>
                <w:highlight w:val="none"/>
              </w:rPr>
              <w:t>≥10项将</w:t>
            </w:r>
            <w:r>
              <w:rPr>
                <w:rFonts w:hint="eastAsia" w:ascii="宋体" w:hAnsi="宋体"/>
                <w:b/>
                <w:bCs/>
                <w:color w:val="auto"/>
                <w:szCs w:val="21"/>
                <w:highlight w:val="none"/>
              </w:rPr>
              <w:t>否决</w:t>
            </w:r>
            <w:r>
              <w:rPr>
                <w:rFonts w:hint="eastAsia" w:ascii="宋体" w:hAnsi="宋体"/>
                <w:color w:val="auto"/>
                <w:szCs w:val="21"/>
                <w:highlight w:val="none"/>
              </w:rPr>
              <w:t>投标。相同内容不重复计算项数。</w:t>
            </w:r>
          </w:p>
        </w:tc>
      </w:tr>
      <w:tr w14:paraId="14171A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774C3FB9">
            <w:pPr>
              <w:wordWrap w:val="0"/>
              <w:jc w:val="center"/>
              <w:rPr>
                <w:rFonts w:hint="eastAsia" w:ascii="宋体" w:hAnsi="宋体"/>
                <w:color w:val="auto"/>
                <w:szCs w:val="21"/>
                <w:highlight w:val="none"/>
              </w:rPr>
            </w:pPr>
            <w:r>
              <w:rPr>
                <w:rFonts w:hint="eastAsia" w:ascii="宋体" w:hAnsi="宋体"/>
                <w:color w:val="auto"/>
                <w:szCs w:val="21"/>
                <w:highlight w:val="none"/>
              </w:rPr>
              <w:t>9</w:t>
            </w:r>
          </w:p>
        </w:tc>
        <w:tc>
          <w:tcPr>
            <w:tcW w:w="462" w:type="pct"/>
            <w:tcBorders>
              <w:left w:val="single" w:color="auto" w:sz="4" w:space="0"/>
            </w:tcBorders>
            <w:vAlign w:val="center"/>
          </w:tcPr>
          <w:p w14:paraId="6AD2855B">
            <w:pPr>
              <w:wordWrap w:val="0"/>
              <w:jc w:val="center"/>
              <w:rPr>
                <w:rFonts w:hint="eastAsia" w:ascii="宋体" w:hAnsi="宋体"/>
                <w:color w:val="auto"/>
                <w:szCs w:val="21"/>
                <w:highlight w:val="none"/>
              </w:rPr>
            </w:pPr>
            <w:r>
              <w:rPr>
                <w:rFonts w:hint="eastAsia" w:ascii="宋体" w:hAnsi="宋体"/>
                <w:color w:val="auto"/>
                <w:szCs w:val="21"/>
                <w:highlight w:val="none"/>
              </w:rPr>
              <w:t>2.1</w:t>
            </w:r>
          </w:p>
        </w:tc>
        <w:tc>
          <w:tcPr>
            <w:tcW w:w="1162" w:type="pct"/>
            <w:vAlign w:val="center"/>
          </w:tcPr>
          <w:p w14:paraId="1A437AFA">
            <w:pPr>
              <w:wordWrap w:val="0"/>
              <w:jc w:val="center"/>
              <w:rPr>
                <w:rFonts w:hint="eastAsia" w:ascii="宋体" w:hAnsi="宋体"/>
                <w:color w:val="auto"/>
                <w:szCs w:val="21"/>
                <w:highlight w:val="none"/>
              </w:rPr>
            </w:pPr>
            <w:r>
              <w:rPr>
                <w:rFonts w:ascii="宋体" w:hAnsi="宋体"/>
                <w:color w:val="auto"/>
                <w:szCs w:val="21"/>
                <w:highlight w:val="none"/>
              </w:rPr>
              <w:t>构成招标文件的</w:t>
            </w:r>
          </w:p>
          <w:p w14:paraId="05668FB3">
            <w:pPr>
              <w:wordWrap w:val="0"/>
              <w:jc w:val="center"/>
              <w:rPr>
                <w:rFonts w:hint="eastAsia" w:ascii="宋体" w:hAnsi="宋体"/>
                <w:color w:val="auto"/>
                <w:szCs w:val="21"/>
                <w:highlight w:val="none"/>
              </w:rPr>
            </w:pPr>
            <w:r>
              <w:rPr>
                <w:rFonts w:ascii="宋体" w:hAnsi="宋体"/>
                <w:color w:val="auto"/>
                <w:szCs w:val="21"/>
                <w:highlight w:val="none"/>
              </w:rPr>
              <w:t>其他资料</w:t>
            </w:r>
          </w:p>
        </w:tc>
        <w:tc>
          <w:tcPr>
            <w:tcW w:w="2996" w:type="pct"/>
            <w:gridSpan w:val="2"/>
            <w:vAlign w:val="center"/>
          </w:tcPr>
          <w:p w14:paraId="0635F8A6">
            <w:pPr>
              <w:wordWrap w:val="0"/>
              <w:rPr>
                <w:rFonts w:hint="eastAsia" w:ascii="宋体" w:hAnsi="宋体"/>
                <w:color w:val="auto"/>
                <w:szCs w:val="21"/>
                <w:highlight w:val="none"/>
              </w:rPr>
            </w:pPr>
            <w:r>
              <w:rPr>
                <w:rFonts w:hint="eastAsia" w:ascii="宋体" w:hAnsi="宋体"/>
                <w:color w:val="auto"/>
                <w:szCs w:val="21"/>
                <w:highlight w:val="none"/>
              </w:rPr>
              <w:t>招标澄清、修改、补充公告等（如有）</w:t>
            </w:r>
          </w:p>
        </w:tc>
      </w:tr>
      <w:tr w14:paraId="3D3916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51ABF3C5">
            <w:pPr>
              <w:wordWrap w:val="0"/>
              <w:jc w:val="center"/>
              <w:rPr>
                <w:rFonts w:hint="eastAsia" w:ascii="宋体" w:hAnsi="宋体"/>
                <w:color w:val="auto"/>
                <w:szCs w:val="21"/>
                <w:highlight w:val="none"/>
              </w:rPr>
            </w:pPr>
            <w:r>
              <w:rPr>
                <w:rFonts w:hint="eastAsia" w:ascii="宋体" w:hAnsi="宋体"/>
                <w:color w:val="auto"/>
                <w:szCs w:val="21"/>
                <w:highlight w:val="none"/>
              </w:rPr>
              <w:t>10</w:t>
            </w:r>
          </w:p>
        </w:tc>
        <w:tc>
          <w:tcPr>
            <w:tcW w:w="462" w:type="pct"/>
            <w:tcBorders>
              <w:left w:val="single" w:color="auto" w:sz="4" w:space="0"/>
            </w:tcBorders>
            <w:vAlign w:val="center"/>
          </w:tcPr>
          <w:p w14:paraId="2446FEB0">
            <w:pPr>
              <w:wordWrap w:val="0"/>
              <w:jc w:val="center"/>
              <w:rPr>
                <w:rFonts w:hint="eastAsia" w:ascii="宋体" w:hAnsi="宋体"/>
                <w:color w:val="auto"/>
                <w:szCs w:val="21"/>
                <w:highlight w:val="none"/>
              </w:rPr>
            </w:pPr>
            <w:r>
              <w:rPr>
                <w:rFonts w:hint="eastAsia" w:ascii="宋体" w:hAnsi="宋体"/>
                <w:color w:val="auto"/>
                <w:szCs w:val="21"/>
                <w:highlight w:val="none"/>
              </w:rPr>
              <w:t>2.2.1</w:t>
            </w:r>
          </w:p>
        </w:tc>
        <w:tc>
          <w:tcPr>
            <w:tcW w:w="1162" w:type="pct"/>
            <w:vAlign w:val="center"/>
          </w:tcPr>
          <w:p w14:paraId="0D2166CD">
            <w:pPr>
              <w:wordWrap w:val="0"/>
              <w:jc w:val="center"/>
              <w:rPr>
                <w:rFonts w:hint="eastAsia" w:ascii="宋体" w:hAnsi="宋体"/>
                <w:color w:val="auto"/>
                <w:szCs w:val="21"/>
                <w:highlight w:val="none"/>
              </w:rPr>
            </w:pPr>
            <w:r>
              <w:rPr>
                <w:rFonts w:ascii="宋体" w:hAnsi="宋体"/>
                <w:color w:val="auto"/>
                <w:szCs w:val="21"/>
                <w:highlight w:val="none"/>
              </w:rPr>
              <w:t>投标人要求澄清招标文件</w:t>
            </w:r>
            <w:r>
              <w:rPr>
                <w:rFonts w:hint="eastAsia" w:ascii="宋体" w:hAnsi="宋体"/>
                <w:color w:val="auto"/>
                <w:szCs w:val="21"/>
                <w:highlight w:val="none"/>
              </w:rPr>
              <w:t>时间和形式</w:t>
            </w:r>
          </w:p>
        </w:tc>
        <w:tc>
          <w:tcPr>
            <w:tcW w:w="2996" w:type="pct"/>
            <w:gridSpan w:val="2"/>
            <w:vAlign w:val="center"/>
          </w:tcPr>
          <w:p w14:paraId="36E63300">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2D011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357CC8EC">
            <w:pPr>
              <w:wordWrap w:val="0"/>
              <w:jc w:val="center"/>
              <w:rPr>
                <w:rFonts w:hint="eastAsia" w:ascii="宋体" w:hAnsi="宋体"/>
                <w:color w:val="auto"/>
                <w:szCs w:val="21"/>
                <w:highlight w:val="none"/>
              </w:rPr>
            </w:pPr>
            <w:r>
              <w:rPr>
                <w:rFonts w:hint="eastAsia" w:ascii="宋体" w:hAnsi="宋体"/>
                <w:color w:val="auto"/>
                <w:szCs w:val="21"/>
                <w:highlight w:val="none"/>
              </w:rPr>
              <w:t>11</w:t>
            </w:r>
          </w:p>
        </w:tc>
        <w:tc>
          <w:tcPr>
            <w:tcW w:w="462" w:type="pct"/>
            <w:tcBorders>
              <w:left w:val="single" w:color="auto" w:sz="4" w:space="0"/>
            </w:tcBorders>
            <w:vAlign w:val="center"/>
          </w:tcPr>
          <w:p w14:paraId="3D55E917">
            <w:pPr>
              <w:wordWrap w:val="0"/>
              <w:jc w:val="center"/>
              <w:rPr>
                <w:rFonts w:hint="eastAsia" w:ascii="宋体" w:hAnsi="宋体"/>
                <w:color w:val="auto"/>
                <w:szCs w:val="21"/>
                <w:highlight w:val="none"/>
              </w:rPr>
            </w:pPr>
            <w:r>
              <w:rPr>
                <w:rFonts w:hint="eastAsia" w:ascii="宋体" w:hAnsi="宋体"/>
                <w:color w:val="auto"/>
                <w:szCs w:val="21"/>
                <w:highlight w:val="none"/>
              </w:rPr>
              <w:t>2.2.2</w:t>
            </w:r>
          </w:p>
        </w:tc>
        <w:tc>
          <w:tcPr>
            <w:tcW w:w="1162" w:type="pct"/>
            <w:vAlign w:val="center"/>
          </w:tcPr>
          <w:p w14:paraId="173AD6A9">
            <w:pPr>
              <w:wordWrap w:val="0"/>
              <w:jc w:val="center"/>
              <w:rPr>
                <w:rFonts w:hint="eastAsia" w:ascii="宋体" w:hAnsi="宋体"/>
                <w:color w:val="auto"/>
                <w:szCs w:val="21"/>
                <w:highlight w:val="none"/>
              </w:rPr>
            </w:pPr>
            <w:r>
              <w:rPr>
                <w:rFonts w:ascii="宋体" w:hAnsi="宋体"/>
                <w:color w:val="auto"/>
                <w:szCs w:val="21"/>
                <w:highlight w:val="none"/>
              </w:rPr>
              <w:t>招标文件澄清发出的形式</w:t>
            </w:r>
          </w:p>
        </w:tc>
        <w:tc>
          <w:tcPr>
            <w:tcW w:w="2996" w:type="pct"/>
            <w:gridSpan w:val="2"/>
            <w:vAlign w:val="center"/>
          </w:tcPr>
          <w:p w14:paraId="1E109CCE">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6319F7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39BB0441">
            <w:pPr>
              <w:wordWrap w:val="0"/>
              <w:jc w:val="center"/>
              <w:rPr>
                <w:rFonts w:hint="eastAsia" w:ascii="宋体" w:hAnsi="宋体"/>
                <w:color w:val="auto"/>
                <w:szCs w:val="21"/>
                <w:highlight w:val="none"/>
              </w:rPr>
            </w:pPr>
            <w:r>
              <w:rPr>
                <w:rFonts w:hint="eastAsia" w:ascii="宋体" w:hAnsi="宋体"/>
                <w:color w:val="auto"/>
                <w:szCs w:val="21"/>
                <w:highlight w:val="none"/>
              </w:rPr>
              <w:t>12</w:t>
            </w:r>
          </w:p>
        </w:tc>
        <w:tc>
          <w:tcPr>
            <w:tcW w:w="462" w:type="pct"/>
            <w:tcBorders>
              <w:left w:val="single" w:color="auto" w:sz="4" w:space="0"/>
            </w:tcBorders>
            <w:vAlign w:val="center"/>
          </w:tcPr>
          <w:p w14:paraId="339E4FF0">
            <w:pPr>
              <w:wordWrap w:val="0"/>
              <w:jc w:val="center"/>
              <w:rPr>
                <w:rFonts w:hint="eastAsia" w:ascii="宋体" w:hAnsi="宋体"/>
                <w:color w:val="auto"/>
                <w:szCs w:val="21"/>
                <w:highlight w:val="none"/>
              </w:rPr>
            </w:pPr>
            <w:r>
              <w:rPr>
                <w:rFonts w:hint="eastAsia" w:ascii="宋体" w:hAnsi="宋体"/>
                <w:color w:val="auto"/>
                <w:szCs w:val="21"/>
                <w:highlight w:val="none"/>
              </w:rPr>
              <w:t>2.3.1</w:t>
            </w:r>
          </w:p>
        </w:tc>
        <w:tc>
          <w:tcPr>
            <w:tcW w:w="1162" w:type="pct"/>
            <w:vAlign w:val="center"/>
          </w:tcPr>
          <w:p w14:paraId="1B794265">
            <w:pPr>
              <w:wordWrap w:val="0"/>
              <w:jc w:val="center"/>
              <w:rPr>
                <w:rFonts w:hint="eastAsia" w:ascii="宋体" w:hAnsi="宋体"/>
                <w:color w:val="auto"/>
                <w:szCs w:val="21"/>
                <w:highlight w:val="none"/>
              </w:rPr>
            </w:pPr>
            <w:r>
              <w:rPr>
                <w:rFonts w:ascii="宋体" w:hAnsi="宋体"/>
                <w:color w:val="auto"/>
                <w:szCs w:val="21"/>
                <w:highlight w:val="none"/>
              </w:rPr>
              <w:t>招标文件修改发出的形式</w:t>
            </w:r>
          </w:p>
        </w:tc>
        <w:tc>
          <w:tcPr>
            <w:tcW w:w="2996" w:type="pct"/>
            <w:gridSpan w:val="2"/>
            <w:vAlign w:val="center"/>
          </w:tcPr>
          <w:p w14:paraId="3535FDC3">
            <w:pPr>
              <w:wordWrap w:val="0"/>
              <w:rPr>
                <w:rFonts w:hint="eastAsia" w:ascii="宋体" w:hAnsi="宋体"/>
                <w:color w:val="auto"/>
                <w:szCs w:val="21"/>
                <w:highlight w:val="none"/>
              </w:rPr>
            </w:pPr>
            <w:r>
              <w:rPr>
                <w:rFonts w:hint="eastAsia" w:ascii="宋体" w:hAnsi="宋体"/>
                <w:color w:val="auto"/>
                <w:szCs w:val="21"/>
                <w:highlight w:val="none"/>
              </w:rPr>
              <w:t>详见招标公告</w:t>
            </w:r>
          </w:p>
        </w:tc>
      </w:tr>
      <w:tr w14:paraId="671724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338851BD">
            <w:pPr>
              <w:wordWrap w:val="0"/>
              <w:jc w:val="center"/>
              <w:rPr>
                <w:rFonts w:hint="eastAsia" w:ascii="宋体" w:hAnsi="宋体"/>
                <w:color w:val="auto"/>
                <w:szCs w:val="21"/>
                <w:highlight w:val="none"/>
              </w:rPr>
            </w:pPr>
            <w:r>
              <w:rPr>
                <w:rFonts w:hint="eastAsia" w:ascii="宋体" w:hAnsi="宋体"/>
                <w:color w:val="auto"/>
                <w:szCs w:val="21"/>
                <w:highlight w:val="none"/>
              </w:rPr>
              <w:t>13</w:t>
            </w:r>
          </w:p>
        </w:tc>
        <w:tc>
          <w:tcPr>
            <w:tcW w:w="462" w:type="pct"/>
            <w:tcBorders>
              <w:left w:val="single" w:color="auto" w:sz="4" w:space="0"/>
            </w:tcBorders>
            <w:vAlign w:val="center"/>
          </w:tcPr>
          <w:p w14:paraId="7E741C8A">
            <w:pPr>
              <w:wordWrap w:val="0"/>
              <w:jc w:val="center"/>
              <w:rPr>
                <w:rFonts w:hint="eastAsia" w:ascii="宋体" w:hAnsi="宋体"/>
                <w:color w:val="auto"/>
                <w:szCs w:val="21"/>
                <w:highlight w:val="none"/>
              </w:rPr>
            </w:pPr>
            <w:r>
              <w:rPr>
                <w:rFonts w:hint="eastAsia" w:ascii="宋体" w:hAnsi="宋体"/>
                <w:color w:val="auto"/>
                <w:szCs w:val="21"/>
                <w:highlight w:val="none"/>
              </w:rPr>
              <w:t>3.2.4</w:t>
            </w:r>
          </w:p>
        </w:tc>
        <w:tc>
          <w:tcPr>
            <w:tcW w:w="1162" w:type="pct"/>
            <w:vAlign w:val="center"/>
          </w:tcPr>
          <w:p w14:paraId="28754211">
            <w:pPr>
              <w:wordWrap w:val="0"/>
              <w:jc w:val="center"/>
              <w:rPr>
                <w:rFonts w:hint="eastAsia" w:ascii="宋体" w:hAnsi="宋体"/>
                <w:color w:val="auto"/>
                <w:szCs w:val="21"/>
                <w:highlight w:val="none"/>
              </w:rPr>
            </w:pPr>
            <w:r>
              <w:rPr>
                <w:rFonts w:hint="eastAsia" w:hAnsi="宋体"/>
                <w:color w:val="auto"/>
                <w:szCs w:val="21"/>
                <w:highlight w:val="none"/>
              </w:rPr>
              <w:t>最高投标限价</w:t>
            </w:r>
          </w:p>
        </w:tc>
        <w:tc>
          <w:tcPr>
            <w:tcW w:w="2996" w:type="pct"/>
            <w:gridSpan w:val="2"/>
            <w:vAlign w:val="center"/>
          </w:tcPr>
          <w:p w14:paraId="06887619">
            <w:pPr>
              <w:wordWrap w:val="0"/>
              <w:rPr>
                <w:rFonts w:hint="eastAsia" w:ascii="宋体" w:hAnsi="宋体"/>
                <w:color w:val="auto"/>
                <w:szCs w:val="21"/>
                <w:highlight w:val="none"/>
              </w:rPr>
            </w:pPr>
            <w:r>
              <w:rPr>
                <w:rFonts w:hint="eastAsia" w:ascii="宋体" w:hAnsi="宋体"/>
                <w:color w:val="auto"/>
                <w:szCs w:val="21"/>
                <w:highlight w:val="none"/>
              </w:rPr>
              <w:t>本项目最高投标限价（含税）为</w:t>
            </w:r>
            <w:r>
              <w:rPr>
                <w:rFonts w:hint="eastAsia" w:ascii="宋体" w:hAnsi="宋体"/>
                <w:color w:val="auto"/>
                <w:szCs w:val="21"/>
                <w:highlight w:val="none"/>
                <w:lang w:eastAsia="zh-CN"/>
              </w:rPr>
              <w:t>2</w:t>
            </w:r>
            <w:r>
              <w:rPr>
                <w:rFonts w:hint="eastAsia" w:ascii="宋体" w:hAnsi="宋体"/>
                <w:color w:val="auto"/>
                <w:szCs w:val="21"/>
                <w:highlight w:val="none"/>
                <w:lang w:val="en-US" w:eastAsia="zh-CN"/>
              </w:rPr>
              <w:t>74.5930</w:t>
            </w:r>
            <w:r>
              <w:rPr>
                <w:rFonts w:hint="eastAsia" w:ascii="宋体" w:hAnsi="宋体" w:cs="宋体"/>
                <w:snapToGrid w:val="0"/>
                <w:color w:val="auto"/>
                <w:kern w:val="0"/>
                <w:szCs w:val="21"/>
                <w:highlight w:val="none"/>
                <w:lang w:val="en-US" w:eastAsia="zh-CN"/>
              </w:rPr>
              <w:t>万</w:t>
            </w:r>
            <w:r>
              <w:rPr>
                <w:rFonts w:hint="eastAsia" w:ascii="宋体" w:hAnsi="宋体" w:cs="宋体"/>
                <w:snapToGrid w:val="0"/>
                <w:color w:val="auto"/>
                <w:kern w:val="0"/>
                <w:szCs w:val="21"/>
                <w:highlight w:val="none"/>
              </w:rPr>
              <w:t>元</w:t>
            </w:r>
            <w:r>
              <w:rPr>
                <w:rFonts w:hint="eastAsia" w:ascii="宋体" w:hAnsi="宋体" w:cs="宋体"/>
                <w:snapToGrid w:val="0"/>
                <w:color w:val="auto"/>
                <w:kern w:val="0"/>
                <w:szCs w:val="21"/>
                <w:highlight w:val="none"/>
                <w:lang w:eastAsia="zh-CN"/>
              </w:rPr>
              <w:t>，</w:t>
            </w:r>
            <w:r>
              <w:rPr>
                <w:rFonts w:hint="eastAsia" w:ascii="宋体" w:hAnsi="宋体" w:cs="宋体"/>
                <w:snapToGrid w:val="0"/>
                <w:color w:val="auto"/>
                <w:kern w:val="0"/>
                <w:szCs w:val="21"/>
                <w:highlight w:val="none"/>
                <w:lang w:val="en-US" w:eastAsia="zh-CN"/>
              </w:rPr>
              <w:t>项目采用单项限价</w:t>
            </w:r>
            <w:r>
              <w:rPr>
                <w:rFonts w:hint="eastAsia" w:ascii="宋体" w:hAnsi="宋体" w:cs="宋体"/>
                <w:snapToGrid w:val="0"/>
                <w:color w:val="auto"/>
                <w:kern w:val="0"/>
                <w:szCs w:val="21"/>
                <w:highlight w:val="none"/>
                <w:lang w:eastAsia="zh-CN"/>
              </w:rPr>
              <w:t>，</w:t>
            </w: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具体第一章详见附表：《长沙穗城轨道交通有限公司2025-2028年网络安全服务项目单项控制价公示表》。</w:t>
            </w:r>
          </w:p>
          <w:p w14:paraId="068F43DE">
            <w:pPr>
              <w:wordWrap w:val="0"/>
              <w:rPr>
                <w:rFonts w:hint="eastAsia" w:ascii="宋体" w:hAnsi="宋体"/>
                <w:color w:val="auto"/>
                <w:szCs w:val="21"/>
                <w:highlight w:val="none"/>
              </w:rPr>
            </w:pPr>
            <w:r>
              <w:rPr>
                <w:rFonts w:hint="eastAsia" w:ascii="宋体" w:hAnsi="宋体"/>
                <w:color w:val="auto"/>
                <w:szCs w:val="21"/>
                <w:highlight w:val="none"/>
              </w:rPr>
              <w:t>投标人在投标时，投标报价不得高于最高投标限价</w:t>
            </w:r>
            <w:r>
              <w:rPr>
                <w:rFonts w:hint="eastAsia" w:ascii="宋体" w:hAnsi="宋体"/>
                <w:color w:val="auto"/>
                <w:szCs w:val="21"/>
                <w:highlight w:val="none"/>
                <w:lang w:val="en-US" w:eastAsia="zh-CN"/>
              </w:rPr>
              <w:t>及单项限价</w:t>
            </w:r>
            <w:r>
              <w:rPr>
                <w:rFonts w:hint="eastAsia" w:ascii="宋体" w:hAnsi="宋体"/>
                <w:color w:val="auto"/>
                <w:szCs w:val="21"/>
                <w:highlight w:val="none"/>
              </w:rPr>
              <w:t>。超过最高投标限价</w:t>
            </w:r>
            <w:r>
              <w:rPr>
                <w:rFonts w:hint="eastAsia" w:ascii="宋体" w:hAnsi="宋体"/>
                <w:color w:val="auto"/>
                <w:szCs w:val="21"/>
                <w:highlight w:val="none"/>
                <w:lang w:val="en-US" w:eastAsia="zh-CN"/>
              </w:rPr>
              <w:t>或单项限价</w:t>
            </w:r>
            <w:r>
              <w:rPr>
                <w:rFonts w:hint="eastAsia" w:ascii="宋体" w:hAnsi="宋体"/>
                <w:color w:val="auto"/>
                <w:szCs w:val="21"/>
                <w:highlight w:val="none"/>
              </w:rPr>
              <w:t>的投标报价方为</w:t>
            </w:r>
            <w:r>
              <w:rPr>
                <w:rFonts w:hint="eastAsia" w:ascii="宋体" w:hAnsi="宋体"/>
                <w:color w:val="auto"/>
                <w:szCs w:val="21"/>
                <w:highlight w:val="none"/>
                <w:lang w:val="en-US" w:eastAsia="zh-CN"/>
              </w:rPr>
              <w:t>无</w:t>
            </w:r>
            <w:r>
              <w:rPr>
                <w:rFonts w:hint="eastAsia" w:ascii="宋体" w:hAnsi="宋体"/>
                <w:color w:val="auto"/>
                <w:szCs w:val="21"/>
                <w:highlight w:val="none"/>
              </w:rPr>
              <w:t>效报价。</w:t>
            </w:r>
          </w:p>
        </w:tc>
      </w:tr>
      <w:tr w14:paraId="28066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046B86E6">
            <w:pPr>
              <w:wordWrap w:val="0"/>
              <w:jc w:val="center"/>
              <w:rPr>
                <w:rFonts w:hint="eastAsia" w:ascii="宋体" w:hAnsi="宋体"/>
                <w:color w:val="auto"/>
                <w:szCs w:val="21"/>
                <w:highlight w:val="none"/>
              </w:rPr>
            </w:pPr>
            <w:r>
              <w:rPr>
                <w:rFonts w:hint="eastAsia" w:ascii="宋体" w:hAnsi="宋体"/>
                <w:color w:val="auto"/>
                <w:szCs w:val="21"/>
                <w:highlight w:val="none"/>
              </w:rPr>
              <w:t>14</w:t>
            </w:r>
          </w:p>
        </w:tc>
        <w:tc>
          <w:tcPr>
            <w:tcW w:w="462" w:type="pct"/>
            <w:tcBorders>
              <w:left w:val="single" w:color="auto" w:sz="4" w:space="0"/>
            </w:tcBorders>
            <w:vAlign w:val="center"/>
          </w:tcPr>
          <w:p w14:paraId="0A081A2E">
            <w:pPr>
              <w:wordWrap w:val="0"/>
              <w:jc w:val="center"/>
              <w:rPr>
                <w:rFonts w:hint="eastAsia" w:ascii="宋体" w:hAnsi="宋体"/>
                <w:color w:val="auto"/>
                <w:szCs w:val="21"/>
                <w:highlight w:val="none"/>
              </w:rPr>
            </w:pPr>
            <w:r>
              <w:rPr>
                <w:rFonts w:hint="eastAsia" w:ascii="宋体" w:hAnsi="宋体"/>
                <w:color w:val="auto"/>
                <w:szCs w:val="21"/>
                <w:highlight w:val="none"/>
              </w:rPr>
              <w:t>3.2.6</w:t>
            </w:r>
          </w:p>
        </w:tc>
        <w:tc>
          <w:tcPr>
            <w:tcW w:w="1162" w:type="pct"/>
            <w:vAlign w:val="center"/>
          </w:tcPr>
          <w:p w14:paraId="512FF10F">
            <w:pPr>
              <w:wordWrap w:val="0"/>
              <w:jc w:val="center"/>
              <w:rPr>
                <w:rFonts w:hint="eastAsia" w:ascii="宋体" w:hAnsi="宋体"/>
                <w:color w:val="auto"/>
                <w:szCs w:val="21"/>
                <w:highlight w:val="none"/>
              </w:rPr>
            </w:pPr>
            <w:r>
              <w:rPr>
                <w:rFonts w:hint="eastAsia" w:ascii="宋体" w:hAnsi="宋体"/>
                <w:color w:val="auto"/>
                <w:szCs w:val="21"/>
                <w:highlight w:val="none"/>
              </w:rPr>
              <w:t>投标报价的其他要求</w:t>
            </w:r>
          </w:p>
        </w:tc>
        <w:tc>
          <w:tcPr>
            <w:tcW w:w="2996" w:type="pct"/>
            <w:gridSpan w:val="2"/>
            <w:vAlign w:val="center"/>
          </w:tcPr>
          <w:p w14:paraId="48837952">
            <w:pPr>
              <w:wordWrap w:val="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投标报价是指为完成合同文件约定的招标项目内容所发生的全部费用。</w:t>
            </w:r>
          </w:p>
          <w:p w14:paraId="1D84BC4B">
            <w:pPr>
              <w:wordWrap w:val="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rPr>
              <w:t>在合同谈判或履行期间，如发现投标报价有漏缺项、缺件，中标人应无条件无偿补齐。履行合同所需的一切费用，视为已包含在投标报价中，并且不因此而影响交付招标人使用的时间。由于明细报价填报不完整、不清楚或存在</w:t>
            </w:r>
            <w:r>
              <w:rPr>
                <w:rFonts w:hint="eastAsia" w:ascii="宋体" w:hAnsi="宋体"/>
                <w:color w:val="auto"/>
                <w:szCs w:val="21"/>
                <w:highlight w:val="none"/>
                <w:lang w:eastAsia="zh-CN"/>
              </w:rPr>
              <w:t>其他</w:t>
            </w:r>
            <w:r>
              <w:rPr>
                <w:rFonts w:hint="eastAsia" w:ascii="宋体" w:hAnsi="宋体"/>
                <w:color w:val="auto"/>
                <w:szCs w:val="21"/>
                <w:highlight w:val="none"/>
              </w:rPr>
              <w:t>任何失误，所导致的任何不利后果均应当由投标人自行承担。</w:t>
            </w:r>
          </w:p>
        </w:tc>
      </w:tr>
      <w:tr w14:paraId="44F7B9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665BFE1B">
            <w:pPr>
              <w:wordWrap w:val="0"/>
              <w:jc w:val="center"/>
              <w:rPr>
                <w:rFonts w:hint="eastAsia" w:ascii="宋体" w:hAnsi="宋体"/>
                <w:color w:val="auto"/>
                <w:szCs w:val="21"/>
                <w:highlight w:val="none"/>
              </w:rPr>
            </w:pPr>
            <w:r>
              <w:rPr>
                <w:rFonts w:hint="eastAsia" w:ascii="宋体" w:hAnsi="宋体"/>
                <w:color w:val="auto"/>
                <w:szCs w:val="21"/>
                <w:highlight w:val="none"/>
              </w:rPr>
              <w:t>15</w:t>
            </w:r>
          </w:p>
        </w:tc>
        <w:tc>
          <w:tcPr>
            <w:tcW w:w="462" w:type="pct"/>
            <w:tcBorders>
              <w:left w:val="single" w:color="auto" w:sz="4" w:space="0"/>
            </w:tcBorders>
            <w:vAlign w:val="center"/>
          </w:tcPr>
          <w:p w14:paraId="270CB0C9">
            <w:pPr>
              <w:wordWrap w:val="0"/>
              <w:jc w:val="center"/>
              <w:rPr>
                <w:rFonts w:hint="eastAsia" w:ascii="宋体" w:hAnsi="宋体"/>
                <w:color w:val="auto"/>
                <w:szCs w:val="21"/>
                <w:highlight w:val="none"/>
              </w:rPr>
            </w:pPr>
            <w:r>
              <w:rPr>
                <w:rFonts w:hint="eastAsia" w:ascii="宋体" w:hAnsi="宋体"/>
                <w:color w:val="auto"/>
                <w:szCs w:val="21"/>
                <w:highlight w:val="none"/>
              </w:rPr>
              <w:t>3.3.1</w:t>
            </w:r>
          </w:p>
        </w:tc>
        <w:tc>
          <w:tcPr>
            <w:tcW w:w="1162" w:type="pct"/>
            <w:vAlign w:val="center"/>
          </w:tcPr>
          <w:p w14:paraId="6D2A1397">
            <w:pPr>
              <w:wordWrap w:val="0"/>
              <w:jc w:val="center"/>
              <w:rPr>
                <w:rFonts w:hint="eastAsia" w:ascii="宋体" w:hAnsi="宋体"/>
                <w:color w:val="auto"/>
                <w:szCs w:val="21"/>
                <w:highlight w:val="none"/>
              </w:rPr>
            </w:pPr>
            <w:r>
              <w:rPr>
                <w:rFonts w:hint="eastAsia" w:ascii="宋体" w:hAnsi="宋体"/>
                <w:color w:val="auto"/>
                <w:szCs w:val="21"/>
                <w:highlight w:val="none"/>
              </w:rPr>
              <w:t>投标有效期</w:t>
            </w:r>
          </w:p>
        </w:tc>
        <w:tc>
          <w:tcPr>
            <w:tcW w:w="2996" w:type="pct"/>
            <w:gridSpan w:val="2"/>
            <w:vAlign w:val="center"/>
          </w:tcPr>
          <w:p w14:paraId="36E33873">
            <w:pPr>
              <w:wordWrap w:val="0"/>
              <w:rPr>
                <w:rFonts w:hint="eastAsia" w:ascii="宋体" w:hAnsi="宋体"/>
                <w:color w:val="auto"/>
                <w:szCs w:val="21"/>
                <w:highlight w:val="none"/>
              </w:rPr>
            </w:pPr>
            <w:r>
              <w:rPr>
                <w:rFonts w:hint="eastAsia" w:ascii="宋体" w:hAnsi="宋体"/>
                <w:color w:val="auto"/>
                <w:szCs w:val="21"/>
                <w:highlight w:val="none"/>
              </w:rPr>
              <w:t>180日历天，从投标截止之日起算。</w:t>
            </w:r>
          </w:p>
        </w:tc>
      </w:tr>
      <w:tr w14:paraId="74556C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53" w:type="dxa"/>
            <w:tcBorders>
              <w:right w:val="single" w:color="auto" w:sz="4" w:space="0"/>
            </w:tcBorders>
            <w:vAlign w:val="center"/>
          </w:tcPr>
          <w:p w14:paraId="271F2D2E">
            <w:pPr>
              <w:wordWrap w:val="0"/>
              <w:jc w:val="center"/>
              <w:rPr>
                <w:rFonts w:hint="eastAsia" w:ascii="宋体" w:hAnsi="宋体"/>
                <w:color w:val="auto"/>
                <w:szCs w:val="21"/>
                <w:highlight w:val="none"/>
              </w:rPr>
            </w:pPr>
            <w:r>
              <w:rPr>
                <w:rFonts w:hint="eastAsia" w:ascii="宋体" w:hAnsi="宋体"/>
                <w:color w:val="auto"/>
                <w:szCs w:val="21"/>
                <w:highlight w:val="none"/>
              </w:rPr>
              <w:t>16</w:t>
            </w:r>
          </w:p>
        </w:tc>
        <w:tc>
          <w:tcPr>
            <w:tcW w:w="462" w:type="pct"/>
            <w:tcBorders>
              <w:left w:val="single" w:color="auto" w:sz="4" w:space="0"/>
            </w:tcBorders>
            <w:vAlign w:val="center"/>
          </w:tcPr>
          <w:p w14:paraId="763C5EA4">
            <w:pPr>
              <w:wordWrap w:val="0"/>
              <w:jc w:val="center"/>
              <w:rPr>
                <w:rFonts w:hint="eastAsia" w:ascii="宋体" w:hAnsi="宋体"/>
                <w:color w:val="auto"/>
                <w:szCs w:val="21"/>
                <w:highlight w:val="none"/>
              </w:rPr>
            </w:pPr>
            <w:r>
              <w:rPr>
                <w:rFonts w:hint="eastAsia" w:ascii="宋体" w:hAnsi="宋体"/>
                <w:color w:val="auto"/>
                <w:szCs w:val="21"/>
                <w:highlight w:val="none"/>
              </w:rPr>
              <w:t>3.4.1</w:t>
            </w:r>
          </w:p>
        </w:tc>
        <w:tc>
          <w:tcPr>
            <w:tcW w:w="1162" w:type="pct"/>
            <w:vAlign w:val="center"/>
          </w:tcPr>
          <w:p w14:paraId="75200473">
            <w:pPr>
              <w:wordWrap w:val="0"/>
              <w:jc w:val="center"/>
              <w:rPr>
                <w:rFonts w:hint="eastAsia" w:ascii="宋体" w:hAnsi="宋体"/>
                <w:color w:val="auto"/>
                <w:szCs w:val="21"/>
                <w:highlight w:val="none"/>
              </w:rPr>
            </w:pPr>
            <w:r>
              <w:rPr>
                <w:rFonts w:hint="eastAsia" w:ascii="宋体" w:hAnsi="宋体"/>
                <w:color w:val="auto"/>
                <w:szCs w:val="21"/>
                <w:highlight w:val="none"/>
              </w:rPr>
              <w:t>投标保证金</w:t>
            </w:r>
          </w:p>
        </w:tc>
        <w:tc>
          <w:tcPr>
            <w:tcW w:w="2996" w:type="pct"/>
            <w:gridSpan w:val="2"/>
            <w:vAlign w:val="center"/>
          </w:tcPr>
          <w:p w14:paraId="37D173E1">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要求提供保证金</w:t>
            </w:r>
          </w:p>
          <w:p w14:paraId="37B547C1">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数额为：人民币（大写）伍万元整（￥50000.00元）</w:t>
            </w:r>
          </w:p>
          <w:p w14:paraId="308A9B50">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缴纳方式：</w:t>
            </w:r>
            <w:r>
              <w:rPr>
                <w:rFonts w:hint="eastAsia" w:ascii="宋体" w:hAnsi="宋体"/>
                <w:color w:val="auto"/>
                <w:szCs w:val="21"/>
                <w:highlight w:val="none"/>
              </w:rPr>
              <w:t>☑</w:t>
            </w:r>
            <w:r>
              <w:rPr>
                <w:rFonts w:hint="eastAsia" w:ascii="宋体" w:hAnsi="宋体" w:cs="宋体"/>
                <w:color w:val="auto"/>
                <w:szCs w:val="21"/>
                <w:highlight w:val="none"/>
              </w:rPr>
              <w:t>银行转</w:t>
            </w:r>
            <w:r>
              <w:rPr>
                <w:rFonts w:hint="eastAsia" w:ascii="宋体" w:hAnsi="宋体" w:cs="宋体"/>
                <w:color w:val="auto"/>
                <w:szCs w:val="21"/>
                <w:highlight w:val="none"/>
                <w:lang w:val="en-US" w:eastAsia="zh-CN"/>
              </w:rPr>
              <w:t>账</w:t>
            </w:r>
            <w:r>
              <w:rPr>
                <w:rFonts w:hint="eastAsia" w:ascii="宋体" w:hAnsi="宋体" w:cs="宋体"/>
                <w:color w:val="auto"/>
                <w:szCs w:val="21"/>
                <w:highlight w:val="none"/>
              </w:rPr>
              <w:t xml:space="preserve">   </w:t>
            </w:r>
            <w:r>
              <w:rPr>
                <w:rFonts w:hint="eastAsia" w:ascii="宋体" w:hAnsi="宋体"/>
                <w:color w:val="auto"/>
                <w:szCs w:val="21"/>
                <w:highlight w:val="none"/>
              </w:rPr>
              <w:t>☑</w:t>
            </w:r>
            <w:r>
              <w:rPr>
                <w:rFonts w:hint="eastAsia" w:ascii="宋体" w:hAnsi="宋体" w:cs="宋体"/>
                <w:snapToGrid w:val="0"/>
                <w:color w:val="auto"/>
                <w:kern w:val="0"/>
                <w:szCs w:val="21"/>
                <w:highlight w:val="none"/>
              </w:rPr>
              <w:t>银行保函</w:t>
            </w:r>
          </w:p>
          <w:p w14:paraId="6FBCCE4F">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lang w:eastAsia="zh-CN"/>
              </w:rPr>
              <w:t>银行转账</w:t>
            </w:r>
            <w:r>
              <w:rPr>
                <w:rFonts w:hint="eastAsia" w:ascii="宋体" w:hAnsi="宋体" w:cs="宋体"/>
                <w:color w:val="auto"/>
                <w:szCs w:val="21"/>
                <w:highlight w:val="none"/>
              </w:rPr>
              <w:t>。</w:t>
            </w:r>
          </w:p>
          <w:p w14:paraId="2627FE0D">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1.1投标保证金托管账户获取方式：所有参与项目竞争的供应商（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087AF340">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具体操作流程如下：</w:t>
            </w:r>
          </w:p>
          <w:p w14:paraId="446E1869">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p>
          <w:p w14:paraId="396A9FB0">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1.2交纳方式：银行转账，从投标人单位基本账户转入投标保证金的托管账户管理。招标人不接受以现金方式提交的投标保证金，以现金方式提交的投标保证金无效。</w:t>
            </w:r>
          </w:p>
          <w:p w14:paraId="043BE91C">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1.3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045EC0C8">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系统操作咨询及问题反馈电话：0731-85675505</w:t>
            </w:r>
          </w:p>
          <w:p w14:paraId="501949ED">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银行保函。</w:t>
            </w:r>
          </w:p>
          <w:p w14:paraId="3B1C70C3">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2.1银行保函形式提交的，</w:t>
            </w:r>
            <w:r>
              <w:rPr>
                <w:rFonts w:hint="eastAsia" w:ascii="宋体" w:hAnsi="宋体" w:cs="宋体"/>
                <w:b/>
                <w:bCs/>
                <w:color w:val="auto"/>
                <w:szCs w:val="21"/>
                <w:highlight w:val="none"/>
              </w:rPr>
              <w:t>投标人须在交标时同步提供保函原件</w:t>
            </w:r>
            <w:r>
              <w:rPr>
                <w:rFonts w:hint="eastAsia" w:ascii="宋体" w:hAnsi="宋体" w:cs="宋体"/>
                <w:color w:val="auto"/>
                <w:szCs w:val="21"/>
                <w:highlight w:val="none"/>
              </w:rPr>
              <w:t>，保函格式自拟，保函有效期应当不小于投标有效期；不满足上述要求的，其投标将被否决。</w:t>
            </w:r>
          </w:p>
          <w:p w14:paraId="4D84B1E6">
            <w:pPr>
              <w:wordWrap w:val="0"/>
              <w:adjustRightInd w:val="0"/>
              <w:snapToGrid w:val="0"/>
              <w:rPr>
                <w:rFonts w:hint="eastAsia" w:ascii="宋体" w:hAnsi="宋体"/>
                <w:b/>
                <w:color w:val="auto"/>
                <w:szCs w:val="21"/>
                <w:highlight w:val="none"/>
              </w:rPr>
            </w:pPr>
            <w:r>
              <w:rPr>
                <w:rFonts w:hint="eastAsia" w:ascii="宋体" w:hAnsi="宋体" w:cs="宋体"/>
                <w:b/>
                <w:color w:val="auto"/>
                <w:szCs w:val="21"/>
                <w:highlight w:val="none"/>
              </w:rPr>
              <w:t>注：投标人和担保人对保函的真实性和合法性负责。</w:t>
            </w:r>
          </w:p>
        </w:tc>
      </w:tr>
      <w:tr w14:paraId="683CCA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85" w:hRule="atLeast"/>
          <w:jc w:val="center"/>
        </w:trPr>
        <w:tc>
          <w:tcPr>
            <w:tcW w:w="753" w:type="dxa"/>
            <w:tcBorders>
              <w:right w:val="single" w:color="auto" w:sz="4" w:space="0"/>
            </w:tcBorders>
            <w:vAlign w:val="center"/>
          </w:tcPr>
          <w:p w14:paraId="5A6A1912">
            <w:pPr>
              <w:wordWrap w:val="0"/>
              <w:jc w:val="center"/>
              <w:rPr>
                <w:rFonts w:hint="eastAsia" w:ascii="宋体" w:hAnsi="宋体"/>
                <w:color w:val="auto"/>
                <w:szCs w:val="21"/>
                <w:highlight w:val="none"/>
              </w:rPr>
            </w:pPr>
            <w:r>
              <w:rPr>
                <w:rFonts w:hint="eastAsia" w:ascii="宋体" w:hAnsi="宋体"/>
                <w:color w:val="auto"/>
                <w:szCs w:val="21"/>
                <w:highlight w:val="none"/>
              </w:rPr>
              <w:t>17</w:t>
            </w:r>
          </w:p>
        </w:tc>
        <w:tc>
          <w:tcPr>
            <w:tcW w:w="462" w:type="pct"/>
            <w:tcBorders>
              <w:left w:val="single" w:color="auto" w:sz="4" w:space="0"/>
            </w:tcBorders>
            <w:vAlign w:val="center"/>
          </w:tcPr>
          <w:p w14:paraId="38523F51">
            <w:pPr>
              <w:wordWrap w:val="0"/>
              <w:jc w:val="center"/>
              <w:rPr>
                <w:rFonts w:hint="eastAsia" w:ascii="宋体" w:hAnsi="宋体"/>
                <w:color w:val="auto"/>
                <w:szCs w:val="21"/>
                <w:highlight w:val="none"/>
              </w:rPr>
            </w:pPr>
            <w:r>
              <w:rPr>
                <w:rFonts w:hint="eastAsia" w:ascii="宋体" w:hAnsi="宋体"/>
                <w:color w:val="auto"/>
                <w:szCs w:val="21"/>
                <w:highlight w:val="none"/>
              </w:rPr>
              <w:t>3.7</w:t>
            </w:r>
          </w:p>
        </w:tc>
        <w:tc>
          <w:tcPr>
            <w:tcW w:w="1162" w:type="pct"/>
            <w:vAlign w:val="center"/>
          </w:tcPr>
          <w:p w14:paraId="00AD9828">
            <w:pPr>
              <w:wordWrap w:val="0"/>
              <w:jc w:val="center"/>
              <w:rPr>
                <w:rFonts w:hint="eastAsia" w:ascii="宋体" w:hAnsi="宋体"/>
                <w:color w:val="auto"/>
                <w:szCs w:val="21"/>
                <w:highlight w:val="none"/>
              </w:rPr>
            </w:pPr>
            <w:r>
              <w:rPr>
                <w:rFonts w:hint="eastAsia" w:ascii="宋体" w:hAnsi="宋体"/>
                <w:color w:val="auto"/>
                <w:szCs w:val="21"/>
                <w:highlight w:val="none"/>
              </w:rPr>
              <w:t>投标文件的编制</w:t>
            </w:r>
          </w:p>
        </w:tc>
        <w:tc>
          <w:tcPr>
            <w:tcW w:w="2996" w:type="pct"/>
            <w:gridSpan w:val="2"/>
            <w:vAlign w:val="center"/>
          </w:tcPr>
          <w:p w14:paraId="5782BAE1">
            <w:pPr>
              <w:wordWrap w:val="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招标文件第六章“投标文件格式”规定处必须由投标人的法定代表人或授权委托代理人签字或盖章和加盖企业法人公章。</w:t>
            </w:r>
          </w:p>
          <w:p w14:paraId="54639A43">
            <w:pPr>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rPr>
              <w:t>投标文件一式</w:t>
            </w:r>
            <w:r>
              <w:rPr>
                <w:rFonts w:hint="eastAsia" w:ascii="宋体" w:hAnsi="宋体"/>
                <w:color w:val="auto"/>
                <w:szCs w:val="21"/>
                <w:highlight w:val="none"/>
                <w:lang w:val="en-US" w:eastAsia="zh-CN"/>
              </w:rPr>
              <w:t>五</w:t>
            </w:r>
            <w:r>
              <w:rPr>
                <w:rFonts w:hint="eastAsia" w:ascii="宋体" w:hAnsi="宋体"/>
                <w:color w:val="auto"/>
                <w:szCs w:val="21"/>
                <w:highlight w:val="none"/>
              </w:rPr>
              <w:t>份，正本一份，副本</w:t>
            </w:r>
            <w:r>
              <w:rPr>
                <w:rFonts w:hint="eastAsia" w:ascii="宋体" w:hAnsi="宋体"/>
                <w:color w:val="auto"/>
                <w:szCs w:val="21"/>
                <w:highlight w:val="none"/>
                <w:lang w:val="en-US" w:eastAsia="zh-CN"/>
              </w:rPr>
              <w:t>四</w:t>
            </w:r>
            <w:r>
              <w:rPr>
                <w:rFonts w:hint="eastAsia" w:ascii="宋体" w:hAnsi="宋体"/>
                <w:color w:val="auto"/>
                <w:szCs w:val="21"/>
                <w:highlight w:val="none"/>
              </w:rPr>
              <w:t>份，电子文本一份（须为投标文件正本扫描件）。</w:t>
            </w:r>
          </w:p>
        </w:tc>
      </w:tr>
      <w:tr w14:paraId="4E926C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753" w:type="dxa"/>
            <w:tcBorders>
              <w:right w:val="single" w:color="auto" w:sz="4" w:space="0"/>
            </w:tcBorders>
            <w:vAlign w:val="center"/>
          </w:tcPr>
          <w:p w14:paraId="28FF60FD">
            <w:pPr>
              <w:wordWrap w:val="0"/>
              <w:jc w:val="center"/>
              <w:rPr>
                <w:rFonts w:hint="eastAsia" w:ascii="宋体" w:hAnsi="宋体"/>
                <w:color w:val="auto"/>
                <w:szCs w:val="21"/>
                <w:highlight w:val="none"/>
              </w:rPr>
            </w:pPr>
            <w:r>
              <w:rPr>
                <w:rFonts w:hint="eastAsia" w:ascii="宋体" w:hAnsi="宋体"/>
                <w:color w:val="auto"/>
                <w:szCs w:val="21"/>
                <w:highlight w:val="none"/>
              </w:rPr>
              <w:t>18</w:t>
            </w:r>
          </w:p>
        </w:tc>
        <w:tc>
          <w:tcPr>
            <w:tcW w:w="462" w:type="pct"/>
            <w:tcBorders>
              <w:left w:val="single" w:color="auto" w:sz="4" w:space="0"/>
            </w:tcBorders>
            <w:vAlign w:val="center"/>
          </w:tcPr>
          <w:p w14:paraId="3CB9A587">
            <w:pPr>
              <w:wordWrap w:val="0"/>
              <w:jc w:val="center"/>
              <w:rPr>
                <w:rFonts w:hint="eastAsia" w:ascii="宋体" w:hAnsi="宋体"/>
                <w:color w:val="auto"/>
                <w:szCs w:val="21"/>
                <w:highlight w:val="none"/>
              </w:rPr>
            </w:pPr>
            <w:r>
              <w:rPr>
                <w:rFonts w:hint="eastAsia" w:ascii="宋体" w:hAnsi="宋体"/>
                <w:color w:val="auto"/>
                <w:szCs w:val="21"/>
                <w:highlight w:val="none"/>
              </w:rPr>
              <w:t>4.1.2</w:t>
            </w:r>
          </w:p>
        </w:tc>
        <w:tc>
          <w:tcPr>
            <w:tcW w:w="1162" w:type="pct"/>
            <w:vAlign w:val="center"/>
          </w:tcPr>
          <w:p w14:paraId="41A8E6E7">
            <w:pPr>
              <w:wordWrap w:val="0"/>
              <w:jc w:val="center"/>
              <w:rPr>
                <w:rFonts w:hint="eastAsia" w:ascii="宋体" w:hAnsi="宋体"/>
                <w:color w:val="auto"/>
                <w:szCs w:val="21"/>
                <w:highlight w:val="none"/>
              </w:rPr>
            </w:pPr>
            <w:r>
              <w:rPr>
                <w:rFonts w:hint="eastAsia" w:ascii="宋体" w:hAnsi="宋体"/>
                <w:color w:val="auto"/>
                <w:szCs w:val="21"/>
                <w:highlight w:val="none"/>
              </w:rPr>
              <w:t>投标文件封套</w:t>
            </w:r>
          </w:p>
          <w:p w14:paraId="0AC25D3B">
            <w:pPr>
              <w:wordWrap w:val="0"/>
              <w:jc w:val="center"/>
              <w:rPr>
                <w:rFonts w:hint="eastAsia" w:ascii="宋体" w:hAnsi="宋体"/>
                <w:color w:val="auto"/>
                <w:szCs w:val="21"/>
                <w:highlight w:val="none"/>
              </w:rPr>
            </w:pPr>
            <w:r>
              <w:rPr>
                <w:rFonts w:hint="eastAsia" w:ascii="宋体" w:hAnsi="宋体"/>
                <w:color w:val="auto"/>
                <w:szCs w:val="21"/>
                <w:highlight w:val="none"/>
              </w:rPr>
              <w:t>标识要求</w:t>
            </w:r>
          </w:p>
        </w:tc>
        <w:tc>
          <w:tcPr>
            <w:tcW w:w="2996" w:type="pct"/>
            <w:gridSpan w:val="2"/>
            <w:vAlign w:val="center"/>
          </w:tcPr>
          <w:p w14:paraId="6A4590EE">
            <w:pPr>
              <w:rPr>
                <w:rFonts w:hint="eastAsia" w:ascii="宋体" w:hAnsi="宋体" w:cs="宋体"/>
                <w:color w:val="auto"/>
                <w:szCs w:val="21"/>
                <w:highlight w:val="none"/>
              </w:rPr>
            </w:pPr>
            <w:r>
              <w:rPr>
                <w:rFonts w:hint="eastAsia" w:ascii="宋体" w:hAnsi="宋体" w:cs="宋体"/>
                <w:color w:val="auto"/>
                <w:szCs w:val="21"/>
                <w:highlight w:val="none"/>
              </w:rPr>
              <w:t>封套上须写明：</w:t>
            </w:r>
          </w:p>
          <w:p w14:paraId="375F0349">
            <w:pPr>
              <w:rPr>
                <w:rFonts w:hint="eastAsia" w:ascii="宋体" w:hAnsi="宋体" w:cs="宋体"/>
                <w:color w:val="auto"/>
                <w:szCs w:val="21"/>
                <w:highlight w:val="none"/>
                <w:u w:val="single"/>
              </w:rPr>
            </w:pPr>
            <w:r>
              <w:rPr>
                <w:rFonts w:hint="eastAsia" w:ascii="宋体" w:hAnsi="宋体" w:cs="宋体"/>
                <w:color w:val="auto"/>
                <w:szCs w:val="21"/>
                <w:highlight w:val="none"/>
              </w:rPr>
              <w:t>招标人名称：</w:t>
            </w:r>
            <w:r>
              <w:rPr>
                <w:rFonts w:hint="eastAsia" w:ascii="宋体" w:hAnsi="宋体" w:cs="宋体"/>
                <w:color w:val="auto"/>
                <w:szCs w:val="21"/>
                <w:highlight w:val="none"/>
                <w:u w:val="single"/>
              </w:rPr>
              <w:t xml:space="preserve">                        </w:t>
            </w:r>
          </w:p>
          <w:p w14:paraId="0FED6A2D">
            <w:pPr>
              <w:snapToGrid w:val="0"/>
              <w:rPr>
                <w:rFonts w:hint="eastAsia" w:ascii="宋体" w:hAnsi="宋体" w:cs="宋体"/>
                <w:color w:val="auto"/>
                <w:szCs w:val="21"/>
                <w:highlight w:val="none"/>
              </w:rPr>
            </w:pPr>
            <w:r>
              <w:rPr>
                <w:rFonts w:hint="eastAsia" w:ascii="宋体" w:hAnsi="宋体" w:cs="宋体"/>
                <w:color w:val="auto"/>
                <w:szCs w:val="21"/>
                <w:highlight w:val="none"/>
              </w:rPr>
              <w:t>投标人全称（盖章）：</w:t>
            </w:r>
            <w:r>
              <w:rPr>
                <w:rFonts w:hint="eastAsia" w:ascii="宋体" w:hAnsi="宋体" w:cs="宋体"/>
                <w:color w:val="auto"/>
                <w:szCs w:val="21"/>
                <w:highlight w:val="none"/>
                <w:u w:val="single"/>
              </w:rPr>
              <w:t xml:space="preserve">                      </w:t>
            </w:r>
          </w:p>
          <w:p w14:paraId="3DC1BD24">
            <w:pPr>
              <w:snapToGrid w:val="0"/>
              <w:rPr>
                <w:rFonts w:hint="eastAsia" w:ascii="宋体" w:hAnsi="宋体" w:cs="宋体"/>
                <w:color w:val="auto"/>
                <w:szCs w:val="21"/>
                <w:highlight w:val="none"/>
              </w:rPr>
            </w:pPr>
            <w:r>
              <w:rPr>
                <w:rFonts w:hint="eastAsia" w:ascii="宋体" w:hAnsi="宋体" w:cs="宋体"/>
                <w:color w:val="auto"/>
                <w:szCs w:val="21"/>
                <w:highlight w:val="none"/>
              </w:rPr>
              <w:t>投标人的地址：</w:t>
            </w:r>
            <w:r>
              <w:rPr>
                <w:rFonts w:hint="eastAsia" w:ascii="宋体" w:hAnsi="宋体" w:cs="宋体"/>
                <w:color w:val="auto"/>
                <w:szCs w:val="21"/>
                <w:highlight w:val="none"/>
                <w:u w:val="single"/>
              </w:rPr>
              <w:t xml:space="preserve">                    </w:t>
            </w:r>
          </w:p>
          <w:p w14:paraId="4B990F5D">
            <w:pPr>
              <w:wordWrap w:val="0"/>
              <w:rPr>
                <w:rFonts w:hint="eastAsia" w:ascii="宋体" w:hAnsi="宋体"/>
                <w:color w:val="auto"/>
                <w:szCs w:val="21"/>
                <w:highlight w:val="none"/>
              </w:rPr>
            </w:pPr>
            <w:r>
              <w:rPr>
                <w:rFonts w:hint="eastAsia" w:ascii="宋体" w:hAnsi="宋体" w:cs="宋体"/>
                <w:color w:val="auto"/>
                <w:szCs w:val="21"/>
                <w:highlight w:val="none"/>
                <w:u w:val="single"/>
              </w:rPr>
              <w:t xml:space="preserve">（项目名称）    </w:t>
            </w:r>
            <w:r>
              <w:rPr>
                <w:rFonts w:hint="eastAsia" w:ascii="宋体" w:hAnsi="宋体" w:cs="宋体"/>
                <w:color w:val="auto"/>
                <w:szCs w:val="21"/>
                <w:highlight w:val="none"/>
              </w:rPr>
              <w:t>投标文件在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（投标截止时间）前不得开启</w:t>
            </w:r>
          </w:p>
        </w:tc>
      </w:tr>
      <w:tr w14:paraId="5DCCE1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01DD9165">
            <w:pPr>
              <w:wordWrap w:val="0"/>
              <w:jc w:val="center"/>
              <w:rPr>
                <w:rFonts w:hint="eastAsia" w:ascii="宋体" w:hAnsi="宋体"/>
                <w:color w:val="auto"/>
                <w:szCs w:val="21"/>
                <w:highlight w:val="none"/>
              </w:rPr>
            </w:pPr>
            <w:r>
              <w:rPr>
                <w:rFonts w:hint="eastAsia" w:ascii="宋体" w:hAnsi="宋体"/>
                <w:color w:val="auto"/>
                <w:szCs w:val="21"/>
                <w:highlight w:val="none"/>
              </w:rPr>
              <w:t>19</w:t>
            </w:r>
          </w:p>
        </w:tc>
        <w:tc>
          <w:tcPr>
            <w:tcW w:w="462" w:type="pct"/>
            <w:tcBorders>
              <w:left w:val="single" w:color="auto" w:sz="4" w:space="0"/>
            </w:tcBorders>
            <w:vAlign w:val="center"/>
          </w:tcPr>
          <w:p w14:paraId="7A5A6FE6">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4.2.1</w:t>
            </w:r>
          </w:p>
        </w:tc>
        <w:tc>
          <w:tcPr>
            <w:tcW w:w="1162" w:type="pct"/>
            <w:vAlign w:val="center"/>
          </w:tcPr>
          <w:p w14:paraId="344D9C80">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投标截止时间</w:t>
            </w:r>
          </w:p>
        </w:tc>
        <w:tc>
          <w:tcPr>
            <w:tcW w:w="2996" w:type="pct"/>
            <w:gridSpan w:val="2"/>
            <w:vAlign w:val="center"/>
          </w:tcPr>
          <w:p w14:paraId="7A26362C">
            <w:pPr>
              <w:wordWrap w:val="0"/>
              <w:rPr>
                <w:rFonts w:hint="eastAsia" w:ascii="宋体" w:hAnsi="宋体" w:cs="宋体"/>
                <w:color w:val="auto"/>
                <w:szCs w:val="21"/>
                <w:highlight w:val="none"/>
              </w:rPr>
            </w:pPr>
            <w:r>
              <w:rPr>
                <w:rFonts w:hint="eastAsia" w:ascii="宋体" w:hAnsi="宋体" w:cs="宋体"/>
                <w:snapToGrid w:val="0"/>
                <w:color w:val="auto"/>
                <w:kern w:val="0"/>
                <w:szCs w:val="21"/>
                <w:highlight w:val="none"/>
              </w:rPr>
              <w:t>2025年</w:t>
            </w:r>
            <w:r>
              <w:rPr>
                <w:rFonts w:hint="eastAsia" w:ascii="宋体" w:hAnsi="宋体" w:cs="宋体"/>
                <w:snapToGrid w:val="0"/>
                <w:color w:val="auto"/>
                <w:kern w:val="0"/>
                <w:szCs w:val="21"/>
                <w:highlight w:val="none"/>
                <w:lang w:val="en-US" w:eastAsia="zh-CN"/>
              </w:rPr>
              <w:t>12</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02</w:t>
            </w:r>
            <w:r>
              <w:rPr>
                <w:rFonts w:hint="eastAsia" w:ascii="宋体" w:hAnsi="宋体" w:cs="宋体"/>
                <w:snapToGrid w:val="0"/>
                <w:color w:val="auto"/>
                <w:kern w:val="0"/>
                <w:szCs w:val="21"/>
                <w:highlight w:val="none"/>
              </w:rPr>
              <w:t>日</w:t>
            </w:r>
            <w:r>
              <w:rPr>
                <w:rFonts w:hint="eastAsia" w:ascii="宋体" w:hAnsi="宋体" w:cs="宋体"/>
                <w:color w:val="auto"/>
                <w:szCs w:val="21"/>
                <w:highlight w:val="none"/>
              </w:rPr>
              <w:t>9时30分</w:t>
            </w:r>
          </w:p>
        </w:tc>
      </w:tr>
      <w:tr w14:paraId="3C9B1E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1" w:hRule="atLeast"/>
          <w:jc w:val="center"/>
        </w:trPr>
        <w:tc>
          <w:tcPr>
            <w:tcW w:w="753" w:type="dxa"/>
            <w:tcBorders>
              <w:right w:val="single" w:color="auto" w:sz="4" w:space="0"/>
            </w:tcBorders>
            <w:vAlign w:val="center"/>
          </w:tcPr>
          <w:p w14:paraId="5832D7FE">
            <w:pPr>
              <w:wordWrap w:val="0"/>
              <w:jc w:val="center"/>
              <w:rPr>
                <w:rFonts w:hint="eastAsia" w:ascii="宋体" w:hAnsi="宋体"/>
                <w:color w:val="auto"/>
                <w:szCs w:val="21"/>
                <w:highlight w:val="none"/>
              </w:rPr>
            </w:pPr>
            <w:r>
              <w:rPr>
                <w:rFonts w:hint="eastAsia" w:ascii="宋体" w:hAnsi="宋体"/>
                <w:color w:val="auto"/>
                <w:szCs w:val="21"/>
                <w:highlight w:val="none"/>
              </w:rPr>
              <w:t>20</w:t>
            </w:r>
          </w:p>
        </w:tc>
        <w:tc>
          <w:tcPr>
            <w:tcW w:w="462" w:type="pct"/>
            <w:tcBorders>
              <w:left w:val="single" w:color="auto" w:sz="4" w:space="0"/>
            </w:tcBorders>
            <w:vAlign w:val="center"/>
          </w:tcPr>
          <w:p w14:paraId="45B0FB3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4.2.2</w:t>
            </w:r>
          </w:p>
        </w:tc>
        <w:tc>
          <w:tcPr>
            <w:tcW w:w="1162" w:type="pct"/>
            <w:vAlign w:val="center"/>
          </w:tcPr>
          <w:p w14:paraId="73E2775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提交投标文件地点</w:t>
            </w:r>
          </w:p>
        </w:tc>
        <w:tc>
          <w:tcPr>
            <w:tcW w:w="2996" w:type="pct"/>
            <w:gridSpan w:val="2"/>
            <w:vAlign w:val="center"/>
          </w:tcPr>
          <w:p w14:paraId="23329CE0">
            <w:pPr>
              <w:wordWrap w:val="0"/>
              <w:rPr>
                <w:rFonts w:hint="eastAsia" w:ascii="宋体" w:hAnsi="宋体" w:cs="宋体"/>
                <w:color w:val="auto"/>
                <w:szCs w:val="21"/>
                <w:highlight w:val="none"/>
              </w:rPr>
            </w:pPr>
            <w:r>
              <w:rPr>
                <w:rFonts w:hint="eastAsia" w:ascii="宋体" w:hAnsi="宋体" w:cs="宋体"/>
                <w:snapToGrid w:val="0"/>
                <w:color w:val="auto"/>
                <w:kern w:val="0"/>
                <w:szCs w:val="21"/>
                <w:highlight w:val="none"/>
              </w:rPr>
              <w:t>湖南省长沙市芙蓉区蓉园路6号湖南省老干部大学金秋楼10楼【</w:t>
            </w:r>
            <w:r>
              <w:rPr>
                <w:rFonts w:hint="eastAsia" w:ascii="宋体" w:hAnsi="宋体" w:cs="宋体"/>
                <w:snapToGrid w:val="0"/>
                <w:color w:val="auto"/>
                <w:kern w:val="0"/>
                <w:szCs w:val="21"/>
                <w:highlight w:val="none"/>
                <w:lang w:eastAsia="zh-CN"/>
              </w:rPr>
              <w:t>中航公共资源交易平台</w:t>
            </w:r>
            <w:r>
              <w:rPr>
                <w:rFonts w:hint="eastAsia" w:ascii="宋体" w:hAnsi="宋体" w:cs="宋体"/>
                <w:snapToGrid w:val="0"/>
                <w:color w:val="auto"/>
                <w:kern w:val="0"/>
                <w:szCs w:val="21"/>
                <w:highlight w:val="none"/>
              </w:rPr>
              <w:t>】相应开标室。</w:t>
            </w:r>
          </w:p>
        </w:tc>
      </w:tr>
      <w:tr w14:paraId="1316C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753" w:type="dxa"/>
            <w:tcBorders>
              <w:right w:val="single" w:color="auto" w:sz="4" w:space="0"/>
            </w:tcBorders>
            <w:vAlign w:val="center"/>
          </w:tcPr>
          <w:p w14:paraId="1FB0A959">
            <w:pPr>
              <w:wordWrap w:val="0"/>
              <w:jc w:val="center"/>
              <w:rPr>
                <w:rFonts w:hint="eastAsia" w:ascii="宋体" w:hAnsi="宋体"/>
                <w:color w:val="auto"/>
                <w:szCs w:val="21"/>
                <w:highlight w:val="none"/>
              </w:rPr>
            </w:pPr>
            <w:r>
              <w:rPr>
                <w:rFonts w:hint="eastAsia" w:ascii="宋体" w:hAnsi="宋体"/>
                <w:color w:val="auto"/>
                <w:szCs w:val="21"/>
                <w:highlight w:val="none"/>
              </w:rPr>
              <w:t>21</w:t>
            </w:r>
          </w:p>
        </w:tc>
        <w:tc>
          <w:tcPr>
            <w:tcW w:w="462" w:type="pct"/>
            <w:tcBorders>
              <w:left w:val="single" w:color="auto" w:sz="4" w:space="0"/>
            </w:tcBorders>
            <w:vAlign w:val="center"/>
          </w:tcPr>
          <w:p w14:paraId="101A500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4.2.3</w:t>
            </w:r>
          </w:p>
        </w:tc>
        <w:tc>
          <w:tcPr>
            <w:tcW w:w="1162" w:type="pct"/>
            <w:vAlign w:val="center"/>
          </w:tcPr>
          <w:p w14:paraId="0C6F248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是否退还投标文件</w:t>
            </w:r>
          </w:p>
        </w:tc>
        <w:tc>
          <w:tcPr>
            <w:tcW w:w="2996" w:type="pct"/>
            <w:gridSpan w:val="2"/>
            <w:vAlign w:val="center"/>
          </w:tcPr>
          <w:p w14:paraId="12868099">
            <w:pPr>
              <w:wordWrap w:val="0"/>
              <w:rPr>
                <w:rFonts w:hint="eastAsia" w:ascii="宋体" w:hAnsi="宋体" w:cs="宋体"/>
                <w:color w:val="auto"/>
                <w:szCs w:val="21"/>
                <w:highlight w:val="none"/>
              </w:rPr>
            </w:pPr>
            <w:r>
              <w:rPr>
                <w:rFonts w:hint="eastAsia" w:ascii="宋体" w:hAnsi="宋体" w:cs="宋体"/>
                <w:color w:val="auto"/>
                <w:szCs w:val="21"/>
                <w:highlight w:val="none"/>
              </w:rPr>
              <w:t>否</w:t>
            </w:r>
          </w:p>
        </w:tc>
      </w:tr>
      <w:tr w14:paraId="7A472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02BAB374">
            <w:pPr>
              <w:wordWrap w:val="0"/>
              <w:jc w:val="center"/>
              <w:rPr>
                <w:rFonts w:hint="eastAsia" w:ascii="宋体" w:hAnsi="宋体"/>
                <w:color w:val="auto"/>
                <w:szCs w:val="21"/>
                <w:highlight w:val="none"/>
              </w:rPr>
            </w:pPr>
            <w:r>
              <w:rPr>
                <w:rFonts w:hint="eastAsia" w:ascii="宋体" w:hAnsi="宋体"/>
                <w:color w:val="auto"/>
                <w:szCs w:val="21"/>
                <w:highlight w:val="none"/>
              </w:rPr>
              <w:t>22</w:t>
            </w:r>
          </w:p>
        </w:tc>
        <w:tc>
          <w:tcPr>
            <w:tcW w:w="462" w:type="pct"/>
            <w:tcBorders>
              <w:left w:val="single" w:color="auto" w:sz="4" w:space="0"/>
            </w:tcBorders>
            <w:vAlign w:val="center"/>
          </w:tcPr>
          <w:p w14:paraId="00E04BE1">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5.1</w:t>
            </w:r>
          </w:p>
        </w:tc>
        <w:tc>
          <w:tcPr>
            <w:tcW w:w="1162" w:type="pct"/>
            <w:vAlign w:val="center"/>
          </w:tcPr>
          <w:p w14:paraId="00E4E01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开标时间和地点</w:t>
            </w:r>
          </w:p>
        </w:tc>
        <w:tc>
          <w:tcPr>
            <w:tcW w:w="2996" w:type="pct"/>
            <w:gridSpan w:val="2"/>
            <w:vAlign w:val="center"/>
          </w:tcPr>
          <w:p w14:paraId="18C782B8">
            <w:pPr>
              <w:rPr>
                <w:rFonts w:hint="eastAsia" w:ascii="宋体" w:hAnsi="宋体" w:cs="宋体"/>
                <w:color w:val="auto"/>
                <w:szCs w:val="21"/>
                <w:highlight w:val="none"/>
              </w:rPr>
            </w:pPr>
            <w:r>
              <w:rPr>
                <w:rFonts w:hint="eastAsia" w:ascii="宋体" w:hAnsi="宋体" w:cs="宋体"/>
                <w:color w:val="auto"/>
                <w:szCs w:val="21"/>
                <w:highlight w:val="none"/>
              </w:rPr>
              <w:t>开标时间：</w:t>
            </w:r>
            <w:r>
              <w:rPr>
                <w:rFonts w:hint="eastAsia" w:ascii="宋体" w:hAnsi="宋体" w:cs="宋体"/>
                <w:snapToGrid w:val="0"/>
                <w:color w:val="auto"/>
                <w:kern w:val="0"/>
                <w:szCs w:val="21"/>
                <w:highlight w:val="none"/>
              </w:rPr>
              <w:t>2025年</w:t>
            </w:r>
            <w:r>
              <w:rPr>
                <w:rFonts w:hint="eastAsia" w:ascii="宋体" w:hAnsi="宋体" w:cs="宋体"/>
                <w:snapToGrid w:val="0"/>
                <w:color w:val="auto"/>
                <w:kern w:val="0"/>
                <w:szCs w:val="21"/>
                <w:highlight w:val="none"/>
                <w:lang w:val="en-US" w:eastAsia="zh-CN"/>
              </w:rPr>
              <w:t>12</w:t>
            </w:r>
            <w:r>
              <w:rPr>
                <w:rFonts w:hint="eastAsia" w:ascii="宋体" w:hAnsi="宋体" w:cs="宋体"/>
                <w:snapToGrid w:val="0"/>
                <w:color w:val="auto"/>
                <w:kern w:val="0"/>
                <w:szCs w:val="21"/>
                <w:highlight w:val="none"/>
              </w:rPr>
              <w:t>月</w:t>
            </w:r>
            <w:r>
              <w:rPr>
                <w:rFonts w:hint="eastAsia" w:ascii="宋体" w:hAnsi="宋体" w:cs="宋体"/>
                <w:snapToGrid w:val="0"/>
                <w:color w:val="auto"/>
                <w:kern w:val="0"/>
                <w:szCs w:val="21"/>
                <w:highlight w:val="none"/>
                <w:lang w:val="en-US" w:eastAsia="zh-CN"/>
              </w:rPr>
              <w:t>02</w:t>
            </w:r>
            <w:r>
              <w:rPr>
                <w:rFonts w:hint="eastAsia" w:ascii="宋体" w:hAnsi="宋体" w:cs="宋体"/>
                <w:snapToGrid w:val="0"/>
                <w:color w:val="auto"/>
                <w:kern w:val="0"/>
                <w:szCs w:val="21"/>
                <w:highlight w:val="none"/>
              </w:rPr>
              <w:t>日</w:t>
            </w:r>
            <w:r>
              <w:rPr>
                <w:rFonts w:hint="eastAsia" w:ascii="宋体" w:hAnsi="宋体" w:cs="宋体"/>
                <w:color w:val="auto"/>
                <w:szCs w:val="21"/>
                <w:highlight w:val="none"/>
              </w:rPr>
              <w:t>9时30分。</w:t>
            </w:r>
          </w:p>
          <w:p w14:paraId="64BEAC6D">
            <w:pPr>
              <w:rPr>
                <w:rFonts w:hint="eastAsia" w:ascii="宋体" w:hAnsi="宋体" w:cs="宋体"/>
                <w:color w:val="auto"/>
                <w:szCs w:val="21"/>
                <w:highlight w:val="none"/>
              </w:rPr>
            </w:pPr>
            <w:r>
              <w:rPr>
                <w:rFonts w:hint="eastAsia" w:ascii="宋体" w:hAnsi="宋体" w:cs="宋体"/>
                <w:color w:val="auto"/>
                <w:szCs w:val="21"/>
                <w:highlight w:val="none"/>
              </w:rPr>
              <w:t>开标地点：</w:t>
            </w:r>
            <w:r>
              <w:rPr>
                <w:rFonts w:hint="eastAsia" w:ascii="宋体" w:hAnsi="宋体" w:cs="宋体"/>
                <w:snapToGrid w:val="0"/>
                <w:color w:val="auto"/>
                <w:kern w:val="0"/>
                <w:szCs w:val="21"/>
                <w:highlight w:val="none"/>
              </w:rPr>
              <w:t>湖南省长沙市芙蓉区蓉园路6号湖南省老干部大学金秋楼10楼【</w:t>
            </w:r>
            <w:r>
              <w:rPr>
                <w:rFonts w:hint="eastAsia" w:ascii="宋体" w:hAnsi="宋体" w:cs="宋体"/>
                <w:snapToGrid w:val="0"/>
                <w:color w:val="auto"/>
                <w:kern w:val="0"/>
                <w:szCs w:val="21"/>
                <w:highlight w:val="none"/>
                <w:lang w:eastAsia="zh-CN"/>
              </w:rPr>
              <w:t>中航公共资源交易平台</w:t>
            </w:r>
            <w:r>
              <w:rPr>
                <w:rFonts w:hint="eastAsia" w:ascii="宋体" w:hAnsi="宋体" w:cs="宋体"/>
                <w:snapToGrid w:val="0"/>
                <w:color w:val="auto"/>
                <w:kern w:val="0"/>
                <w:szCs w:val="21"/>
                <w:highlight w:val="none"/>
              </w:rPr>
              <w:t>】相应开标室。</w:t>
            </w:r>
          </w:p>
        </w:tc>
      </w:tr>
      <w:tr w14:paraId="39F87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3" w:type="dxa"/>
            <w:tcBorders>
              <w:right w:val="single" w:color="auto" w:sz="4" w:space="0"/>
            </w:tcBorders>
            <w:vAlign w:val="center"/>
          </w:tcPr>
          <w:p w14:paraId="0529F61C">
            <w:pPr>
              <w:wordWrap w:val="0"/>
              <w:jc w:val="center"/>
              <w:rPr>
                <w:rFonts w:hint="eastAsia" w:ascii="宋体" w:hAnsi="宋体"/>
                <w:color w:val="auto"/>
                <w:szCs w:val="21"/>
                <w:highlight w:val="none"/>
              </w:rPr>
            </w:pPr>
            <w:r>
              <w:rPr>
                <w:rFonts w:hint="eastAsia" w:ascii="宋体" w:hAnsi="宋体"/>
                <w:color w:val="auto"/>
                <w:szCs w:val="21"/>
                <w:highlight w:val="none"/>
              </w:rPr>
              <w:t>23</w:t>
            </w:r>
          </w:p>
        </w:tc>
        <w:tc>
          <w:tcPr>
            <w:tcW w:w="462" w:type="pct"/>
            <w:tcBorders>
              <w:left w:val="single" w:color="auto" w:sz="4" w:space="0"/>
            </w:tcBorders>
            <w:vAlign w:val="center"/>
          </w:tcPr>
          <w:p w14:paraId="2ED73195">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5.3</w:t>
            </w:r>
          </w:p>
        </w:tc>
        <w:tc>
          <w:tcPr>
            <w:tcW w:w="1162" w:type="pct"/>
            <w:vAlign w:val="center"/>
          </w:tcPr>
          <w:p w14:paraId="4C76B4A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开标程序</w:t>
            </w:r>
          </w:p>
        </w:tc>
        <w:tc>
          <w:tcPr>
            <w:tcW w:w="2996" w:type="pct"/>
            <w:gridSpan w:val="2"/>
            <w:vAlign w:val="center"/>
          </w:tcPr>
          <w:p w14:paraId="7A06850B">
            <w:pPr>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密封情况检查：投标人代表检查确认</w:t>
            </w:r>
          </w:p>
          <w:p w14:paraId="69836497">
            <w:pPr>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开标顺序：随机</w:t>
            </w:r>
          </w:p>
        </w:tc>
      </w:tr>
      <w:tr w14:paraId="4C5822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4" w:hRule="atLeast"/>
          <w:jc w:val="center"/>
        </w:trPr>
        <w:tc>
          <w:tcPr>
            <w:tcW w:w="753" w:type="dxa"/>
            <w:tcBorders>
              <w:right w:val="single" w:color="auto" w:sz="4" w:space="0"/>
            </w:tcBorders>
            <w:vAlign w:val="center"/>
          </w:tcPr>
          <w:p w14:paraId="3945BEE3">
            <w:pPr>
              <w:wordWrap w:val="0"/>
              <w:jc w:val="center"/>
              <w:rPr>
                <w:rFonts w:hint="eastAsia" w:ascii="宋体" w:hAnsi="宋体"/>
                <w:color w:val="auto"/>
                <w:szCs w:val="21"/>
                <w:highlight w:val="none"/>
              </w:rPr>
            </w:pPr>
            <w:r>
              <w:rPr>
                <w:rFonts w:hint="eastAsia" w:ascii="宋体" w:hAnsi="宋体"/>
                <w:color w:val="auto"/>
                <w:szCs w:val="21"/>
                <w:highlight w:val="none"/>
              </w:rPr>
              <w:t>24</w:t>
            </w:r>
          </w:p>
        </w:tc>
        <w:tc>
          <w:tcPr>
            <w:tcW w:w="462" w:type="pct"/>
            <w:tcBorders>
              <w:left w:val="single" w:color="auto" w:sz="4" w:space="0"/>
            </w:tcBorders>
            <w:vAlign w:val="center"/>
          </w:tcPr>
          <w:p w14:paraId="2AB662C8">
            <w:pPr>
              <w:wordWrap w:val="0"/>
              <w:jc w:val="center"/>
              <w:rPr>
                <w:rFonts w:hint="eastAsia" w:ascii="宋体" w:hAnsi="宋体"/>
                <w:color w:val="auto"/>
                <w:szCs w:val="21"/>
                <w:highlight w:val="none"/>
              </w:rPr>
            </w:pPr>
            <w:r>
              <w:rPr>
                <w:rFonts w:hint="eastAsia" w:ascii="宋体" w:hAnsi="宋体"/>
                <w:color w:val="auto"/>
                <w:szCs w:val="21"/>
                <w:highlight w:val="none"/>
              </w:rPr>
              <w:t>6.3.2</w:t>
            </w:r>
          </w:p>
        </w:tc>
        <w:tc>
          <w:tcPr>
            <w:tcW w:w="1162" w:type="pct"/>
            <w:vAlign w:val="center"/>
          </w:tcPr>
          <w:p w14:paraId="0513874D">
            <w:pPr>
              <w:wordWrap w:val="0"/>
              <w:jc w:val="center"/>
              <w:rPr>
                <w:rFonts w:hint="eastAsia" w:ascii="宋体" w:hAnsi="宋体"/>
                <w:color w:val="auto"/>
                <w:szCs w:val="21"/>
                <w:highlight w:val="none"/>
              </w:rPr>
            </w:pPr>
            <w:r>
              <w:rPr>
                <w:rFonts w:ascii="宋体" w:hAnsi="宋体"/>
                <w:color w:val="auto"/>
                <w:szCs w:val="21"/>
                <w:highlight w:val="none"/>
              </w:rPr>
              <w:t>评标委员会推荐</w:t>
            </w:r>
          </w:p>
          <w:p w14:paraId="47BEC5A1">
            <w:pPr>
              <w:wordWrap w:val="0"/>
              <w:jc w:val="center"/>
              <w:rPr>
                <w:rFonts w:hint="eastAsia" w:ascii="宋体" w:hAnsi="宋体"/>
                <w:color w:val="auto"/>
                <w:szCs w:val="21"/>
                <w:highlight w:val="none"/>
              </w:rPr>
            </w:pPr>
            <w:r>
              <w:rPr>
                <w:rFonts w:ascii="宋体" w:hAnsi="宋体"/>
                <w:color w:val="auto"/>
                <w:szCs w:val="21"/>
                <w:highlight w:val="none"/>
              </w:rPr>
              <w:t>中标候选人的人数</w:t>
            </w:r>
          </w:p>
        </w:tc>
        <w:tc>
          <w:tcPr>
            <w:tcW w:w="619" w:type="pct"/>
            <w:vAlign w:val="center"/>
          </w:tcPr>
          <w:p w14:paraId="591A9655">
            <w:pPr>
              <w:jc w:val="center"/>
              <w:rPr>
                <w:rFonts w:hint="eastAsia" w:hAnsi="宋体" w:eastAsia="宋体"/>
                <w:color w:val="auto"/>
                <w:szCs w:val="21"/>
                <w:highlight w:val="none"/>
                <w:lang w:eastAsia="zh-CN"/>
              </w:rPr>
            </w:pPr>
            <w:r>
              <w:rPr>
                <w:rFonts w:hint="eastAsia" w:hAnsi="宋体"/>
                <w:color w:val="auto"/>
                <w:szCs w:val="21"/>
                <w:highlight w:val="none"/>
              </w:rPr>
              <w:t>采用</w:t>
            </w:r>
            <w:r>
              <w:rPr>
                <w:rFonts w:hint="eastAsia" w:hAnsi="宋体"/>
                <w:color w:val="auto"/>
                <w:szCs w:val="21"/>
                <w:highlight w:val="none"/>
                <w:lang w:eastAsia="zh-CN"/>
              </w:rPr>
              <w:t>综合评估法</w:t>
            </w:r>
          </w:p>
        </w:tc>
        <w:tc>
          <w:tcPr>
            <w:tcW w:w="2376" w:type="pct"/>
            <w:vAlign w:val="center"/>
          </w:tcPr>
          <w:p w14:paraId="32D9BA15">
            <w:pPr>
              <w:wordWrap w:val="0"/>
              <w:rPr>
                <w:rFonts w:hint="eastAsia" w:hAnsi="宋体"/>
                <w:color w:val="auto"/>
                <w:szCs w:val="21"/>
                <w:highlight w:val="none"/>
              </w:rPr>
            </w:pPr>
            <w:r>
              <w:rPr>
                <w:rFonts w:hint="eastAsia" w:hAnsi="宋体"/>
                <w:color w:val="auto"/>
                <w:szCs w:val="21"/>
                <w:highlight w:val="none"/>
              </w:rPr>
              <w:t>评标委员会按综合得分由高至低的顺序，推荐</w:t>
            </w:r>
            <w:r>
              <w:rPr>
                <w:rFonts w:ascii="宋体" w:hAnsi="宋体"/>
                <w:color w:val="auto"/>
                <w:szCs w:val="21"/>
                <w:highlight w:val="none"/>
              </w:rPr>
              <w:t>3</w:t>
            </w:r>
            <w:r>
              <w:rPr>
                <w:rFonts w:hint="eastAsia" w:hAnsi="宋体"/>
                <w:color w:val="auto"/>
                <w:szCs w:val="21"/>
                <w:highlight w:val="none"/>
              </w:rPr>
              <w:t>个单位为中标候选人，其</w:t>
            </w:r>
            <w:r>
              <w:rPr>
                <w:rFonts w:hint="eastAsia" w:hAnsi="宋体"/>
                <w:color w:val="auto"/>
                <w:szCs w:val="21"/>
                <w:highlight w:val="none"/>
                <w:lang w:val="en-US" w:eastAsia="zh-CN"/>
              </w:rPr>
              <w:t>他</w:t>
            </w:r>
            <w:r>
              <w:rPr>
                <w:rFonts w:hint="eastAsia" w:hAnsi="宋体"/>
                <w:color w:val="auto"/>
                <w:szCs w:val="21"/>
                <w:highlight w:val="none"/>
              </w:rPr>
              <w:t>单位不予排序。若出现投标人评标综合得分相同的情况，则依次按照商务部分、技术部分得分由高至低排序、评委票决顺序确定。</w:t>
            </w:r>
          </w:p>
        </w:tc>
      </w:tr>
      <w:tr w14:paraId="4C2783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0" w:hRule="atLeast"/>
          <w:jc w:val="center"/>
        </w:trPr>
        <w:tc>
          <w:tcPr>
            <w:tcW w:w="753" w:type="dxa"/>
            <w:tcBorders>
              <w:right w:val="single" w:color="auto" w:sz="4" w:space="0"/>
            </w:tcBorders>
            <w:vAlign w:val="center"/>
          </w:tcPr>
          <w:p w14:paraId="0C8E38E0">
            <w:pPr>
              <w:wordWrap w:val="0"/>
              <w:jc w:val="center"/>
              <w:rPr>
                <w:rFonts w:hint="eastAsia" w:ascii="宋体" w:hAnsi="宋体"/>
                <w:color w:val="auto"/>
                <w:szCs w:val="21"/>
                <w:highlight w:val="none"/>
              </w:rPr>
            </w:pPr>
            <w:r>
              <w:rPr>
                <w:rFonts w:hint="eastAsia" w:ascii="宋体" w:hAnsi="宋体"/>
                <w:color w:val="auto"/>
                <w:szCs w:val="21"/>
                <w:highlight w:val="none"/>
              </w:rPr>
              <w:t>25</w:t>
            </w:r>
          </w:p>
        </w:tc>
        <w:tc>
          <w:tcPr>
            <w:tcW w:w="462" w:type="pct"/>
            <w:tcBorders>
              <w:left w:val="single" w:color="auto" w:sz="4" w:space="0"/>
            </w:tcBorders>
            <w:vAlign w:val="center"/>
          </w:tcPr>
          <w:p w14:paraId="56822A16">
            <w:pPr>
              <w:wordWrap w:val="0"/>
              <w:jc w:val="center"/>
              <w:rPr>
                <w:rFonts w:hint="eastAsia" w:ascii="宋体" w:hAnsi="宋体"/>
                <w:color w:val="auto"/>
                <w:szCs w:val="21"/>
                <w:highlight w:val="none"/>
              </w:rPr>
            </w:pPr>
            <w:r>
              <w:rPr>
                <w:rFonts w:hint="eastAsia" w:ascii="宋体" w:hAnsi="宋体"/>
                <w:color w:val="auto"/>
                <w:szCs w:val="21"/>
                <w:highlight w:val="none"/>
              </w:rPr>
              <w:t>7.1</w:t>
            </w:r>
          </w:p>
        </w:tc>
        <w:tc>
          <w:tcPr>
            <w:tcW w:w="1162" w:type="pct"/>
            <w:vAlign w:val="center"/>
          </w:tcPr>
          <w:p w14:paraId="608C99FC">
            <w:pPr>
              <w:wordWrap w:val="0"/>
              <w:jc w:val="center"/>
              <w:rPr>
                <w:rFonts w:hint="eastAsia" w:ascii="宋体" w:hAnsi="宋体"/>
                <w:color w:val="auto"/>
                <w:szCs w:val="21"/>
                <w:highlight w:val="none"/>
              </w:rPr>
            </w:pPr>
            <w:r>
              <w:rPr>
                <w:rFonts w:hint="eastAsia" w:ascii="宋体" w:hAnsi="宋体"/>
                <w:color w:val="auto"/>
                <w:szCs w:val="21"/>
                <w:highlight w:val="none"/>
              </w:rPr>
              <w:t>结果公告</w:t>
            </w:r>
            <w:r>
              <w:rPr>
                <w:rFonts w:ascii="宋体" w:hAnsi="宋体"/>
                <w:color w:val="auto"/>
                <w:szCs w:val="21"/>
                <w:highlight w:val="none"/>
              </w:rPr>
              <w:t>媒介</w:t>
            </w:r>
          </w:p>
          <w:p w14:paraId="149C5C2F">
            <w:pPr>
              <w:wordWrap w:val="0"/>
              <w:jc w:val="center"/>
              <w:rPr>
                <w:rFonts w:hint="eastAsia" w:ascii="宋体" w:hAnsi="宋体"/>
                <w:color w:val="auto"/>
                <w:szCs w:val="21"/>
                <w:highlight w:val="none"/>
              </w:rPr>
            </w:pPr>
            <w:r>
              <w:rPr>
                <w:rFonts w:ascii="宋体" w:hAnsi="宋体"/>
                <w:color w:val="auto"/>
                <w:szCs w:val="21"/>
                <w:highlight w:val="none"/>
              </w:rPr>
              <w:t>及期限</w:t>
            </w:r>
          </w:p>
        </w:tc>
        <w:tc>
          <w:tcPr>
            <w:tcW w:w="2996" w:type="pct"/>
            <w:gridSpan w:val="2"/>
            <w:vAlign w:val="center"/>
          </w:tcPr>
          <w:p w14:paraId="3C06D9CB">
            <w:pPr>
              <w:wordWrap w:val="0"/>
              <w:rPr>
                <w:rFonts w:hint="eastAsia" w:ascii="宋体" w:hAnsi="宋体"/>
                <w:color w:val="auto"/>
                <w:szCs w:val="21"/>
                <w:highlight w:val="none"/>
              </w:rPr>
            </w:pPr>
            <w:r>
              <w:rPr>
                <w:rFonts w:hint="eastAsia" w:ascii="宋体" w:hAnsi="宋体"/>
                <w:color w:val="auto"/>
                <w:szCs w:val="21"/>
                <w:highlight w:val="none"/>
              </w:rPr>
              <w:t>公告媒介：</w:t>
            </w:r>
            <w:r>
              <w:rPr>
                <w:rFonts w:ascii="宋体" w:hAnsi="宋体"/>
                <w:color w:val="auto"/>
                <w:szCs w:val="21"/>
                <w:highlight w:val="none"/>
              </w:rPr>
              <w:t>在</w:t>
            </w:r>
            <w:r>
              <w:rPr>
                <w:rFonts w:hint="eastAsia" w:ascii="宋体" w:hAnsi="宋体" w:cs="宋体"/>
                <w:snapToGrid w:val="0"/>
                <w:color w:val="auto"/>
                <w:kern w:val="0"/>
                <w:szCs w:val="21"/>
                <w:highlight w:val="none"/>
              </w:rPr>
              <w:t>潇湘交易云平台、中国招标投标公共服务平台</w:t>
            </w:r>
            <w:r>
              <w:rPr>
                <w:rFonts w:hint="eastAsia" w:ascii="宋体" w:hAnsi="宋体"/>
                <w:color w:val="auto"/>
                <w:szCs w:val="21"/>
                <w:highlight w:val="none"/>
              </w:rPr>
              <w:t>发布</w:t>
            </w:r>
            <w:r>
              <w:rPr>
                <w:rFonts w:ascii="宋体" w:hAnsi="宋体"/>
                <w:color w:val="auto"/>
                <w:szCs w:val="21"/>
                <w:highlight w:val="none"/>
              </w:rPr>
              <w:t>。</w:t>
            </w:r>
          </w:p>
          <w:p w14:paraId="2FD1E88B">
            <w:pPr>
              <w:wordWrap w:val="0"/>
              <w:rPr>
                <w:rFonts w:hint="eastAsia" w:ascii="宋体" w:hAnsi="宋体"/>
                <w:color w:val="auto"/>
                <w:szCs w:val="21"/>
                <w:highlight w:val="none"/>
              </w:rPr>
            </w:pPr>
            <w:r>
              <w:rPr>
                <w:rFonts w:hint="eastAsia" w:ascii="宋体" w:hAnsi="宋体"/>
                <w:color w:val="auto"/>
                <w:szCs w:val="21"/>
                <w:highlight w:val="none"/>
              </w:rPr>
              <w:t>公告期限：按相关规定执行。</w:t>
            </w:r>
          </w:p>
        </w:tc>
      </w:tr>
      <w:tr w14:paraId="0BDE1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9" w:hRule="atLeast"/>
          <w:jc w:val="center"/>
        </w:trPr>
        <w:tc>
          <w:tcPr>
            <w:tcW w:w="753" w:type="dxa"/>
            <w:tcBorders>
              <w:right w:val="single" w:color="auto" w:sz="4" w:space="0"/>
            </w:tcBorders>
            <w:vAlign w:val="center"/>
          </w:tcPr>
          <w:p w14:paraId="1D8EEE70">
            <w:pPr>
              <w:wordWrap w:val="0"/>
              <w:jc w:val="center"/>
              <w:rPr>
                <w:rFonts w:hint="eastAsia" w:ascii="宋体" w:hAnsi="宋体"/>
                <w:color w:val="auto"/>
                <w:szCs w:val="21"/>
                <w:highlight w:val="none"/>
              </w:rPr>
            </w:pPr>
            <w:r>
              <w:rPr>
                <w:rFonts w:hint="eastAsia" w:ascii="宋体" w:hAnsi="宋体"/>
                <w:color w:val="auto"/>
                <w:szCs w:val="21"/>
                <w:highlight w:val="none"/>
              </w:rPr>
              <w:t>26</w:t>
            </w:r>
          </w:p>
        </w:tc>
        <w:tc>
          <w:tcPr>
            <w:tcW w:w="462" w:type="pct"/>
            <w:tcBorders>
              <w:left w:val="single" w:color="auto" w:sz="4" w:space="0"/>
            </w:tcBorders>
            <w:vAlign w:val="center"/>
          </w:tcPr>
          <w:p w14:paraId="057172D2">
            <w:pPr>
              <w:wordWrap w:val="0"/>
              <w:jc w:val="center"/>
              <w:rPr>
                <w:rFonts w:hint="eastAsia" w:ascii="宋体" w:hAnsi="宋体"/>
                <w:color w:val="auto"/>
                <w:szCs w:val="21"/>
                <w:highlight w:val="none"/>
              </w:rPr>
            </w:pPr>
            <w:r>
              <w:rPr>
                <w:rFonts w:hint="eastAsia" w:ascii="宋体" w:hAnsi="宋体"/>
                <w:color w:val="auto"/>
                <w:szCs w:val="21"/>
                <w:highlight w:val="none"/>
              </w:rPr>
              <w:t>7.5</w:t>
            </w:r>
          </w:p>
        </w:tc>
        <w:tc>
          <w:tcPr>
            <w:tcW w:w="1162" w:type="pct"/>
            <w:vAlign w:val="center"/>
          </w:tcPr>
          <w:p w14:paraId="3711963F">
            <w:pPr>
              <w:wordWrap w:val="0"/>
              <w:jc w:val="center"/>
              <w:rPr>
                <w:rFonts w:hint="eastAsia" w:ascii="宋体" w:hAnsi="宋体"/>
                <w:color w:val="auto"/>
                <w:szCs w:val="21"/>
                <w:highlight w:val="none"/>
              </w:rPr>
            </w:pPr>
            <w:r>
              <w:rPr>
                <w:rFonts w:ascii="宋体" w:hAnsi="宋体"/>
                <w:color w:val="auto"/>
                <w:szCs w:val="21"/>
                <w:highlight w:val="none"/>
              </w:rPr>
              <w:t>履约保证金</w:t>
            </w:r>
          </w:p>
        </w:tc>
        <w:tc>
          <w:tcPr>
            <w:tcW w:w="2996" w:type="pct"/>
            <w:gridSpan w:val="2"/>
            <w:vAlign w:val="center"/>
          </w:tcPr>
          <w:p w14:paraId="2B007555">
            <w:pPr>
              <w:wordWrap w:val="0"/>
              <w:rPr>
                <w:rFonts w:hint="eastAsia" w:ascii="宋体" w:hAnsi="宋体"/>
                <w:color w:val="auto"/>
                <w:szCs w:val="21"/>
                <w:highlight w:val="none"/>
              </w:rPr>
            </w:pPr>
            <w:r>
              <w:rPr>
                <w:rFonts w:ascii="宋体" w:hAnsi="宋体"/>
                <w:color w:val="auto"/>
                <w:szCs w:val="21"/>
                <w:highlight w:val="none"/>
              </w:rPr>
              <w:t>履约保证金的形式：</w:t>
            </w:r>
            <w:r>
              <w:rPr>
                <w:rFonts w:hint="eastAsia" w:ascii="宋体" w:hAnsi="宋体"/>
                <w:color w:val="auto"/>
                <w:szCs w:val="21"/>
                <w:highlight w:val="none"/>
              </w:rPr>
              <w:t>详见合同条款</w:t>
            </w:r>
          </w:p>
          <w:p w14:paraId="414AEFFE">
            <w:pPr>
              <w:wordWrap w:val="0"/>
              <w:rPr>
                <w:rFonts w:hint="eastAsia" w:ascii="宋体" w:hAnsi="宋体"/>
                <w:color w:val="auto"/>
                <w:szCs w:val="21"/>
                <w:highlight w:val="none"/>
              </w:rPr>
            </w:pPr>
            <w:r>
              <w:rPr>
                <w:rFonts w:ascii="宋体" w:hAnsi="宋体"/>
                <w:color w:val="auto"/>
                <w:szCs w:val="21"/>
                <w:highlight w:val="none"/>
              </w:rPr>
              <w:t>履约保证金的金额：</w:t>
            </w:r>
            <w:r>
              <w:rPr>
                <w:rFonts w:hint="eastAsia" w:ascii="宋体" w:hAnsi="宋体"/>
                <w:color w:val="auto"/>
                <w:szCs w:val="21"/>
                <w:highlight w:val="none"/>
              </w:rPr>
              <w:t>详见合同条款</w:t>
            </w:r>
          </w:p>
        </w:tc>
      </w:tr>
      <w:tr w14:paraId="3D51D3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0" w:hRule="atLeast"/>
          <w:jc w:val="center"/>
        </w:trPr>
        <w:tc>
          <w:tcPr>
            <w:tcW w:w="753" w:type="dxa"/>
            <w:tcBorders>
              <w:right w:val="single" w:color="auto" w:sz="4" w:space="0"/>
            </w:tcBorders>
            <w:vAlign w:val="center"/>
          </w:tcPr>
          <w:p w14:paraId="3EAD4692">
            <w:pPr>
              <w:wordWrap w:val="0"/>
              <w:jc w:val="center"/>
              <w:rPr>
                <w:rFonts w:hint="eastAsia" w:ascii="宋体" w:hAnsi="宋体"/>
                <w:color w:val="auto"/>
                <w:szCs w:val="21"/>
                <w:highlight w:val="none"/>
              </w:rPr>
            </w:pPr>
            <w:r>
              <w:rPr>
                <w:rFonts w:hint="eastAsia" w:ascii="宋体" w:hAnsi="宋体"/>
                <w:color w:val="auto"/>
                <w:szCs w:val="21"/>
                <w:highlight w:val="none"/>
              </w:rPr>
              <w:t>27</w:t>
            </w:r>
          </w:p>
        </w:tc>
        <w:tc>
          <w:tcPr>
            <w:tcW w:w="462" w:type="pct"/>
            <w:tcBorders>
              <w:left w:val="single" w:color="auto" w:sz="4" w:space="0"/>
            </w:tcBorders>
            <w:vAlign w:val="center"/>
          </w:tcPr>
          <w:p w14:paraId="424657E2">
            <w:pPr>
              <w:wordWrap w:val="0"/>
              <w:jc w:val="center"/>
              <w:rPr>
                <w:rFonts w:hint="eastAsia" w:ascii="宋体" w:hAnsi="宋体"/>
                <w:color w:val="auto"/>
                <w:szCs w:val="21"/>
                <w:highlight w:val="none"/>
              </w:rPr>
            </w:pPr>
            <w:r>
              <w:rPr>
                <w:rFonts w:hint="eastAsia" w:ascii="宋体" w:hAnsi="宋体"/>
                <w:color w:val="auto"/>
                <w:szCs w:val="21"/>
                <w:highlight w:val="none"/>
              </w:rPr>
              <w:t>9.2</w:t>
            </w:r>
          </w:p>
        </w:tc>
        <w:tc>
          <w:tcPr>
            <w:tcW w:w="1162" w:type="pct"/>
            <w:vAlign w:val="center"/>
          </w:tcPr>
          <w:p w14:paraId="42D36189">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其</w:t>
            </w:r>
            <w:r>
              <w:rPr>
                <w:rFonts w:hint="eastAsia" w:ascii="宋体" w:hAnsi="宋体" w:cs="宋体"/>
                <w:color w:val="auto"/>
                <w:szCs w:val="21"/>
                <w:highlight w:val="none"/>
                <w:lang w:val="en-US" w:eastAsia="zh-CN"/>
              </w:rPr>
              <w:t>他</w:t>
            </w:r>
          </w:p>
        </w:tc>
        <w:tc>
          <w:tcPr>
            <w:tcW w:w="2996" w:type="pct"/>
            <w:gridSpan w:val="2"/>
            <w:vAlign w:val="center"/>
          </w:tcPr>
          <w:p w14:paraId="64F6D688">
            <w:pPr>
              <w:wordWrap w:val="0"/>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lang w:val="en-US" w:eastAsia="zh-CN"/>
              </w:rPr>
              <w:t>.</w:t>
            </w:r>
            <w:r>
              <w:rPr>
                <w:rFonts w:hint="eastAsia" w:ascii="宋体" w:hAnsi="宋体" w:cs="宋体"/>
                <w:color w:val="auto"/>
                <w:highlight w:val="none"/>
              </w:rPr>
              <w:t>本招标文件要求的复印件是指复印件或扫描件或影印件。</w:t>
            </w:r>
          </w:p>
          <w:p w14:paraId="5FFBA1C6">
            <w:pPr>
              <w:wordWrap w:val="0"/>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w:t>
            </w:r>
            <w:r>
              <w:rPr>
                <w:rFonts w:hint="eastAsia" w:ascii="宋体" w:hAnsi="宋体" w:cs="宋体"/>
                <w:color w:val="auto"/>
                <w:highlight w:val="none"/>
              </w:rPr>
              <w:t>构成本招标文件的各个组成文件应互为解释，互为说明；如有不明确或不一致，构成合同文</w:t>
            </w:r>
            <w:r>
              <w:rPr>
                <w:rFonts w:hint="eastAsia" w:ascii="宋体" w:hAnsi="宋体" w:cs="宋体"/>
                <w:color w:val="auto"/>
                <w:highlight w:val="none"/>
                <w:lang w:eastAsia="zh-CN"/>
              </w:rPr>
              <w:t>件的</w:t>
            </w:r>
            <w:r>
              <w:rPr>
                <w:rFonts w:hint="eastAsia" w:ascii="宋体" w:hAnsi="宋体" w:cs="宋体"/>
                <w:color w:val="auto"/>
                <w:highlight w:val="none"/>
              </w:rPr>
              <w:t>组成内容，以合同文件约定内容为准，且以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5123D4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0" w:hRule="atLeast"/>
          <w:jc w:val="center"/>
        </w:trPr>
        <w:tc>
          <w:tcPr>
            <w:tcW w:w="753" w:type="dxa"/>
            <w:tcBorders>
              <w:right w:val="single" w:color="auto" w:sz="4" w:space="0"/>
            </w:tcBorders>
            <w:vAlign w:val="center"/>
          </w:tcPr>
          <w:p w14:paraId="279C7A5E">
            <w:pPr>
              <w:wordWrap w:val="0"/>
              <w:jc w:val="center"/>
              <w:rPr>
                <w:rFonts w:hint="eastAsia" w:ascii="宋体" w:hAnsi="宋体"/>
                <w:color w:val="auto"/>
                <w:szCs w:val="21"/>
                <w:highlight w:val="none"/>
              </w:rPr>
            </w:pPr>
            <w:r>
              <w:rPr>
                <w:rFonts w:hint="eastAsia" w:ascii="宋体" w:hAnsi="宋体"/>
                <w:color w:val="auto"/>
                <w:szCs w:val="21"/>
                <w:highlight w:val="none"/>
              </w:rPr>
              <w:t>28</w:t>
            </w:r>
          </w:p>
        </w:tc>
        <w:tc>
          <w:tcPr>
            <w:tcW w:w="462" w:type="pct"/>
            <w:tcBorders>
              <w:left w:val="single" w:color="auto" w:sz="4" w:space="0"/>
            </w:tcBorders>
            <w:vAlign w:val="center"/>
          </w:tcPr>
          <w:p w14:paraId="6530DB39">
            <w:pPr>
              <w:wordWrap w:val="0"/>
              <w:jc w:val="center"/>
              <w:rPr>
                <w:rFonts w:hint="eastAsia" w:ascii="宋体" w:hAnsi="宋体"/>
                <w:color w:val="auto"/>
                <w:szCs w:val="21"/>
                <w:highlight w:val="none"/>
              </w:rPr>
            </w:pPr>
            <w:r>
              <w:rPr>
                <w:rFonts w:hint="eastAsia" w:ascii="宋体" w:hAnsi="宋体"/>
                <w:color w:val="auto"/>
                <w:szCs w:val="21"/>
                <w:highlight w:val="none"/>
              </w:rPr>
              <w:t>9.2.7</w:t>
            </w:r>
          </w:p>
        </w:tc>
        <w:tc>
          <w:tcPr>
            <w:tcW w:w="1162" w:type="pct"/>
            <w:vAlign w:val="center"/>
          </w:tcPr>
          <w:p w14:paraId="2A3B245C">
            <w:pPr>
              <w:wordWrap w:val="0"/>
              <w:jc w:val="center"/>
              <w:rPr>
                <w:rFonts w:hint="eastAsia" w:ascii="宋体" w:hAnsi="宋体"/>
                <w:color w:val="auto"/>
                <w:szCs w:val="21"/>
                <w:highlight w:val="none"/>
              </w:rPr>
            </w:pPr>
            <w:r>
              <w:rPr>
                <w:rFonts w:hint="eastAsia" w:ascii="宋体" w:hAnsi="宋体"/>
                <w:color w:val="auto"/>
                <w:szCs w:val="21"/>
                <w:highlight w:val="none"/>
              </w:rPr>
              <w:t>纸质招标文件获取</w:t>
            </w:r>
          </w:p>
        </w:tc>
        <w:tc>
          <w:tcPr>
            <w:tcW w:w="2996" w:type="pct"/>
            <w:gridSpan w:val="2"/>
            <w:vAlign w:val="center"/>
          </w:tcPr>
          <w:p w14:paraId="5660A97A">
            <w:pPr>
              <w:wordWrap w:val="0"/>
              <w:ind w:left="210" w:hanging="210" w:hangingChars="100"/>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购买纸质招标文件的时间：2025年</w:t>
            </w:r>
            <w:r>
              <w:rPr>
                <w:rFonts w:hint="eastAsia" w:ascii="宋体" w:hAnsi="宋体"/>
                <w:color w:val="auto"/>
                <w:szCs w:val="21"/>
                <w:highlight w:val="none"/>
                <w:lang w:val="en-US" w:eastAsia="zh-CN"/>
              </w:rPr>
              <w:t>11</w:t>
            </w:r>
            <w:r>
              <w:rPr>
                <w:rFonts w:hint="eastAsia" w:ascii="宋体" w:hAnsi="宋体"/>
                <w:color w:val="auto"/>
                <w:szCs w:val="21"/>
                <w:highlight w:val="none"/>
              </w:rPr>
              <w:t>月</w:t>
            </w:r>
            <w:r>
              <w:rPr>
                <w:rFonts w:hint="eastAsia" w:ascii="宋体" w:hAnsi="宋体"/>
                <w:color w:val="auto"/>
                <w:szCs w:val="21"/>
                <w:highlight w:val="none"/>
                <w:lang w:val="en-US" w:eastAsia="zh-CN"/>
              </w:rPr>
              <w:t>11</w:t>
            </w:r>
            <w:r>
              <w:rPr>
                <w:rFonts w:hint="eastAsia" w:ascii="宋体" w:hAnsi="宋体"/>
                <w:color w:val="auto"/>
                <w:szCs w:val="21"/>
                <w:highlight w:val="none"/>
              </w:rPr>
              <w:t>日至2025年</w:t>
            </w:r>
            <w:r>
              <w:rPr>
                <w:rFonts w:hint="eastAsia" w:ascii="宋体" w:hAnsi="宋体"/>
                <w:color w:val="auto"/>
                <w:szCs w:val="21"/>
                <w:highlight w:val="none"/>
                <w:lang w:val="en-US" w:eastAsia="zh-CN"/>
              </w:rPr>
              <w:t>11</w:t>
            </w:r>
            <w:r>
              <w:rPr>
                <w:rFonts w:hint="eastAsia" w:ascii="宋体" w:hAnsi="宋体"/>
                <w:color w:val="auto"/>
                <w:szCs w:val="21"/>
                <w:highlight w:val="none"/>
              </w:rPr>
              <w:t>月</w:t>
            </w:r>
            <w:r>
              <w:rPr>
                <w:rFonts w:hint="eastAsia" w:ascii="宋体" w:hAnsi="宋体"/>
                <w:color w:val="auto"/>
                <w:szCs w:val="21"/>
                <w:highlight w:val="none"/>
                <w:lang w:val="en-US" w:eastAsia="zh-CN"/>
              </w:rPr>
              <w:t>15</w:t>
            </w:r>
            <w:r>
              <w:rPr>
                <w:rFonts w:hint="eastAsia" w:ascii="宋体" w:hAnsi="宋体"/>
                <w:color w:val="auto"/>
                <w:szCs w:val="21"/>
                <w:highlight w:val="none"/>
              </w:rPr>
              <w:t>日，每天9:00～11:30，14:00～17:30（北京时间，节假日、双休日除外）。</w:t>
            </w:r>
          </w:p>
          <w:p w14:paraId="42F8D32B">
            <w:pPr>
              <w:wordWrap w:val="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w:t>
            </w:r>
            <w:r>
              <w:rPr>
                <w:rFonts w:hint="eastAsia" w:ascii="宋体" w:hAnsi="宋体"/>
                <w:color w:val="auto"/>
                <w:szCs w:val="21"/>
                <w:highlight w:val="none"/>
              </w:rPr>
              <w:t>纸质招标文件售价：每套售价400元人民币，纸质招标文件售后不退。</w:t>
            </w:r>
          </w:p>
          <w:p w14:paraId="406DDAD7">
            <w:pPr>
              <w:wordWrap w:val="0"/>
              <w:rPr>
                <w:color w:val="auto"/>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w:t>
            </w:r>
            <w:r>
              <w:rPr>
                <w:rFonts w:hint="eastAsia" w:ascii="宋体" w:hAnsi="宋体"/>
                <w:color w:val="auto"/>
                <w:szCs w:val="21"/>
                <w:highlight w:val="none"/>
              </w:rPr>
              <w:t>购买纸质招标文件的要求：现场购</w:t>
            </w:r>
            <w:bookmarkStart w:id="17" w:name="_GoBack"/>
            <w:bookmarkEnd w:id="17"/>
            <w:r>
              <w:rPr>
                <w:rFonts w:hint="eastAsia" w:ascii="宋体" w:hAnsi="宋体"/>
                <w:color w:val="auto"/>
                <w:szCs w:val="21"/>
                <w:highlight w:val="none"/>
              </w:rPr>
              <w:t>买。投标人的授权代表持加盖公章的公司营业执照副本复印件、授权委托书原件及授权代表本人身份证原件至</w:t>
            </w:r>
            <w:r>
              <w:rPr>
                <w:rFonts w:hint="eastAsia" w:ascii="宋体" w:hAnsi="宋体"/>
                <w:color w:val="auto"/>
                <w:szCs w:val="21"/>
                <w:highlight w:val="none"/>
                <w:lang w:eastAsia="zh-CN"/>
              </w:rPr>
              <w:t>中航公共资源交易平台</w:t>
            </w:r>
            <w:r>
              <w:rPr>
                <w:rFonts w:hint="eastAsia" w:ascii="宋体" w:hAnsi="宋体"/>
                <w:color w:val="auto"/>
                <w:szCs w:val="21"/>
                <w:highlight w:val="none"/>
              </w:rPr>
              <w:t>（湖南省长沙市芙蓉区蓉园路6号湖南省老干部大学金秋楼10楼）购买纸质招标文件</w:t>
            </w:r>
            <w:r>
              <w:rPr>
                <w:rFonts w:hint="eastAsia" w:ascii="宋体" w:hAnsi="宋体"/>
                <w:color w:val="auto"/>
                <w:szCs w:val="21"/>
                <w:highlight w:val="none"/>
                <w:lang w:eastAsia="zh-CN"/>
              </w:rPr>
              <w:t>，</w:t>
            </w:r>
            <w:r>
              <w:rPr>
                <w:rFonts w:hint="eastAsia" w:ascii="宋体" w:hAnsi="宋体"/>
                <w:color w:val="auto"/>
                <w:szCs w:val="21"/>
                <w:highlight w:val="none"/>
              </w:rPr>
              <w:t>未购买纸质招标文件的投标人不得参加该项目的投标。</w:t>
            </w:r>
          </w:p>
        </w:tc>
      </w:tr>
    </w:tbl>
    <w:p w14:paraId="5381069C">
      <w:pPr>
        <w:pStyle w:val="138"/>
        <w:wordWrap w:val="0"/>
        <w:spacing w:before="0" w:line="360" w:lineRule="auto"/>
        <w:ind w:right="339"/>
        <w:jc w:val="left"/>
        <w:rPr>
          <w:rFonts w:hint="eastAsia"/>
          <w:b w:val="0"/>
          <w:color w:val="auto"/>
          <w:szCs w:val="21"/>
          <w:highlight w:val="none"/>
        </w:rPr>
      </w:pPr>
      <w:r>
        <w:rPr>
          <w:rFonts w:ascii="黑体" w:hAnsi="黑体" w:eastAsia="黑体"/>
          <w:color w:val="auto"/>
          <w:sz w:val="30"/>
          <w:szCs w:val="30"/>
          <w:highlight w:val="none"/>
        </w:rPr>
        <w:br w:type="page"/>
      </w:r>
      <w:r>
        <w:rPr>
          <w:rFonts w:hint="eastAsia" w:ascii="Calibri" w:cs="宋体"/>
          <w:color w:val="auto"/>
          <w:szCs w:val="28"/>
          <w:highlight w:val="none"/>
        </w:rPr>
        <w:t>1.总则</w:t>
      </w:r>
    </w:p>
    <w:p w14:paraId="00876B71">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ascii="宋体" w:hAnsi="宋体"/>
          <w:b/>
          <w:bCs/>
          <w:color w:val="auto"/>
          <w:szCs w:val="21"/>
          <w:highlight w:val="none"/>
        </w:rPr>
        <w:t>1.1 招标项目概况</w:t>
      </w:r>
    </w:p>
    <w:p w14:paraId="35FB6CBC">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 xml:space="preserve">1.1.1 </w:t>
      </w:r>
      <w:r>
        <w:rPr>
          <w:rFonts w:hint="eastAsia" w:ascii="宋体" w:hAnsi="宋体"/>
          <w:color w:val="auto"/>
          <w:szCs w:val="21"/>
          <w:highlight w:val="none"/>
        </w:rPr>
        <w:t>根据《中华人民共和国招标投标法</w:t>
      </w:r>
      <w:r>
        <w:rPr>
          <w:rFonts w:hint="eastAsia" w:ascii="宋体" w:hAnsi="宋体"/>
          <w:color w:val="auto"/>
          <w:szCs w:val="21"/>
          <w:highlight w:val="none"/>
          <w:lang w:eastAsia="zh-CN"/>
        </w:rPr>
        <w:t>》《</w:t>
      </w:r>
      <w:r>
        <w:rPr>
          <w:rFonts w:hint="eastAsia" w:ascii="宋体" w:hAnsi="宋体"/>
          <w:color w:val="auto"/>
          <w:szCs w:val="21"/>
          <w:highlight w:val="none"/>
        </w:rPr>
        <w:t>中华人民共和国招标投标法实施条例》等有关法律、法规和规章的规定，本招标项目已具备招标条件，现对服务采购进行招标。</w:t>
      </w:r>
    </w:p>
    <w:p w14:paraId="338E1B55">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1.1.2 招标人：</w:t>
      </w:r>
      <w:r>
        <w:rPr>
          <w:rFonts w:hint="eastAsia" w:hAnsi="宋体"/>
          <w:color w:val="auto"/>
          <w:szCs w:val="21"/>
          <w:highlight w:val="none"/>
        </w:rPr>
        <w:t>见招标公告。</w:t>
      </w:r>
    </w:p>
    <w:p w14:paraId="7B47F098">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1.1.3招标项目名称：</w:t>
      </w:r>
      <w:r>
        <w:rPr>
          <w:rFonts w:hint="eastAsia" w:hAnsi="宋体"/>
          <w:color w:val="auto"/>
          <w:szCs w:val="21"/>
          <w:highlight w:val="none"/>
        </w:rPr>
        <w:t>见招标公告。</w:t>
      </w:r>
    </w:p>
    <w:p w14:paraId="734C48D9">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1.2 招标项目的资金来源</w:t>
      </w:r>
    </w:p>
    <w:p w14:paraId="2808CE13">
      <w:pPr>
        <w:pStyle w:val="273"/>
        <w:wordWrap w:val="0"/>
        <w:jc w:val="both"/>
        <w:rPr>
          <w:rFonts w:hint="eastAsia" w:hAnsi="宋体"/>
          <w:strike/>
          <w:color w:val="auto"/>
          <w:sz w:val="21"/>
          <w:szCs w:val="21"/>
          <w:highlight w:val="none"/>
        </w:rPr>
      </w:pPr>
      <w:r>
        <w:rPr>
          <w:rFonts w:hAnsi="宋体"/>
          <w:color w:val="auto"/>
          <w:sz w:val="21"/>
          <w:szCs w:val="21"/>
          <w:highlight w:val="none"/>
        </w:rPr>
        <w:t xml:space="preserve">1.2.1 </w:t>
      </w:r>
      <w:r>
        <w:rPr>
          <w:rFonts w:hint="eastAsia" w:hAnsi="宋体"/>
          <w:color w:val="auto"/>
          <w:sz w:val="21"/>
          <w:szCs w:val="21"/>
          <w:highlight w:val="none"/>
        </w:rPr>
        <w:t>资金来源：见招标公告。</w:t>
      </w:r>
    </w:p>
    <w:p w14:paraId="6FEACB77">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1.3 招标范围、项目工期（服务期限）、服务地点</w:t>
      </w:r>
    </w:p>
    <w:p w14:paraId="536D9788">
      <w:pPr>
        <w:pStyle w:val="273"/>
        <w:wordWrap w:val="0"/>
        <w:jc w:val="both"/>
        <w:rPr>
          <w:rFonts w:hint="eastAsia" w:hAnsi="宋体"/>
          <w:color w:val="auto"/>
          <w:sz w:val="21"/>
          <w:szCs w:val="21"/>
          <w:highlight w:val="none"/>
        </w:rPr>
      </w:pPr>
      <w:r>
        <w:rPr>
          <w:rFonts w:hAnsi="宋体"/>
          <w:color w:val="auto"/>
          <w:sz w:val="21"/>
          <w:szCs w:val="21"/>
          <w:highlight w:val="none"/>
        </w:rPr>
        <w:t>1.3.1 招标范围：</w:t>
      </w:r>
      <w:r>
        <w:rPr>
          <w:rFonts w:hint="eastAsia" w:hAnsi="宋体"/>
          <w:color w:val="auto"/>
          <w:sz w:val="21"/>
          <w:szCs w:val="21"/>
          <w:highlight w:val="none"/>
        </w:rPr>
        <w:t>见招标公告。</w:t>
      </w:r>
    </w:p>
    <w:p w14:paraId="582C4F4A">
      <w:pPr>
        <w:pStyle w:val="273"/>
        <w:wordWrap w:val="0"/>
        <w:jc w:val="both"/>
        <w:rPr>
          <w:rFonts w:hint="eastAsia" w:hAnsi="宋体"/>
          <w:color w:val="auto"/>
          <w:sz w:val="21"/>
          <w:szCs w:val="21"/>
          <w:highlight w:val="none"/>
        </w:rPr>
      </w:pPr>
      <w:r>
        <w:rPr>
          <w:rFonts w:hAnsi="宋体"/>
          <w:color w:val="auto"/>
          <w:sz w:val="21"/>
          <w:szCs w:val="21"/>
          <w:highlight w:val="none"/>
        </w:rPr>
        <w:t xml:space="preserve">1.3.2 </w:t>
      </w:r>
      <w:r>
        <w:rPr>
          <w:rFonts w:hint="eastAsia" w:hAnsi="宋体"/>
          <w:color w:val="auto"/>
          <w:sz w:val="21"/>
          <w:szCs w:val="21"/>
          <w:highlight w:val="none"/>
        </w:rPr>
        <w:t>项目工期（服务期限）</w:t>
      </w:r>
      <w:r>
        <w:rPr>
          <w:rFonts w:hAnsi="宋体"/>
          <w:color w:val="auto"/>
          <w:sz w:val="21"/>
          <w:szCs w:val="21"/>
          <w:highlight w:val="none"/>
        </w:rPr>
        <w:t>：</w:t>
      </w:r>
      <w:r>
        <w:rPr>
          <w:rFonts w:hint="eastAsia" w:hAnsi="宋体"/>
          <w:color w:val="auto"/>
          <w:sz w:val="21"/>
          <w:szCs w:val="21"/>
          <w:highlight w:val="none"/>
        </w:rPr>
        <w:t>见招标公告。</w:t>
      </w:r>
    </w:p>
    <w:p w14:paraId="5F3AFF6A">
      <w:pPr>
        <w:pStyle w:val="273"/>
        <w:wordWrap w:val="0"/>
        <w:jc w:val="both"/>
        <w:rPr>
          <w:rFonts w:hint="eastAsia" w:hAnsi="宋体"/>
          <w:color w:val="auto"/>
          <w:sz w:val="21"/>
          <w:szCs w:val="21"/>
          <w:highlight w:val="none"/>
        </w:rPr>
      </w:pPr>
      <w:r>
        <w:rPr>
          <w:rFonts w:hAnsi="宋体"/>
          <w:color w:val="auto"/>
          <w:sz w:val="21"/>
          <w:szCs w:val="21"/>
          <w:highlight w:val="none"/>
        </w:rPr>
        <w:t xml:space="preserve">1.3.3 </w:t>
      </w:r>
      <w:r>
        <w:rPr>
          <w:rFonts w:hint="eastAsia" w:hAnsi="宋体"/>
          <w:color w:val="auto"/>
          <w:sz w:val="21"/>
          <w:szCs w:val="21"/>
          <w:highlight w:val="none"/>
        </w:rPr>
        <w:t>服务</w:t>
      </w:r>
      <w:r>
        <w:rPr>
          <w:rFonts w:hAnsi="宋体"/>
          <w:color w:val="auto"/>
          <w:sz w:val="21"/>
          <w:szCs w:val="21"/>
          <w:highlight w:val="none"/>
        </w:rPr>
        <w:t>地点：</w:t>
      </w:r>
      <w:r>
        <w:rPr>
          <w:rFonts w:hint="eastAsia" w:hAnsi="宋体"/>
          <w:color w:val="auto"/>
          <w:sz w:val="21"/>
          <w:szCs w:val="21"/>
          <w:highlight w:val="none"/>
        </w:rPr>
        <w:t>见招标公告。</w:t>
      </w:r>
    </w:p>
    <w:p w14:paraId="27B7AEDE">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1.4 投标人资格要求</w:t>
      </w:r>
    </w:p>
    <w:p w14:paraId="4BF2673C">
      <w:pPr>
        <w:pStyle w:val="273"/>
        <w:wordWrap w:val="0"/>
        <w:jc w:val="both"/>
        <w:rPr>
          <w:rFonts w:hint="eastAsia" w:hAnsi="宋体"/>
          <w:color w:val="auto"/>
          <w:sz w:val="21"/>
          <w:szCs w:val="21"/>
          <w:highlight w:val="none"/>
        </w:rPr>
      </w:pPr>
      <w:r>
        <w:rPr>
          <w:rFonts w:hAnsi="宋体"/>
          <w:color w:val="auto"/>
          <w:sz w:val="21"/>
          <w:szCs w:val="21"/>
          <w:highlight w:val="none"/>
        </w:rPr>
        <w:t>1.4.1 投标人应具备承担本招标项</w:t>
      </w:r>
      <w:r>
        <w:rPr>
          <w:rFonts w:hint="eastAsia" w:hAnsi="宋体"/>
          <w:color w:val="auto"/>
          <w:sz w:val="21"/>
          <w:szCs w:val="21"/>
          <w:highlight w:val="none"/>
          <w:lang w:eastAsia="zh-CN"/>
        </w:rPr>
        <w:t>目的</w:t>
      </w:r>
      <w:r>
        <w:rPr>
          <w:rFonts w:hAnsi="宋体"/>
          <w:color w:val="auto"/>
          <w:sz w:val="21"/>
          <w:szCs w:val="21"/>
          <w:highlight w:val="none"/>
        </w:rPr>
        <w:t>资</w:t>
      </w:r>
      <w:r>
        <w:rPr>
          <w:rFonts w:hint="eastAsia" w:hAnsi="宋体"/>
          <w:color w:val="auto"/>
          <w:sz w:val="21"/>
          <w:szCs w:val="21"/>
          <w:highlight w:val="none"/>
        </w:rPr>
        <w:t>格要求</w:t>
      </w:r>
      <w:r>
        <w:rPr>
          <w:rFonts w:hAnsi="宋体"/>
          <w:color w:val="auto"/>
          <w:sz w:val="21"/>
          <w:szCs w:val="21"/>
          <w:highlight w:val="none"/>
        </w:rPr>
        <w:t>：</w:t>
      </w:r>
      <w:r>
        <w:rPr>
          <w:rFonts w:hint="eastAsia" w:hAnsi="宋体"/>
          <w:color w:val="auto"/>
          <w:sz w:val="21"/>
          <w:szCs w:val="21"/>
          <w:highlight w:val="none"/>
        </w:rPr>
        <w:t>见招标公告。</w:t>
      </w:r>
    </w:p>
    <w:p w14:paraId="525A8CE5">
      <w:pPr>
        <w:pStyle w:val="273"/>
        <w:wordWrap w:val="0"/>
        <w:jc w:val="both"/>
        <w:rPr>
          <w:rFonts w:hint="eastAsia" w:hAnsi="宋体"/>
          <w:color w:val="auto"/>
          <w:sz w:val="21"/>
          <w:szCs w:val="21"/>
          <w:highlight w:val="none"/>
        </w:rPr>
      </w:pPr>
      <w:r>
        <w:rPr>
          <w:rFonts w:hAnsi="宋体"/>
          <w:color w:val="auto"/>
          <w:sz w:val="21"/>
          <w:szCs w:val="21"/>
          <w:highlight w:val="none"/>
        </w:rPr>
        <w:t>1.4.2 投标人须知前附表规定接受联合体投标的，联合体除应符合本章第1.4.1项和投标人须知前附表的要求外，还应遵守以下规定：</w:t>
      </w:r>
    </w:p>
    <w:p w14:paraId="615978AC">
      <w:pPr>
        <w:pStyle w:val="273"/>
        <w:wordWrap w:val="0"/>
        <w:jc w:val="both"/>
        <w:rPr>
          <w:rFonts w:hint="eastAsia" w:hAnsi="宋体"/>
          <w:color w:val="auto"/>
          <w:sz w:val="21"/>
          <w:szCs w:val="21"/>
          <w:highlight w:val="none"/>
        </w:rPr>
      </w:pPr>
      <w:r>
        <w:rPr>
          <w:rFonts w:hAnsi="宋体"/>
          <w:color w:val="auto"/>
          <w:sz w:val="21"/>
          <w:szCs w:val="21"/>
          <w:highlight w:val="none"/>
        </w:rPr>
        <w:t>（1）联合体各方应按招标文件提供的格式签订联合体协议书，明确联合体牵头人和各方权利义务，</w:t>
      </w:r>
      <w:r>
        <w:rPr>
          <w:rFonts w:hint="eastAsia" w:hAnsi="宋体"/>
          <w:color w:val="auto"/>
          <w:sz w:val="21"/>
          <w:szCs w:val="21"/>
          <w:highlight w:val="none"/>
        </w:rPr>
        <w:t>及联合体各方工作内容、工作占比及对应投标金额分配，</w:t>
      </w:r>
      <w:r>
        <w:rPr>
          <w:rFonts w:hAnsi="宋体"/>
          <w:color w:val="auto"/>
          <w:sz w:val="21"/>
          <w:szCs w:val="21"/>
          <w:highlight w:val="none"/>
        </w:rPr>
        <w:t>并承诺就中标项目向招标人承担连带责任；</w:t>
      </w:r>
    </w:p>
    <w:p w14:paraId="6A74BB9A">
      <w:pPr>
        <w:pStyle w:val="273"/>
        <w:wordWrap w:val="0"/>
        <w:jc w:val="both"/>
        <w:rPr>
          <w:rFonts w:hint="eastAsia" w:hAnsi="宋体"/>
          <w:color w:val="auto"/>
          <w:sz w:val="21"/>
          <w:szCs w:val="21"/>
          <w:highlight w:val="none"/>
        </w:rPr>
      </w:pPr>
      <w:r>
        <w:rPr>
          <w:rFonts w:hAnsi="宋体"/>
          <w:color w:val="auto"/>
          <w:sz w:val="21"/>
          <w:szCs w:val="21"/>
          <w:highlight w:val="none"/>
        </w:rPr>
        <w:t>（2）由同一专业的单位组成的联合体，按照资质等级较低的单位确定资质等级；</w:t>
      </w:r>
    </w:p>
    <w:p w14:paraId="457C3FAB">
      <w:pPr>
        <w:pStyle w:val="273"/>
        <w:wordWrap w:val="0"/>
        <w:jc w:val="both"/>
        <w:rPr>
          <w:rFonts w:hint="eastAsia" w:hAnsi="宋体"/>
          <w:color w:val="auto"/>
          <w:sz w:val="21"/>
          <w:szCs w:val="21"/>
          <w:highlight w:val="none"/>
        </w:rPr>
      </w:pPr>
      <w:r>
        <w:rPr>
          <w:rFonts w:hAnsi="宋体"/>
          <w:color w:val="auto"/>
          <w:sz w:val="21"/>
          <w:szCs w:val="21"/>
          <w:highlight w:val="none"/>
        </w:rPr>
        <w:t>（3）联合体各方不得再以自己名义单独或参加其他联合体在本招标项目中投标，否则各相关投标均无效。</w:t>
      </w:r>
    </w:p>
    <w:p w14:paraId="2E05DF2D">
      <w:pPr>
        <w:pStyle w:val="273"/>
        <w:wordWrap w:val="0"/>
        <w:jc w:val="both"/>
        <w:rPr>
          <w:rFonts w:hint="eastAsia" w:hAnsi="宋体"/>
          <w:color w:val="auto"/>
          <w:sz w:val="21"/>
          <w:szCs w:val="21"/>
          <w:highlight w:val="none"/>
        </w:rPr>
      </w:pPr>
      <w:r>
        <w:rPr>
          <w:rFonts w:hAnsi="宋体"/>
          <w:color w:val="auto"/>
          <w:sz w:val="21"/>
          <w:szCs w:val="21"/>
          <w:highlight w:val="none"/>
        </w:rPr>
        <w:t>1.4.3 投标人存在下列情形之一的</w:t>
      </w:r>
      <w:r>
        <w:rPr>
          <w:rFonts w:hint="eastAsia" w:hAnsi="宋体"/>
          <w:color w:val="auto"/>
          <w:sz w:val="21"/>
          <w:szCs w:val="21"/>
          <w:highlight w:val="none"/>
        </w:rPr>
        <w:t>，其</w:t>
      </w:r>
      <w:r>
        <w:rPr>
          <w:rFonts w:hAnsi="宋体"/>
          <w:color w:val="auto"/>
          <w:sz w:val="21"/>
          <w:szCs w:val="21"/>
          <w:highlight w:val="none"/>
        </w:rPr>
        <w:t>投标将被</w:t>
      </w:r>
      <w:r>
        <w:rPr>
          <w:rFonts w:hAnsi="宋体"/>
          <w:b/>
          <w:bCs/>
          <w:color w:val="auto"/>
          <w:sz w:val="21"/>
          <w:szCs w:val="21"/>
          <w:highlight w:val="none"/>
        </w:rPr>
        <w:t>否决</w:t>
      </w:r>
      <w:r>
        <w:rPr>
          <w:rFonts w:hAnsi="宋体"/>
          <w:color w:val="auto"/>
          <w:sz w:val="21"/>
          <w:szCs w:val="21"/>
          <w:highlight w:val="none"/>
        </w:rPr>
        <w:t>：</w:t>
      </w:r>
    </w:p>
    <w:p w14:paraId="491A6936">
      <w:pPr>
        <w:pStyle w:val="273"/>
        <w:wordWrap w:val="0"/>
        <w:jc w:val="both"/>
        <w:rPr>
          <w:rFonts w:hint="eastAsia" w:hAnsi="宋体"/>
          <w:color w:val="auto"/>
          <w:sz w:val="21"/>
          <w:szCs w:val="21"/>
          <w:highlight w:val="none"/>
        </w:rPr>
      </w:pPr>
      <w:r>
        <w:rPr>
          <w:rFonts w:hAnsi="宋体"/>
          <w:color w:val="auto"/>
          <w:sz w:val="21"/>
          <w:szCs w:val="21"/>
          <w:highlight w:val="none"/>
        </w:rPr>
        <w:t>（1）与招标人</w:t>
      </w:r>
      <w:r>
        <w:rPr>
          <w:rFonts w:hint="eastAsia" w:hAnsi="宋体"/>
          <w:color w:val="auto"/>
          <w:sz w:val="21"/>
          <w:szCs w:val="21"/>
          <w:highlight w:val="none"/>
        </w:rPr>
        <w:t>（或本</w:t>
      </w:r>
      <w:r>
        <w:rPr>
          <w:rFonts w:hAnsi="宋体"/>
          <w:color w:val="auto"/>
          <w:sz w:val="21"/>
          <w:szCs w:val="21"/>
          <w:highlight w:val="none"/>
        </w:rPr>
        <w:t>项目招标代理</w:t>
      </w:r>
      <w:r>
        <w:rPr>
          <w:rFonts w:hint="eastAsia" w:hAnsi="宋体"/>
          <w:color w:val="auto"/>
          <w:sz w:val="21"/>
          <w:szCs w:val="21"/>
          <w:highlight w:val="none"/>
        </w:rPr>
        <w:t>机构）</w:t>
      </w:r>
      <w:r>
        <w:rPr>
          <w:rFonts w:hAnsi="宋体"/>
          <w:color w:val="auto"/>
          <w:sz w:val="21"/>
          <w:szCs w:val="21"/>
          <w:highlight w:val="none"/>
        </w:rPr>
        <w:t>存在利害关系且可能影响招标公正性；</w:t>
      </w:r>
    </w:p>
    <w:p w14:paraId="75EDE6BA">
      <w:pPr>
        <w:pStyle w:val="273"/>
        <w:wordWrap w:val="0"/>
        <w:jc w:val="both"/>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投标人的法定代表人或负责人与本</w:t>
      </w:r>
      <w:r>
        <w:rPr>
          <w:rFonts w:hAnsi="宋体"/>
          <w:color w:val="auto"/>
          <w:sz w:val="21"/>
          <w:szCs w:val="21"/>
          <w:highlight w:val="none"/>
        </w:rPr>
        <w:t>招标项目（</w:t>
      </w:r>
      <w:r>
        <w:rPr>
          <w:rFonts w:hint="eastAsia" w:hAnsi="宋体"/>
          <w:color w:val="auto"/>
          <w:sz w:val="21"/>
          <w:szCs w:val="21"/>
          <w:highlight w:val="none"/>
        </w:rPr>
        <w:t>标段</w:t>
      </w:r>
      <w:r>
        <w:rPr>
          <w:rFonts w:hAnsi="宋体"/>
          <w:color w:val="auto"/>
          <w:sz w:val="21"/>
          <w:szCs w:val="21"/>
          <w:highlight w:val="none"/>
        </w:rPr>
        <w:t>）</w:t>
      </w:r>
      <w:r>
        <w:rPr>
          <w:rFonts w:hint="eastAsia" w:hAnsi="宋体"/>
          <w:color w:val="auto"/>
          <w:sz w:val="21"/>
          <w:szCs w:val="21"/>
          <w:highlight w:val="none"/>
        </w:rPr>
        <w:t>其他投标人的法定代表人或负责人为同一人</w:t>
      </w:r>
      <w:r>
        <w:rPr>
          <w:rFonts w:hAnsi="宋体"/>
          <w:color w:val="auto"/>
          <w:sz w:val="21"/>
          <w:szCs w:val="21"/>
          <w:highlight w:val="none"/>
        </w:rPr>
        <w:t>；</w:t>
      </w:r>
    </w:p>
    <w:p w14:paraId="72499C06">
      <w:pPr>
        <w:pStyle w:val="273"/>
        <w:wordWrap w:val="0"/>
        <w:jc w:val="both"/>
        <w:rPr>
          <w:rFonts w:hint="eastAsia" w:hAnsi="宋体"/>
          <w:color w:val="auto"/>
          <w:sz w:val="21"/>
          <w:szCs w:val="21"/>
          <w:highlight w:val="none"/>
        </w:rPr>
      </w:pPr>
      <w:r>
        <w:rPr>
          <w:rFonts w:hAnsi="宋体"/>
          <w:color w:val="auto"/>
          <w:sz w:val="21"/>
          <w:szCs w:val="21"/>
          <w:highlight w:val="none"/>
        </w:rPr>
        <w:t>（3）与本招标项目的其他投标人存在控股、管理关系；</w:t>
      </w:r>
    </w:p>
    <w:p w14:paraId="71E5564E">
      <w:pPr>
        <w:pStyle w:val="273"/>
        <w:wordWrap w:val="0"/>
        <w:jc w:val="both"/>
        <w:rPr>
          <w:rFonts w:hint="eastAsia"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4</w:t>
      </w:r>
      <w:r>
        <w:rPr>
          <w:rFonts w:hAnsi="宋体"/>
          <w:color w:val="auto"/>
          <w:sz w:val="21"/>
          <w:szCs w:val="21"/>
          <w:highlight w:val="none"/>
        </w:rPr>
        <w:t>）被</w:t>
      </w:r>
      <w:r>
        <w:rPr>
          <w:rFonts w:hint="eastAsia" w:hAnsi="宋体"/>
          <w:color w:val="auto"/>
          <w:sz w:val="21"/>
          <w:szCs w:val="21"/>
          <w:highlight w:val="none"/>
        </w:rPr>
        <w:t>依法</w:t>
      </w:r>
      <w:r>
        <w:rPr>
          <w:rFonts w:hAnsi="宋体"/>
          <w:color w:val="auto"/>
          <w:sz w:val="21"/>
          <w:szCs w:val="21"/>
          <w:highlight w:val="none"/>
        </w:rPr>
        <w:t>暂停或者取消投标资格；</w:t>
      </w:r>
    </w:p>
    <w:p w14:paraId="620852E6">
      <w:pPr>
        <w:pStyle w:val="273"/>
        <w:wordWrap w:val="0"/>
        <w:jc w:val="both"/>
        <w:rPr>
          <w:rFonts w:hint="eastAsia"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5</w:t>
      </w:r>
      <w:r>
        <w:rPr>
          <w:rFonts w:hAnsi="宋体"/>
          <w:color w:val="auto"/>
          <w:sz w:val="21"/>
          <w:szCs w:val="21"/>
          <w:highlight w:val="none"/>
        </w:rPr>
        <w:t>）被责令停产停业、暂扣或者吊销许可证、暂扣或者吊销执照；</w:t>
      </w:r>
    </w:p>
    <w:p w14:paraId="0293D5B4">
      <w:pPr>
        <w:pStyle w:val="273"/>
        <w:wordWrap w:val="0"/>
        <w:jc w:val="both"/>
        <w:rPr>
          <w:rFonts w:hint="eastAsia"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6</w:t>
      </w:r>
      <w:r>
        <w:rPr>
          <w:rFonts w:hAnsi="宋体"/>
          <w:color w:val="auto"/>
          <w:sz w:val="21"/>
          <w:szCs w:val="21"/>
          <w:highlight w:val="none"/>
        </w:rPr>
        <w:t>）进入</w:t>
      </w:r>
      <w:r>
        <w:rPr>
          <w:rFonts w:hint="eastAsia" w:hAnsi="宋体"/>
          <w:color w:val="auto"/>
          <w:sz w:val="21"/>
          <w:szCs w:val="21"/>
          <w:highlight w:val="none"/>
        </w:rPr>
        <w:t>破产、清算、注销程序</w:t>
      </w:r>
      <w:r>
        <w:rPr>
          <w:rFonts w:hAnsi="宋体"/>
          <w:color w:val="auto"/>
          <w:sz w:val="21"/>
          <w:szCs w:val="21"/>
          <w:highlight w:val="none"/>
        </w:rPr>
        <w:t>，或</w:t>
      </w:r>
      <w:r>
        <w:rPr>
          <w:rFonts w:hint="eastAsia" w:hAnsi="宋体"/>
          <w:color w:val="auto"/>
          <w:sz w:val="21"/>
          <w:szCs w:val="21"/>
          <w:highlight w:val="none"/>
        </w:rPr>
        <w:t>存在其他可能丧失履约能力</w:t>
      </w:r>
      <w:r>
        <w:rPr>
          <w:rFonts w:hAnsi="宋体"/>
          <w:color w:val="auto"/>
          <w:sz w:val="21"/>
          <w:szCs w:val="21"/>
          <w:highlight w:val="none"/>
        </w:rPr>
        <w:t>的情形；</w:t>
      </w:r>
    </w:p>
    <w:p w14:paraId="7542F065">
      <w:pPr>
        <w:pStyle w:val="273"/>
        <w:wordWrap w:val="0"/>
        <w:jc w:val="both"/>
        <w:rPr>
          <w:rFonts w:hint="eastAsia" w:hAnsi="宋体"/>
          <w:color w:val="auto"/>
          <w:sz w:val="21"/>
          <w:szCs w:val="21"/>
          <w:highlight w:val="none"/>
        </w:rPr>
      </w:pPr>
      <w:r>
        <w:rPr>
          <w:rFonts w:hint="eastAsia" w:hAnsi="宋体"/>
          <w:color w:val="auto"/>
          <w:sz w:val="21"/>
          <w:szCs w:val="21"/>
          <w:highlight w:val="none"/>
        </w:rPr>
        <w:t>（7）在最近三年内受到刑事处罚或重大行政处罚（以相关行业主管部门的行政处罚决定或司法机关出具的有关法律文书为准），重大行政处罚是指受到较大数额的罚款（说明：“较大数额罚款”的认定按财政部关于《中华人民共和国政府采购法实施条例》第十九条第一款“较大数额罚款”具体适用问题的意见（财库</w:t>
      </w:r>
      <w:r>
        <w:rPr>
          <w:rFonts w:hint="eastAsia" w:hAnsi="宋体"/>
          <w:color w:val="auto"/>
          <w:sz w:val="21"/>
          <w:szCs w:val="21"/>
          <w:highlight w:val="none"/>
          <w:lang w:eastAsia="zh-CN"/>
        </w:rPr>
        <w:t>〔2022〕</w:t>
      </w:r>
      <w:r>
        <w:rPr>
          <w:rFonts w:hint="eastAsia" w:hAnsi="宋体"/>
          <w:color w:val="auto"/>
          <w:sz w:val="21"/>
          <w:szCs w:val="21"/>
          <w:highlight w:val="none"/>
        </w:rPr>
        <w:t>3 号）执行。）、责令停产停业、在一至三年内禁止参加政府采购活动、暂扣或者吊销许可证、暂扣或者吊销执照等情形之一的行政处罚，或者存在财政部门认定的其他重大违法记录；</w:t>
      </w:r>
    </w:p>
    <w:p w14:paraId="30FA24B6">
      <w:pPr>
        <w:pStyle w:val="273"/>
        <w:wordWrap w:val="0"/>
        <w:jc w:val="left"/>
        <w:rPr>
          <w:rFonts w:hint="eastAsia" w:ascii="宋体" w:hAnsi="宋体" w:eastAsia="宋体" w:cs="宋体"/>
          <w:color w:val="auto"/>
          <w:sz w:val="21"/>
          <w:szCs w:val="21"/>
          <w:highlight w:val="none"/>
          <w:lang w:eastAsia="zh-CN"/>
        </w:rPr>
      </w:pPr>
      <w:r>
        <w:rPr>
          <w:rFonts w:hint="eastAsia" w:hAnsi="宋体"/>
          <w:color w:val="auto"/>
          <w:sz w:val="21"/>
          <w:szCs w:val="21"/>
          <w:highlight w:val="none"/>
        </w:rPr>
        <w:t>（</w:t>
      </w:r>
      <w:r>
        <w:rPr>
          <w:rFonts w:hint="eastAsia" w:hAnsi="宋体"/>
          <w:color w:val="auto"/>
          <w:sz w:val="21"/>
          <w:szCs w:val="21"/>
          <w:highlight w:val="none"/>
          <w:lang w:val="en-US" w:eastAsia="zh-CN"/>
        </w:rPr>
        <w:t>8</w:t>
      </w:r>
      <w:r>
        <w:rPr>
          <w:rFonts w:hint="eastAsia" w:hAnsi="宋体"/>
          <w:color w:val="auto"/>
          <w:sz w:val="21"/>
          <w:szCs w:val="21"/>
          <w:highlight w:val="none"/>
        </w:rPr>
        <w:t>）</w:t>
      </w:r>
      <w:r>
        <w:rPr>
          <w:rFonts w:hint="eastAsia" w:hAnsi="宋体"/>
          <w:color w:val="auto"/>
          <w:sz w:val="21"/>
          <w:szCs w:val="21"/>
          <w:highlight w:val="none"/>
          <w:lang w:eastAsia="zh-CN"/>
        </w:rPr>
        <w:t>在</w:t>
      </w:r>
      <w:r>
        <w:rPr>
          <w:rFonts w:hint="eastAsia" w:ascii="宋体" w:hAnsi="宋体" w:eastAsia="宋体" w:cs="宋体"/>
          <w:color w:val="auto"/>
          <w:sz w:val="21"/>
          <w:szCs w:val="21"/>
          <w:highlight w:val="none"/>
        </w:rPr>
        <w:t>“信用中国”网站（www.creditchina.gov.cn）</w:t>
      </w:r>
      <w:r>
        <w:rPr>
          <w:rFonts w:hint="eastAsia" w:ascii="宋体" w:hAnsi="宋体" w:eastAsia="宋体" w:cs="宋体"/>
          <w:color w:val="auto"/>
          <w:sz w:val="21"/>
          <w:szCs w:val="21"/>
          <w:highlight w:val="none"/>
          <w:lang w:val="en-US" w:eastAsia="zh-CN"/>
        </w:rPr>
        <w:t>中显示已被</w:t>
      </w:r>
      <w:r>
        <w:rPr>
          <w:rFonts w:hint="eastAsia" w:ascii="宋体" w:hAnsi="宋体" w:eastAsia="宋体" w:cs="宋体"/>
          <w:color w:val="auto"/>
          <w:sz w:val="21"/>
          <w:szCs w:val="21"/>
          <w:highlight w:val="none"/>
        </w:rPr>
        <w:t>列入失信被执行人和重大税收违法案件当事人名单</w:t>
      </w:r>
      <w:r>
        <w:rPr>
          <w:rFonts w:hint="eastAsia" w:hAnsi="宋体" w:cs="宋体"/>
          <w:color w:val="auto"/>
          <w:sz w:val="21"/>
          <w:szCs w:val="21"/>
          <w:highlight w:val="none"/>
          <w:lang w:eastAsia="zh-CN"/>
        </w:rPr>
        <w:t>；</w:t>
      </w:r>
    </w:p>
    <w:p w14:paraId="4951EC24">
      <w:pPr>
        <w:pStyle w:val="273"/>
        <w:wordWrap w:val="0"/>
        <w:jc w:val="both"/>
        <w:rPr>
          <w:rFonts w:hint="eastAsia" w:hAnsi="宋体"/>
          <w:color w:val="auto"/>
          <w:sz w:val="21"/>
          <w:szCs w:val="21"/>
          <w:highlight w:val="none"/>
        </w:rPr>
      </w:pPr>
      <w:r>
        <w:rPr>
          <w:rFonts w:hint="eastAsia" w:hAnsi="宋体"/>
          <w:color w:val="auto"/>
          <w:sz w:val="21"/>
          <w:szCs w:val="21"/>
          <w:highlight w:val="none"/>
        </w:rPr>
        <w:t>（9）投标人被长沙市轨道交通集团有限公司或长沙穗城轨道交通有限公司函告禁止在一定期限内参与轨道项目投标的单位按函告内容执行。如有，则以招标人提供的函件内容为准；</w:t>
      </w:r>
    </w:p>
    <w:p w14:paraId="1B66B0D1">
      <w:pPr>
        <w:pStyle w:val="273"/>
        <w:wordWrap w:val="0"/>
        <w:rPr>
          <w:rFonts w:hint="eastAsia" w:ascii="宋体" w:hAnsi="宋体"/>
          <w:b/>
          <w:bCs/>
          <w:color w:val="auto"/>
          <w:szCs w:val="21"/>
          <w:highlight w:val="none"/>
        </w:rPr>
      </w:pPr>
      <w:r>
        <w:rPr>
          <w:rFonts w:hint="eastAsia" w:hAnsi="宋体"/>
          <w:color w:val="auto"/>
          <w:sz w:val="21"/>
          <w:szCs w:val="21"/>
          <w:highlight w:val="none"/>
        </w:rPr>
        <w:t>（10）法律法规或投标人须知前附表规定的其他情形。</w:t>
      </w:r>
    </w:p>
    <w:p w14:paraId="3847D651">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1.5 费用承担</w:t>
      </w:r>
    </w:p>
    <w:p w14:paraId="393999E6">
      <w:pPr>
        <w:pStyle w:val="273"/>
        <w:wordWrap w:val="0"/>
        <w:jc w:val="both"/>
        <w:rPr>
          <w:rFonts w:hint="eastAsia" w:hAnsi="宋体"/>
          <w:color w:val="auto"/>
          <w:sz w:val="21"/>
          <w:szCs w:val="21"/>
          <w:highlight w:val="none"/>
        </w:rPr>
      </w:pPr>
      <w:r>
        <w:rPr>
          <w:rFonts w:hAnsi="宋体"/>
          <w:color w:val="auto"/>
          <w:sz w:val="21"/>
          <w:szCs w:val="21"/>
          <w:highlight w:val="none"/>
        </w:rPr>
        <w:t>投标人准备和参加投标活动发生的费用自理。</w:t>
      </w:r>
    </w:p>
    <w:p w14:paraId="548CE2D0">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1.6 保密</w:t>
      </w:r>
    </w:p>
    <w:p w14:paraId="68E139DF">
      <w:pPr>
        <w:pStyle w:val="273"/>
        <w:wordWrap w:val="0"/>
        <w:jc w:val="both"/>
        <w:rPr>
          <w:rFonts w:hint="eastAsia" w:hAnsi="宋体"/>
          <w:color w:val="auto"/>
          <w:sz w:val="21"/>
          <w:szCs w:val="21"/>
          <w:highlight w:val="none"/>
        </w:rPr>
      </w:pPr>
      <w:r>
        <w:rPr>
          <w:rFonts w:hAnsi="宋体"/>
          <w:color w:val="auto"/>
          <w:sz w:val="21"/>
          <w:szCs w:val="21"/>
          <w:highlight w:val="none"/>
        </w:rPr>
        <w:t>参与招标投标活动的各方应对招标文件和投标文件中的商业和技术等秘密保密，否则应承担相应的法律责任。</w:t>
      </w:r>
    </w:p>
    <w:p w14:paraId="0A141E76">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1.7 语言文字</w:t>
      </w:r>
    </w:p>
    <w:p w14:paraId="6D32AC31">
      <w:pPr>
        <w:pStyle w:val="273"/>
        <w:wordWrap w:val="0"/>
        <w:jc w:val="both"/>
        <w:rPr>
          <w:rFonts w:hint="eastAsia" w:hAnsi="宋体"/>
          <w:color w:val="auto"/>
          <w:sz w:val="21"/>
          <w:szCs w:val="21"/>
          <w:highlight w:val="none"/>
        </w:rPr>
      </w:pPr>
      <w:r>
        <w:rPr>
          <w:rFonts w:hAnsi="宋体"/>
          <w:color w:val="auto"/>
          <w:sz w:val="21"/>
          <w:szCs w:val="21"/>
          <w:highlight w:val="none"/>
        </w:rPr>
        <w:t>招标投标文件使用的语言文字为中文。专用术语使用外文的，应附有中文注释</w:t>
      </w:r>
      <w:r>
        <w:rPr>
          <w:rFonts w:hint="eastAsia" w:hAnsi="宋体"/>
          <w:color w:val="auto"/>
          <w:sz w:val="21"/>
          <w:szCs w:val="21"/>
          <w:highlight w:val="none"/>
        </w:rPr>
        <w:t>，</w:t>
      </w:r>
      <w:r>
        <w:rPr>
          <w:rFonts w:hAnsi="宋体"/>
          <w:color w:val="auto"/>
          <w:sz w:val="21"/>
          <w:szCs w:val="21"/>
          <w:highlight w:val="none"/>
        </w:rPr>
        <w:t>有差异时以中文为准。</w:t>
      </w:r>
    </w:p>
    <w:p w14:paraId="618C1241">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1.8 计量单位</w:t>
      </w:r>
    </w:p>
    <w:p w14:paraId="4B34B35F">
      <w:pPr>
        <w:pStyle w:val="273"/>
        <w:wordWrap w:val="0"/>
        <w:jc w:val="both"/>
        <w:rPr>
          <w:rFonts w:hint="eastAsia" w:hAnsi="宋体"/>
          <w:color w:val="auto"/>
          <w:sz w:val="21"/>
          <w:szCs w:val="21"/>
          <w:highlight w:val="none"/>
        </w:rPr>
      </w:pPr>
      <w:r>
        <w:rPr>
          <w:rFonts w:hAnsi="宋体"/>
          <w:color w:val="auto"/>
          <w:sz w:val="21"/>
          <w:szCs w:val="21"/>
          <w:highlight w:val="none"/>
        </w:rPr>
        <w:t>所有计量均采用中华人民共和国法定计量单位。</w:t>
      </w:r>
    </w:p>
    <w:p w14:paraId="7E34AAE1">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1.9 招标答疑会和现场踏勘</w:t>
      </w:r>
    </w:p>
    <w:p w14:paraId="65F2FBBE">
      <w:pPr>
        <w:pStyle w:val="273"/>
        <w:wordWrap w:val="0"/>
        <w:jc w:val="both"/>
        <w:rPr>
          <w:rFonts w:hint="eastAsia" w:hAnsi="宋体"/>
          <w:color w:val="auto"/>
          <w:sz w:val="21"/>
          <w:szCs w:val="21"/>
          <w:highlight w:val="none"/>
          <w:u w:val="single"/>
        </w:rPr>
      </w:pPr>
      <w:r>
        <w:rPr>
          <w:rFonts w:hAnsi="宋体"/>
          <w:color w:val="auto"/>
          <w:sz w:val="21"/>
          <w:szCs w:val="21"/>
          <w:highlight w:val="none"/>
        </w:rPr>
        <w:t>1.9.1</w:t>
      </w:r>
      <w:r>
        <w:rPr>
          <w:rFonts w:hint="eastAsia" w:hAnsi="宋体"/>
          <w:color w:val="auto"/>
          <w:sz w:val="21"/>
          <w:szCs w:val="21"/>
          <w:highlight w:val="none"/>
        </w:rPr>
        <w:t xml:space="preserve"> 本项目不组织招标答疑会和现场踏勘。</w:t>
      </w:r>
    </w:p>
    <w:p w14:paraId="76238E97">
      <w:pPr>
        <w:pStyle w:val="273"/>
        <w:wordWrap w:val="0"/>
        <w:jc w:val="both"/>
        <w:rPr>
          <w:rFonts w:hint="eastAsia" w:hAnsi="宋体" w:cs="宋体"/>
          <w:color w:val="auto"/>
          <w:sz w:val="21"/>
          <w:szCs w:val="21"/>
          <w:highlight w:val="none"/>
        </w:rPr>
      </w:pPr>
      <w:r>
        <w:rPr>
          <w:rFonts w:hAnsi="宋体"/>
          <w:color w:val="auto"/>
          <w:sz w:val="21"/>
          <w:szCs w:val="21"/>
          <w:highlight w:val="none"/>
        </w:rPr>
        <w:t>1.9.</w:t>
      </w:r>
      <w:r>
        <w:rPr>
          <w:rFonts w:hint="eastAsia" w:hAnsi="宋体"/>
          <w:color w:val="auto"/>
          <w:sz w:val="21"/>
          <w:szCs w:val="21"/>
          <w:highlight w:val="none"/>
        </w:rPr>
        <w:t xml:space="preserve">2 </w:t>
      </w:r>
      <w:r>
        <w:rPr>
          <w:rFonts w:hint="eastAsia" w:hAnsi="宋体" w:cs="宋体"/>
          <w:color w:val="auto"/>
          <w:sz w:val="21"/>
          <w:szCs w:val="21"/>
          <w:highlight w:val="none"/>
        </w:rPr>
        <w:t>投标人的疑问应按本项目招标公告规定的时间和方式提出，以便招标人在规定时间内回复。</w:t>
      </w:r>
    </w:p>
    <w:p w14:paraId="3815F414">
      <w:pPr>
        <w:pStyle w:val="273"/>
        <w:wordWrap w:val="0"/>
        <w:jc w:val="both"/>
        <w:rPr>
          <w:rFonts w:hint="eastAsia" w:hAnsi="宋体"/>
          <w:color w:val="auto"/>
          <w:sz w:val="21"/>
          <w:szCs w:val="21"/>
          <w:highlight w:val="none"/>
        </w:rPr>
      </w:pPr>
      <w:r>
        <w:rPr>
          <w:rFonts w:hAnsi="宋体"/>
          <w:color w:val="auto"/>
          <w:sz w:val="21"/>
          <w:szCs w:val="21"/>
          <w:highlight w:val="none"/>
        </w:rPr>
        <w:t>1.9.</w:t>
      </w:r>
      <w:r>
        <w:rPr>
          <w:rFonts w:hint="eastAsia" w:hAnsi="宋体"/>
          <w:color w:val="auto"/>
          <w:sz w:val="21"/>
          <w:szCs w:val="21"/>
          <w:highlight w:val="none"/>
        </w:rPr>
        <w:t xml:space="preserve">3 </w:t>
      </w:r>
      <w:r>
        <w:rPr>
          <w:rFonts w:hint="eastAsia" w:hAnsi="宋体" w:cs="宋体"/>
          <w:color w:val="auto"/>
          <w:sz w:val="21"/>
          <w:szCs w:val="21"/>
          <w:highlight w:val="none"/>
        </w:rPr>
        <w:t>招标人按本项目招标公告规定的方式发布答疑文件，该文件的内容为招标文件的组成部分。</w:t>
      </w:r>
    </w:p>
    <w:p w14:paraId="794C03BA">
      <w:pPr>
        <w:wordWrap w:val="0"/>
        <w:spacing w:line="360" w:lineRule="auto"/>
        <w:rPr>
          <w:rFonts w:hint="eastAsia" w:ascii="宋体" w:hAnsi="宋体"/>
          <w:b/>
          <w:bCs/>
          <w:color w:val="auto"/>
          <w:szCs w:val="21"/>
          <w:highlight w:val="none"/>
        </w:rPr>
      </w:pPr>
      <w:r>
        <w:rPr>
          <w:rFonts w:ascii="宋体" w:hAnsi="宋体"/>
          <w:b/>
          <w:bCs/>
          <w:color w:val="auto"/>
          <w:szCs w:val="21"/>
          <w:highlight w:val="none"/>
        </w:rPr>
        <w:t xml:space="preserve">1.10 </w:t>
      </w:r>
      <w:r>
        <w:rPr>
          <w:rFonts w:hint="eastAsia" w:ascii="宋体" w:hAnsi="宋体"/>
          <w:b/>
          <w:bCs/>
          <w:color w:val="auto"/>
          <w:szCs w:val="21"/>
          <w:highlight w:val="none"/>
        </w:rPr>
        <w:t>响应和偏差</w:t>
      </w:r>
    </w:p>
    <w:p w14:paraId="27A81BC0">
      <w:pPr>
        <w:pStyle w:val="273"/>
        <w:wordWrap w:val="0"/>
        <w:jc w:val="both"/>
        <w:rPr>
          <w:rFonts w:hint="eastAsia" w:hAnsi="宋体"/>
          <w:color w:val="auto"/>
          <w:sz w:val="21"/>
          <w:szCs w:val="21"/>
          <w:highlight w:val="none"/>
        </w:rPr>
      </w:pPr>
      <w:r>
        <w:rPr>
          <w:rFonts w:hAnsi="宋体"/>
          <w:color w:val="auto"/>
          <w:sz w:val="21"/>
          <w:szCs w:val="21"/>
          <w:highlight w:val="none"/>
        </w:rPr>
        <w:t>1.1</w:t>
      </w:r>
      <w:r>
        <w:rPr>
          <w:rFonts w:hint="eastAsia" w:hAnsi="宋体"/>
          <w:color w:val="auto"/>
          <w:sz w:val="21"/>
          <w:szCs w:val="21"/>
          <w:highlight w:val="none"/>
        </w:rPr>
        <w:t>0</w:t>
      </w:r>
      <w:r>
        <w:rPr>
          <w:rFonts w:hAnsi="宋体"/>
          <w:color w:val="auto"/>
          <w:sz w:val="21"/>
          <w:szCs w:val="21"/>
          <w:highlight w:val="none"/>
        </w:rPr>
        <w:t>.1 投标文件应当对招标文件的实质性要求和条件作出满足性或更有利于招标人的响应，否则，投标人的投标将被</w:t>
      </w:r>
      <w:r>
        <w:rPr>
          <w:rFonts w:hAnsi="宋体"/>
          <w:b/>
          <w:bCs/>
          <w:color w:val="auto"/>
          <w:sz w:val="21"/>
          <w:szCs w:val="21"/>
          <w:highlight w:val="none"/>
        </w:rPr>
        <w:t>否决</w:t>
      </w:r>
      <w:r>
        <w:rPr>
          <w:rFonts w:hAnsi="宋体"/>
          <w:color w:val="auto"/>
          <w:sz w:val="21"/>
          <w:szCs w:val="21"/>
          <w:highlight w:val="none"/>
        </w:rPr>
        <w:t>。实质性要求和条件见投标人须知前附表。</w:t>
      </w:r>
    </w:p>
    <w:p w14:paraId="5BD3A9D5">
      <w:pPr>
        <w:pStyle w:val="273"/>
        <w:wordWrap w:val="0"/>
        <w:jc w:val="both"/>
        <w:rPr>
          <w:rFonts w:hint="eastAsia" w:hAnsi="宋体"/>
          <w:color w:val="auto"/>
          <w:sz w:val="21"/>
          <w:szCs w:val="21"/>
          <w:highlight w:val="none"/>
        </w:rPr>
      </w:pPr>
      <w:r>
        <w:rPr>
          <w:rFonts w:hint="eastAsia" w:hAnsi="宋体"/>
          <w:color w:val="auto"/>
          <w:sz w:val="21"/>
          <w:szCs w:val="21"/>
          <w:highlight w:val="none"/>
        </w:rPr>
        <w:t>1.10.2 投标</w:t>
      </w:r>
      <w:r>
        <w:rPr>
          <w:rFonts w:hAnsi="宋体"/>
          <w:color w:val="auto"/>
          <w:sz w:val="21"/>
          <w:szCs w:val="21"/>
          <w:highlight w:val="none"/>
        </w:rPr>
        <w:t>文件</w:t>
      </w:r>
      <w:r>
        <w:rPr>
          <w:rFonts w:hint="eastAsia" w:hAnsi="宋体"/>
          <w:color w:val="auto"/>
          <w:sz w:val="21"/>
          <w:szCs w:val="21"/>
          <w:highlight w:val="none"/>
        </w:rPr>
        <w:t>对</w:t>
      </w:r>
      <w:r>
        <w:rPr>
          <w:rFonts w:hAnsi="宋体"/>
          <w:color w:val="auto"/>
          <w:sz w:val="21"/>
          <w:szCs w:val="21"/>
          <w:highlight w:val="none"/>
        </w:rPr>
        <w:t>招标文件</w:t>
      </w:r>
      <w:r>
        <w:rPr>
          <w:rFonts w:hint="eastAsia" w:hAnsi="宋体"/>
          <w:color w:val="auto"/>
          <w:sz w:val="21"/>
          <w:szCs w:val="21"/>
          <w:highlight w:val="none"/>
        </w:rPr>
        <w:t>标注“★”符号</w:t>
      </w:r>
      <w:r>
        <w:rPr>
          <w:rFonts w:hAnsi="宋体"/>
          <w:color w:val="auto"/>
          <w:sz w:val="21"/>
          <w:szCs w:val="21"/>
          <w:highlight w:val="none"/>
        </w:rPr>
        <w:t>的实质性要求和条件</w:t>
      </w:r>
      <w:r>
        <w:rPr>
          <w:rFonts w:hint="eastAsia" w:hAnsi="宋体"/>
          <w:color w:val="auto"/>
          <w:sz w:val="21"/>
          <w:szCs w:val="21"/>
          <w:highlight w:val="none"/>
        </w:rPr>
        <w:t>的</w:t>
      </w:r>
      <w:r>
        <w:rPr>
          <w:rFonts w:hAnsi="宋体"/>
          <w:color w:val="auto"/>
          <w:sz w:val="21"/>
          <w:szCs w:val="21"/>
          <w:highlight w:val="none"/>
        </w:rPr>
        <w:t>响应，均须</w:t>
      </w:r>
      <w:r>
        <w:rPr>
          <w:rFonts w:hint="eastAsia" w:hAnsi="宋体"/>
          <w:color w:val="auto"/>
          <w:sz w:val="21"/>
          <w:szCs w:val="21"/>
          <w:highlight w:val="none"/>
        </w:rPr>
        <w:t>按</w:t>
      </w:r>
      <w:r>
        <w:rPr>
          <w:rFonts w:hAnsi="宋体"/>
          <w:color w:val="auto"/>
          <w:sz w:val="21"/>
          <w:szCs w:val="21"/>
          <w:highlight w:val="none"/>
        </w:rPr>
        <w:t>招标文件要求在</w:t>
      </w:r>
      <w:r>
        <w:rPr>
          <w:rFonts w:hint="eastAsia" w:hAnsi="宋体"/>
          <w:color w:val="auto"/>
          <w:sz w:val="21"/>
          <w:szCs w:val="21"/>
          <w:highlight w:val="none"/>
        </w:rPr>
        <w:t>投标</w:t>
      </w:r>
      <w:r>
        <w:rPr>
          <w:rFonts w:hAnsi="宋体"/>
          <w:color w:val="auto"/>
          <w:sz w:val="21"/>
          <w:szCs w:val="21"/>
          <w:highlight w:val="none"/>
        </w:rPr>
        <w:t>文件的《</w:t>
      </w:r>
      <w:r>
        <w:rPr>
          <w:rFonts w:hint="eastAsia" w:hAnsi="宋体"/>
          <w:color w:val="auto"/>
          <w:sz w:val="21"/>
          <w:szCs w:val="21"/>
          <w:highlight w:val="none"/>
        </w:rPr>
        <w:t>实质性条款响应表</w:t>
      </w:r>
      <w:r>
        <w:rPr>
          <w:rFonts w:hAnsi="宋体"/>
          <w:color w:val="auto"/>
          <w:sz w:val="21"/>
          <w:szCs w:val="21"/>
          <w:highlight w:val="none"/>
        </w:rPr>
        <w:t>》</w:t>
      </w:r>
      <w:r>
        <w:rPr>
          <w:rFonts w:hint="eastAsia" w:hAnsi="宋体"/>
          <w:color w:val="auto"/>
          <w:sz w:val="21"/>
          <w:szCs w:val="21"/>
          <w:highlight w:val="none"/>
        </w:rPr>
        <w:t>中</w:t>
      </w:r>
      <w:r>
        <w:rPr>
          <w:rFonts w:hAnsi="宋体"/>
          <w:color w:val="auto"/>
          <w:sz w:val="21"/>
          <w:szCs w:val="21"/>
          <w:highlight w:val="none"/>
        </w:rPr>
        <w:t>列明，《</w:t>
      </w:r>
      <w:r>
        <w:rPr>
          <w:rFonts w:hint="eastAsia" w:hAnsi="宋体"/>
          <w:color w:val="auto"/>
          <w:sz w:val="21"/>
          <w:szCs w:val="21"/>
          <w:highlight w:val="none"/>
        </w:rPr>
        <w:t>实质性条款响应表</w:t>
      </w:r>
      <w:r>
        <w:rPr>
          <w:rFonts w:hAnsi="宋体"/>
          <w:color w:val="auto"/>
          <w:sz w:val="21"/>
          <w:szCs w:val="21"/>
          <w:highlight w:val="none"/>
        </w:rPr>
        <w:t>》</w:t>
      </w:r>
      <w:r>
        <w:rPr>
          <w:rFonts w:hint="eastAsia" w:hAnsi="宋体"/>
          <w:color w:val="auto"/>
          <w:sz w:val="21"/>
          <w:szCs w:val="21"/>
          <w:highlight w:val="none"/>
        </w:rPr>
        <w:t>中缺项</w:t>
      </w:r>
      <w:r>
        <w:rPr>
          <w:rFonts w:hAnsi="宋体"/>
          <w:color w:val="auto"/>
          <w:sz w:val="21"/>
          <w:szCs w:val="21"/>
          <w:highlight w:val="none"/>
        </w:rPr>
        <w:t>、漏项</w:t>
      </w:r>
      <w:r>
        <w:rPr>
          <w:rFonts w:hint="eastAsia" w:hAnsi="宋体"/>
          <w:color w:val="auto"/>
          <w:sz w:val="21"/>
          <w:szCs w:val="21"/>
          <w:highlight w:val="none"/>
        </w:rPr>
        <w:t>或者任意</w:t>
      </w:r>
      <w:r>
        <w:rPr>
          <w:rFonts w:hAnsi="宋体"/>
          <w:color w:val="auto"/>
          <w:sz w:val="21"/>
          <w:szCs w:val="21"/>
          <w:highlight w:val="none"/>
        </w:rPr>
        <w:t>一项</w:t>
      </w:r>
      <w:r>
        <w:rPr>
          <w:rFonts w:hint="eastAsia" w:hAnsi="宋体"/>
          <w:color w:val="auto"/>
          <w:sz w:val="21"/>
          <w:szCs w:val="21"/>
          <w:highlight w:val="none"/>
        </w:rPr>
        <w:t>不响应</w:t>
      </w:r>
      <w:r>
        <w:rPr>
          <w:rFonts w:hAnsi="宋体"/>
          <w:color w:val="auto"/>
          <w:sz w:val="21"/>
          <w:szCs w:val="21"/>
          <w:highlight w:val="none"/>
        </w:rPr>
        <w:t>招标文件的，</w:t>
      </w:r>
      <w:r>
        <w:rPr>
          <w:rFonts w:hint="eastAsia" w:hAnsi="宋体"/>
          <w:color w:val="auto"/>
          <w:sz w:val="21"/>
          <w:szCs w:val="21"/>
          <w:highlight w:val="none"/>
        </w:rPr>
        <w:t>投标</w:t>
      </w:r>
      <w:r>
        <w:rPr>
          <w:rFonts w:hAnsi="宋体"/>
          <w:color w:val="auto"/>
          <w:sz w:val="21"/>
          <w:szCs w:val="21"/>
          <w:highlight w:val="none"/>
        </w:rPr>
        <w:t>将被</w:t>
      </w:r>
      <w:r>
        <w:rPr>
          <w:rFonts w:hAnsi="宋体"/>
          <w:b/>
          <w:color w:val="auto"/>
          <w:sz w:val="21"/>
          <w:szCs w:val="21"/>
          <w:highlight w:val="none"/>
        </w:rPr>
        <w:t>否决</w:t>
      </w:r>
      <w:r>
        <w:rPr>
          <w:rFonts w:hAnsi="宋体"/>
          <w:color w:val="auto"/>
          <w:sz w:val="21"/>
          <w:szCs w:val="21"/>
          <w:highlight w:val="none"/>
        </w:rPr>
        <w:t>。</w:t>
      </w:r>
    </w:p>
    <w:p w14:paraId="205BA493">
      <w:pPr>
        <w:pStyle w:val="273"/>
        <w:wordWrap w:val="0"/>
        <w:jc w:val="both"/>
        <w:rPr>
          <w:rFonts w:hint="eastAsia" w:hAnsi="宋体"/>
          <w:color w:val="auto"/>
          <w:sz w:val="21"/>
          <w:szCs w:val="21"/>
          <w:highlight w:val="none"/>
        </w:rPr>
      </w:pPr>
      <w:r>
        <w:rPr>
          <w:rFonts w:hAnsi="宋体"/>
          <w:color w:val="auto"/>
          <w:sz w:val="21"/>
          <w:szCs w:val="21"/>
          <w:highlight w:val="none"/>
        </w:rPr>
        <w:t>1.1</w:t>
      </w:r>
      <w:r>
        <w:rPr>
          <w:rFonts w:hint="eastAsia" w:hAnsi="宋体"/>
          <w:color w:val="auto"/>
          <w:sz w:val="21"/>
          <w:szCs w:val="21"/>
          <w:highlight w:val="none"/>
        </w:rPr>
        <w:t>0</w:t>
      </w:r>
      <w:r>
        <w:rPr>
          <w:rFonts w:hAnsi="宋体"/>
          <w:color w:val="auto"/>
          <w:sz w:val="21"/>
          <w:szCs w:val="21"/>
          <w:highlight w:val="none"/>
        </w:rPr>
        <w:t>.3 投标人应根据招标文件的要求提供投标</w:t>
      </w:r>
      <w:r>
        <w:rPr>
          <w:rFonts w:hint="eastAsia" w:hAnsi="宋体"/>
          <w:color w:val="auto"/>
          <w:sz w:val="21"/>
          <w:szCs w:val="21"/>
          <w:highlight w:val="none"/>
          <w:lang w:val="en-US" w:eastAsia="zh-CN"/>
        </w:rPr>
        <w:t>货物</w:t>
      </w:r>
      <w:r>
        <w:rPr>
          <w:rFonts w:hint="eastAsia" w:hAnsi="宋体"/>
          <w:color w:val="auto"/>
          <w:sz w:val="21"/>
          <w:szCs w:val="21"/>
          <w:highlight w:val="none"/>
          <w:lang w:eastAsia="zh-CN"/>
        </w:rPr>
        <w:t>、</w:t>
      </w:r>
      <w:r>
        <w:rPr>
          <w:rFonts w:hint="eastAsia" w:hAnsi="宋体"/>
          <w:color w:val="auto"/>
          <w:sz w:val="21"/>
          <w:szCs w:val="21"/>
          <w:highlight w:val="none"/>
        </w:rPr>
        <w:t>服务</w:t>
      </w:r>
      <w:r>
        <w:rPr>
          <w:rFonts w:hAnsi="宋体"/>
          <w:color w:val="auto"/>
          <w:sz w:val="21"/>
          <w:szCs w:val="21"/>
          <w:highlight w:val="none"/>
        </w:rPr>
        <w:t>质量标准的详细描述、技术支持资料及相关服务计划等内容</w:t>
      </w:r>
      <w:r>
        <w:rPr>
          <w:rFonts w:hint="eastAsia" w:hAnsi="宋体"/>
          <w:color w:val="auto"/>
          <w:sz w:val="21"/>
          <w:szCs w:val="21"/>
          <w:highlight w:val="none"/>
        </w:rPr>
        <w:t>，</w:t>
      </w:r>
      <w:r>
        <w:rPr>
          <w:rFonts w:hAnsi="宋体"/>
          <w:color w:val="auto"/>
          <w:sz w:val="21"/>
          <w:szCs w:val="21"/>
          <w:highlight w:val="none"/>
        </w:rPr>
        <w:t>以对招标文件作出响应。</w:t>
      </w:r>
    </w:p>
    <w:p w14:paraId="399F9079">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1.1</w:t>
      </w:r>
      <w:r>
        <w:rPr>
          <w:rFonts w:hint="eastAsia" w:hAnsi="宋体"/>
          <w:color w:val="auto"/>
          <w:sz w:val="21"/>
          <w:szCs w:val="21"/>
          <w:highlight w:val="none"/>
        </w:rPr>
        <w:t>0</w:t>
      </w:r>
      <w:r>
        <w:rPr>
          <w:rFonts w:hAnsi="宋体"/>
          <w:color w:val="auto"/>
          <w:sz w:val="21"/>
          <w:szCs w:val="21"/>
          <w:highlight w:val="none"/>
        </w:rPr>
        <w:t xml:space="preserve">.4 </w:t>
      </w:r>
      <w:r>
        <w:rPr>
          <w:rFonts w:hint="eastAsia" w:hAnsi="宋体"/>
          <w:color w:val="auto"/>
          <w:sz w:val="21"/>
          <w:szCs w:val="21"/>
          <w:highlight w:val="none"/>
        </w:rPr>
        <w:t>投标文件对招标文件非实质性要求和条件的偏差应当符合投标人须知前附表规定的偏差范围和最高项数，超出偏差范围或最高偏差项数的投标将被</w:t>
      </w:r>
      <w:r>
        <w:rPr>
          <w:rFonts w:hint="eastAsia" w:hAnsi="宋体"/>
          <w:b/>
          <w:bCs/>
          <w:color w:val="auto"/>
          <w:sz w:val="21"/>
          <w:szCs w:val="21"/>
          <w:highlight w:val="none"/>
        </w:rPr>
        <w:t>否决</w:t>
      </w:r>
      <w:r>
        <w:rPr>
          <w:rFonts w:hint="eastAsia" w:hAnsi="宋体"/>
          <w:color w:val="auto"/>
          <w:sz w:val="21"/>
          <w:szCs w:val="21"/>
          <w:highlight w:val="none"/>
        </w:rPr>
        <w:t>。投标</w:t>
      </w:r>
      <w:r>
        <w:rPr>
          <w:rFonts w:hAnsi="宋体"/>
          <w:color w:val="auto"/>
          <w:sz w:val="21"/>
          <w:szCs w:val="21"/>
          <w:highlight w:val="none"/>
        </w:rPr>
        <w:t>人须</w:t>
      </w:r>
      <w:r>
        <w:rPr>
          <w:rFonts w:hint="eastAsia" w:hAnsi="宋体"/>
          <w:color w:val="auto"/>
          <w:sz w:val="21"/>
          <w:szCs w:val="21"/>
          <w:highlight w:val="none"/>
        </w:rPr>
        <w:t>按招标</w:t>
      </w:r>
      <w:r>
        <w:rPr>
          <w:rFonts w:hAnsi="宋体"/>
          <w:color w:val="auto"/>
          <w:sz w:val="21"/>
          <w:szCs w:val="21"/>
          <w:highlight w:val="none"/>
        </w:rPr>
        <w:t>文件规定，在</w:t>
      </w:r>
      <w:r>
        <w:rPr>
          <w:rFonts w:hint="eastAsia" w:hAnsi="宋体"/>
          <w:color w:val="auto"/>
          <w:sz w:val="21"/>
          <w:szCs w:val="21"/>
          <w:highlight w:val="none"/>
        </w:rPr>
        <w:t>投标文件的《商务和技术偏差表》中列明对非实质性要求和条件的偏差内容</w:t>
      </w:r>
      <w:r>
        <w:rPr>
          <w:rFonts w:hAnsi="宋体"/>
          <w:color w:val="auto"/>
          <w:sz w:val="21"/>
          <w:szCs w:val="21"/>
          <w:highlight w:val="none"/>
        </w:rPr>
        <w:t>，除</w:t>
      </w:r>
      <w:r>
        <w:rPr>
          <w:rFonts w:hint="eastAsia" w:hAnsi="宋体"/>
          <w:color w:val="auto"/>
          <w:sz w:val="21"/>
          <w:szCs w:val="21"/>
          <w:highlight w:val="none"/>
        </w:rPr>
        <w:t>列明的内容外，视为投标人响应招标文件的全部</w:t>
      </w:r>
      <w:r>
        <w:rPr>
          <w:rFonts w:hAnsi="宋体"/>
          <w:color w:val="auto"/>
          <w:sz w:val="21"/>
          <w:szCs w:val="21"/>
          <w:highlight w:val="none"/>
        </w:rPr>
        <w:t>要求</w:t>
      </w:r>
      <w:r>
        <w:rPr>
          <w:rFonts w:hint="eastAsia" w:hAnsi="宋体"/>
          <w:color w:val="auto"/>
          <w:sz w:val="21"/>
          <w:szCs w:val="21"/>
          <w:highlight w:val="none"/>
        </w:rPr>
        <w:t>和条件。</w:t>
      </w:r>
    </w:p>
    <w:p w14:paraId="21393216">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2.招标文件</w:t>
      </w:r>
    </w:p>
    <w:p w14:paraId="2F341DC9">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2.1 招标文件的组成</w:t>
      </w:r>
    </w:p>
    <w:p w14:paraId="00B4CD51">
      <w:pPr>
        <w:pStyle w:val="273"/>
        <w:wordWrap w:val="0"/>
        <w:jc w:val="both"/>
        <w:rPr>
          <w:rFonts w:hint="eastAsia" w:hAnsi="宋体"/>
          <w:color w:val="auto"/>
          <w:sz w:val="21"/>
          <w:szCs w:val="21"/>
          <w:highlight w:val="none"/>
        </w:rPr>
      </w:pPr>
      <w:r>
        <w:rPr>
          <w:rFonts w:hAnsi="宋体"/>
          <w:color w:val="auto"/>
          <w:sz w:val="21"/>
          <w:szCs w:val="21"/>
          <w:highlight w:val="none"/>
        </w:rPr>
        <w:t>本招标文件包括：</w:t>
      </w:r>
    </w:p>
    <w:p w14:paraId="18DF9FD2">
      <w:pPr>
        <w:pStyle w:val="273"/>
        <w:wordWrap w:val="0"/>
        <w:jc w:val="both"/>
        <w:rPr>
          <w:rFonts w:hint="eastAsia" w:hAnsi="宋体"/>
          <w:color w:val="auto"/>
          <w:sz w:val="21"/>
          <w:szCs w:val="21"/>
          <w:highlight w:val="none"/>
        </w:rPr>
      </w:pPr>
      <w:r>
        <w:rPr>
          <w:rFonts w:hAnsi="宋体"/>
          <w:color w:val="auto"/>
          <w:sz w:val="21"/>
          <w:szCs w:val="21"/>
          <w:highlight w:val="none"/>
        </w:rPr>
        <w:t>（1）招标公告；</w:t>
      </w:r>
    </w:p>
    <w:p w14:paraId="7BB75169">
      <w:pPr>
        <w:pStyle w:val="273"/>
        <w:wordWrap w:val="0"/>
        <w:jc w:val="both"/>
        <w:rPr>
          <w:rFonts w:hint="eastAsia" w:hAnsi="宋体"/>
          <w:color w:val="auto"/>
          <w:sz w:val="21"/>
          <w:szCs w:val="21"/>
          <w:highlight w:val="none"/>
        </w:rPr>
      </w:pPr>
      <w:r>
        <w:rPr>
          <w:rFonts w:hAnsi="宋体"/>
          <w:color w:val="auto"/>
          <w:sz w:val="21"/>
          <w:szCs w:val="21"/>
          <w:highlight w:val="none"/>
        </w:rPr>
        <w:t>（2）投标人须知；</w:t>
      </w:r>
    </w:p>
    <w:p w14:paraId="46060B40">
      <w:pPr>
        <w:pStyle w:val="273"/>
        <w:wordWrap w:val="0"/>
        <w:jc w:val="both"/>
        <w:rPr>
          <w:rFonts w:hint="eastAsia" w:hAnsi="宋体"/>
          <w:color w:val="auto"/>
          <w:sz w:val="21"/>
          <w:szCs w:val="21"/>
          <w:highlight w:val="none"/>
        </w:rPr>
      </w:pPr>
      <w:r>
        <w:rPr>
          <w:rFonts w:hAnsi="宋体"/>
          <w:color w:val="auto"/>
          <w:sz w:val="21"/>
          <w:szCs w:val="21"/>
          <w:highlight w:val="none"/>
        </w:rPr>
        <w:t>（3）评标办法；</w:t>
      </w:r>
    </w:p>
    <w:p w14:paraId="1DE1FB71">
      <w:pPr>
        <w:pStyle w:val="273"/>
        <w:wordWrap w:val="0"/>
        <w:jc w:val="both"/>
        <w:rPr>
          <w:rFonts w:hint="eastAsia" w:hAnsi="宋体"/>
          <w:color w:val="auto"/>
          <w:sz w:val="21"/>
          <w:szCs w:val="21"/>
          <w:highlight w:val="none"/>
        </w:rPr>
      </w:pPr>
      <w:r>
        <w:rPr>
          <w:rFonts w:hAnsi="宋体"/>
          <w:color w:val="auto"/>
          <w:sz w:val="21"/>
          <w:szCs w:val="21"/>
          <w:highlight w:val="none"/>
        </w:rPr>
        <w:t>（4）合同条款及格式；</w:t>
      </w:r>
    </w:p>
    <w:p w14:paraId="543FDFEC">
      <w:pPr>
        <w:pStyle w:val="273"/>
        <w:wordWrap w:val="0"/>
        <w:jc w:val="both"/>
        <w:rPr>
          <w:rFonts w:hint="eastAsia" w:hAnsi="宋体"/>
          <w:color w:val="auto"/>
          <w:sz w:val="21"/>
          <w:szCs w:val="21"/>
          <w:highlight w:val="none"/>
        </w:rPr>
      </w:pPr>
      <w:r>
        <w:rPr>
          <w:rFonts w:hAnsi="宋体"/>
          <w:color w:val="auto"/>
          <w:sz w:val="21"/>
          <w:szCs w:val="21"/>
          <w:highlight w:val="none"/>
        </w:rPr>
        <w:t>（5）</w:t>
      </w:r>
      <w:r>
        <w:rPr>
          <w:rFonts w:hint="eastAsia" w:hAnsi="宋体"/>
          <w:color w:val="auto"/>
          <w:sz w:val="21"/>
          <w:szCs w:val="21"/>
          <w:highlight w:val="none"/>
        </w:rPr>
        <w:t>用户需求书</w:t>
      </w:r>
      <w:r>
        <w:rPr>
          <w:rFonts w:hAnsi="宋体"/>
          <w:color w:val="auto"/>
          <w:sz w:val="21"/>
          <w:szCs w:val="21"/>
          <w:highlight w:val="none"/>
        </w:rPr>
        <w:t>；</w:t>
      </w:r>
    </w:p>
    <w:p w14:paraId="3ADE370F">
      <w:pPr>
        <w:pStyle w:val="273"/>
        <w:wordWrap w:val="0"/>
        <w:jc w:val="both"/>
        <w:rPr>
          <w:rFonts w:hint="eastAsia" w:hAnsi="宋体"/>
          <w:color w:val="auto"/>
          <w:sz w:val="21"/>
          <w:szCs w:val="21"/>
          <w:highlight w:val="none"/>
        </w:rPr>
      </w:pPr>
      <w:r>
        <w:rPr>
          <w:rFonts w:hAnsi="宋体"/>
          <w:color w:val="auto"/>
          <w:sz w:val="21"/>
          <w:szCs w:val="21"/>
          <w:highlight w:val="none"/>
        </w:rPr>
        <w:t>（6）投标文件格式；</w:t>
      </w:r>
    </w:p>
    <w:p w14:paraId="3322294F">
      <w:pPr>
        <w:pStyle w:val="273"/>
        <w:wordWrap w:val="0"/>
        <w:jc w:val="both"/>
        <w:rPr>
          <w:rFonts w:hint="eastAsia" w:hAnsi="宋体"/>
          <w:color w:val="auto"/>
          <w:sz w:val="21"/>
          <w:szCs w:val="21"/>
          <w:highlight w:val="none"/>
        </w:rPr>
      </w:pPr>
      <w:r>
        <w:rPr>
          <w:rFonts w:hAnsi="宋体"/>
          <w:color w:val="auto"/>
          <w:sz w:val="21"/>
          <w:szCs w:val="21"/>
          <w:highlight w:val="none"/>
        </w:rPr>
        <w:t>（7）投标人须知前附表规定的其他资料</w:t>
      </w:r>
      <w:r>
        <w:rPr>
          <w:rFonts w:hint="eastAsia" w:hAnsi="宋体"/>
          <w:color w:val="auto"/>
          <w:sz w:val="21"/>
          <w:szCs w:val="21"/>
          <w:highlight w:val="none"/>
        </w:rPr>
        <w:t>（如有）</w:t>
      </w:r>
      <w:r>
        <w:rPr>
          <w:rFonts w:hAnsi="宋体"/>
          <w:color w:val="auto"/>
          <w:sz w:val="21"/>
          <w:szCs w:val="21"/>
          <w:highlight w:val="none"/>
        </w:rPr>
        <w:t>。</w:t>
      </w:r>
    </w:p>
    <w:p w14:paraId="656C46A7">
      <w:pPr>
        <w:pStyle w:val="273"/>
        <w:wordWrap w:val="0"/>
        <w:jc w:val="both"/>
        <w:rPr>
          <w:rFonts w:hint="eastAsia" w:hAnsi="宋体"/>
          <w:color w:val="auto"/>
          <w:sz w:val="21"/>
          <w:szCs w:val="21"/>
          <w:highlight w:val="none"/>
        </w:rPr>
      </w:pPr>
      <w:r>
        <w:rPr>
          <w:rFonts w:hint="eastAsia" w:hAnsi="宋体"/>
          <w:color w:val="auto"/>
          <w:sz w:val="21"/>
          <w:szCs w:val="21"/>
          <w:highlight w:val="none"/>
        </w:rPr>
        <w:t>根据本章第1.9款、第2.2款和第2.3款对招标文件所做的澄清、修改和补充等，构成招标文件的组成部分。当招标文件，</w:t>
      </w:r>
      <w:r>
        <w:rPr>
          <w:rFonts w:hAnsi="宋体"/>
          <w:color w:val="auto"/>
          <w:sz w:val="21"/>
          <w:szCs w:val="21"/>
          <w:highlight w:val="none"/>
        </w:rPr>
        <w:t>以及对招标文件所做</w:t>
      </w:r>
      <w:r>
        <w:rPr>
          <w:rFonts w:hint="eastAsia" w:hAnsi="宋体"/>
          <w:color w:val="auto"/>
          <w:sz w:val="21"/>
          <w:szCs w:val="21"/>
          <w:highlight w:val="none"/>
        </w:rPr>
        <w:t>的澄清、修改和补充等在同一内容的表述不一致时，以最后发布的文件为准。</w:t>
      </w:r>
    </w:p>
    <w:p w14:paraId="38169AA9">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2.2 招标文件的澄清</w:t>
      </w:r>
    </w:p>
    <w:p w14:paraId="2F541CB2">
      <w:pP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2.2.1 投标人应仔细阅读和检查招标文件的全部内容，如有疑问，应在投标人须知前附表规定的时间前，按规定的方式向招标人提出，否则，由此引起的损失由投标人自己承担。投标人同时应认真审阅招标文件中所有的事项、格式、条款和规范要求等，若投标人的投标文件没有按招标文件要求提交全部资料，或投标文件没有对招标文件</w:t>
      </w:r>
      <w:r>
        <w:rPr>
          <w:rFonts w:hint="eastAsia" w:ascii="宋体" w:hAnsi="宋体"/>
          <w:color w:val="auto"/>
          <w:szCs w:val="21"/>
          <w:highlight w:val="none"/>
          <w:lang w:val="en-US" w:eastAsia="zh-CN"/>
        </w:rPr>
        <w:t>作</w:t>
      </w:r>
      <w:r>
        <w:rPr>
          <w:rFonts w:hint="eastAsia" w:ascii="宋体" w:hAnsi="宋体"/>
          <w:color w:val="auto"/>
          <w:szCs w:val="21"/>
          <w:highlight w:val="none"/>
        </w:rPr>
        <w:t>出实质性响应，其风险由投标人自行承担，并根据有关条款规定，该投标有可能被</w:t>
      </w:r>
      <w:r>
        <w:rPr>
          <w:rFonts w:hint="eastAsia" w:ascii="宋体" w:hAnsi="宋体"/>
          <w:b/>
          <w:bCs/>
          <w:color w:val="auto"/>
          <w:szCs w:val="21"/>
          <w:highlight w:val="none"/>
        </w:rPr>
        <w:t>拒绝</w:t>
      </w:r>
      <w:r>
        <w:rPr>
          <w:rFonts w:hint="eastAsia" w:ascii="宋体" w:hAnsi="宋体"/>
          <w:color w:val="auto"/>
          <w:szCs w:val="21"/>
          <w:highlight w:val="none"/>
        </w:rPr>
        <w:t>。</w:t>
      </w:r>
    </w:p>
    <w:p w14:paraId="6B2C1663">
      <w:pP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2.2.2 招标文件的澄清以投标人须知前附表规定的形式发布，但不指明澄清问题的来源，敬请获得招标文件的所有投标人关注，恕不另行通知，如有遗漏，招标人概不负责。澄清发出的时间距本章第4.2.1项规定的投标截止时间不足15日的，并且澄清内容可能影响投标文件编制的，将相应延长投标截止时间。</w:t>
      </w:r>
    </w:p>
    <w:p w14:paraId="107A6BC9">
      <w:pP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2.2.3 除招标人认为确有必要答复外，招标人有权拒绝回复投标人在本章第 2.2.1 项规定的时间后的任何澄清要求。</w:t>
      </w:r>
    </w:p>
    <w:p w14:paraId="298D2A54">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2.3 招标文件的修改</w:t>
      </w:r>
    </w:p>
    <w:p w14:paraId="1B60258C">
      <w:pPr>
        <w:pStyle w:val="273"/>
        <w:wordWrap w:val="0"/>
        <w:jc w:val="both"/>
        <w:rPr>
          <w:rFonts w:hint="eastAsia" w:hAnsi="宋体"/>
          <w:color w:val="auto"/>
          <w:sz w:val="21"/>
          <w:szCs w:val="21"/>
          <w:highlight w:val="none"/>
        </w:rPr>
      </w:pPr>
      <w:r>
        <w:rPr>
          <w:rFonts w:hAnsi="宋体"/>
          <w:color w:val="auto"/>
          <w:sz w:val="21"/>
          <w:szCs w:val="21"/>
          <w:highlight w:val="none"/>
        </w:rPr>
        <w:t>2.3.1 招标人以投标人须知前附表规定的形式修改招标文件</w:t>
      </w:r>
      <w:r>
        <w:rPr>
          <w:rFonts w:hint="eastAsia" w:hAnsi="宋体"/>
          <w:color w:val="auto"/>
          <w:sz w:val="21"/>
          <w:szCs w:val="21"/>
          <w:highlight w:val="none"/>
        </w:rPr>
        <w:t>，并发布招标文件修改文件</w:t>
      </w:r>
      <w:r>
        <w:rPr>
          <w:rFonts w:hAnsi="宋体"/>
          <w:color w:val="auto"/>
          <w:sz w:val="21"/>
          <w:szCs w:val="21"/>
          <w:highlight w:val="none"/>
        </w:rPr>
        <w:t>。修改招标文件的时间距本章第4.</w:t>
      </w:r>
      <w:r>
        <w:rPr>
          <w:rFonts w:hint="eastAsia" w:hAnsi="宋体"/>
          <w:color w:val="auto"/>
          <w:sz w:val="21"/>
          <w:szCs w:val="21"/>
          <w:highlight w:val="none"/>
        </w:rPr>
        <w:t>2</w:t>
      </w:r>
      <w:r>
        <w:rPr>
          <w:rFonts w:hAnsi="宋体"/>
          <w:color w:val="auto"/>
          <w:sz w:val="21"/>
          <w:szCs w:val="21"/>
          <w:highlight w:val="none"/>
        </w:rPr>
        <w:t>.1项规定的投标截止时间不足15日的，并且修改内容可能影响投标文件编制的，将相应延长投标截止时间。</w:t>
      </w:r>
    </w:p>
    <w:p w14:paraId="0B376E65">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2.4 招标文件的异议</w:t>
      </w:r>
    </w:p>
    <w:p w14:paraId="6A8228BD">
      <w:pPr>
        <w:pStyle w:val="273"/>
        <w:wordWrap w:val="0"/>
        <w:jc w:val="both"/>
        <w:rPr>
          <w:rFonts w:hint="eastAsia" w:hAnsi="宋体"/>
          <w:color w:val="auto"/>
          <w:sz w:val="21"/>
          <w:szCs w:val="21"/>
          <w:highlight w:val="none"/>
        </w:rPr>
      </w:pPr>
      <w:r>
        <w:rPr>
          <w:rFonts w:hint="eastAsia" w:hAnsi="宋体"/>
          <w:color w:val="auto"/>
          <w:sz w:val="21"/>
          <w:szCs w:val="21"/>
          <w:highlight w:val="none"/>
        </w:rPr>
        <w:t xml:space="preserve">2.4.1 </w:t>
      </w:r>
      <w:r>
        <w:rPr>
          <w:rFonts w:hAnsi="宋体"/>
          <w:color w:val="auto"/>
          <w:sz w:val="21"/>
          <w:szCs w:val="21"/>
          <w:highlight w:val="none"/>
        </w:rPr>
        <w:t>投标人或者其他利害关系人对招标文件有异议的，应当</w:t>
      </w:r>
      <w:r>
        <w:rPr>
          <w:rFonts w:hint="eastAsia" w:hAnsi="宋体"/>
          <w:color w:val="auto"/>
          <w:sz w:val="21"/>
          <w:szCs w:val="21"/>
          <w:highlight w:val="none"/>
        </w:rPr>
        <w:t>在投标截止时间1</w:t>
      </w:r>
      <w:r>
        <w:rPr>
          <w:rFonts w:hAnsi="宋体"/>
          <w:color w:val="auto"/>
          <w:sz w:val="21"/>
          <w:szCs w:val="21"/>
          <w:highlight w:val="none"/>
        </w:rPr>
        <w:t>0</w:t>
      </w:r>
      <w:r>
        <w:rPr>
          <w:rFonts w:hint="eastAsia" w:hAnsi="宋体"/>
          <w:color w:val="auto"/>
          <w:sz w:val="21"/>
          <w:szCs w:val="21"/>
          <w:highlight w:val="none"/>
        </w:rPr>
        <w:t>日前以书面形式向本项目招标代理机构提出。</w:t>
      </w:r>
    </w:p>
    <w:p w14:paraId="494FEBAA">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3.投标文件</w:t>
      </w:r>
    </w:p>
    <w:p w14:paraId="472463CE">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3.1 投标文件的组成</w:t>
      </w:r>
    </w:p>
    <w:p w14:paraId="1BB2BE20">
      <w:pPr>
        <w:pStyle w:val="273"/>
        <w:wordWrap w:val="0"/>
        <w:ind w:left="420" w:leftChars="200" w:firstLine="0"/>
        <w:jc w:val="both"/>
        <w:rPr>
          <w:rFonts w:hint="eastAsia" w:hAnsi="宋体"/>
          <w:color w:val="auto"/>
          <w:sz w:val="21"/>
          <w:szCs w:val="21"/>
          <w:highlight w:val="none"/>
        </w:rPr>
      </w:pPr>
      <w:r>
        <w:rPr>
          <w:rFonts w:hAnsi="宋体"/>
          <w:color w:val="auto"/>
          <w:sz w:val="21"/>
          <w:szCs w:val="21"/>
          <w:highlight w:val="none"/>
        </w:rPr>
        <w:t>3.1.1 投标文件</w:t>
      </w:r>
      <w:r>
        <w:rPr>
          <w:rFonts w:hint="eastAsia" w:hAnsi="宋体"/>
          <w:color w:val="auto"/>
          <w:sz w:val="21"/>
          <w:szCs w:val="21"/>
          <w:highlight w:val="none"/>
        </w:rPr>
        <w:t>应包括下列内容</w:t>
      </w:r>
      <w:r>
        <w:rPr>
          <w:rFonts w:hAnsi="宋体"/>
          <w:color w:val="auto"/>
          <w:sz w:val="21"/>
          <w:szCs w:val="21"/>
          <w:highlight w:val="none"/>
        </w:rPr>
        <w:t>：</w:t>
      </w:r>
    </w:p>
    <w:p w14:paraId="4D773B0D">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一、投标函</w:t>
      </w:r>
    </w:p>
    <w:p w14:paraId="0CF2ACDA">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二、开标一览表</w:t>
      </w:r>
    </w:p>
    <w:p w14:paraId="71725EAB">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三、投标报价表</w:t>
      </w:r>
    </w:p>
    <w:p w14:paraId="422C5C9E">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四、法定代表人身份证明</w:t>
      </w:r>
    </w:p>
    <w:p w14:paraId="1886F49F">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五、授权委托书（如有）</w:t>
      </w:r>
    </w:p>
    <w:p w14:paraId="32E9D25E">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六、投标人具备投标资格的证明文件</w:t>
      </w:r>
    </w:p>
    <w:p w14:paraId="137BB4A2">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七、投标保证金</w:t>
      </w:r>
    </w:p>
    <w:p w14:paraId="7051E459">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八、投标人承诺函</w:t>
      </w:r>
    </w:p>
    <w:p w14:paraId="1193AD2D">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九、实质性条款（标注“★”符号）响应表</w:t>
      </w:r>
    </w:p>
    <w:p w14:paraId="0E32C252">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十、商务和技术偏差表</w:t>
      </w:r>
    </w:p>
    <w:p w14:paraId="1CBBB6BC">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十一、项目主要管理人员</w:t>
      </w:r>
    </w:p>
    <w:p w14:paraId="559825C4">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十二、类似业绩</w:t>
      </w:r>
    </w:p>
    <w:p w14:paraId="34DB37C6">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十三、投标人认为需提供的其他商务评审资料</w:t>
      </w:r>
    </w:p>
    <w:p w14:paraId="5BE3C69F">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十四、项目实施方案</w:t>
      </w:r>
    </w:p>
    <w:p w14:paraId="13192434">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十五、投标人认为需提供的其他技术评审资料</w:t>
      </w:r>
    </w:p>
    <w:p w14:paraId="29592C04">
      <w:pPr>
        <w:pStyle w:val="273"/>
        <w:wordWrap w:val="0"/>
        <w:jc w:val="both"/>
        <w:rPr>
          <w:rFonts w:hint="eastAsia" w:hAnsi="宋体"/>
          <w:color w:val="auto"/>
          <w:sz w:val="21"/>
          <w:szCs w:val="21"/>
          <w:highlight w:val="none"/>
        </w:rPr>
      </w:pPr>
      <w:r>
        <w:rPr>
          <w:rFonts w:hAnsi="宋体"/>
          <w:color w:val="auto"/>
          <w:sz w:val="21"/>
          <w:szCs w:val="21"/>
          <w:highlight w:val="none"/>
        </w:rPr>
        <w:t>投标人在评标过程中作出的符合法律法规和招标文件规定的澄清</w:t>
      </w:r>
      <w:r>
        <w:rPr>
          <w:rFonts w:hint="eastAsia" w:hAnsi="宋体"/>
          <w:color w:val="auto"/>
          <w:sz w:val="21"/>
          <w:szCs w:val="21"/>
          <w:highlight w:val="none"/>
        </w:rPr>
        <w:t>、说明和补正</w:t>
      </w:r>
      <w:r>
        <w:rPr>
          <w:rFonts w:hAnsi="宋体"/>
          <w:color w:val="auto"/>
          <w:sz w:val="21"/>
          <w:szCs w:val="21"/>
          <w:highlight w:val="none"/>
        </w:rPr>
        <w:t>，构成投标文件的组成部分。</w:t>
      </w:r>
    </w:p>
    <w:p w14:paraId="4E8B19C5">
      <w:pPr>
        <w:pStyle w:val="273"/>
        <w:wordWrap w:val="0"/>
        <w:jc w:val="both"/>
        <w:rPr>
          <w:rFonts w:hint="eastAsia" w:hAnsi="宋体"/>
          <w:color w:val="auto"/>
          <w:sz w:val="21"/>
          <w:szCs w:val="21"/>
          <w:highlight w:val="none"/>
        </w:rPr>
      </w:pPr>
      <w:r>
        <w:rPr>
          <w:rFonts w:hAnsi="宋体"/>
          <w:color w:val="auto"/>
          <w:sz w:val="21"/>
          <w:szCs w:val="21"/>
          <w:highlight w:val="none"/>
        </w:rPr>
        <w:t>3.1.2</w:t>
      </w:r>
      <w:r>
        <w:rPr>
          <w:rFonts w:hint="eastAsia" w:hAnsi="宋体"/>
          <w:color w:val="auto"/>
          <w:sz w:val="21"/>
          <w:szCs w:val="21"/>
          <w:highlight w:val="none"/>
        </w:rPr>
        <w:t xml:space="preserve"> </w:t>
      </w:r>
      <w:r>
        <w:rPr>
          <w:rFonts w:hAnsi="宋体"/>
          <w:color w:val="auto"/>
          <w:sz w:val="21"/>
          <w:szCs w:val="21"/>
          <w:highlight w:val="none"/>
        </w:rPr>
        <w:t>投标人须知前附表规定不接受联合体投标的，或投标人没有组成联合体的，投标文件不包括本章第3.1.1</w:t>
      </w:r>
      <w:r>
        <w:rPr>
          <w:rFonts w:hint="eastAsia" w:hAnsi="宋体"/>
          <w:color w:val="auto"/>
          <w:sz w:val="21"/>
          <w:szCs w:val="21"/>
          <w:highlight w:val="none"/>
        </w:rPr>
        <w:t>所指的联合体协议书。</w:t>
      </w:r>
    </w:p>
    <w:p w14:paraId="1CAA792E">
      <w:pPr>
        <w:pStyle w:val="273"/>
        <w:wordWrap w:val="0"/>
        <w:jc w:val="both"/>
        <w:rPr>
          <w:rFonts w:hint="eastAsia" w:hAnsi="宋体"/>
          <w:color w:val="auto"/>
          <w:sz w:val="21"/>
          <w:szCs w:val="21"/>
          <w:highlight w:val="none"/>
        </w:rPr>
      </w:pPr>
      <w:r>
        <w:rPr>
          <w:rFonts w:hAnsi="宋体"/>
          <w:color w:val="auto"/>
          <w:sz w:val="21"/>
          <w:szCs w:val="21"/>
          <w:highlight w:val="none"/>
        </w:rPr>
        <w:t>3.1.</w:t>
      </w:r>
      <w:r>
        <w:rPr>
          <w:rFonts w:hint="eastAsia" w:hAnsi="宋体"/>
          <w:color w:val="auto"/>
          <w:sz w:val="21"/>
          <w:szCs w:val="21"/>
          <w:highlight w:val="none"/>
          <w:lang w:val="en-US" w:eastAsia="zh-CN"/>
        </w:rPr>
        <w:t>3</w:t>
      </w:r>
      <w:r>
        <w:rPr>
          <w:rFonts w:hint="eastAsia" w:hAnsi="宋体"/>
          <w:color w:val="auto"/>
          <w:sz w:val="21"/>
          <w:szCs w:val="21"/>
          <w:highlight w:val="none"/>
        </w:rPr>
        <w:t xml:space="preserve"> 投标人应当按照招标文件的要求编制投标文件。投标文件应当对招标文件提出的要求和条件作出明确响应。</w:t>
      </w:r>
    </w:p>
    <w:p w14:paraId="38C378C3">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3.2 投标报价</w:t>
      </w:r>
    </w:p>
    <w:p w14:paraId="31A416C6">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3.2.1</w:t>
      </w:r>
      <w:r>
        <w:rPr>
          <w:rFonts w:hint="eastAsia" w:hAnsi="宋体"/>
          <w:color w:val="auto"/>
          <w:sz w:val="21"/>
          <w:szCs w:val="21"/>
          <w:highlight w:val="none"/>
        </w:rPr>
        <w:t xml:space="preserve"> </w:t>
      </w:r>
      <w:r>
        <w:rPr>
          <w:rFonts w:hint="eastAsia" w:hAnsi="宋体" w:cs="宋体"/>
          <w:color w:val="auto"/>
          <w:sz w:val="21"/>
          <w:szCs w:val="21"/>
          <w:highlight w:val="none"/>
        </w:rPr>
        <w:t>投标人应按第六章“投标文件格式”的要求在投标函、开标一览表中进行报价</w:t>
      </w:r>
      <w:r>
        <w:rPr>
          <w:rFonts w:hint="eastAsia" w:hAnsi="宋体"/>
          <w:color w:val="auto"/>
          <w:sz w:val="21"/>
          <w:szCs w:val="21"/>
          <w:highlight w:val="none"/>
        </w:rPr>
        <w:t>。</w:t>
      </w:r>
      <w:r>
        <w:rPr>
          <w:rFonts w:hint="eastAsia" w:hAnsi="宋体" w:cs="宋体"/>
          <w:color w:val="auto"/>
          <w:sz w:val="21"/>
          <w:szCs w:val="21"/>
          <w:highlight w:val="none"/>
        </w:rPr>
        <w:t>本项目投标总报价、综合单价（如有）均不能高于招标人公布的最高投标限价，超过最高投标限价的投标报价为无效报价，按</w:t>
      </w:r>
      <w:r>
        <w:rPr>
          <w:rFonts w:hint="eastAsia" w:hAnsi="宋体" w:cs="宋体"/>
          <w:b/>
          <w:bCs/>
          <w:color w:val="auto"/>
          <w:sz w:val="21"/>
          <w:szCs w:val="21"/>
          <w:highlight w:val="none"/>
        </w:rPr>
        <w:t>废标</w:t>
      </w:r>
      <w:r>
        <w:rPr>
          <w:rFonts w:hint="eastAsia" w:hAnsi="宋体" w:cs="宋体"/>
          <w:color w:val="auto"/>
          <w:sz w:val="21"/>
          <w:szCs w:val="21"/>
          <w:highlight w:val="none"/>
        </w:rPr>
        <w:t>情形处理。投标时需明确税费，税率必须符合国家政策法规规定，合同支付时服务单位需开具经招标方认可的合法完税单据</w:t>
      </w:r>
      <w:r>
        <w:rPr>
          <w:rFonts w:hint="eastAsia" w:hAnsi="宋体"/>
          <w:color w:val="auto"/>
          <w:sz w:val="21"/>
          <w:szCs w:val="21"/>
          <w:highlight w:val="none"/>
        </w:rPr>
        <w:t>。</w:t>
      </w:r>
    </w:p>
    <w:p w14:paraId="5E036C72">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3.2.2 投标人应充分了解该项目的总体情况以及影响投标报价的其他要素。</w:t>
      </w:r>
      <w:r>
        <w:rPr>
          <w:rFonts w:hint="eastAsia" w:hAnsi="宋体"/>
          <w:color w:val="auto"/>
          <w:sz w:val="21"/>
          <w:szCs w:val="21"/>
          <w:highlight w:val="none"/>
        </w:rPr>
        <w:t>最终结算以长沙穗城轨道交通有限公司或政府职能部门审核为准。</w:t>
      </w:r>
    </w:p>
    <w:p w14:paraId="69FEA636">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3.2.3 投标</w:t>
      </w:r>
      <w:r>
        <w:rPr>
          <w:rFonts w:hint="eastAsia" w:hAnsi="宋体"/>
          <w:color w:val="auto"/>
          <w:sz w:val="21"/>
          <w:szCs w:val="21"/>
          <w:highlight w:val="none"/>
        </w:rPr>
        <w:t>总</w:t>
      </w:r>
      <w:r>
        <w:rPr>
          <w:rFonts w:hAnsi="宋体"/>
          <w:color w:val="auto"/>
          <w:sz w:val="21"/>
          <w:szCs w:val="21"/>
          <w:highlight w:val="none"/>
        </w:rPr>
        <w:t>报价为各明细报价金额之和，投标</w:t>
      </w:r>
      <w:r>
        <w:rPr>
          <w:rFonts w:hint="eastAsia" w:hAnsi="宋体"/>
          <w:color w:val="auto"/>
          <w:sz w:val="21"/>
          <w:szCs w:val="21"/>
          <w:highlight w:val="none"/>
        </w:rPr>
        <w:t>总</w:t>
      </w:r>
      <w:r>
        <w:rPr>
          <w:rFonts w:hAnsi="宋体"/>
          <w:color w:val="auto"/>
          <w:sz w:val="21"/>
          <w:szCs w:val="21"/>
          <w:highlight w:val="none"/>
        </w:rPr>
        <w:t>报价与明细报价的合价不一致的，以</w:t>
      </w:r>
      <w:r>
        <w:rPr>
          <w:rFonts w:hint="eastAsia" w:hAnsi="宋体"/>
          <w:color w:val="auto"/>
          <w:sz w:val="21"/>
          <w:szCs w:val="21"/>
          <w:highlight w:val="none"/>
        </w:rPr>
        <w:t>“开标一览表”中“投标总报价”为准</w:t>
      </w:r>
      <w:r>
        <w:rPr>
          <w:rFonts w:hAnsi="宋体"/>
          <w:color w:val="auto"/>
          <w:sz w:val="21"/>
          <w:szCs w:val="21"/>
          <w:highlight w:val="none"/>
        </w:rPr>
        <w:t>；如明细报价中存在缺漏项，则视为缺漏项价格已包含在其他明细报价之中。投标人在投标截止时间前修改投标函中的投标</w:t>
      </w:r>
      <w:r>
        <w:rPr>
          <w:rFonts w:hint="eastAsia" w:hAnsi="宋体"/>
          <w:color w:val="auto"/>
          <w:sz w:val="21"/>
          <w:szCs w:val="21"/>
          <w:highlight w:val="none"/>
        </w:rPr>
        <w:t>总</w:t>
      </w:r>
      <w:r>
        <w:rPr>
          <w:rFonts w:hAnsi="宋体"/>
          <w:color w:val="auto"/>
          <w:sz w:val="21"/>
          <w:szCs w:val="21"/>
          <w:highlight w:val="none"/>
        </w:rPr>
        <w:t>报价，应同时修改投标文件</w:t>
      </w:r>
      <w:r>
        <w:rPr>
          <w:rFonts w:hint="eastAsia" w:hAnsi="宋体"/>
          <w:color w:val="auto"/>
          <w:sz w:val="21"/>
          <w:szCs w:val="21"/>
          <w:highlight w:val="none"/>
        </w:rPr>
        <w:t>《开标一览表》和《投标报价表》</w:t>
      </w:r>
      <w:r>
        <w:rPr>
          <w:rFonts w:hAnsi="宋体"/>
          <w:color w:val="auto"/>
          <w:sz w:val="21"/>
          <w:szCs w:val="21"/>
          <w:highlight w:val="none"/>
        </w:rPr>
        <w:t>中的相应报价。此修改须符合本章第4.3款的有关要求。</w:t>
      </w:r>
    </w:p>
    <w:p w14:paraId="4C1FA4CC">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w:t>
      </w:r>
      <w:r>
        <w:rPr>
          <w:rFonts w:hint="eastAsia" w:hAnsi="宋体"/>
          <w:color w:val="auto"/>
          <w:sz w:val="21"/>
          <w:szCs w:val="21"/>
          <w:highlight w:val="none"/>
        </w:rPr>
        <w:t>4 最高投标限价：见投标人须知前附表。</w:t>
      </w:r>
    </w:p>
    <w:p w14:paraId="47522627">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3.2.</w:t>
      </w:r>
      <w:r>
        <w:rPr>
          <w:rFonts w:hint="eastAsia" w:hAnsi="宋体"/>
          <w:color w:val="auto"/>
          <w:sz w:val="21"/>
          <w:szCs w:val="21"/>
          <w:highlight w:val="none"/>
        </w:rPr>
        <w:t>5 投标报价应保证在投标有效期内有效。除合同另有约定外，投标报价作为中标价及合同价在合同履行期间是固定不变的，不受政策、法规变化以及汇率浮动、物价指数浮动等因素的影响。中标人不得以任何理由予以变更。</w:t>
      </w:r>
    </w:p>
    <w:p w14:paraId="14EB5EF6">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3.2.6 投标报价的其他要求见投标人须知前附表。</w:t>
      </w:r>
    </w:p>
    <w:p w14:paraId="2AB638A2">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3.3 投标有效期</w:t>
      </w:r>
    </w:p>
    <w:p w14:paraId="78F74D8F">
      <w:pPr>
        <w:pStyle w:val="273"/>
        <w:wordWrap w:val="0"/>
        <w:jc w:val="both"/>
        <w:rPr>
          <w:rFonts w:hint="eastAsia" w:hAnsi="宋体"/>
          <w:color w:val="auto"/>
          <w:sz w:val="21"/>
          <w:szCs w:val="21"/>
          <w:highlight w:val="none"/>
        </w:rPr>
      </w:pPr>
      <w:r>
        <w:rPr>
          <w:rFonts w:hAnsi="宋体"/>
          <w:color w:val="auto"/>
          <w:sz w:val="21"/>
          <w:szCs w:val="21"/>
          <w:highlight w:val="none"/>
        </w:rPr>
        <w:t>3.3.1 除投标人须知前附表另有规定外，投标有效期为</w:t>
      </w:r>
      <w:r>
        <w:rPr>
          <w:rFonts w:hint="eastAsia" w:hAnsi="宋体"/>
          <w:color w:val="auto"/>
          <w:sz w:val="21"/>
          <w:szCs w:val="21"/>
          <w:highlight w:val="none"/>
        </w:rPr>
        <w:t>180日历天，从投标截止之日起算</w:t>
      </w:r>
      <w:r>
        <w:rPr>
          <w:rFonts w:hAnsi="宋体"/>
          <w:color w:val="auto"/>
          <w:sz w:val="21"/>
          <w:szCs w:val="21"/>
          <w:highlight w:val="none"/>
        </w:rPr>
        <w:t>。</w:t>
      </w:r>
      <w:r>
        <w:rPr>
          <w:rFonts w:hint="eastAsia" w:hAnsi="宋体"/>
          <w:color w:val="auto"/>
          <w:sz w:val="21"/>
          <w:szCs w:val="21"/>
          <w:highlight w:val="none"/>
        </w:rPr>
        <w:t>投标有效期</w:t>
      </w:r>
      <w:r>
        <w:rPr>
          <w:rFonts w:hAnsi="宋体"/>
          <w:color w:val="auto"/>
          <w:sz w:val="21"/>
          <w:szCs w:val="21"/>
          <w:highlight w:val="none"/>
        </w:rPr>
        <w:t>不足的投标，在评标时将其视为</w:t>
      </w:r>
      <w:r>
        <w:rPr>
          <w:rFonts w:hint="eastAsia" w:hAnsi="宋体"/>
          <w:b/>
          <w:bCs/>
          <w:color w:val="auto"/>
          <w:sz w:val="21"/>
          <w:szCs w:val="21"/>
          <w:highlight w:val="none"/>
        </w:rPr>
        <w:t>无效</w:t>
      </w:r>
      <w:r>
        <w:rPr>
          <w:rFonts w:hAnsi="宋体"/>
          <w:b/>
          <w:bCs/>
          <w:color w:val="auto"/>
          <w:sz w:val="21"/>
          <w:szCs w:val="21"/>
          <w:highlight w:val="none"/>
        </w:rPr>
        <w:t>投标</w:t>
      </w:r>
      <w:r>
        <w:rPr>
          <w:rFonts w:hAnsi="宋体"/>
          <w:color w:val="auto"/>
          <w:sz w:val="21"/>
          <w:szCs w:val="21"/>
          <w:highlight w:val="none"/>
        </w:rPr>
        <w:t>。</w:t>
      </w:r>
    </w:p>
    <w:p w14:paraId="22F5C0FF">
      <w:pPr>
        <w:pStyle w:val="273"/>
        <w:wordWrap w:val="0"/>
        <w:jc w:val="both"/>
        <w:rPr>
          <w:rFonts w:hint="eastAsia" w:hAnsi="宋体"/>
          <w:color w:val="auto"/>
          <w:sz w:val="21"/>
          <w:szCs w:val="21"/>
          <w:highlight w:val="none"/>
        </w:rPr>
      </w:pPr>
      <w:r>
        <w:rPr>
          <w:rFonts w:hAnsi="宋体"/>
          <w:color w:val="auto"/>
          <w:sz w:val="21"/>
          <w:szCs w:val="21"/>
          <w:highlight w:val="none"/>
        </w:rPr>
        <w:t>3.3.2 在投标有效期内，投标人撤销投标文件的，应承担招标文件和法律规定的责任。</w:t>
      </w:r>
    </w:p>
    <w:p w14:paraId="70BFB739">
      <w:pPr>
        <w:pStyle w:val="273"/>
        <w:wordWrap w:val="0"/>
        <w:jc w:val="both"/>
        <w:rPr>
          <w:rFonts w:hint="eastAsia" w:hAnsi="宋体"/>
          <w:color w:val="auto"/>
          <w:sz w:val="21"/>
          <w:szCs w:val="21"/>
          <w:highlight w:val="none"/>
        </w:rPr>
      </w:pPr>
      <w:r>
        <w:rPr>
          <w:rFonts w:hAnsi="宋体"/>
          <w:color w:val="auto"/>
          <w:sz w:val="21"/>
          <w:szCs w:val="21"/>
          <w:highlight w:val="none"/>
        </w:rPr>
        <w:t>3.3.3 出现特殊情况需要延长投标有效期的，招标人</w:t>
      </w:r>
      <w:r>
        <w:rPr>
          <w:rFonts w:hint="eastAsia" w:hAnsi="宋体"/>
          <w:color w:val="auto"/>
          <w:sz w:val="21"/>
          <w:szCs w:val="21"/>
          <w:highlight w:val="none"/>
        </w:rPr>
        <w:t>可以根据需要</w:t>
      </w:r>
      <w:r>
        <w:rPr>
          <w:rFonts w:hAnsi="宋体"/>
          <w:color w:val="auto"/>
          <w:sz w:val="21"/>
          <w:szCs w:val="21"/>
          <w:highlight w:val="none"/>
        </w:rPr>
        <w:t>以书面形式</w:t>
      </w:r>
      <w:r>
        <w:rPr>
          <w:rFonts w:hint="eastAsia" w:hAnsi="宋体"/>
          <w:color w:val="auto"/>
          <w:sz w:val="21"/>
          <w:szCs w:val="21"/>
          <w:highlight w:val="none"/>
        </w:rPr>
        <w:t>向</w:t>
      </w:r>
      <w:r>
        <w:rPr>
          <w:rFonts w:hAnsi="宋体"/>
          <w:color w:val="auto"/>
          <w:sz w:val="21"/>
          <w:szCs w:val="21"/>
          <w:highlight w:val="none"/>
        </w:rPr>
        <w:t>投标人</w:t>
      </w:r>
      <w:r>
        <w:rPr>
          <w:rFonts w:hint="eastAsia" w:hAnsi="宋体"/>
          <w:color w:val="auto"/>
          <w:sz w:val="21"/>
          <w:szCs w:val="21"/>
          <w:highlight w:val="none"/>
        </w:rPr>
        <w:t>提出</w:t>
      </w:r>
      <w:r>
        <w:rPr>
          <w:rFonts w:hAnsi="宋体"/>
          <w:color w:val="auto"/>
          <w:sz w:val="21"/>
          <w:szCs w:val="21"/>
          <w:highlight w:val="none"/>
        </w:rPr>
        <w:t>延长投标有效期</w:t>
      </w:r>
      <w:r>
        <w:rPr>
          <w:rFonts w:hint="eastAsia" w:hAnsi="宋体"/>
          <w:color w:val="auto"/>
          <w:sz w:val="21"/>
          <w:szCs w:val="21"/>
          <w:highlight w:val="none"/>
        </w:rPr>
        <w:t>的要求</w:t>
      </w:r>
      <w:r>
        <w:rPr>
          <w:rFonts w:hAnsi="宋体"/>
          <w:color w:val="auto"/>
          <w:sz w:val="21"/>
          <w:szCs w:val="21"/>
          <w:highlight w:val="none"/>
        </w:rPr>
        <w:t>。投标人应予以书面答复，同意延长的，应相应延长其投标保证金的有效期，但不得要求或被允许修改其投标文件；投标人拒绝延长的，其投标失效，但投标人有权收回其投标保证金。</w:t>
      </w:r>
    </w:p>
    <w:p w14:paraId="2EFB4D9B">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3.4 投标保证金</w:t>
      </w:r>
    </w:p>
    <w:p w14:paraId="14DB36F0">
      <w:pPr>
        <w:pStyle w:val="273"/>
        <w:wordWrap w:val="0"/>
        <w:jc w:val="both"/>
        <w:rPr>
          <w:rFonts w:hint="eastAsia" w:hAnsi="宋体"/>
          <w:color w:val="auto"/>
          <w:sz w:val="21"/>
          <w:szCs w:val="21"/>
          <w:highlight w:val="none"/>
        </w:rPr>
      </w:pPr>
      <w:r>
        <w:rPr>
          <w:rFonts w:hint="eastAsia" w:hAnsi="宋体"/>
          <w:color w:val="auto"/>
          <w:sz w:val="21"/>
          <w:szCs w:val="21"/>
          <w:highlight w:val="none"/>
        </w:rPr>
        <w:t>3.4.1 投标人在递交投标文件的同时，应按投标人须知前附表规定的金额递交投标保证金，并作为其投标文件的组成部分。联合体投标的，其投标保证金由牵头人递交，并应符合投标人须知前附表的规定。</w:t>
      </w:r>
    </w:p>
    <w:p w14:paraId="7FF5B9A7">
      <w:pPr>
        <w:pStyle w:val="273"/>
        <w:wordWrap w:val="0"/>
        <w:jc w:val="both"/>
        <w:rPr>
          <w:rFonts w:hint="eastAsia" w:hAnsi="宋体"/>
          <w:color w:val="auto"/>
          <w:sz w:val="21"/>
          <w:szCs w:val="21"/>
          <w:highlight w:val="none"/>
        </w:rPr>
      </w:pPr>
      <w:r>
        <w:rPr>
          <w:rFonts w:hint="eastAsia" w:hAnsi="宋体"/>
          <w:color w:val="auto"/>
          <w:sz w:val="21"/>
          <w:szCs w:val="21"/>
          <w:highlight w:val="none"/>
        </w:rPr>
        <w:t>3.4.2 投标人不按本章第3.4.1项要求提交投标保证金的，提交评标委员会</w:t>
      </w:r>
      <w:r>
        <w:rPr>
          <w:rFonts w:hint="eastAsia" w:hAnsi="宋体"/>
          <w:b/>
          <w:bCs/>
          <w:color w:val="auto"/>
          <w:sz w:val="21"/>
          <w:szCs w:val="21"/>
          <w:highlight w:val="none"/>
        </w:rPr>
        <w:t>否决</w:t>
      </w:r>
      <w:r>
        <w:rPr>
          <w:rFonts w:hint="eastAsia" w:hAnsi="宋体"/>
          <w:color w:val="auto"/>
          <w:sz w:val="21"/>
          <w:szCs w:val="21"/>
          <w:highlight w:val="none"/>
        </w:rPr>
        <w:t>其投标。</w:t>
      </w:r>
    </w:p>
    <w:p w14:paraId="0C915E89">
      <w:pPr>
        <w:pStyle w:val="273"/>
        <w:wordWrap w:val="0"/>
        <w:jc w:val="both"/>
        <w:rPr>
          <w:rFonts w:hint="eastAsia" w:hAnsi="宋体"/>
          <w:color w:val="auto"/>
          <w:sz w:val="21"/>
          <w:szCs w:val="21"/>
          <w:highlight w:val="none"/>
        </w:rPr>
      </w:pPr>
      <w:r>
        <w:rPr>
          <w:rFonts w:hint="eastAsia" w:hAnsi="宋体"/>
          <w:color w:val="auto"/>
          <w:sz w:val="21"/>
          <w:szCs w:val="21"/>
          <w:highlight w:val="none"/>
        </w:rPr>
        <w:t>3.4.3 投标保证金的退还按潇湘交易云平台公布的《投标保证金退还流程》等要求办理。</w:t>
      </w:r>
    </w:p>
    <w:p w14:paraId="00392670">
      <w:pPr>
        <w:pStyle w:val="273"/>
        <w:wordWrap w:val="0"/>
        <w:jc w:val="both"/>
        <w:rPr>
          <w:rFonts w:hint="eastAsia" w:hAnsi="宋体"/>
          <w:color w:val="auto"/>
          <w:sz w:val="21"/>
          <w:szCs w:val="21"/>
          <w:highlight w:val="none"/>
        </w:rPr>
      </w:pPr>
      <w:r>
        <w:rPr>
          <w:rFonts w:hint="eastAsia" w:hAnsi="宋体"/>
          <w:color w:val="auto"/>
          <w:sz w:val="21"/>
          <w:szCs w:val="21"/>
          <w:highlight w:val="none"/>
        </w:rPr>
        <w:t>3.4.4 有下列情形之一的，投标保证金将不予退还：</w:t>
      </w:r>
    </w:p>
    <w:p w14:paraId="2E9DC76B">
      <w:pPr>
        <w:pStyle w:val="273"/>
        <w:wordWrap w:val="0"/>
        <w:jc w:val="both"/>
        <w:rPr>
          <w:rFonts w:hint="eastAsia" w:hAnsi="宋体"/>
          <w:color w:val="auto"/>
          <w:sz w:val="21"/>
          <w:szCs w:val="21"/>
          <w:highlight w:val="none"/>
        </w:rPr>
      </w:pPr>
      <w:r>
        <w:rPr>
          <w:rFonts w:hint="eastAsia" w:hAnsi="宋体"/>
          <w:color w:val="auto"/>
          <w:sz w:val="21"/>
          <w:szCs w:val="21"/>
          <w:highlight w:val="none"/>
        </w:rPr>
        <w:t>（1）投标人在投标有效期内撤销投标文件；</w:t>
      </w:r>
    </w:p>
    <w:p w14:paraId="7165E4FC">
      <w:pPr>
        <w:pStyle w:val="273"/>
        <w:wordWrap w:val="0"/>
        <w:jc w:val="both"/>
        <w:rPr>
          <w:rFonts w:hint="eastAsia" w:hAnsi="宋体"/>
          <w:color w:val="auto"/>
          <w:sz w:val="21"/>
          <w:szCs w:val="21"/>
          <w:highlight w:val="none"/>
        </w:rPr>
      </w:pPr>
      <w:r>
        <w:rPr>
          <w:rFonts w:hint="eastAsia" w:hAnsi="宋体"/>
          <w:color w:val="auto"/>
          <w:sz w:val="21"/>
          <w:szCs w:val="21"/>
          <w:highlight w:val="none"/>
        </w:rPr>
        <w:t>（2）中标人在收到中标通知书后，</w:t>
      </w:r>
      <w:r>
        <w:rPr>
          <w:rFonts w:hAnsi="宋体"/>
          <w:color w:val="auto"/>
          <w:sz w:val="21"/>
          <w:szCs w:val="21"/>
          <w:highlight w:val="none"/>
        </w:rPr>
        <w:t>30天内</w:t>
      </w:r>
      <w:r>
        <w:rPr>
          <w:rFonts w:hint="eastAsia" w:hAnsi="宋体"/>
          <w:color w:val="auto"/>
          <w:sz w:val="21"/>
          <w:szCs w:val="21"/>
          <w:highlight w:val="none"/>
        </w:rPr>
        <w:t>无正当理由不与招标人订立合同，在签订合同时向招标人提出附加条件，或者不按照招标文件要求提交履约保证金；</w:t>
      </w:r>
    </w:p>
    <w:p w14:paraId="726EA5E1">
      <w:pPr>
        <w:pStyle w:val="273"/>
        <w:wordWrap w:val="0"/>
        <w:jc w:val="both"/>
        <w:rPr>
          <w:rFonts w:hint="eastAsia" w:hAnsi="宋体"/>
          <w:color w:val="auto"/>
          <w:sz w:val="21"/>
          <w:szCs w:val="21"/>
          <w:highlight w:val="none"/>
        </w:rPr>
      </w:pPr>
      <w:r>
        <w:rPr>
          <w:rFonts w:hint="eastAsia" w:hAnsi="宋体"/>
          <w:color w:val="auto"/>
          <w:sz w:val="21"/>
          <w:szCs w:val="21"/>
          <w:highlight w:val="none"/>
        </w:rPr>
        <w:t>（3）投标人在投标过程中以任何方式进行串通投标；</w:t>
      </w:r>
    </w:p>
    <w:p w14:paraId="7FEC36B2">
      <w:pPr>
        <w:pStyle w:val="273"/>
        <w:wordWrap w:val="0"/>
        <w:jc w:val="both"/>
        <w:rPr>
          <w:rFonts w:hint="eastAsia" w:hAnsi="宋体"/>
          <w:color w:val="auto"/>
          <w:sz w:val="21"/>
          <w:szCs w:val="21"/>
          <w:highlight w:val="none"/>
        </w:rPr>
      </w:pPr>
      <w:r>
        <w:rPr>
          <w:rFonts w:hint="eastAsia" w:hAnsi="宋体"/>
          <w:color w:val="auto"/>
          <w:sz w:val="21"/>
          <w:szCs w:val="21"/>
          <w:highlight w:val="none"/>
        </w:rPr>
        <w:t>（4）投标人以他人名义投标或者弄虚作假，骗取中标。</w:t>
      </w:r>
    </w:p>
    <w:p w14:paraId="7375C30E">
      <w:pPr>
        <w:pStyle w:val="273"/>
        <w:wordWrap w:val="0"/>
        <w:jc w:val="both"/>
        <w:rPr>
          <w:rFonts w:hint="eastAsia" w:hAnsi="宋体"/>
          <w:color w:val="auto"/>
          <w:sz w:val="21"/>
          <w:szCs w:val="21"/>
          <w:highlight w:val="none"/>
        </w:rPr>
      </w:pPr>
      <w:r>
        <w:rPr>
          <w:rFonts w:hint="eastAsia" w:hAnsi="宋体"/>
          <w:color w:val="auto"/>
          <w:sz w:val="21"/>
          <w:szCs w:val="21"/>
          <w:highlight w:val="none"/>
        </w:rPr>
        <w:t>（5）法律</w:t>
      </w:r>
      <w:r>
        <w:rPr>
          <w:rFonts w:hAnsi="宋体"/>
          <w:color w:val="auto"/>
          <w:sz w:val="21"/>
          <w:szCs w:val="21"/>
          <w:highlight w:val="none"/>
        </w:rPr>
        <w:t>法规或招标文件规定的其他情形。</w:t>
      </w:r>
    </w:p>
    <w:p w14:paraId="2B19CEF8">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3.5 资格证明文件</w:t>
      </w:r>
    </w:p>
    <w:p w14:paraId="7CB93A44">
      <w:pP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3.5.</w:t>
      </w:r>
      <w:r>
        <w:rPr>
          <w:rFonts w:ascii="宋体" w:hAnsi="宋体"/>
          <w:color w:val="auto"/>
          <w:szCs w:val="21"/>
          <w:highlight w:val="none"/>
        </w:rPr>
        <w:t>1</w:t>
      </w:r>
      <w:r>
        <w:rPr>
          <w:rFonts w:hint="eastAsia" w:ascii="宋体" w:hAnsi="宋体"/>
          <w:color w:val="auto"/>
          <w:szCs w:val="21"/>
          <w:highlight w:val="none"/>
        </w:rPr>
        <w:t xml:space="preserve"> 资格证明文件及提交要求：详见第六章“</w:t>
      </w:r>
      <w:r>
        <w:rPr>
          <w:rFonts w:ascii="宋体" w:hAnsi="宋体"/>
          <w:color w:val="auto"/>
          <w:szCs w:val="21"/>
          <w:highlight w:val="none"/>
        </w:rPr>
        <w:t>投标文件格式</w:t>
      </w:r>
      <w:r>
        <w:rPr>
          <w:rFonts w:hint="eastAsia" w:ascii="宋体" w:hAnsi="宋体"/>
          <w:color w:val="auto"/>
          <w:szCs w:val="21"/>
          <w:highlight w:val="none"/>
        </w:rPr>
        <w:t>”。</w:t>
      </w:r>
    </w:p>
    <w:p w14:paraId="095C545A">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3.6 备选投标方案</w:t>
      </w:r>
    </w:p>
    <w:p w14:paraId="606CD17E">
      <w:pPr>
        <w:pStyle w:val="273"/>
        <w:wordWrap w:val="0"/>
        <w:jc w:val="both"/>
        <w:rPr>
          <w:rFonts w:hint="eastAsia" w:hAnsi="宋体"/>
          <w:color w:val="auto"/>
          <w:sz w:val="21"/>
          <w:szCs w:val="21"/>
          <w:highlight w:val="none"/>
        </w:rPr>
      </w:pPr>
      <w:r>
        <w:rPr>
          <w:rFonts w:hAnsi="宋体"/>
          <w:color w:val="auto"/>
          <w:sz w:val="21"/>
          <w:szCs w:val="21"/>
          <w:highlight w:val="none"/>
        </w:rPr>
        <w:t>3.6.1</w:t>
      </w:r>
      <w:r>
        <w:rPr>
          <w:rFonts w:hint="eastAsia" w:hAnsi="宋体"/>
          <w:color w:val="auto"/>
          <w:sz w:val="21"/>
          <w:szCs w:val="21"/>
          <w:highlight w:val="none"/>
        </w:rPr>
        <w:t xml:space="preserve"> </w:t>
      </w:r>
      <w:r>
        <w:rPr>
          <w:rFonts w:hAnsi="宋体"/>
          <w:color w:val="auto"/>
          <w:sz w:val="21"/>
          <w:szCs w:val="21"/>
          <w:highlight w:val="none"/>
        </w:rPr>
        <w:t>投标人不得递交备选投标方案，否则其投标将被</w:t>
      </w:r>
      <w:r>
        <w:rPr>
          <w:rFonts w:hAnsi="宋体"/>
          <w:b/>
          <w:bCs/>
          <w:color w:val="auto"/>
          <w:sz w:val="21"/>
          <w:szCs w:val="21"/>
          <w:highlight w:val="none"/>
        </w:rPr>
        <w:t>否决</w:t>
      </w:r>
      <w:r>
        <w:rPr>
          <w:rFonts w:hAnsi="宋体"/>
          <w:color w:val="auto"/>
          <w:sz w:val="21"/>
          <w:szCs w:val="21"/>
          <w:highlight w:val="none"/>
        </w:rPr>
        <w:t>。</w:t>
      </w:r>
    </w:p>
    <w:p w14:paraId="39F3F176">
      <w:pPr>
        <w:pStyle w:val="273"/>
        <w:wordWrap w:val="0"/>
        <w:jc w:val="both"/>
        <w:rPr>
          <w:rFonts w:hint="eastAsia" w:hAnsi="宋体"/>
          <w:color w:val="auto"/>
          <w:sz w:val="21"/>
          <w:szCs w:val="21"/>
          <w:highlight w:val="none"/>
        </w:rPr>
      </w:pPr>
      <w:r>
        <w:rPr>
          <w:rFonts w:hAnsi="宋体"/>
          <w:color w:val="auto"/>
          <w:sz w:val="21"/>
          <w:szCs w:val="21"/>
          <w:highlight w:val="none"/>
        </w:rPr>
        <w:t>3.6.2 投标人提供两个或两个以上投标报价，或者在投标文件中提供一个报价，但同时提供两个或两个以上</w:t>
      </w:r>
      <w:r>
        <w:rPr>
          <w:rFonts w:hint="eastAsia" w:hAnsi="宋体"/>
          <w:color w:val="auto"/>
          <w:sz w:val="21"/>
          <w:szCs w:val="21"/>
          <w:highlight w:val="none"/>
        </w:rPr>
        <w:t>投标</w:t>
      </w:r>
      <w:r>
        <w:rPr>
          <w:rFonts w:hAnsi="宋体"/>
          <w:color w:val="auto"/>
          <w:sz w:val="21"/>
          <w:szCs w:val="21"/>
          <w:highlight w:val="none"/>
        </w:rPr>
        <w:t>方案的，视为提供备选</w:t>
      </w:r>
      <w:r>
        <w:rPr>
          <w:rFonts w:hint="eastAsia" w:hAnsi="宋体"/>
          <w:color w:val="auto"/>
          <w:sz w:val="21"/>
          <w:szCs w:val="21"/>
          <w:highlight w:val="none"/>
        </w:rPr>
        <w:t>投标</w:t>
      </w:r>
      <w:r>
        <w:rPr>
          <w:rFonts w:hAnsi="宋体"/>
          <w:color w:val="auto"/>
          <w:sz w:val="21"/>
          <w:szCs w:val="21"/>
          <w:highlight w:val="none"/>
        </w:rPr>
        <w:t>方案。</w:t>
      </w:r>
    </w:p>
    <w:p w14:paraId="5C97D310">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3.7 投标文件的编制</w:t>
      </w:r>
    </w:p>
    <w:p w14:paraId="1862761E">
      <w:pPr>
        <w:pStyle w:val="273"/>
        <w:wordWrap w:val="0"/>
        <w:ind w:firstLine="482"/>
        <w:jc w:val="both"/>
        <w:rPr>
          <w:rFonts w:hint="eastAsia" w:hAnsi="宋体"/>
          <w:color w:val="auto"/>
          <w:sz w:val="21"/>
          <w:szCs w:val="21"/>
          <w:highlight w:val="none"/>
        </w:rPr>
      </w:pPr>
      <w:r>
        <w:rPr>
          <w:rFonts w:hint="eastAsia" w:hAnsi="宋体"/>
          <w:color w:val="auto"/>
          <w:sz w:val="21"/>
          <w:szCs w:val="21"/>
          <w:highlight w:val="none"/>
        </w:rPr>
        <w:t>3.7.1 投标文件应按第六章“投标文件格式”进行编写，如有必要，可以增加附页，作为投标文件的组成部分。</w:t>
      </w:r>
    </w:p>
    <w:p w14:paraId="45A8B661">
      <w:pPr>
        <w:pStyle w:val="273"/>
        <w:wordWrap w:val="0"/>
        <w:ind w:firstLine="482"/>
        <w:jc w:val="both"/>
        <w:rPr>
          <w:rFonts w:hint="eastAsia" w:hAnsi="宋体"/>
          <w:color w:val="auto"/>
          <w:sz w:val="21"/>
          <w:szCs w:val="21"/>
          <w:highlight w:val="none"/>
        </w:rPr>
      </w:pPr>
      <w:r>
        <w:rPr>
          <w:rFonts w:hint="eastAsia" w:hAnsi="宋体"/>
          <w:color w:val="auto"/>
          <w:sz w:val="21"/>
          <w:szCs w:val="21"/>
          <w:highlight w:val="none"/>
        </w:rPr>
        <w:t>3.7.2 投标文件应当对招标文件有关服务期、投标有效期、用户需求书、招标范围、合同条款等实质性内容作出响应。</w:t>
      </w:r>
    </w:p>
    <w:p w14:paraId="210928A6">
      <w:pPr>
        <w:pStyle w:val="273"/>
        <w:wordWrap w:val="0"/>
        <w:ind w:firstLine="482"/>
        <w:jc w:val="both"/>
        <w:rPr>
          <w:rFonts w:hint="eastAsia" w:hAnsi="宋体"/>
          <w:color w:val="auto"/>
          <w:sz w:val="21"/>
          <w:szCs w:val="21"/>
          <w:highlight w:val="none"/>
        </w:rPr>
      </w:pPr>
      <w:r>
        <w:rPr>
          <w:rFonts w:hint="eastAsia" w:hAnsi="宋体"/>
          <w:color w:val="auto"/>
          <w:sz w:val="21"/>
          <w:szCs w:val="21"/>
          <w:highlight w:val="none"/>
        </w:rPr>
        <w:t>3.7.3 投标文件应用不褪色的材料书写、打印或复印，并由投标人的法定代表人或其委托代理人签字或盖单位公章。委托代理人签字的，投标文件应附法定代表人签署的授权委托书。投标文件应尽量避免涂改、行间插字或删除。如果出现上述情况，改动之处应加盖单位公章或由投标人的法定代表人或其委托代理人签字确认。签字或盖章的具体要求见投标人须知前附表。</w:t>
      </w:r>
    </w:p>
    <w:p w14:paraId="68416E94">
      <w:pPr>
        <w:pStyle w:val="273"/>
        <w:wordWrap w:val="0"/>
        <w:ind w:firstLine="482"/>
        <w:jc w:val="both"/>
        <w:rPr>
          <w:rFonts w:hint="eastAsia" w:hAnsi="宋体"/>
          <w:b/>
          <w:bCs/>
          <w:color w:val="auto"/>
          <w:sz w:val="21"/>
          <w:szCs w:val="21"/>
          <w:highlight w:val="none"/>
        </w:rPr>
      </w:pPr>
      <w:r>
        <w:rPr>
          <w:rFonts w:hint="eastAsia" w:hAnsi="宋体"/>
          <w:b/>
          <w:bCs/>
          <w:color w:val="auto"/>
          <w:sz w:val="21"/>
          <w:szCs w:val="21"/>
          <w:highlight w:val="none"/>
        </w:rPr>
        <w:t>3.7.4 投标文件正本一份、副本</w:t>
      </w:r>
      <w:r>
        <w:rPr>
          <w:rFonts w:hint="eastAsia" w:hAnsi="宋体"/>
          <w:b/>
          <w:bCs/>
          <w:color w:val="auto"/>
          <w:sz w:val="21"/>
          <w:szCs w:val="21"/>
          <w:highlight w:val="none"/>
          <w:lang w:val="en-US" w:eastAsia="zh-CN"/>
        </w:rPr>
        <w:t>四</w:t>
      </w:r>
      <w:r>
        <w:rPr>
          <w:rFonts w:hint="eastAsia" w:hAnsi="宋体"/>
          <w:b/>
          <w:bCs/>
          <w:color w:val="auto"/>
          <w:sz w:val="21"/>
          <w:szCs w:val="21"/>
          <w:highlight w:val="none"/>
        </w:rPr>
        <w:t>份、电子文本一份（须为投标文件正本扫描件），以上文件可单独封装或一起封装；投标文件份数不符合要求的，招标人不予受理并将所有投标文件予以退还。</w:t>
      </w:r>
    </w:p>
    <w:p w14:paraId="6589DE94">
      <w:pPr>
        <w:pStyle w:val="273"/>
        <w:wordWrap w:val="0"/>
        <w:ind w:firstLine="482"/>
        <w:jc w:val="both"/>
        <w:rPr>
          <w:rFonts w:hint="eastAsia" w:hAnsi="宋体"/>
          <w:b/>
          <w:bCs/>
          <w:color w:val="auto"/>
          <w:sz w:val="21"/>
          <w:szCs w:val="21"/>
          <w:highlight w:val="none"/>
        </w:rPr>
      </w:pPr>
      <w:r>
        <w:rPr>
          <w:rFonts w:hint="eastAsia" w:hAnsi="宋体"/>
          <w:color w:val="auto"/>
          <w:sz w:val="21"/>
          <w:szCs w:val="21"/>
          <w:highlight w:val="none"/>
        </w:rPr>
        <w:t>正本和副本的封面上应清楚地标记“正本”或“副本”的字样，当副本和正本不一致时，以正本为准。</w:t>
      </w:r>
    </w:p>
    <w:p w14:paraId="74D1E716">
      <w:pPr>
        <w:pStyle w:val="273"/>
        <w:wordWrap w:val="0"/>
        <w:ind w:firstLine="482"/>
        <w:jc w:val="both"/>
        <w:rPr>
          <w:rFonts w:hint="eastAsia" w:hAnsi="宋体"/>
          <w:color w:val="auto"/>
          <w:sz w:val="21"/>
          <w:szCs w:val="21"/>
          <w:highlight w:val="none"/>
        </w:rPr>
      </w:pPr>
      <w:r>
        <w:rPr>
          <w:rFonts w:hint="eastAsia" w:hAnsi="宋体"/>
          <w:color w:val="auto"/>
          <w:sz w:val="21"/>
          <w:szCs w:val="21"/>
          <w:highlight w:val="none"/>
        </w:rPr>
        <w:t>3.7.5 投标文件的正本与副本应分别装订成册，并编制目录，正副本均需采用胶装方式进行装订。</w:t>
      </w:r>
    </w:p>
    <w:p w14:paraId="6053C22A">
      <w:pPr>
        <w:pStyle w:val="273"/>
        <w:wordWrap w:val="0"/>
        <w:ind w:firstLine="482"/>
        <w:jc w:val="both"/>
        <w:rPr>
          <w:rFonts w:hint="eastAsia" w:hAnsi="宋体"/>
          <w:b/>
          <w:bCs/>
          <w:color w:val="auto"/>
          <w:sz w:val="21"/>
          <w:szCs w:val="21"/>
          <w:highlight w:val="none"/>
        </w:rPr>
      </w:pPr>
      <w:r>
        <w:rPr>
          <w:rFonts w:hint="eastAsia" w:hAnsi="宋体"/>
          <w:b/>
          <w:bCs/>
          <w:color w:val="auto"/>
          <w:sz w:val="21"/>
          <w:szCs w:val="21"/>
          <w:highlight w:val="none"/>
        </w:rPr>
        <w:t>3.</w:t>
      </w:r>
      <w:r>
        <w:rPr>
          <w:rFonts w:hAnsi="宋体"/>
          <w:b/>
          <w:bCs/>
          <w:color w:val="auto"/>
          <w:sz w:val="21"/>
          <w:szCs w:val="21"/>
          <w:highlight w:val="none"/>
        </w:rPr>
        <w:t>7</w:t>
      </w:r>
      <w:r>
        <w:rPr>
          <w:rFonts w:hint="eastAsia" w:hAnsi="宋体"/>
          <w:b/>
          <w:bCs/>
          <w:color w:val="auto"/>
          <w:sz w:val="21"/>
          <w:szCs w:val="21"/>
          <w:highlight w:val="none"/>
        </w:rPr>
        <w:t>.</w:t>
      </w:r>
      <w:r>
        <w:rPr>
          <w:rFonts w:hAnsi="宋体"/>
          <w:b/>
          <w:bCs/>
          <w:color w:val="auto"/>
          <w:sz w:val="21"/>
          <w:szCs w:val="21"/>
          <w:highlight w:val="none"/>
        </w:rPr>
        <w:t xml:space="preserve">6 </w:t>
      </w:r>
      <w:r>
        <w:rPr>
          <w:rFonts w:hint="eastAsia" w:hAnsi="宋体"/>
          <w:b/>
          <w:bCs/>
          <w:color w:val="auto"/>
          <w:sz w:val="21"/>
          <w:szCs w:val="21"/>
          <w:highlight w:val="none"/>
        </w:rPr>
        <w:t>联合体投标的，除招标文件另有明确规定外，投标人加盖公章和/或投标人相关受托人签字和/或签章处由联合体牵头人代表即可。</w:t>
      </w:r>
    </w:p>
    <w:p w14:paraId="10C16454">
      <w:pPr>
        <w:rPr>
          <w:color w:val="auto"/>
          <w:highlight w:val="none"/>
        </w:rPr>
      </w:pPr>
    </w:p>
    <w:p w14:paraId="0309D7FB">
      <w:pPr>
        <w:pStyle w:val="273"/>
        <w:keepNext/>
        <w:keepLines w:val="0"/>
        <w:pageBreakBefore w:val="0"/>
        <w:widowControl w:val="0"/>
        <w:kinsoku/>
        <w:wordWrap w:val="0"/>
        <w:overflowPunct/>
        <w:topLinePunct w:val="0"/>
        <w:autoSpaceDE/>
        <w:autoSpaceDN/>
        <w:bidi w:val="0"/>
        <w:adjustRightInd/>
        <w:snapToGrid/>
        <w:ind w:firstLine="0"/>
        <w:jc w:val="both"/>
        <w:textAlignment w:val="auto"/>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4.投标</w:t>
      </w:r>
    </w:p>
    <w:p w14:paraId="2D158DB8">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4.1投标文件的密封和标识</w:t>
      </w:r>
    </w:p>
    <w:p w14:paraId="43229367">
      <w:pPr>
        <w:pStyle w:val="273"/>
        <w:wordWrap w:val="0"/>
        <w:jc w:val="both"/>
        <w:rPr>
          <w:rFonts w:hint="eastAsia" w:hAnsi="宋体"/>
          <w:color w:val="auto"/>
          <w:sz w:val="21"/>
          <w:szCs w:val="21"/>
          <w:highlight w:val="none"/>
        </w:rPr>
      </w:pPr>
      <w:r>
        <w:rPr>
          <w:rFonts w:hint="eastAsia" w:hAnsi="宋体"/>
          <w:color w:val="auto"/>
          <w:sz w:val="21"/>
          <w:szCs w:val="21"/>
          <w:highlight w:val="none"/>
        </w:rPr>
        <w:t>4.1.1 投标文件的密封：投标人应将投标文件密封后提交，所有密封的封口处须加盖投标人公章。</w:t>
      </w:r>
    </w:p>
    <w:p w14:paraId="2BD060A6">
      <w:pPr>
        <w:pStyle w:val="273"/>
        <w:wordWrap w:val="0"/>
        <w:jc w:val="both"/>
        <w:rPr>
          <w:rFonts w:hint="eastAsia" w:hAnsi="宋体"/>
          <w:color w:val="auto"/>
          <w:sz w:val="21"/>
          <w:szCs w:val="21"/>
          <w:highlight w:val="none"/>
        </w:rPr>
      </w:pPr>
      <w:r>
        <w:rPr>
          <w:rFonts w:hint="eastAsia" w:hAnsi="宋体"/>
          <w:color w:val="auto"/>
          <w:sz w:val="21"/>
          <w:szCs w:val="21"/>
          <w:highlight w:val="none"/>
        </w:rPr>
        <w:t>4.1.2 投标文件的标识：投标文件封套上应写明的其他内容见投标人须知前附表，并在封套上加盖投标人单位公章。</w:t>
      </w:r>
    </w:p>
    <w:p w14:paraId="49040BA1">
      <w:pPr>
        <w:pStyle w:val="273"/>
        <w:wordWrap w:val="0"/>
        <w:jc w:val="both"/>
        <w:rPr>
          <w:rFonts w:hint="eastAsia" w:hAnsi="宋体"/>
          <w:color w:val="auto"/>
          <w:sz w:val="21"/>
          <w:szCs w:val="21"/>
          <w:highlight w:val="none"/>
        </w:rPr>
      </w:pPr>
      <w:r>
        <w:rPr>
          <w:rFonts w:hint="eastAsia" w:hAnsi="宋体"/>
          <w:color w:val="auto"/>
          <w:sz w:val="21"/>
          <w:szCs w:val="21"/>
          <w:highlight w:val="none"/>
        </w:rPr>
        <w:t>4.1.3 未按本章第4.1款要求密封及标识的投标文件，招标人不予受理并退还给投标人；同时招标人不承担投标文件错放或提前开封的责任。由此造成的提前开封的投标文件将予以拒绝。</w:t>
      </w:r>
    </w:p>
    <w:p w14:paraId="1588A001">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4.2投标文件的递交</w:t>
      </w:r>
    </w:p>
    <w:p w14:paraId="1BAEC80B">
      <w:pPr>
        <w:pStyle w:val="273"/>
        <w:wordWrap w:val="0"/>
        <w:jc w:val="both"/>
        <w:rPr>
          <w:rFonts w:hint="eastAsia" w:hAnsi="宋体"/>
          <w:color w:val="auto"/>
          <w:sz w:val="21"/>
          <w:szCs w:val="21"/>
          <w:highlight w:val="none"/>
        </w:rPr>
      </w:pPr>
      <w:r>
        <w:rPr>
          <w:rFonts w:hint="eastAsia" w:hAnsi="宋体"/>
          <w:color w:val="auto"/>
          <w:sz w:val="21"/>
          <w:szCs w:val="21"/>
          <w:highlight w:val="none"/>
        </w:rPr>
        <w:t>4.2.1 投标人应在投标人须知前附表规定的投标截止时间前递交投标文件（投标截止时间前1个小时开始接收投标文件）；</w:t>
      </w:r>
    </w:p>
    <w:p w14:paraId="710A1491">
      <w:pPr>
        <w:pStyle w:val="273"/>
        <w:wordWrap w:val="0"/>
        <w:jc w:val="both"/>
        <w:rPr>
          <w:rFonts w:hint="eastAsia" w:hAnsi="宋体"/>
          <w:color w:val="auto"/>
          <w:sz w:val="21"/>
          <w:szCs w:val="21"/>
          <w:highlight w:val="none"/>
        </w:rPr>
      </w:pPr>
      <w:r>
        <w:rPr>
          <w:rFonts w:hint="eastAsia" w:hAnsi="宋体"/>
          <w:color w:val="auto"/>
          <w:sz w:val="21"/>
          <w:szCs w:val="21"/>
          <w:highlight w:val="none"/>
        </w:rPr>
        <w:t>4.2.2 投标人递交投标文件的地点：见投标人须知前附表；</w:t>
      </w:r>
    </w:p>
    <w:p w14:paraId="0026F65F">
      <w:pPr>
        <w:pStyle w:val="273"/>
        <w:wordWrap w:val="0"/>
        <w:jc w:val="both"/>
        <w:rPr>
          <w:rFonts w:hint="eastAsia" w:hAnsi="宋体"/>
          <w:color w:val="auto"/>
          <w:sz w:val="21"/>
          <w:szCs w:val="21"/>
          <w:highlight w:val="none"/>
        </w:rPr>
      </w:pPr>
      <w:r>
        <w:rPr>
          <w:rFonts w:hint="eastAsia" w:hAnsi="宋体"/>
          <w:color w:val="auto"/>
          <w:sz w:val="21"/>
          <w:szCs w:val="21"/>
          <w:highlight w:val="none"/>
        </w:rPr>
        <w:t>4.2.3 除招标文件另有规定外，投标人所递交的投标文件不予退还；</w:t>
      </w:r>
    </w:p>
    <w:p w14:paraId="0B1EC122">
      <w:pPr>
        <w:pStyle w:val="273"/>
        <w:wordWrap w:val="0"/>
        <w:jc w:val="both"/>
        <w:rPr>
          <w:rFonts w:hint="eastAsia" w:hAnsi="宋体"/>
          <w:color w:val="auto"/>
          <w:sz w:val="21"/>
          <w:szCs w:val="21"/>
          <w:highlight w:val="none"/>
        </w:rPr>
      </w:pPr>
      <w:r>
        <w:rPr>
          <w:rFonts w:hint="eastAsia" w:hAnsi="宋体"/>
          <w:color w:val="auto"/>
          <w:sz w:val="21"/>
          <w:szCs w:val="21"/>
          <w:highlight w:val="none"/>
        </w:rPr>
        <w:t>4.2.4 逾期送达或者未送达指定地点的投标文件，招标人和招标代理机构不予受理。</w:t>
      </w:r>
    </w:p>
    <w:p w14:paraId="4929F0E4">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4.3投标文件的修改与撤回</w:t>
      </w:r>
    </w:p>
    <w:p w14:paraId="20C24330">
      <w:pPr>
        <w:pStyle w:val="273"/>
        <w:wordWrap w:val="0"/>
        <w:jc w:val="both"/>
        <w:rPr>
          <w:rFonts w:hint="eastAsia" w:hAnsi="宋体"/>
          <w:color w:val="auto"/>
          <w:sz w:val="21"/>
          <w:szCs w:val="21"/>
          <w:highlight w:val="none"/>
        </w:rPr>
      </w:pPr>
      <w:r>
        <w:rPr>
          <w:rFonts w:hint="eastAsia" w:hAnsi="宋体"/>
          <w:color w:val="auto"/>
          <w:sz w:val="21"/>
          <w:szCs w:val="21"/>
          <w:highlight w:val="none"/>
        </w:rPr>
        <w:t>4.3.1 在投标人须知前附表第4.2.1款规定的投标截止时间前，投标人可以修改或撤回已递交的投标文件，但应以书面形式通知招标人；</w:t>
      </w:r>
    </w:p>
    <w:p w14:paraId="68A448ED">
      <w:pPr>
        <w:pStyle w:val="273"/>
        <w:wordWrap w:val="0"/>
        <w:jc w:val="both"/>
        <w:rPr>
          <w:rFonts w:hint="eastAsia" w:hAnsi="宋体"/>
          <w:color w:val="auto"/>
          <w:sz w:val="21"/>
          <w:szCs w:val="21"/>
          <w:highlight w:val="none"/>
        </w:rPr>
      </w:pPr>
      <w:r>
        <w:rPr>
          <w:rFonts w:hint="eastAsia" w:hAnsi="宋体"/>
          <w:color w:val="auto"/>
          <w:sz w:val="21"/>
          <w:szCs w:val="21"/>
          <w:highlight w:val="none"/>
        </w:rPr>
        <w:t>4.3.2 投标人修改或撤回已递交投标文件的书面通知应按照本章第3.7.3款的要求签字或盖章。招标人收到书面通知后，向投标人出具签收凭证；</w:t>
      </w:r>
    </w:p>
    <w:p w14:paraId="6D06DB21">
      <w:pPr>
        <w:pStyle w:val="273"/>
        <w:wordWrap w:val="0"/>
        <w:jc w:val="both"/>
        <w:rPr>
          <w:rFonts w:hint="eastAsia" w:hAnsi="宋体"/>
          <w:color w:val="auto"/>
          <w:sz w:val="21"/>
          <w:szCs w:val="21"/>
          <w:highlight w:val="none"/>
        </w:rPr>
      </w:pPr>
      <w:r>
        <w:rPr>
          <w:rFonts w:hint="eastAsia" w:hAnsi="宋体"/>
          <w:color w:val="auto"/>
          <w:sz w:val="21"/>
          <w:szCs w:val="21"/>
          <w:highlight w:val="none"/>
        </w:rPr>
        <w:t>4.3.3 修改的内容为投标文件的组成部分。修改的投标文件应按照本章第3款、第4款规定进行编制、密封、标记和递交，并标明“修改”字样。</w:t>
      </w:r>
    </w:p>
    <w:p w14:paraId="56F0C588">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5.开标</w:t>
      </w:r>
    </w:p>
    <w:p w14:paraId="7CD0A27A">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5.1开标时间和地点</w:t>
      </w:r>
    </w:p>
    <w:p w14:paraId="1CA0C9A9">
      <w:pPr>
        <w:pStyle w:val="273"/>
        <w:wordWrap w:val="0"/>
        <w:jc w:val="both"/>
        <w:rPr>
          <w:rFonts w:hAnsi="宋体"/>
          <w:color w:val="auto"/>
          <w:sz w:val="21"/>
          <w:szCs w:val="21"/>
          <w:highlight w:val="none"/>
        </w:rPr>
      </w:pPr>
      <w:r>
        <w:rPr>
          <w:rFonts w:hint="eastAsia" w:hAnsi="宋体"/>
          <w:color w:val="auto"/>
          <w:sz w:val="21"/>
          <w:szCs w:val="21"/>
          <w:highlight w:val="none"/>
        </w:rPr>
        <w:t>5.1.1招标人在投标人须知前附表规定的投标截止时间（开标时间）和投标人须知前附表规定的开标地点公开开标，并邀请所有投标人的法定代表人或其授权委托代理人准时参加。召开开标会议时，投标人法定代表人</w:t>
      </w:r>
      <w:r>
        <w:rPr>
          <w:rFonts w:hint="eastAsia" w:hAnsi="宋体"/>
          <w:b/>
          <w:bCs/>
          <w:color w:val="auto"/>
          <w:sz w:val="21"/>
          <w:szCs w:val="21"/>
          <w:highlight w:val="none"/>
        </w:rPr>
        <w:t>须持法定代表人身份证明原件（格式详见第六章投标文件格式“法定代表人身份证明”）、法定代表人身份证原件准时参加或授权委托代理人持法定代表人身份证明原件（格式详见第六章投标文件格式“法定代表人身份证明”）、授权委托书原件（格式详见第六章投标文件格式“授权委托书”）、授权委托代理人身份证原件准时参加；</w:t>
      </w:r>
      <w:r>
        <w:rPr>
          <w:rFonts w:hint="eastAsia" w:hAnsi="宋体"/>
          <w:color w:val="auto"/>
          <w:sz w:val="21"/>
          <w:szCs w:val="21"/>
          <w:highlight w:val="none"/>
        </w:rPr>
        <w:t>不符合要求的，其投标文件将予以拒绝并退还给投标人。</w:t>
      </w:r>
    </w:p>
    <w:p w14:paraId="0E1BA580">
      <w:pPr>
        <w:pStyle w:val="273"/>
        <w:wordWrap w:val="0"/>
        <w:jc w:val="both"/>
        <w:rPr>
          <w:rFonts w:hint="eastAsia" w:hAnsi="宋体"/>
          <w:color w:val="auto"/>
          <w:sz w:val="21"/>
          <w:szCs w:val="21"/>
          <w:highlight w:val="none"/>
        </w:rPr>
      </w:pPr>
      <w:r>
        <w:rPr>
          <w:rFonts w:hAnsi="宋体"/>
          <w:color w:val="auto"/>
          <w:sz w:val="21"/>
          <w:szCs w:val="21"/>
          <w:highlight w:val="none"/>
        </w:rPr>
        <w:t>5.1.2</w:t>
      </w:r>
      <w:r>
        <w:rPr>
          <w:rFonts w:hint="eastAsia" w:hAnsi="宋体"/>
          <w:color w:val="auto"/>
          <w:sz w:val="21"/>
          <w:szCs w:val="21"/>
          <w:highlight w:val="none"/>
        </w:rPr>
        <w:t>投标人对开标有异议的，应当在开标时现场提出，招标人当场作出答复，并制作记录，在规定时限内投标人未提出异议或未确认开标结果的，视同认可所有开标信息。</w:t>
      </w:r>
    </w:p>
    <w:p w14:paraId="2D9CBE7D">
      <w:pPr>
        <w:pStyle w:val="273"/>
        <w:wordWrap w:val="0"/>
        <w:ind w:firstLine="0"/>
        <w:jc w:val="both"/>
        <w:rPr>
          <w:rFonts w:hint="eastAsia" w:hAnsi="宋体"/>
          <w:b/>
          <w:bCs/>
          <w:color w:val="auto"/>
          <w:sz w:val="21"/>
          <w:szCs w:val="21"/>
          <w:highlight w:val="none"/>
        </w:rPr>
      </w:pPr>
      <w:r>
        <w:rPr>
          <w:rFonts w:hint="eastAsia" w:hAnsi="宋体"/>
          <w:b/>
          <w:bCs/>
          <w:color w:val="auto"/>
          <w:sz w:val="21"/>
          <w:szCs w:val="21"/>
          <w:highlight w:val="none"/>
        </w:rPr>
        <w:t>5.2 投标文件有下列情形之一的，招标人不予受理</w:t>
      </w:r>
    </w:p>
    <w:p w14:paraId="59578C4E">
      <w:pPr>
        <w:pStyle w:val="273"/>
        <w:wordWrap w:val="0"/>
        <w:jc w:val="both"/>
        <w:rPr>
          <w:rFonts w:hint="eastAsia" w:hAnsi="宋体"/>
          <w:color w:val="auto"/>
          <w:sz w:val="21"/>
          <w:szCs w:val="21"/>
          <w:highlight w:val="none"/>
        </w:rPr>
      </w:pPr>
      <w:r>
        <w:rPr>
          <w:rFonts w:hint="eastAsia" w:hAnsi="宋体"/>
          <w:color w:val="auto"/>
          <w:sz w:val="21"/>
          <w:szCs w:val="21"/>
          <w:highlight w:val="none"/>
        </w:rPr>
        <w:t>5.2.1 逾期送达的或者未送达指定地点的；</w:t>
      </w:r>
    </w:p>
    <w:p w14:paraId="5DE7DAA2">
      <w:pPr>
        <w:pStyle w:val="273"/>
        <w:wordWrap w:val="0"/>
        <w:jc w:val="both"/>
        <w:rPr>
          <w:rFonts w:hint="eastAsia" w:hAnsi="宋体"/>
          <w:color w:val="auto"/>
          <w:sz w:val="21"/>
          <w:szCs w:val="21"/>
          <w:highlight w:val="none"/>
        </w:rPr>
      </w:pPr>
      <w:r>
        <w:rPr>
          <w:rFonts w:hint="eastAsia" w:hAnsi="宋体"/>
          <w:color w:val="auto"/>
          <w:sz w:val="21"/>
          <w:szCs w:val="21"/>
          <w:highlight w:val="none"/>
        </w:rPr>
        <w:t>5.2.2 未按招标文件要求密封的；</w:t>
      </w:r>
    </w:p>
    <w:p w14:paraId="126D4473">
      <w:pPr>
        <w:pStyle w:val="273"/>
        <w:wordWrap w:val="0"/>
        <w:jc w:val="both"/>
        <w:rPr>
          <w:rFonts w:hint="eastAsia" w:hAnsi="宋体"/>
          <w:color w:val="auto"/>
          <w:sz w:val="21"/>
          <w:szCs w:val="21"/>
          <w:highlight w:val="none"/>
        </w:rPr>
      </w:pPr>
      <w:r>
        <w:rPr>
          <w:rFonts w:hint="eastAsia" w:hAnsi="宋体"/>
          <w:color w:val="auto"/>
          <w:sz w:val="21"/>
          <w:szCs w:val="21"/>
          <w:highlight w:val="none"/>
        </w:rPr>
        <w:t>5.2.3 未按投标人须知5.1条要求参加开标会议的。</w:t>
      </w:r>
    </w:p>
    <w:p w14:paraId="3B2142E0">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5.3开标程序</w:t>
      </w:r>
    </w:p>
    <w:p w14:paraId="12CF2EB3">
      <w:pPr>
        <w:pStyle w:val="273"/>
        <w:wordWrap w:val="0"/>
        <w:jc w:val="both"/>
        <w:rPr>
          <w:rFonts w:hint="eastAsia" w:hAnsi="宋体"/>
          <w:color w:val="auto"/>
          <w:sz w:val="21"/>
          <w:szCs w:val="21"/>
          <w:highlight w:val="none"/>
        </w:rPr>
      </w:pPr>
      <w:r>
        <w:rPr>
          <w:rFonts w:hint="eastAsia" w:hAnsi="宋体"/>
          <w:color w:val="auto"/>
          <w:sz w:val="21"/>
          <w:szCs w:val="21"/>
          <w:highlight w:val="none"/>
        </w:rPr>
        <w:t>5.3.1 招标人按下列程序进行开标：</w:t>
      </w:r>
    </w:p>
    <w:p w14:paraId="7D658164">
      <w:pPr>
        <w:pStyle w:val="273"/>
        <w:wordWrap w:val="0"/>
        <w:jc w:val="both"/>
        <w:rPr>
          <w:rFonts w:hint="eastAsia" w:hAnsi="宋体"/>
          <w:color w:val="auto"/>
          <w:sz w:val="21"/>
          <w:szCs w:val="21"/>
          <w:highlight w:val="none"/>
        </w:rPr>
      </w:pPr>
      <w:r>
        <w:rPr>
          <w:rFonts w:hint="eastAsia" w:hAnsi="宋体"/>
          <w:color w:val="auto"/>
          <w:sz w:val="21"/>
          <w:szCs w:val="21"/>
          <w:highlight w:val="none"/>
        </w:rPr>
        <w:t>（1）宣布开标会议开始；</w:t>
      </w:r>
    </w:p>
    <w:p w14:paraId="67C9887D">
      <w:pPr>
        <w:pStyle w:val="273"/>
        <w:wordWrap w:val="0"/>
        <w:jc w:val="both"/>
        <w:rPr>
          <w:rFonts w:hint="eastAsia" w:hAnsi="宋体"/>
          <w:color w:val="auto"/>
          <w:sz w:val="21"/>
          <w:szCs w:val="21"/>
          <w:highlight w:val="none"/>
        </w:rPr>
      </w:pPr>
      <w:r>
        <w:rPr>
          <w:rFonts w:hint="eastAsia" w:hAnsi="宋体"/>
          <w:color w:val="auto"/>
          <w:sz w:val="21"/>
          <w:szCs w:val="21"/>
          <w:highlight w:val="none"/>
        </w:rPr>
        <w:t>（2）公布在投标截止时间前递交投标文件的投标人名称，并点名确认投标人是否派人到场；</w:t>
      </w:r>
    </w:p>
    <w:p w14:paraId="5C9069D2">
      <w:pPr>
        <w:pStyle w:val="273"/>
        <w:wordWrap w:val="0"/>
        <w:jc w:val="both"/>
        <w:rPr>
          <w:rFonts w:hint="eastAsia" w:hAnsi="宋体"/>
          <w:color w:val="auto"/>
          <w:sz w:val="21"/>
          <w:szCs w:val="21"/>
          <w:highlight w:val="none"/>
        </w:rPr>
      </w:pPr>
      <w:r>
        <w:rPr>
          <w:rFonts w:hint="eastAsia" w:hAnsi="宋体"/>
          <w:color w:val="auto"/>
          <w:sz w:val="21"/>
          <w:szCs w:val="21"/>
          <w:highlight w:val="none"/>
        </w:rPr>
        <w:t>（3）宣布唱标人、记录人、招标人监督人员名单；</w:t>
      </w:r>
    </w:p>
    <w:p w14:paraId="0996A096">
      <w:pPr>
        <w:pStyle w:val="273"/>
        <w:wordWrap w:val="0"/>
        <w:jc w:val="both"/>
        <w:rPr>
          <w:rFonts w:hint="eastAsia" w:hAnsi="宋体"/>
          <w:color w:val="auto"/>
          <w:sz w:val="21"/>
          <w:szCs w:val="21"/>
          <w:highlight w:val="none"/>
        </w:rPr>
      </w:pPr>
      <w:r>
        <w:rPr>
          <w:rFonts w:hint="eastAsia" w:hAnsi="宋体"/>
          <w:color w:val="auto"/>
          <w:sz w:val="21"/>
          <w:szCs w:val="21"/>
          <w:highlight w:val="none"/>
        </w:rPr>
        <w:t>（4）核验各投标人代表的合法身份；</w:t>
      </w:r>
    </w:p>
    <w:p w14:paraId="77EE7CB5">
      <w:pPr>
        <w:pStyle w:val="273"/>
        <w:wordWrap w:val="0"/>
        <w:jc w:val="both"/>
        <w:rPr>
          <w:rFonts w:hint="eastAsia" w:hAnsi="宋体"/>
          <w:color w:val="auto"/>
          <w:sz w:val="21"/>
          <w:szCs w:val="21"/>
          <w:highlight w:val="none"/>
        </w:rPr>
      </w:pPr>
      <w:r>
        <w:rPr>
          <w:rFonts w:hint="eastAsia" w:hAnsi="宋体"/>
          <w:color w:val="auto"/>
          <w:sz w:val="21"/>
          <w:szCs w:val="21"/>
          <w:highlight w:val="none"/>
        </w:rPr>
        <w:t>（5）按照招标文件规定检查投标文件的密封及标识情况；</w:t>
      </w:r>
    </w:p>
    <w:p w14:paraId="2766AFAE">
      <w:pPr>
        <w:pStyle w:val="273"/>
        <w:wordWrap w:val="0"/>
        <w:jc w:val="both"/>
        <w:rPr>
          <w:rFonts w:hint="eastAsia" w:hAnsi="宋体"/>
          <w:color w:val="auto"/>
          <w:sz w:val="21"/>
          <w:szCs w:val="21"/>
          <w:highlight w:val="none"/>
        </w:rPr>
      </w:pPr>
      <w:r>
        <w:rPr>
          <w:rFonts w:hint="eastAsia" w:hAnsi="宋体"/>
          <w:color w:val="auto"/>
          <w:sz w:val="21"/>
          <w:szCs w:val="21"/>
          <w:highlight w:val="none"/>
        </w:rPr>
        <w:t>（6）按照宣布的开标顺序当众开标，公布所有投标人名称、投标文件份数；</w:t>
      </w:r>
    </w:p>
    <w:p w14:paraId="0850A400">
      <w:pPr>
        <w:pStyle w:val="273"/>
        <w:wordWrap w:val="0"/>
        <w:jc w:val="both"/>
        <w:rPr>
          <w:rFonts w:hint="eastAsia" w:hAnsi="宋体"/>
          <w:color w:val="auto"/>
          <w:sz w:val="21"/>
          <w:szCs w:val="21"/>
          <w:highlight w:val="none"/>
        </w:rPr>
      </w:pPr>
      <w:r>
        <w:rPr>
          <w:rFonts w:hint="eastAsia" w:hAnsi="宋体"/>
          <w:color w:val="auto"/>
          <w:sz w:val="21"/>
          <w:szCs w:val="21"/>
          <w:highlight w:val="none"/>
        </w:rPr>
        <w:t>（7）对符合招标文件要求的投标人唱读其投标保证金递交情况、投标总报价、服务期等内容，如符合招标文件要求的投标人不足三家的，不再唱读任何内容并退还所有投标文件；</w:t>
      </w:r>
    </w:p>
    <w:p w14:paraId="72F0D917">
      <w:pPr>
        <w:pStyle w:val="273"/>
        <w:wordWrap w:val="0"/>
        <w:jc w:val="both"/>
        <w:rPr>
          <w:rFonts w:hint="eastAsia" w:hAnsi="宋体"/>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8</w:t>
      </w:r>
      <w:r>
        <w:rPr>
          <w:rFonts w:hint="eastAsia" w:hAnsi="宋体"/>
          <w:color w:val="auto"/>
          <w:sz w:val="21"/>
          <w:szCs w:val="21"/>
          <w:highlight w:val="none"/>
        </w:rPr>
        <w:t>）投标人法定代表人（或授权委托代理人）、招标人监督人员、唱标人、记录人等有关人员在开标记录上签字确认；</w:t>
      </w:r>
    </w:p>
    <w:p w14:paraId="6295A539">
      <w:pPr>
        <w:pStyle w:val="273"/>
        <w:wordWrap w:val="0"/>
        <w:jc w:val="both"/>
        <w:rPr>
          <w:rFonts w:hint="eastAsia" w:hAnsi="宋体"/>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9</w:t>
      </w:r>
      <w:r>
        <w:rPr>
          <w:rFonts w:hint="eastAsia" w:hAnsi="宋体"/>
          <w:color w:val="auto"/>
          <w:sz w:val="21"/>
          <w:szCs w:val="21"/>
          <w:highlight w:val="none"/>
        </w:rPr>
        <w:t>）开标结束。</w:t>
      </w:r>
    </w:p>
    <w:p w14:paraId="651C40D3">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6.评标</w:t>
      </w:r>
    </w:p>
    <w:p w14:paraId="2C04375A">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6.1 评标委员会</w:t>
      </w:r>
    </w:p>
    <w:p w14:paraId="64D8458F">
      <w:pPr>
        <w:pStyle w:val="273"/>
        <w:wordWrap w:val="0"/>
        <w:jc w:val="both"/>
        <w:rPr>
          <w:rFonts w:hint="eastAsia" w:hAnsi="宋体"/>
          <w:color w:val="auto"/>
          <w:sz w:val="21"/>
          <w:szCs w:val="21"/>
          <w:highlight w:val="none"/>
        </w:rPr>
      </w:pPr>
      <w:r>
        <w:rPr>
          <w:rFonts w:hAnsi="宋体"/>
          <w:color w:val="auto"/>
          <w:sz w:val="21"/>
          <w:szCs w:val="21"/>
          <w:highlight w:val="none"/>
        </w:rPr>
        <w:t>6.1.1 评标由招标人依法组建的评标委员会负责。评标委员会</w:t>
      </w:r>
      <w:r>
        <w:rPr>
          <w:rFonts w:hint="eastAsia" w:hAnsi="宋体"/>
          <w:color w:val="auto"/>
          <w:sz w:val="21"/>
          <w:szCs w:val="21"/>
          <w:highlight w:val="none"/>
        </w:rPr>
        <w:t>按相关规定由</w:t>
      </w:r>
      <w:r>
        <w:rPr>
          <w:rFonts w:hAnsi="宋体"/>
          <w:color w:val="auto"/>
          <w:sz w:val="21"/>
          <w:szCs w:val="21"/>
          <w:highlight w:val="none"/>
        </w:rPr>
        <w:t>5人或以上的单数组成</w:t>
      </w:r>
      <w:r>
        <w:rPr>
          <w:rFonts w:hint="eastAsia" w:hAnsi="宋体"/>
          <w:color w:val="auto"/>
          <w:sz w:val="21"/>
          <w:szCs w:val="21"/>
          <w:highlight w:val="none"/>
        </w:rPr>
        <w:t>，</w:t>
      </w:r>
      <w:r>
        <w:rPr>
          <w:rFonts w:hAnsi="宋体"/>
          <w:color w:val="auto"/>
          <w:sz w:val="21"/>
          <w:szCs w:val="21"/>
          <w:highlight w:val="none"/>
        </w:rPr>
        <w:t>其中包括专家代表及</w:t>
      </w:r>
      <w:r>
        <w:rPr>
          <w:rFonts w:hint="eastAsia" w:hAnsi="宋体"/>
          <w:color w:val="auto"/>
          <w:sz w:val="21"/>
          <w:szCs w:val="21"/>
          <w:highlight w:val="none"/>
        </w:rPr>
        <w:t>招标人代表。</w:t>
      </w:r>
    </w:p>
    <w:p w14:paraId="48AF5E46">
      <w:pPr>
        <w:pStyle w:val="273"/>
        <w:wordWrap w:val="0"/>
        <w:jc w:val="both"/>
        <w:rPr>
          <w:rFonts w:hint="eastAsia" w:hAnsi="宋体"/>
          <w:color w:val="auto"/>
          <w:sz w:val="21"/>
          <w:szCs w:val="21"/>
          <w:highlight w:val="none"/>
        </w:rPr>
      </w:pPr>
      <w:r>
        <w:rPr>
          <w:rFonts w:hAnsi="宋体"/>
          <w:color w:val="auto"/>
          <w:sz w:val="21"/>
          <w:szCs w:val="21"/>
          <w:highlight w:val="none"/>
        </w:rPr>
        <w:t>6.1.2 评标委员会成员有下列情形之一的，应当回避：</w:t>
      </w:r>
    </w:p>
    <w:p w14:paraId="6F81BAE0">
      <w:pPr>
        <w:pStyle w:val="273"/>
        <w:wordWrap w:val="0"/>
        <w:jc w:val="both"/>
        <w:rPr>
          <w:rFonts w:hint="eastAsia" w:hAnsi="宋体"/>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为</w:t>
      </w:r>
      <w:r>
        <w:rPr>
          <w:rFonts w:hAnsi="宋体"/>
          <w:color w:val="auto"/>
          <w:sz w:val="21"/>
          <w:szCs w:val="21"/>
          <w:highlight w:val="none"/>
        </w:rPr>
        <w:t>投标人主要负责人近亲属的；</w:t>
      </w:r>
    </w:p>
    <w:p w14:paraId="44D4A87D">
      <w:pPr>
        <w:pStyle w:val="273"/>
        <w:wordWrap w:val="0"/>
        <w:jc w:val="both"/>
        <w:rPr>
          <w:rFonts w:hint="eastAsia" w:hAnsi="宋体"/>
          <w:color w:val="auto"/>
          <w:sz w:val="21"/>
          <w:szCs w:val="21"/>
          <w:highlight w:val="none"/>
        </w:rPr>
      </w:pPr>
      <w:r>
        <w:rPr>
          <w:rFonts w:hAnsi="宋体"/>
          <w:color w:val="auto"/>
          <w:sz w:val="21"/>
          <w:szCs w:val="21"/>
          <w:highlight w:val="none"/>
        </w:rPr>
        <w:t>（2）与投标人有经济利益关系，可能影响对投标公正评审的；</w:t>
      </w:r>
    </w:p>
    <w:p w14:paraId="5309E016">
      <w:pPr>
        <w:pStyle w:val="273"/>
        <w:wordWrap w:val="0"/>
        <w:jc w:val="both"/>
        <w:rPr>
          <w:rFonts w:hint="eastAsia" w:hAnsi="宋体"/>
          <w:color w:val="auto"/>
          <w:sz w:val="21"/>
          <w:szCs w:val="21"/>
          <w:highlight w:val="none"/>
        </w:rPr>
      </w:pPr>
      <w:r>
        <w:rPr>
          <w:rFonts w:hAnsi="宋体"/>
          <w:color w:val="auto"/>
          <w:sz w:val="21"/>
          <w:szCs w:val="21"/>
          <w:highlight w:val="none"/>
        </w:rPr>
        <w:t>（3）曾因在招标、评标以及其他与招标投标有关活动中从事违法行为而受过行政处罚或刑事处罚的；</w:t>
      </w:r>
    </w:p>
    <w:p w14:paraId="26D9D085">
      <w:pPr>
        <w:pStyle w:val="273"/>
        <w:wordWrap w:val="0"/>
        <w:jc w:val="both"/>
        <w:rPr>
          <w:rFonts w:hint="eastAsia"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4</w:t>
      </w:r>
      <w:r>
        <w:rPr>
          <w:rFonts w:hAnsi="宋体"/>
          <w:color w:val="auto"/>
          <w:sz w:val="21"/>
          <w:szCs w:val="21"/>
          <w:highlight w:val="none"/>
        </w:rPr>
        <w:t>）与投标人有其他利害关系。</w:t>
      </w:r>
    </w:p>
    <w:p w14:paraId="5CDEFFF5">
      <w:pPr>
        <w:pStyle w:val="273"/>
        <w:wordWrap w:val="0"/>
        <w:jc w:val="both"/>
        <w:rPr>
          <w:rFonts w:hint="eastAsia" w:hAnsi="宋体"/>
          <w:color w:val="auto"/>
          <w:sz w:val="21"/>
          <w:szCs w:val="21"/>
          <w:highlight w:val="none"/>
        </w:rPr>
      </w:pPr>
      <w:r>
        <w:rPr>
          <w:rFonts w:hAnsi="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0BE1B2C0">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6.2 评标原则</w:t>
      </w:r>
    </w:p>
    <w:p w14:paraId="673AB973">
      <w:pPr>
        <w:pStyle w:val="273"/>
        <w:wordWrap w:val="0"/>
        <w:jc w:val="both"/>
        <w:rPr>
          <w:rFonts w:hint="eastAsia" w:hAnsi="宋体"/>
          <w:color w:val="auto"/>
          <w:sz w:val="21"/>
          <w:szCs w:val="21"/>
          <w:highlight w:val="none"/>
        </w:rPr>
      </w:pPr>
      <w:r>
        <w:rPr>
          <w:rFonts w:hAnsi="宋体"/>
          <w:color w:val="auto"/>
          <w:sz w:val="21"/>
          <w:szCs w:val="21"/>
          <w:highlight w:val="none"/>
        </w:rPr>
        <w:t>评标活动遵循公平、公正、</w:t>
      </w:r>
      <w:r>
        <w:rPr>
          <w:rFonts w:hint="eastAsia" w:hAnsi="宋体"/>
          <w:color w:val="auto"/>
          <w:sz w:val="21"/>
          <w:szCs w:val="21"/>
          <w:highlight w:val="none"/>
        </w:rPr>
        <w:t>科学和择优</w:t>
      </w:r>
      <w:r>
        <w:rPr>
          <w:rFonts w:hAnsi="宋体"/>
          <w:color w:val="auto"/>
          <w:sz w:val="21"/>
          <w:szCs w:val="21"/>
          <w:highlight w:val="none"/>
        </w:rPr>
        <w:t>的原则。</w:t>
      </w:r>
    </w:p>
    <w:p w14:paraId="65FCBB1B">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6.3 评标</w:t>
      </w:r>
    </w:p>
    <w:p w14:paraId="1CB943B3">
      <w:pPr>
        <w:pStyle w:val="273"/>
        <w:wordWrap w:val="0"/>
        <w:jc w:val="both"/>
        <w:rPr>
          <w:rFonts w:hint="eastAsia" w:hAnsi="宋体"/>
          <w:color w:val="auto"/>
          <w:sz w:val="21"/>
          <w:szCs w:val="21"/>
          <w:highlight w:val="none"/>
        </w:rPr>
      </w:pPr>
      <w:r>
        <w:rPr>
          <w:rFonts w:hAnsi="宋体"/>
          <w:color w:val="auto"/>
          <w:sz w:val="21"/>
          <w:szCs w:val="21"/>
          <w:highlight w:val="none"/>
        </w:rPr>
        <w:t>6.3.1评标委员会按照第三章“评标办法”规定的方法、评审因素、标准和程序对投标文件进行评审。第三章“评标办法”没有规定的方法、评审因素和标准，不作为评标依据。</w:t>
      </w:r>
    </w:p>
    <w:p w14:paraId="1606DD24">
      <w:pPr>
        <w:pStyle w:val="273"/>
        <w:wordWrap w:val="0"/>
        <w:jc w:val="both"/>
        <w:rPr>
          <w:rFonts w:hint="eastAsia" w:hAnsi="宋体"/>
          <w:color w:val="auto"/>
          <w:sz w:val="21"/>
          <w:szCs w:val="21"/>
          <w:highlight w:val="none"/>
        </w:rPr>
      </w:pPr>
      <w:r>
        <w:rPr>
          <w:rFonts w:hAnsi="宋体"/>
          <w:color w:val="auto"/>
          <w:sz w:val="21"/>
          <w:szCs w:val="21"/>
          <w:highlight w:val="none"/>
        </w:rPr>
        <w:t>6.3.2</w:t>
      </w:r>
      <w:r>
        <w:rPr>
          <w:rFonts w:hint="eastAsia" w:hAnsi="宋体"/>
          <w:color w:val="auto"/>
          <w:sz w:val="21"/>
          <w:szCs w:val="21"/>
          <w:highlight w:val="none"/>
        </w:rPr>
        <w:t xml:space="preserve"> </w:t>
      </w:r>
      <w:r>
        <w:rPr>
          <w:rFonts w:hAnsi="宋体"/>
          <w:color w:val="auto"/>
          <w:sz w:val="21"/>
          <w:szCs w:val="21"/>
          <w:highlight w:val="none"/>
        </w:rPr>
        <w:t>评标完成后，评标委员会应当向招标人提交书面评标报告和中标候选人名单。评标委员会推荐中标候选人的人数见投标人须知前附表。</w:t>
      </w:r>
    </w:p>
    <w:p w14:paraId="2D760B45">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7.合同授予</w:t>
      </w:r>
    </w:p>
    <w:p w14:paraId="0EC59065">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7.1 结果公告</w:t>
      </w:r>
    </w:p>
    <w:p w14:paraId="20A7A503">
      <w:pPr>
        <w:pStyle w:val="273"/>
        <w:wordWrap w:val="0"/>
        <w:jc w:val="both"/>
        <w:rPr>
          <w:rFonts w:hint="eastAsia" w:hAnsi="宋体"/>
          <w:color w:val="auto"/>
          <w:sz w:val="21"/>
          <w:szCs w:val="21"/>
          <w:highlight w:val="none"/>
        </w:rPr>
      </w:pPr>
      <w:r>
        <w:rPr>
          <w:rFonts w:hAnsi="宋体"/>
          <w:color w:val="auto"/>
          <w:sz w:val="21"/>
          <w:szCs w:val="21"/>
          <w:highlight w:val="none"/>
        </w:rPr>
        <w:t>招标人在收到评标报告之日起3日内，按照投标人须知前附表规定的公</w:t>
      </w:r>
      <w:r>
        <w:rPr>
          <w:rFonts w:hint="eastAsia" w:hAnsi="宋体"/>
          <w:color w:val="auto"/>
          <w:sz w:val="21"/>
          <w:szCs w:val="21"/>
          <w:highlight w:val="none"/>
        </w:rPr>
        <w:t>告</w:t>
      </w:r>
      <w:r>
        <w:rPr>
          <w:rFonts w:hAnsi="宋体"/>
          <w:color w:val="auto"/>
          <w:sz w:val="21"/>
          <w:szCs w:val="21"/>
          <w:highlight w:val="none"/>
        </w:rPr>
        <w:t>媒介和期限</w:t>
      </w:r>
      <w:r>
        <w:rPr>
          <w:rFonts w:hint="eastAsia" w:hAnsi="宋体"/>
          <w:color w:val="auto"/>
          <w:sz w:val="21"/>
          <w:szCs w:val="21"/>
          <w:highlight w:val="none"/>
        </w:rPr>
        <w:t>发布结果公告；公告内容为中标候选人的报价、综合得分及招标人认为的其他事项。</w:t>
      </w:r>
    </w:p>
    <w:p w14:paraId="1E6EC1A4">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7.2 评标结果异议</w:t>
      </w:r>
    </w:p>
    <w:p w14:paraId="171E4DDD">
      <w:pPr>
        <w:pStyle w:val="273"/>
        <w:wordWrap w:val="0"/>
        <w:jc w:val="both"/>
        <w:rPr>
          <w:rFonts w:hint="eastAsia" w:hAnsi="宋体"/>
          <w:color w:val="auto"/>
          <w:szCs w:val="21"/>
          <w:highlight w:val="none"/>
        </w:rPr>
      </w:pPr>
      <w:r>
        <w:rPr>
          <w:rFonts w:hint="eastAsia" w:hAnsi="宋体"/>
          <w:color w:val="auto"/>
          <w:sz w:val="21"/>
          <w:szCs w:val="21"/>
          <w:highlight w:val="none"/>
        </w:rPr>
        <w:t>投标人或者其他利害关系人对评标结果有异议的，应当在结果公告规定的期限内提出；除评标结果异议外，其他投诉及异议一概不予受理。</w:t>
      </w:r>
    </w:p>
    <w:p w14:paraId="4B65BFAE">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7.3 定标</w:t>
      </w:r>
    </w:p>
    <w:p w14:paraId="688B7410">
      <w:pPr>
        <w:pStyle w:val="273"/>
        <w:wordWrap w:val="0"/>
        <w:jc w:val="both"/>
        <w:rPr>
          <w:rFonts w:hint="eastAsia" w:hAnsi="宋体"/>
          <w:color w:val="auto"/>
          <w:sz w:val="21"/>
          <w:szCs w:val="21"/>
          <w:highlight w:val="none"/>
        </w:rPr>
      </w:pPr>
      <w:r>
        <w:rPr>
          <w:rFonts w:hint="eastAsia" w:hAnsi="宋体"/>
          <w:color w:val="auto"/>
          <w:sz w:val="21"/>
          <w:szCs w:val="21"/>
          <w:highlight w:val="none"/>
        </w:rPr>
        <w:t xml:space="preserve">7.3.1 经公告中标候选人在整个招投标过程无违法、违纪行为后，招标人原则上应在评标报告确定的中标候选人名单中按顺序确定中标人。 </w:t>
      </w:r>
    </w:p>
    <w:p w14:paraId="3E3E255F">
      <w:pPr>
        <w:pStyle w:val="273"/>
        <w:wordWrap w:val="0"/>
        <w:jc w:val="both"/>
        <w:rPr>
          <w:rFonts w:hint="eastAsia" w:hAnsi="宋体"/>
          <w:color w:val="auto"/>
          <w:sz w:val="21"/>
          <w:szCs w:val="21"/>
          <w:highlight w:val="none"/>
        </w:rPr>
      </w:pPr>
      <w:r>
        <w:rPr>
          <w:rFonts w:hint="eastAsia" w:hAnsi="宋体"/>
          <w:color w:val="auto"/>
          <w:sz w:val="21"/>
          <w:szCs w:val="21"/>
          <w:highlight w:val="none"/>
        </w:rPr>
        <w:t>7.3.2 中标候选人放弃中标、因不可抗力不能履行合同，被查实存在影响中标结果的违法行为等情形，不符合中标条件的，招标人可以依次确定排序靠后的中标候选人为中标人或重新招标。</w:t>
      </w:r>
    </w:p>
    <w:p w14:paraId="2009C9A3">
      <w:pPr>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7.4 中标通知</w:t>
      </w:r>
    </w:p>
    <w:p w14:paraId="08E70A2A">
      <w:pPr>
        <w:pStyle w:val="273"/>
        <w:wordWrap w:val="0"/>
        <w:jc w:val="both"/>
        <w:rPr>
          <w:rFonts w:hint="eastAsia" w:hAnsi="宋体"/>
          <w:color w:val="auto"/>
          <w:sz w:val="21"/>
          <w:szCs w:val="21"/>
          <w:highlight w:val="none"/>
        </w:rPr>
      </w:pPr>
      <w:r>
        <w:rPr>
          <w:rFonts w:hAnsi="宋体"/>
          <w:color w:val="auto"/>
          <w:sz w:val="21"/>
          <w:szCs w:val="21"/>
          <w:highlight w:val="none"/>
        </w:rPr>
        <w:t>在本章第 3.3 款规定的投标有效期内，招标</w:t>
      </w:r>
      <w:r>
        <w:rPr>
          <w:rFonts w:hint="eastAsia" w:hAnsi="宋体"/>
          <w:color w:val="auto"/>
          <w:sz w:val="21"/>
          <w:szCs w:val="21"/>
          <w:highlight w:val="none"/>
        </w:rPr>
        <w:t>代理机构</w:t>
      </w:r>
      <w:r>
        <w:rPr>
          <w:rFonts w:hAnsi="宋体"/>
          <w:color w:val="auto"/>
          <w:sz w:val="21"/>
          <w:szCs w:val="21"/>
          <w:highlight w:val="none"/>
        </w:rPr>
        <w:t>向中标人发出中标通知书</w:t>
      </w:r>
      <w:r>
        <w:rPr>
          <w:rFonts w:hint="eastAsia" w:hAnsi="宋体"/>
          <w:color w:val="auto"/>
          <w:sz w:val="21"/>
          <w:szCs w:val="21"/>
          <w:highlight w:val="none"/>
        </w:rPr>
        <w:t>。</w:t>
      </w:r>
    </w:p>
    <w:p w14:paraId="4216F380">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7.5 履约保证金</w:t>
      </w:r>
    </w:p>
    <w:p w14:paraId="114E9C19">
      <w:pPr>
        <w:pStyle w:val="273"/>
        <w:wordWrap w:val="0"/>
        <w:jc w:val="both"/>
        <w:rPr>
          <w:rFonts w:hint="eastAsia"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5</w:t>
      </w:r>
      <w:r>
        <w:rPr>
          <w:rFonts w:hAnsi="宋体"/>
          <w:color w:val="auto"/>
          <w:sz w:val="21"/>
          <w:szCs w:val="21"/>
          <w:highlight w:val="none"/>
        </w:rPr>
        <w:t>.1</w:t>
      </w:r>
      <w:r>
        <w:rPr>
          <w:rFonts w:hint="eastAsia" w:hAnsi="宋体"/>
          <w:color w:val="auto"/>
          <w:sz w:val="21"/>
          <w:szCs w:val="21"/>
          <w:highlight w:val="none"/>
        </w:rPr>
        <w:t xml:space="preserve"> </w:t>
      </w:r>
      <w:r>
        <w:rPr>
          <w:rFonts w:hAnsi="宋体"/>
          <w:color w:val="auto"/>
          <w:sz w:val="21"/>
          <w:szCs w:val="21"/>
          <w:highlight w:val="none"/>
        </w:rPr>
        <w:t>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5%</w:t>
      </w:r>
      <w:r>
        <w:rPr>
          <w:rFonts w:hint="eastAsia" w:hAnsi="宋体"/>
          <w:color w:val="auto"/>
          <w:sz w:val="21"/>
          <w:szCs w:val="21"/>
          <w:highlight w:val="none"/>
        </w:rPr>
        <w:t>，</w:t>
      </w:r>
      <w:r>
        <w:rPr>
          <w:rFonts w:hAnsi="宋体"/>
          <w:color w:val="auto"/>
          <w:sz w:val="21"/>
          <w:szCs w:val="21"/>
          <w:highlight w:val="none"/>
        </w:rPr>
        <w:t>具体以合同约定为准。联合体中标的，其履约保证金以联合体各方或者</w:t>
      </w:r>
      <w:r>
        <w:rPr>
          <w:rFonts w:hint="eastAsia" w:hAnsi="宋体"/>
          <w:color w:val="auto"/>
          <w:sz w:val="21"/>
          <w:szCs w:val="21"/>
          <w:highlight w:val="none"/>
          <w:lang w:eastAsia="zh-CN"/>
        </w:rPr>
        <w:t>联合体</w:t>
      </w:r>
      <w:r>
        <w:rPr>
          <w:rFonts w:hAnsi="宋体"/>
          <w:color w:val="auto"/>
          <w:sz w:val="21"/>
          <w:szCs w:val="21"/>
          <w:highlight w:val="none"/>
        </w:rPr>
        <w:t>牵头人的名义提交。</w:t>
      </w:r>
    </w:p>
    <w:p w14:paraId="075482E8">
      <w:pPr>
        <w:pStyle w:val="273"/>
        <w:wordWrap w:val="0"/>
        <w:jc w:val="both"/>
        <w:rPr>
          <w:rFonts w:hint="eastAsia"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5</w:t>
      </w:r>
      <w:r>
        <w:rPr>
          <w:rFonts w:hAnsi="宋体"/>
          <w:color w:val="auto"/>
          <w:sz w:val="21"/>
          <w:szCs w:val="21"/>
          <w:highlight w:val="none"/>
        </w:rPr>
        <w:t>.2</w:t>
      </w:r>
      <w:r>
        <w:rPr>
          <w:rFonts w:hint="eastAsia" w:hAnsi="宋体"/>
          <w:color w:val="auto"/>
          <w:sz w:val="21"/>
          <w:szCs w:val="21"/>
          <w:highlight w:val="none"/>
        </w:rPr>
        <w:t xml:space="preserve"> </w:t>
      </w:r>
      <w:r>
        <w:rPr>
          <w:rFonts w:hAnsi="宋体"/>
          <w:color w:val="auto"/>
          <w:sz w:val="21"/>
          <w:szCs w:val="21"/>
          <w:highlight w:val="none"/>
        </w:rPr>
        <w:t>中标人不能按本章第7.</w:t>
      </w:r>
      <w:r>
        <w:rPr>
          <w:rFonts w:hint="eastAsia" w:hAnsi="宋体"/>
          <w:color w:val="auto"/>
          <w:sz w:val="21"/>
          <w:szCs w:val="21"/>
          <w:highlight w:val="none"/>
        </w:rPr>
        <w:t>5</w:t>
      </w:r>
      <w:r>
        <w:rPr>
          <w:rFonts w:hAnsi="宋体"/>
          <w:color w:val="auto"/>
          <w:sz w:val="21"/>
          <w:szCs w:val="21"/>
          <w:highlight w:val="none"/>
        </w:rPr>
        <w:t>.1项要求提交履约保证金的，视为放弃中标，其投标保证金不予退还，给招标人造成的损失超过投标保证金数额的，中标人还应当对超过部分予以赔偿。</w:t>
      </w:r>
    </w:p>
    <w:p w14:paraId="280D3614">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7.6 签订合同</w:t>
      </w:r>
    </w:p>
    <w:p w14:paraId="6EB30111">
      <w:pPr>
        <w:pStyle w:val="273"/>
        <w:wordWrap w:val="0"/>
        <w:jc w:val="both"/>
        <w:rPr>
          <w:rFonts w:hint="eastAsia"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6</w:t>
      </w:r>
      <w:r>
        <w:rPr>
          <w:rFonts w:hAnsi="宋体"/>
          <w:color w:val="auto"/>
          <w:sz w:val="21"/>
          <w:szCs w:val="21"/>
          <w:highlight w:val="none"/>
        </w:rPr>
        <w:t>.1 招标人</w:t>
      </w:r>
      <w:r>
        <w:rPr>
          <w:rFonts w:hint="eastAsia" w:hAnsi="宋体"/>
          <w:color w:val="auto"/>
          <w:sz w:val="21"/>
          <w:szCs w:val="21"/>
          <w:highlight w:val="none"/>
        </w:rPr>
        <w:t>和</w:t>
      </w:r>
      <w:r>
        <w:rPr>
          <w:rFonts w:hAnsi="宋体"/>
          <w:color w:val="auto"/>
          <w:sz w:val="21"/>
          <w:szCs w:val="21"/>
          <w:highlight w:val="none"/>
        </w:rPr>
        <w:t>中标人应当在中标通知书发出之日起30日内，根据招标文件和中标人的投标文件订立书面合同。中标人无正当理由拒签合同，</w:t>
      </w:r>
      <w:r>
        <w:rPr>
          <w:rFonts w:hint="eastAsia" w:hAnsi="宋体"/>
          <w:color w:val="auto"/>
          <w:sz w:val="21"/>
          <w:szCs w:val="21"/>
          <w:highlight w:val="none"/>
        </w:rPr>
        <w:t>或</w:t>
      </w:r>
      <w:r>
        <w:rPr>
          <w:rFonts w:hAnsi="宋体"/>
          <w:color w:val="auto"/>
          <w:sz w:val="21"/>
          <w:szCs w:val="21"/>
          <w:highlight w:val="none"/>
        </w:rPr>
        <w:t>在签订合同时向招标人提出附加条件，或者不按照招标文件第四章“合同条款及格式”要求提交履约保证金的，招标人取消其中标资格，其投标保证金不予退还；给招标人造成的损失超过投标保证金数额的，中标人还应当对超过部分予以赔偿。</w:t>
      </w:r>
    </w:p>
    <w:p w14:paraId="237BF054">
      <w:pPr>
        <w:pStyle w:val="273"/>
        <w:wordWrap w:val="0"/>
        <w:jc w:val="both"/>
        <w:rPr>
          <w:rFonts w:hint="eastAsia"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6</w:t>
      </w:r>
      <w:r>
        <w:rPr>
          <w:rFonts w:hAnsi="宋体"/>
          <w:color w:val="auto"/>
          <w:sz w:val="21"/>
          <w:szCs w:val="21"/>
          <w:highlight w:val="none"/>
        </w:rPr>
        <w:t>.2 联合体中标的，联合体各方应当共同与招标人签订合同，就中标项目向招标人承担连带责任。</w:t>
      </w:r>
    </w:p>
    <w:p w14:paraId="6A91F325">
      <w:pPr>
        <w:pStyle w:val="273"/>
        <w:wordWrap w:val="0"/>
        <w:jc w:val="both"/>
        <w:rPr>
          <w:rFonts w:hint="eastAsia" w:hAnsi="宋体"/>
          <w:color w:val="auto"/>
          <w:sz w:val="21"/>
          <w:szCs w:val="21"/>
          <w:highlight w:val="none"/>
        </w:rPr>
      </w:pPr>
      <w:r>
        <w:rPr>
          <w:rFonts w:hint="eastAsia" w:hAnsi="宋体"/>
          <w:color w:val="auto"/>
          <w:sz w:val="21"/>
          <w:szCs w:val="21"/>
          <w:highlight w:val="none"/>
        </w:rPr>
        <w:t>7</w:t>
      </w:r>
      <w:r>
        <w:rPr>
          <w:rFonts w:hAnsi="宋体"/>
          <w:color w:val="auto"/>
          <w:sz w:val="21"/>
          <w:szCs w:val="21"/>
          <w:highlight w:val="none"/>
        </w:rPr>
        <w:t>.6.3</w:t>
      </w:r>
      <w:r>
        <w:rPr>
          <w:rFonts w:hint="eastAsia" w:hAnsi="宋体"/>
          <w:color w:val="auto"/>
          <w:sz w:val="21"/>
          <w:szCs w:val="21"/>
          <w:highlight w:val="none"/>
        </w:rPr>
        <w:t xml:space="preserve"> 合同签订前，招标人将对中标人的报价部分明细进行价格复核，价格复核的原则如下：</w:t>
      </w:r>
    </w:p>
    <w:p w14:paraId="57F75A87">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（1）当单价与数量的乘积与总价不一致时，以低价为准；当各分项合价的总和与投标文件“开标一览表”相应价格不一致时，以低价为准。</w:t>
      </w:r>
    </w:p>
    <w:p w14:paraId="31519CB4">
      <w:pPr>
        <w:pStyle w:val="273"/>
        <w:wordWrap w:val="0"/>
        <w:jc w:val="both"/>
        <w:rPr>
          <w:rFonts w:hint="eastAsia" w:hAnsi="宋体"/>
          <w:color w:val="auto"/>
          <w:sz w:val="21"/>
          <w:szCs w:val="21"/>
          <w:highlight w:val="none"/>
        </w:rPr>
      </w:pPr>
      <w:r>
        <w:rPr>
          <w:rFonts w:hint="eastAsia" w:hAnsi="宋体"/>
          <w:color w:val="auto"/>
          <w:sz w:val="21"/>
          <w:szCs w:val="21"/>
          <w:highlight w:val="none"/>
        </w:rPr>
        <w:t>（2）投标报价明细存在缺漏项时，中标人应免费补齐补足。</w:t>
      </w:r>
    </w:p>
    <w:p w14:paraId="0A0DF7CC">
      <w:pPr>
        <w:pStyle w:val="273"/>
        <w:wordWrap w:val="0"/>
        <w:jc w:val="both"/>
        <w:rPr>
          <w:rFonts w:hint="eastAsia" w:hAnsi="宋体"/>
          <w:color w:val="auto"/>
          <w:sz w:val="21"/>
          <w:szCs w:val="21"/>
          <w:highlight w:val="none"/>
        </w:rPr>
      </w:pPr>
      <w:r>
        <w:rPr>
          <w:rFonts w:hint="eastAsia" w:hAnsi="宋体"/>
          <w:color w:val="auto"/>
          <w:sz w:val="21"/>
          <w:szCs w:val="21"/>
          <w:highlight w:val="none"/>
        </w:rPr>
        <w:t>（3）投标报价明细存在多余项或招标人未要求项时，无论该项报价多少，均视为免费。</w:t>
      </w:r>
    </w:p>
    <w:p w14:paraId="6EB08532">
      <w:pPr>
        <w:pStyle w:val="273"/>
        <w:wordWrap w:val="0"/>
        <w:jc w:val="both"/>
        <w:rPr>
          <w:rFonts w:hint="eastAsia" w:hAnsi="宋体"/>
          <w:color w:val="auto"/>
          <w:sz w:val="21"/>
          <w:szCs w:val="21"/>
          <w:highlight w:val="none"/>
        </w:rPr>
      </w:pPr>
      <w:r>
        <w:rPr>
          <w:rFonts w:hint="eastAsia" w:hAnsi="宋体"/>
          <w:color w:val="auto"/>
          <w:sz w:val="21"/>
          <w:szCs w:val="21"/>
          <w:highlight w:val="none"/>
        </w:rPr>
        <w:t>（4）税率适用错误或税金计算错误的，按照有利于招标人的原则进行调整，并以招标人的最终意见为准。</w:t>
      </w:r>
    </w:p>
    <w:p w14:paraId="261B278D">
      <w:pPr>
        <w:pStyle w:val="273"/>
        <w:wordWrap w:val="0"/>
        <w:jc w:val="both"/>
        <w:rPr>
          <w:rFonts w:hint="eastAsia" w:hAnsi="宋体"/>
          <w:color w:val="auto"/>
          <w:sz w:val="21"/>
          <w:szCs w:val="21"/>
          <w:highlight w:val="none"/>
        </w:rPr>
      </w:pPr>
      <w:r>
        <w:rPr>
          <w:rFonts w:hint="eastAsia" w:hAnsi="宋体"/>
          <w:color w:val="auto"/>
          <w:sz w:val="21"/>
          <w:szCs w:val="21"/>
          <w:highlight w:val="none"/>
        </w:rPr>
        <w:t>（5）如中标人不接受按以上规则确定的修正后的价格，则招标人有权将合同授予下一顺序中标候选人或依法重新组织招标。</w:t>
      </w:r>
    </w:p>
    <w:p w14:paraId="20462D2C">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8.纪律和监督</w:t>
      </w:r>
    </w:p>
    <w:p w14:paraId="096C922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8.1 对招标人的纪律要求</w:t>
      </w:r>
    </w:p>
    <w:p w14:paraId="2E035EAC">
      <w:pPr>
        <w:pStyle w:val="273"/>
        <w:wordWrap w:val="0"/>
        <w:jc w:val="both"/>
        <w:rPr>
          <w:rFonts w:hint="eastAsia" w:hAnsi="宋体"/>
          <w:color w:val="auto"/>
          <w:sz w:val="21"/>
          <w:szCs w:val="21"/>
          <w:highlight w:val="none"/>
        </w:rPr>
      </w:pPr>
      <w:r>
        <w:rPr>
          <w:rFonts w:hAnsi="宋体"/>
          <w:color w:val="auto"/>
          <w:sz w:val="21"/>
          <w:szCs w:val="21"/>
          <w:highlight w:val="none"/>
        </w:rPr>
        <w:t>招标人不得泄露招标投标活动中应当保密的情况和资料，不得与投标人串通损害国家利益、社会公共利益或者他人合法权益。</w:t>
      </w:r>
    </w:p>
    <w:p w14:paraId="53E7A8C9">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8.2 对投标人的纪律要求</w:t>
      </w:r>
    </w:p>
    <w:p w14:paraId="5F204470">
      <w:pPr>
        <w:pStyle w:val="273"/>
        <w:wordWrap w:val="0"/>
        <w:jc w:val="both"/>
        <w:rPr>
          <w:rFonts w:hint="eastAsia" w:hAnsi="宋体"/>
          <w:color w:val="auto"/>
          <w:sz w:val="21"/>
          <w:szCs w:val="21"/>
          <w:highlight w:val="none"/>
        </w:rPr>
      </w:pPr>
      <w:r>
        <w:rPr>
          <w:rFonts w:hAnsi="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F440A90">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8.3 对评标委员会成员的纪律要求</w:t>
      </w:r>
    </w:p>
    <w:p w14:paraId="15F94B03">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53F0DF1F">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b/>
          <w:bCs/>
          <w:color w:val="auto"/>
          <w:szCs w:val="21"/>
          <w:highlight w:val="none"/>
        </w:rPr>
      </w:pPr>
      <w:r>
        <w:rPr>
          <w:rFonts w:hint="eastAsia" w:ascii="宋体" w:hAnsi="宋体"/>
          <w:b/>
          <w:bCs/>
          <w:color w:val="auto"/>
          <w:szCs w:val="21"/>
          <w:highlight w:val="none"/>
        </w:rPr>
        <w:t>8.4 对与评标活动有关的工作人员的纪律要求</w:t>
      </w:r>
    </w:p>
    <w:p w14:paraId="278896C7">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6CF05E4F">
      <w:pPr>
        <w:pStyle w:val="273"/>
        <w:wordWrap w:val="0"/>
        <w:ind w:firstLine="0"/>
        <w:jc w:val="both"/>
        <w:rPr>
          <w:rFonts w:hint="eastAsia" w:hAnsi="宋体"/>
          <w:b/>
          <w:bCs/>
          <w:color w:val="auto"/>
          <w:sz w:val="21"/>
          <w:szCs w:val="21"/>
          <w:highlight w:val="none"/>
        </w:rPr>
      </w:pPr>
      <w:r>
        <w:rPr>
          <w:rFonts w:hAnsi="宋体"/>
          <w:b/>
          <w:bCs/>
          <w:color w:val="auto"/>
          <w:sz w:val="21"/>
          <w:szCs w:val="21"/>
          <w:highlight w:val="none"/>
        </w:rPr>
        <w:t xml:space="preserve">8.5 </w:t>
      </w:r>
      <w:r>
        <w:rPr>
          <w:rFonts w:hint="eastAsia" w:hAnsi="宋体"/>
          <w:b/>
          <w:bCs/>
          <w:color w:val="auto"/>
          <w:sz w:val="21"/>
          <w:szCs w:val="21"/>
          <w:highlight w:val="none"/>
        </w:rPr>
        <w:t>投诉</w:t>
      </w:r>
    </w:p>
    <w:p w14:paraId="2CEE017B">
      <w:pPr>
        <w:pStyle w:val="273"/>
        <w:wordWrap w:val="0"/>
        <w:ind w:firstLine="420" w:firstLineChars="200"/>
        <w:jc w:val="both"/>
        <w:rPr>
          <w:rFonts w:hint="eastAsia" w:hAnsi="宋体"/>
          <w:color w:val="auto"/>
          <w:sz w:val="21"/>
          <w:szCs w:val="21"/>
          <w:highlight w:val="none"/>
        </w:rPr>
      </w:pPr>
      <w:r>
        <w:rPr>
          <w:rFonts w:hAnsi="宋体"/>
          <w:color w:val="auto"/>
          <w:sz w:val="21"/>
          <w:szCs w:val="21"/>
          <w:highlight w:val="none"/>
        </w:rPr>
        <w:t>8.5.1 投标人或者其他利害关系人认为招标投标活动不符合法律、行政法规规定的，可以自知道或者应当知道之日起10日内向</w:t>
      </w:r>
      <w:r>
        <w:rPr>
          <w:rFonts w:hint="eastAsia" w:hAnsi="宋体"/>
          <w:color w:val="auto"/>
          <w:sz w:val="21"/>
          <w:szCs w:val="21"/>
          <w:highlight w:val="none"/>
        </w:rPr>
        <w:t>长沙穗城轨道交通有限公司经营管理部</w:t>
      </w:r>
      <w:r>
        <w:rPr>
          <w:rFonts w:hAnsi="宋体"/>
          <w:color w:val="auto"/>
          <w:sz w:val="21"/>
          <w:szCs w:val="21"/>
          <w:highlight w:val="none"/>
        </w:rPr>
        <w:t>投诉</w:t>
      </w:r>
      <w:r>
        <w:rPr>
          <w:rFonts w:hint="eastAsia" w:hAnsi="宋体"/>
          <w:color w:val="auto"/>
          <w:sz w:val="21"/>
          <w:szCs w:val="21"/>
          <w:highlight w:val="none"/>
        </w:rPr>
        <w:t>（联系电话：</w:t>
      </w:r>
      <w:r>
        <w:rPr>
          <w:rFonts w:hAnsi="宋体"/>
          <w:color w:val="auto"/>
          <w:sz w:val="21"/>
          <w:szCs w:val="21"/>
          <w:highlight w:val="none"/>
        </w:rPr>
        <w:t>0731-816354</w:t>
      </w:r>
      <w:r>
        <w:rPr>
          <w:rFonts w:hint="eastAsia" w:hAnsi="宋体"/>
          <w:color w:val="auto"/>
          <w:sz w:val="21"/>
          <w:szCs w:val="21"/>
          <w:highlight w:val="none"/>
          <w:lang w:eastAsia="zh-CN"/>
        </w:rPr>
        <w:t>8</w:t>
      </w:r>
      <w:r>
        <w:rPr>
          <w:rFonts w:hint="eastAsia" w:hAnsi="宋体"/>
          <w:color w:val="auto"/>
          <w:sz w:val="21"/>
          <w:szCs w:val="21"/>
          <w:highlight w:val="none"/>
          <w:lang w:val="en-US" w:eastAsia="zh-CN"/>
        </w:rPr>
        <w:t>8</w:t>
      </w:r>
      <w:r>
        <w:rPr>
          <w:rFonts w:hint="eastAsia" w:hAnsi="宋体"/>
          <w:color w:val="auto"/>
          <w:sz w:val="21"/>
          <w:szCs w:val="21"/>
          <w:highlight w:val="none"/>
        </w:rPr>
        <w:t>）；</w:t>
      </w:r>
      <w:r>
        <w:rPr>
          <w:rFonts w:hAnsi="宋体"/>
          <w:color w:val="auto"/>
          <w:sz w:val="21"/>
          <w:szCs w:val="21"/>
          <w:highlight w:val="none"/>
        </w:rPr>
        <w:t>投诉应当有明确的请求和必要的证明材料。</w:t>
      </w:r>
    </w:p>
    <w:p w14:paraId="2AEA0F7D">
      <w:pPr>
        <w:pStyle w:val="273"/>
        <w:wordWrap w:val="0"/>
        <w:jc w:val="both"/>
        <w:rPr>
          <w:rFonts w:hint="eastAsia" w:hAnsi="宋体"/>
          <w:color w:val="auto"/>
          <w:sz w:val="21"/>
          <w:szCs w:val="21"/>
          <w:highlight w:val="none"/>
        </w:rPr>
      </w:pPr>
      <w:r>
        <w:rPr>
          <w:rFonts w:hint="eastAsia" w:hAnsi="宋体"/>
          <w:color w:val="auto"/>
          <w:sz w:val="21"/>
          <w:szCs w:val="21"/>
          <w:highlight w:val="none"/>
        </w:rPr>
        <w:t>就本章第2.</w:t>
      </w:r>
      <w:r>
        <w:rPr>
          <w:rFonts w:hAnsi="宋体"/>
          <w:color w:val="auto"/>
          <w:sz w:val="21"/>
          <w:szCs w:val="21"/>
          <w:highlight w:val="none"/>
        </w:rPr>
        <w:t>4</w:t>
      </w:r>
      <w:r>
        <w:rPr>
          <w:rFonts w:hint="eastAsia" w:hAnsi="宋体"/>
          <w:color w:val="auto"/>
          <w:sz w:val="21"/>
          <w:szCs w:val="21"/>
          <w:highlight w:val="none"/>
        </w:rPr>
        <w:t>项、第5项、第7.</w:t>
      </w:r>
      <w:r>
        <w:rPr>
          <w:rFonts w:hAnsi="宋体"/>
          <w:color w:val="auto"/>
          <w:sz w:val="21"/>
          <w:szCs w:val="21"/>
          <w:highlight w:val="none"/>
        </w:rPr>
        <w:t>1</w:t>
      </w:r>
      <w:r>
        <w:rPr>
          <w:rFonts w:hint="eastAsia" w:hAnsi="宋体"/>
          <w:color w:val="auto"/>
          <w:sz w:val="21"/>
          <w:szCs w:val="21"/>
          <w:highlight w:val="none"/>
        </w:rPr>
        <w:t>项规定事项提出投诉的，应当先向招标人提出异议；</w:t>
      </w:r>
      <w:r>
        <w:rPr>
          <w:rFonts w:hAnsi="宋体"/>
          <w:color w:val="auto"/>
          <w:sz w:val="21"/>
          <w:szCs w:val="21"/>
          <w:highlight w:val="none"/>
        </w:rPr>
        <w:t>异议答复期间不计算在第8.5.1项规定的期限内。</w:t>
      </w:r>
    </w:p>
    <w:p w14:paraId="7CCEB8D4">
      <w:pPr>
        <w:pStyle w:val="138"/>
        <w:wordWrap w:val="0"/>
        <w:spacing w:before="0" w:line="360" w:lineRule="auto"/>
        <w:ind w:right="339"/>
        <w:jc w:val="left"/>
        <w:rPr>
          <w:rFonts w:hint="eastAsia" w:ascii="Calibri" w:cs="宋体"/>
          <w:color w:val="auto"/>
          <w:szCs w:val="28"/>
          <w:highlight w:val="none"/>
        </w:rPr>
      </w:pPr>
      <w:r>
        <w:rPr>
          <w:rFonts w:hint="eastAsia" w:ascii="Calibri" w:cs="宋体"/>
          <w:color w:val="auto"/>
          <w:szCs w:val="28"/>
          <w:highlight w:val="none"/>
        </w:rPr>
        <w:t>9.需要补充的其他内容</w:t>
      </w:r>
    </w:p>
    <w:p w14:paraId="7FA830EB">
      <w:pPr>
        <w:wordWrap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9.1项目场地服务费及招标代理服务费</w:t>
      </w:r>
    </w:p>
    <w:p w14:paraId="3DFAC0F4">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9.1.1 项目场地费由中标人全额承担，具体标准参照《湖南省发展和改革委员会关于我省公共资源交易服务收费的通知》（湘发改价费规〔2024〕292 号）文件执行。</w:t>
      </w:r>
    </w:p>
    <w:p w14:paraId="1B131C05">
      <w:pPr>
        <w:wordWrap w:val="0"/>
        <w:spacing w:line="360" w:lineRule="auto"/>
        <w:ind w:firstLine="420" w:firstLineChars="200"/>
        <w:rPr>
          <w:rFonts w:hint="eastAsia" w:ascii="宋体" w:hAnsi="宋体" w:cs="宋体"/>
          <w:color w:val="auto"/>
          <w:szCs w:val="21"/>
          <w:highlight w:val="none"/>
        </w:rPr>
      </w:pPr>
      <w:r>
        <w:rPr>
          <w:rFonts w:ascii="宋体" w:hAnsi="宋体" w:cs="宋体"/>
          <w:color w:val="auto"/>
          <w:szCs w:val="21"/>
          <w:highlight w:val="none"/>
        </w:rPr>
        <w:t>9</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 xml:space="preserve"> 招标代理服务费均由中标人全额承担；以中标价为基数，按投标人须知《招标代理服务费收费标准》（详见本须知附件）向中标人收取。</w:t>
      </w:r>
    </w:p>
    <w:p w14:paraId="04C34ECB">
      <w:pPr>
        <w:wordWrap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9.2其他</w:t>
      </w:r>
    </w:p>
    <w:p w14:paraId="11D03A7A">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9.2.1 招标人有权在投标有效期内的任何时候，对投标人提交的文件、资料等情况进行审查复核，若发现投标人在投标过程中有弄虚作假、围标串标的行为，或有不按招标文件的要求如实提供有关情况、文件、证明等资料的行为，或有所提供的有关情况、文件、证明等资料与事实不符的行为，或在招标过程中存在其他违法违规行为的，按照不合格投标人处理；被列为中标候选人的，取消中标候选人资格；已中标的，取消中标资格。同时，视其情节轻重处以没收部分或全部投标保证金，且禁止参与招标人及关联公司项目投标（最多三年），并依据国家有关规定进行处理。</w:t>
      </w:r>
    </w:p>
    <w:p w14:paraId="56C50007">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9.2.2 异议的提出与处理按长沙穗城轨道交通有限公司的规定执行。</w:t>
      </w:r>
    </w:p>
    <w:p w14:paraId="77EF3A74">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9.2.3 项目招投标期间，请各投标人随时关注潇湘交易云平台、中国招标投标公共服务平台，以便及时获得相关信息，否则招标人及招标代理机构不负任何责任。</w:t>
      </w:r>
    </w:p>
    <w:p w14:paraId="29AD6E1F">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9.2.4 中标通知发出以前，中标候选人及其相关情况发生变化，致使其达不到合格投标人资格条件的，取消其中标候选人资格，给招标人造成损失的，应承担相应损失。</w:t>
      </w:r>
    </w:p>
    <w:p w14:paraId="218EA7EB">
      <w:pPr>
        <w:pStyle w:val="273"/>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9.2.5 投标人不允许有挂靠或转包的行为，招标人或评标委员会在任何时候发现投标人是挂靠或转包的，该投标人的投标作废标处理，招标人有权取消其投标资格并没收投标保证金，已签订合同的，终止合同，没收履约保证金，并追究该投标人的有关法律责任。</w:t>
      </w:r>
    </w:p>
    <w:p w14:paraId="0CC42321">
      <w:pPr>
        <w:pStyle w:val="273"/>
        <w:wordWrap w:val="0"/>
        <w:jc w:val="both"/>
        <w:rPr>
          <w:rFonts w:hint="eastAsia" w:hAnsi="宋体"/>
          <w:color w:val="auto"/>
          <w:sz w:val="21"/>
          <w:szCs w:val="21"/>
          <w:highlight w:val="none"/>
        </w:rPr>
      </w:pPr>
      <w:r>
        <w:rPr>
          <w:rFonts w:hint="eastAsia" w:hAnsi="宋体"/>
          <w:color w:val="auto"/>
          <w:sz w:val="21"/>
          <w:szCs w:val="21"/>
          <w:highlight w:val="none"/>
        </w:rPr>
        <w:t>9.2.6 招标文件所设置的内容、条款未尽事宜，均以法律、法规以及国家、省、市或行政主管部门颁布的招投标有关规定为准；法律、法规以及国家、省、市或行政主管部门未规定的，以招标人解释为准。</w:t>
      </w:r>
    </w:p>
    <w:p w14:paraId="3B4F1FF2">
      <w:pPr>
        <w:wordWrap w:val="0"/>
        <w:ind w:left="0"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9.2.7 纸质招标文件获取：详见投标人须知前附表</w:t>
      </w:r>
      <w:r>
        <w:rPr>
          <w:rFonts w:hint="eastAsia" w:ascii="宋体" w:hAnsi="宋体"/>
          <w:color w:val="auto"/>
          <w:szCs w:val="21"/>
          <w:highlight w:val="none"/>
          <w:lang w:eastAsia="zh-CN"/>
        </w:rPr>
        <w:t>。</w:t>
      </w:r>
    </w:p>
    <w:bookmarkEnd w:id="3"/>
    <w:p w14:paraId="115BA8B4">
      <w:pPr>
        <w:wordWrap w:val="0"/>
        <w:spacing w:line="360" w:lineRule="auto"/>
        <w:ind w:firstLine="0" w:firstLineChars="0"/>
        <w:rPr>
          <w:rFonts w:hint="eastAsia" w:hAnsi="宋体"/>
          <w:b/>
          <w:color w:val="auto"/>
          <w:sz w:val="24"/>
          <w:szCs w:val="24"/>
          <w:highlight w:val="none"/>
        </w:rPr>
      </w:pPr>
      <w:r>
        <w:rPr>
          <w:rFonts w:ascii="宋体" w:hAnsi="宋体"/>
          <w:color w:val="auto"/>
          <w:szCs w:val="21"/>
          <w:highlight w:val="none"/>
        </w:rPr>
        <w:br w:type="page"/>
      </w:r>
      <w:r>
        <w:rPr>
          <w:rFonts w:hint="eastAsia" w:ascii="宋体" w:hAnsi="宋体"/>
          <w:b/>
          <w:color w:val="auto"/>
          <w:sz w:val="24"/>
          <w:szCs w:val="24"/>
          <w:highlight w:val="none"/>
        </w:rPr>
        <w:t>附件</w:t>
      </w:r>
    </w:p>
    <w:p w14:paraId="0463B4F2">
      <w:pPr>
        <w:wordWrap w:val="0"/>
        <w:spacing w:line="360" w:lineRule="auto"/>
        <w:jc w:val="center"/>
        <w:rPr>
          <w:rFonts w:hint="eastAsia" w:hAnsi="宋体"/>
          <w:b/>
          <w:color w:val="auto"/>
          <w:sz w:val="32"/>
          <w:szCs w:val="32"/>
          <w:highlight w:val="none"/>
        </w:rPr>
      </w:pPr>
      <w:r>
        <w:rPr>
          <w:rFonts w:hint="eastAsia" w:hAnsi="宋体"/>
          <w:b/>
          <w:color w:val="auto"/>
          <w:sz w:val="32"/>
          <w:szCs w:val="32"/>
          <w:highlight w:val="none"/>
        </w:rPr>
        <w:t>招标代理服务费收费标准</w:t>
      </w:r>
    </w:p>
    <w:p w14:paraId="002165B2">
      <w:pPr>
        <w:wordWrap w:val="0"/>
        <w:ind w:firstLine="482" w:firstLineChars="200"/>
        <w:rPr>
          <w:rFonts w:hint="eastAsia" w:hAnsi="宋体"/>
          <w:b/>
          <w:color w:val="auto"/>
          <w:sz w:val="24"/>
          <w:szCs w:val="24"/>
          <w:highlight w:val="none"/>
        </w:rPr>
      </w:pPr>
      <w:r>
        <w:rPr>
          <w:rFonts w:hint="eastAsia" w:hAnsi="宋体"/>
          <w:b/>
          <w:color w:val="auto"/>
          <w:sz w:val="24"/>
          <w:szCs w:val="24"/>
          <w:highlight w:val="none"/>
        </w:rPr>
        <w:t>表1：招标代理服务收费费率计算表</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4"/>
        <w:gridCol w:w="2253"/>
        <w:gridCol w:w="2253"/>
        <w:gridCol w:w="2262"/>
      </w:tblGrid>
      <w:tr w14:paraId="3760B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603" w:type="pct"/>
            <w:vMerge w:val="restart"/>
            <w:vAlign w:val="center"/>
          </w:tcPr>
          <w:p w14:paraId="1C471B38">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中标金额</w:t>
            </w:r>
          </w:p>
          <w:p w14:paraId="6EEC025B">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（设中标金额为X）</w:t>
            </w:r>
          </w:p>
        </w:tc>
        <w:tc>
          <w:tcPr>
            <w:tcW w:w="3396" w:type="pct"/>
            <w:gridSpan w:val="3"/>
            <w:vAlign w:val="center"/>
          </w:tcPr>
          <w:p w14:paraId="6F2346D1">
            <w:pPr>
              <w:wordWrap w:val="0"/>
              <w:adjustRightInd w:val="0"/>
              <w:snapToGrid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费率</w:t>
            </w:r>
          </w:p>
        </w:tc>
      </w:tr>
      <w:tr w14:paraId="45E9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603" w:type="pct"/>
            <w:vMerge w:val="continue"/>
            <w:vAlign w:val="center"/>
          </w:tcPr>
          <w:p w14:paraId="1510CB3D">
            <w:pPr>
              <w:wordWrap w:val="0"/>
              <w:jc w:val="center"/>
              <w:rPr>
                <w:rFonts w:hint="eastAsia" w:ascii="宋体" w:hAnsi="宋体" w:cs="宋体"/>
                <w:b/>
                <w:bCs/>
                <w:color w:val="auto"/>
                <w:szCs w:val="21"/>
                <w:highlight w:val="none"/>
              </w:rPr>
            </w:pPr>
          </w:p>
        </w:tc>
        <w:tc>
          <w:tcPr>
            <w:tcW w:w="1131" w:type="pct"/>
            <w:vAlign w:val="center"/>
          </w:tcPr>
          <w:p w14:paraId="4051A5FF">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货物采购</w:t>
            </w:r>
          </w:p>
        </w:tc>
        <w:tc>
          <w:tcPr>
            <w:tcW w:w="1131" w:type="pct"/>
            <w:vAlign w:val="center"/>
          </w:tcPr>
          <w:p w14:paraId="175A0261">
            <w:pPr>
              <w:wordWrap w:val="0"/>
              <w:adjustRightInd w:val="0"/>
              <w:snapToGrid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服务</w:t>
            </w:r>
          </w:p>
        </w:tc>
        <w:tc>
          <w:tcPr>
            <w:tcW w:w="1133" w:type="pct"/>
            <w:vAlign w:val="center"/>
          </w:tcPr>
          <w:p w14:paraId="7319F570">
            <w:pPr>
              <w:wordWrap w:val="0"/>
              <w:adjustRightInd w:val="0"/>
              <w:snapToGrid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工程建设</w:t>
            </w:r>
          </w:p>
        </w:tc>
      </w:tr>
      <w:tr w14:paraId="5D23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3338557E">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X≤100万元</w:t>
            </w:r>
          </w:p>
        </w:tc>
        <w:tc>
          <w:tcPr>
            <w:tcW w:w="1131" w:type="pct"/>
            <w:vAlign w:val="center"/>
          </w:tcPr>
          <w:p w14:paraId="1334919A">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1.5%</w:t>
            </w:r>
          </w:p>
        </w:tc>
        <w:tc>
          <w:tcPr>
            <w:tcW w:w="1131" w:type="pct"/>
            <w:vAlign w:val="center"/>
          </w:tcPr>
          <w:p w14:paraId="62C277B7">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1.5%</w:t>
            </w:r>
          </w:p>
        </w:tc>
        <w:tc>
          <w:tcPr>
            <w:tcW w:w="1133" w:type="pct"/>
            <w:vAlign w:val="center"/>
          </w:tcPr>
          <w:p w14:paraId="59779F37">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1.0%</w:t>
            </w:r>
          </w:p>
        </w:tc>
      </w:tr>
      <w:tr w14:paraId="5E82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50FAAA2">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100万元＜X≤500万元</w:t>
            </w:r>
          </w:p>
        </w:tc>
        <w:tc>
          <w:tcPr>
            <w:tcW w:w="1131" w:type="pct"/>
            <w:vAlign w:val="center"/>
          </w:tcPr>
          <w:p w14:paraId="0511D31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1.1%</w:t>
            </w:r>
          </w:p>
        </w:tc>
        <w:tc>
          <w:tcPr>
            <w:tcW w:w="1131" w:type="pct"/>
            <w:vAlign w:val="center"/>
          </w:tcPr>
          <w:p w14:paraId="17DC8CE0">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0.8%</w:t>
            </w:r>
          </w:p>
        </w:tc>
        <w:tc>
          <w:tcPr>
            <w:tcW w:w="1133" w:type="pct"/>
            <w:vAlign w:val="center"/>
          </w:tcPr>
          <w:p w14:paraId="03152D98">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0.7%</w:t>
            </w:r>
          </w:p>
        </w:tc>
      </w:tr>
      <w:tr w14:paraId="1D22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5A149B74">
            <w:pPr>
              <w:wordWrap w:val="0"/>
              <w:adjustRightInd w:val="0"/>
              <w:snapToGrid w:val="0"/>
              <w:jc w:val="center"/>
              <w:rPr>
                <w:rFonts w:hint="eastAsia" w:ascii="宋体" w:hAnsi="宋体" w:cs="宋体"/>
                <w:bCs/>
                <w:color w:val="auto"/>
                <w:szCs w:val="21"/>
                <w:highlight w:val="none"/>
              </w:rPr>
            </w:pPr>
            <w:r>
              <w:rPr>
                <w:rFonts w:hint="eastAsia" w:ascii="宋体" w:hAnsi="宋体" w:cs="宋体"/>
                <w:color w:val="auto"/>
                <w:szCs w:val="21"/>
                <w:highlight w:val="none"/>
              </w:rPr>
              <w:t>500万元＜X≤1000万元</w:t>
            </w:r>
          </w:p>
        </w:tc>
        <w:tc>
          <w:tcPr>
            <w:tcW w:w="1131" w:type="pct"/>
            <w:vAlign w:val="center"/>
          </w:tcPr>
          <w:p w14:paraId="639C8954">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0.8%</w:t>
            </w:r>
          </w:p>
        </w:tc>
        <w:tc>
          <w:tcPr>
            <w:tcW w:w="1131" w:type="pct"/>
            <w:vAlign w:val="center"/>
          </w:tcPr>
          <w:p w14:paraId="074D53B4">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0.45%</w:t>
            </w:r>
          </w:p>
        </w:tc>
        <w:tc>
          <w:tcPr>
            <w:tcW w:w="1133" w:type="pct"/>
            <w:vAlign w:val="center"/>
          </w:tcPr>
          <w:p w14:paraId="3C90E15B">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0.55%</w:t>
            </w:r>
          </w:p>
        </w:tc>
      </w:tr>
      <w:tr w14:paraId="4709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21A4080">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1000万-5000万</w:t>
            </w:r>
            <w:r>
              <w:rPr>
                <w:rFonts w:hint="eastAsia" w:ascii="宋体" w:hAnsi="宋体" w:cs="宋体"/>
                <w:bCs/>
                <w:color w:val="auto"/>
                <w:szCs w:val="21"/>
                <w:highlight w:val="none"/>
              </w:rPr>
              <w:t>元</w:t>
            </w:r>
          </w:p>
        </w:tc>
        <w:tc>
          <w:tcPr>
            <w:tcW w:w="1131" w:type="pct"/>
            <w:vAlign w:val="center"/>
          </w:tcPr>
          <w:p w14:paraId="04293370">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0.5%</w:t>
            </w:r>
          </w:p>
        </w:tc>
        <w:tc>
          <w:tcPr>
            <w:tcW w:w="1131" w:type="pct"/>
            <w:vAlign w:val="center"/>
          </w:tcPr>
          <w:p w14:paraId="3BA7075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0.25%</w:t>
            </w:r>
          </w:p>
        </w:tc>
        <w:tc>
          <w:tcPr>
            <w:tcW w:w="1133" w:type="pct"/>
            <w:vAlign w:val="center"/>
          </w:tcPr>
          <w:p w14:paraId="11D22CB1">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0.35%</w:t>
            </w:r>
          </w:p>
        </w:tc>
      </w:tr>
      <w:tr w14:paraId="030B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4738A6C6">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5000万元-1亿元</w:t>
            </w:r>
          </w:p>
        </w:tc>
        <w:tc>
          <w:tcPr>
            <w:tcW w:w="1131" w:type="pct"/>
            <w:vAlign w:val="center"/>
          </w:tcPr>
          <w:p w14:paraId="6362E6A6">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0.25%</w:t>
            </w:r>
          </w:p>
        </w:tc>
        <w:tc>
          <w:tcPr>
            <w:tcW w:w="1131" w:type="pct"/>
            <w:vAlign w:val="center"/>
          </w:tcPr>
          <w:p w14:paraId="64375DA5">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0.1%</w:t>
            </w:r>
          </w:p>
        </w:tc>
        <w:tc>
          <w:tcPr>
            <w:tcW w:w="1133" w:type="pct"/>
            <w:vAlign w:val="center"/>
          </w:tcPr>
          <w:p w14:paraId="3B107FFF">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0.2%</w:t>
            </w:r>
          </w:p>
        </w:tc>
      </w:tr>
      <w:tr w14:paraId="0640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60AB7684">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1亿-5亿</w:t>
            </w:r>
            <w:r>
              <w:rPr>
                <w:rFonts w:hint="eastAsia" w:ascii="宋体" w:hAnsi="宋体" w:cs="宋体"/>
                <w:bCs/>
                <w:color w:val="auto"/>
                <w:szCs w:val="21"/>
                <w:highlight w:val="none"/>
              </w:rPr>
              <w:t>元</w:t>
            </w:r>
          </w:p>
        </w:tc>
        <w:tc>
          <w:tcPr>
            <w:tcW w:w="1131" w:type="pct"/>
            <w:vAlign w:val="center"/>
          </w:tcPr>
          <w:p w14:paraId="2CEE8ACF">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0.05%</w:t>
            </w:r>
          </w:p>
        </w:tc>
        <w:tc>
          <w:tcPr>
            <w:tcW w:w="1131" w:type="pct"/>
            <w:vAlign w:val="center"/>
          </w:tcPr>
          <w:p w14:paraId="56500469">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0.05%</w:t>
            </w:r>
          </w:p>
        </w:tc>
        <w:tc>
          <w:tcPr>
            <w:tcW w:w="1133" w:type="pct"/>
            <w:vAlign w:val="center"/>
          </w:tcPr>
          <w:p w14:paraId="56C6087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0.05%</w:t>
            </w:r>
          </w:p>
        </w:tc>
      </w:tr>
      <w:tr w14:paraId="6F93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6E3529EB">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5亿-10亿</w:t>
            </w:r>
            <w:r>
              <w:rPr>
                <w:rFonts w:hint="eastAsia" w:ascii="宋体" w:hAnsi="宋体" w:cs="宋体"/>
                <w:bCs/>
                <w:color w:val="auto"/>
                <w:szCs w:val="21"/>
                <w:highlight w:val="none"/>
              </w:rPr>
              <w:t>元</w:t>
            </w:r>
          </w:p>
        </w:tc>
        <w:tc>
          <w:tcPr>
            <w:tcW w:w="1131" w:type="pct"/>
            <w:vAlign w:val="center"/>
          </w:tcPr>
          <w:p w14:paraId="08960978">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0.035%</w:t>
            </w:r>
          </w:p>
        </w:tc>
        <w:tc>
          <w:tcPr>
            <w:tcW w:w="1131" w:type="pct"/>
            <w:vAlign w:val="center"/>
          </w:tcPr>
          <w:p w14:paraId="7EF6060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0.035%</w:t>
            </w:r>
          </w:p>
        </w:tc>
        <w:tc>
          <w:tcPr>
            <w:tcW w:w="1133" w:type="pct"/>
            <w:vAlign w:val="center"/>
          </w:tcPr>
          <w:p w14:paraId="3F53092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0.035%</w:t>
            </w:r>
          </w:p>
        </w:tc>
      </w:tr>
      <w:tr w14:paraId="0B86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1210005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10亿-50亿</w:t>
            </w:r>
            <w:r>
              <w:rPr>
                <w:rFonts w:hint="eastAsia" w:ascii="宋体" w:hAnsi="宋体" w:cs="宋体"/>
                <w:bCs/>
                <w:color w:val="auto"/>
                <w:szCs w:val="21"/>
                <w:highlight w:val="none"/>
              </w:rPr>
              <w:t>元</w:t>
            </w:r>
          </w:p>
        </w:tc>
        <w:tc>
          <w:tcPr>
            <w:tcW w:w="1131" w:type="pct"/>
            <w:vAlign w:val="center"/>
          </w:tcPr>
          <w:p w14:paraId="0AEA8BE3">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0.008%</w:t>
            </w:r>
          </w:p>
        </w:tc>
        <w:tc>
          <w:tcPr>
            <w:tcW w:w="1131" w:type="pct"/>
            <w:vAlign w:val="center"/>
          </w:tcPr>
          <w:p w14:paraId="63053B5C">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0.008%</w:t>
            </w:r>
          </w:p>
        </w:tc>
        <w:tc>
          <w:tcPr>
            <w:tcW w:w="1133" w:type="pct"/>
            <w:vAlign w:val="center"/>
          </w:tcPr>
          <w:p w14:paraId="5AC32597">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0.008%</w:t>
            </w:r>
          </w:p>
        </w:tc>
      </w:tr>
      <w:tr w14:paraId="736E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2F6D1246">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lang w:eastAsia="zh-CN"/>
              </w:rPr>
              <w:t>50亿-100亿</w:t>
            </w:r>
            <w:r>
              <w:rPr>
                <w:rFonts w:hint="eastAsia" w:ascii="宋体" w:hAnsi="宋体" w:cs="宋体"/>
                <w:bCs/>
                <w:color w:val="auto"/>
                <w:szCs w:val="21"/>
                <w:highlight w:val="none"/>
              </w:rPr>
              <w:t>元</w:t>
            </w:r>
          </w:p>
        </w:tc>
        <w:tc>
          <w:tcPr>
            <w:tcW w:w="1131" w:type="pct"/>
            <w:vAlign w:val="center"/>
          </w:tcPr>
          <w:p w14:paraId="0662C33A">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0.006%</w:t>
            </w:r>
          </w:p>
        </w:tc>
        <w:tc>
          <w:tcPr>
            <w:tcW w:w="1131" w:type="pct"/>
            <w:vAlign w:val="center"/>
          </w:tcPr>
          <w:p w14:paraId="15E8399A">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0.006%</w:t>
            </w:r>
          </w:p>
        </w:tc>
        <w:tc>
          <w:tcPr>
            <w:tcW w:w="1133" w:type="pct"/>
            <w:vAlign w:val="center"/>
          </w:tcPr>
          <w:p w14:paraId="08F67EE6">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0.006%</w:t>
            </w:r>
          </w:p>
        </w:tc>
      </w:tr>
      <w:tr w14:paraId="6B17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00DFA011">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100亿元以上</w:t>
            </w:r>
          </w:p>
        </w:tc>
        <w:tc>
          <w:tcPr>
            <w:tcW w:w="1131" w:type="pct"/>
            <w:vAlign w:val="center"/>
          </w:tcPr>
          <w:p w14:paraId="1E0C608E">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0.004%</w:t>
            </w:r>
          </w:p>
        </w:tc>
        <w:tc>
          <w:tcPr>
            <w:tcW w:w="1131" w:type="pct"/>
            <w:vAlign w:val="center"/>
          </w:tcPr>
          <w:p w14:paraId="5BE0D9CA">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0.004%</w:t>
            </w:r>
          </w:p>
        </w:tc>
        <w:tc>
          <w:tcPr>
            <w:tcW w:w="1133" w:type="pct"/>
            <w:vAlign w:val="center"/>
          </w:tcPr>
          <w:p w14:paraId="5C0FF42F">
            <w:pPr>
              <w:wordWrap w:val="0"/>
              <w:adjustRightInd w:val="0"/>
              <w:snapToGrid w:val="0"/>
              <w:jc w:val="center"/>
              <w:rPr>
                <w:rFonts w:hint="eastAsia" w:ascii="宋体" w:hAnsi="宋体" w:cs="宋体"/>
                <w:bCs/>
                <w:color w:val="auto"/>
                <w:szCs w:val="21"/>
                <w:highlight w:val="none"/>
              </w:rPr>
            </w:pPr>
            <w:r>
              <w:rPr>
                <w:rFonts w:hint="eastAsia" w:ascii="宋体" w:hAnsi="宋体" w:cs="宋体"/>
                <w:bCs/>
                <w:color w:val="auto"/>
                <w:szCs w:val="21"/>
                <w:highlight w:val="none"/>
              </w:rPr>
              <w:t>0.004%</w:t>
            </w:r>
          </w:p>
        </w:tc>
      </w:tr>
      <w:tr w14:paraId="2297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exact"/>
        </w:trPr>
        <w:tc>
          <w:tcPr>
            <w:tcW w:w="5000" w:type="pct"/>
            <w:gridSpan w:val="4"/>
            <w:vAlign w:val="center"/>
          </w:tcPr>
          <w:p w14:paraId="020E9D9F">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计算说明：</w:t>
            </w:r>
          </w:p>
          <w:p w14:paraId="05C195A3">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招标代理服务收费按上述费率进行差额累进制计算。例如：某货物采购招标代理业务中标金额为6000万元，招标代理服务费计算如下：</w:t>
            </w:r>
          </w:p>
          <w:p w14:paraId="6E963C85">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1.100万元×1.5％＝1.5万元</w:t>
            </w:r>
          </w:p>
          <w:p w14:paraId="149CB4E5">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2.（500一100）万元×1.1％＝4.4万元</w:t>
            </w:r>
          </w:p>
          <w:p w14:paraId="5AD45FD3">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3.（1000－500）万元×0.8％＝4万元</w:t>
            </w:r>
          </w:p>
          <w:p w14:paraId="206D090E">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4.（5000—1000）万元×0.5％＝20万元</w:t>
            </w:r>
          </w:p>
          <w:p w14:paraId="12012B0A">
            <w:pPr>
              <w:tabs>
                <w:tab w:val="left" w:pos="2590"/>
              </w:tabs>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5.（6000—5000）万元×0.25％＝2.5万元</w:t>
            </w:r>
          </w:p>
          <w:p w14:paraId="51DCE703">
            <w:pPr>
              <w:wordWrap w:val="0"/>
              <w:rPr>
                <w:rFonts w:hint="eastAsia" w:ascii="宋体" w:hAnsi="宋体" w:cs="宋体"/>
                <w:bCs/>
                <w:color w:val="auto"/>
                <w:szCs w:val="21"/>
                <w:highlight w:val="none"/>
              </w:rPr>
            </w:pPr>
            <w:r>
              <w:rPr>
                <w:rFonts w:hint="eastAsia" w:ascii="宋体" w:hAnsi="宋体" w:cs="宋体"/>
                <w:color w:val="auto"/>
                <w:szCs w:val="21"/>
                <w:highlight w:val="none"/>
              </w:rPr>
              <w:t>6.合计收费为：1.5＋</w:t>
            </w:r>
            <w:r>
              <w:rPr>
                <w:rFonts w:hint="eastAsia" w:ascii="宋体" w:hAnsi="宋体" w:cs="宋体"/>
                <w:color w:val="auto"/>
                <w:szCs w:val="21"/>
                <w:highlight w:val="none"/>
                <w:lang w:val="en-US" w:eastAsia="zh-CN"/>
              </w:rPr>
              <w:t>4.4+4+20+2.5</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32.4</w:t>
            </w:r>
            <w:r>
              <w:rPr>
                <w:rFonts w:hint="eastAsia" w:ascii="宋体" w:hAnsi="宋体" w:cs="宋体"/>
                <w:color w:val="auto"/>
                <w:szCs w:val="21"/>
                <w:highlight w:val="none"/>
              </w:rPr>
              <w:t>（万元）</w:t>
            </w:r>
          </w:p>
        </w:tc>
      </w:tr>
    </w:tbl>
    <w:p w14:paraId="20F5985B">
      <w:pPr>
        <w:wordWrap w:val="0"/>
        <w:spacing w:line="360" w:lineRule="auto"/>
        <w:ind w:left="360"/>
        <w:rPr>
          <w:rFonts w:hint="eastAsia" w:hAnsi="宋体"/>
          <w:b/>
          <w:color w:val="auto"/>
          <w:sz w:val="24"/>
          <w:szCs w:val="24"/>
          <w:highlight w:val="none"/>
        </w:rPr>
      </w:pPr>
    </w:p>
    <w:p w14:paraId="08E29EB9">
      <w:pPr>
        <w:wordWrap w:val="0"/>
        <w:spacing w:line="360" w:lineRule="auto"/>
        <w:ind w:firstLine="241" w:firstLineChars="100"/>
        <w:rPr>
          <w:rFonts w:hint="eastAsia" w:hAnsi="宋体"/>
          <w:b/>
          <w:color w:val="auto"/>
          <w:sz w:val="24"/>
          <w:szCs w:val="24"/>
          <w:highlight w:val="none"/>
        </w:rPr>
      </w:pPr>
      <w:r>
        <w:rPr>
          <w:rFonts w:hint="eastAsia" w:hAnsi="宋体"/>
          <w:b/>
          <w:color w:val="auto"/>
          <w:sz w:val="24"/>
          <w:szCs w:val="24"/>
          <w:highlight w:val="none"/>
        </w:rPr>
        <w:t>表2：招标代理服务费取费标准</w:t>
      </w:r>
    </w:p>
    <w:tbl>
      <w:tblPr>
        <w:tblStyle w:val="64"/>
        <w:tblW w:w="50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0"/>
        <w:gridCol w:w="5079"/>
        <w:gridCol w:w="3193"/>
      </w:tblGrid>
      <w:tr w14:paraId="26736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65" w:type="pct"/>
            <w:vAlign w:val="center"/>
          </w:tcPr>
          <w:p w14:paraId="78EFD381">
            <w:pPr>
              <w:pStyle w:val="111"/>
              <w:wordWrap w:val="0"/>
              <w:ind w:left="113"/>
              <w:jc w:val="center"/>
              <w:rPr>
                <w:rFonts w:hint="eastAsia"/>
                <w:b/>
                <w:color w:val="auto"/>
                <w:sz w:val="21"/>
                <w:szCs w:val="21"/>
                <w:highlight w:val="none"/>
              </w:rPr>
            </w:pPr>
            <w:r>
              <w:rPr>
                <w:rFonts w:hint="eastAsia"/>
                <w:b/>
                <w:color w:val="auto"/>
                <w:sz w:val="21"/>
                <w:szCs w:val="21"/>
                <w:highlight w:val="none"/>
              </w:rPr>
              <w:t>类别</w:t>
            </w:r>
          </w:p>
        </w:tc>
        <w:tc>
          <w:tcPr>
            <w:tcW w:w="2539" w:type="pct"/>
            <w:vAlign w:val="center"/>
          </w:tcPr>
          <w:p w14:paraId="2391F3D3">
            <w:pPr>
              <w:pStyle w:val="111"/>
              <w:wordWrap w:val="0"/>
              <w:ind w:left="113"/>
              <w:jc w:val="center"/>
              <w:rPr>
                <w:rFonts w:hint="eastAsia"/>
                <w:b/>
                <w:color w:val="auto"/>
                <w:sz w:val="21"/>
                <w:szCs w:val="21"/>
                <w:highlight w:val="none"/>
                <w:lang w:eastAsia="zh-CN"/>
              </w:rPr>
            </w:pPr>
            <w:r>
              <w:rPr>
                <w:rFonts w:hint="eastAsia"/>
                <w:b/>
                <w:color w:val="auto"/>
                <w:sz w:val="21"/>
                <w:szCs w:val="21"/>
                <w:highlight w:val="none"/>
                <w:lang w:eastAsia="zh-CN"/>
              </w:rPr>
              <w:t>中标金额</w:t>
            </w:r>
          </w:p>
          <w:p w14:paraId="3143B826">
            <w:pPr>
              <w:pStyle w:val="111"/>
              <w:wordWrap w:val="0"/>
              <w:ind w:left="113"/>
              <w:jc w:val="center"/>
              <w:rPr>
                <w:rFonts w:hint="eastAsia"/>
                <w:b/>
                <w:color w:val="auto"/>
                <w:sz w:val="21"/>
                <w:szCs w:val="21"/>
                <w:highlight w:val="none"/>
                <w:lang w:eastAsia="zh-CN"/>
              </w:rPr>
            </w:pPr>
            <w:r>
              <w:rPr>
                <w:rFonts w:hint="eastAsia"/>
                <w:b/>
                <w:bCs/>
                <w:color w:val="auto"/>
                <w:sz w:val="21"/>
                <w:szCs w:val="21"/>
                <w:highlight w:val="none"/>
                <w:lang w:eastAsia="zh-CN"/>
              </w:rPr>
              <w:t>（设中标金额为X）</w:t>
            </w:r>
          </w:p>
        </w:tc>
        <w:tc>
          <w:tcPr>
            <w:tcW w:w="1596" w:type="pct"/>
            <w:vAlign w:val="center"/>
          </w:tcPr>
          <w:p w14:paraId="0DFC631F">
            <w:pPr>
              <w:pStyle w:val="111"/>
              <w:wordWrap w:val="0"/>
              <w:ind w:left="113"/>
              <w:jc w:val="center"/>
              <w:rPr>
                <w:rFonts w:hint="eastAsia"/>
                <w:b/>
                <w:color w:val="auto"/>
                <w:sz w:val="21"/>
                <w:szCs w:val="21"/>
                <w:highlight w:val="none"/>
              </w:rPr>
            </w:pPr>
            <w:r>
              <w:rPr>
                <w:rFonts w:hint="eastAsia"/>
                <w:b/>
                <w:color w:val="auto"/>
                <w:sz w:val="21"/>
                <w:szCs w:val="21"/>
                <w:highlight w:val="none"/>
              </w:rPr>
              <w:t>取费率</w:t>
            </w:r>
          </w:p>
        </w:tc>
      </w:tr>
      <w:tr w14:paraId="4D8B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33BDB531">
            <w:pPr>
              <w:pStyle w:val="111"/>
              <w:wordWrap w:val="0"/>
              <w:ind w:left="113"/>
              <w:jc w:val="center"/>
              <w:rPr>
                <w:rFonts w:hint="eastAsia"/>
                <w:b/>
                <w:color w:val="auto"/>
                <w:sz w:val="21"/>
                <w:szCs w:val="21"/>
                <w:highlight w:val="none"/>
              </w:rPr>
            </w:pPr>
            <w:r>
              <w:rPr>
                <w:rFonts w:hint="eastAsia"/>
                <w:b/>
                <w:color w:val="auto"/>
                <w:sz w:val="21"/>
                <w:szCs w:val="21"/>
                <w:highlight w:val="none"/>
              </w:rPr>
              <w:t>货物采购</w:t>
            </w:r>
          </w:p>
        </w:tc>
        <w:tc>
          <w:tcPr>
            <w:tcW w:w="2539" w:type="pct"/>
            <w:vAlign w:val="center"/>
          </w:tcPr>
          <w:p w14:paraId="0FDCE468">
            <w:pPr>
              <w:pStyle w:val="111"/>
              <w:wordWrap w:val="0"/>
              <w:ind w:left="113"/>
              <w:jc w:val="center"/>
              <w:rPr>
                <w:rFonts w:hint="eastAsia"/>
                <w:color w:val="auto"/>
                <w:sz w:val="21"/>
                <w:szCs w:val="21"/>
                <w:highlight w:val="none"/>
              </w:rPr>
            </w:pPr>
            <w:r>
              <w:rPr>
                <w:rFonts w:hint="eastAsia"/>
                <w:color w:val="auto"/>
                <w:sz w:val="21"/>
                <w:szCs w:val="21"/>
                <w:highlight w:val="none"/>
              </w:rPr>
              <w:t>1000万元＜X≤2000万元</w:t>
            </w:r>
          </w:p>
        </w:tc>
        <w:tc>
          <w:tcPr>
            <w:tcW w:w="1596" w:type="pct"/>
            <w:vAlign w:val="center"/>
          </w:tcPr>
          <w:p w14:paraId="283327D3">
            <w:pPr>
              <w:pStyle w:val="111"/>
              <w:wordWrap w:val="0"/>
              <w:ind w:left="113"/>
              <w:jc w:val="center"/>
              <w:rPr>
                <w:rFonts w:hint="eastAsia"/>
                <w:color w:val="auto"/>
                <w:sz w:val="21"/>
                <w:szCs w:val="21"/>
                <w:highlight w:val="none"/>
              </w:rPr>
            </w:pPr>
            <w:r>
              <w:rPr>
                <w:rFonts w:hint="eastAsia"/>
                <w:color w:val="auto"/>
                <w:sz w:val="21"/>
                <w:szCs w:val="21"/>
                <w:highlight w:val="none"/>
              </w:rPr>
              <w:t>80%</w:t>
            </w:r>
          </w:p>
        </w:tc>
      </w:tr>
      <w:tr w14:paraId="235C3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D969246">
            <w:pPr>
              <w:widowControl/>
              <w:wordWrap w:val="0"/>
              <w:jc w:val="left"/>
              <w:rPr>
                <w:rFonts w:hint="eastAsia" w:ascii="宋体" w:hAnsi="宋体" w:cs="宋体"/>
                <w:b/>
                <w:color w:val="auto"/>
                <w:szCs w:val="21"/>
                <w:highlight w:val="none"/>
              </w:rPr>
            </w:pPr>
          </w:p>
        </w:tc>
        <w:tc>
          <w:tcPr>
            <w:tcW w:w="2539" w:type="pct"/>
            <w:vAlign w:val="center"/>
          </w:tcPr>
          <w:p w14:paraId="14768A7B">
            <w:pPr>
              <w:pStyle w:val="111"/>
              <w:wordWrap w:val="0"/>
              <w:ind w:left="113"/>
              <w:jc w:val="center"/>
              <w:rPr>
                <w:rFonts w:hint="eastAsia"/>
                <w:color w:val="auto"/>
                <w:sz w:val="21"/>
                <w:szCs w:val="21"/>
                <w:highlight w:val="none"/>
              </w:rPr>
            </w:pPr>
            <w:r>
              <w:rPr>
                <w:rFonts w:hint="eastAsia"/>
                <w:color w:val="auto"/>
                <w:sz w:val="21"/>
                <w:szCs w:val="21"/>
                <w:highlight w:val="none"/>
              </w:rPr>
              <w:t>2000万元＜X≤3000万元</w:t>
            </w:r>
          </w:p>
        </w:tc>
        <w:tc>
          <w:tcPr>
            <w:tcW w:w="1596" w:type="pct"/>
            <w:vAlign w:val="center"/>
          </w:tcPr>
          <w:p w14:paraId="22AB5EB0">
            <w:pPr>
              <w:pStyle w:val="111"/>
              <w:wordWrap w:val="0"/>
              <w:ind w:left="113"/>
              <w:jc w:val="center"/>
              <w:rPr>
                <w:rFonts w:hint="eastAsia"/>
                <w:color w:val="auto"/>
                <w:sz w:val="21"/>
                <w:szCs w:val="21"/>
                <w:highlight w:val="none"/>
              </w:rPr>
            </w:pPr>
            <w:r>
              <w:rPr>
                <w:rFonts w:hint="eastAsia"/>
                <w:color w:val="auto"/>
                <w:sz w:val="21"/>
                <w:szCs w:val="21"/>
                <w:highlight w:val="none"/>
              </w:rPr>
              <w:t>75%</w:t>
            </w:r>
          </w:p>
        </w:tc>
      </w:tr>
      <w:tr w14:paraId="163E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2494C35D">
            <w:pPr>
              <w:widowControl/>
              <w:wordWrap w:val="0"/>
              <w:jc w:val="left"/>
              <w:rPr>
                <w:rFonts w:hint="eastAsia" w:ascii="宋体" w:hAnsi="宋体" w:cs="宋体"/>
                <w:b/>
                <w:color w:val="auto"/>
                <w:szCs w:val="21"/>
                <w:highlight w:val="none"/>
              </w:rPr>
            </w:pPr>
          </w:p>
        </w:tc>
        <w:tc>
          <w:tcPr>
            <w:tcW w:w="2539" w:type="pct"/>
            <w:vAlign w:val="center"/>
          </w:tcPr>
          <w:p w14:paraId="7A17802D">
            <w:pPr>
              <w:pStyle w:val="111"/>
              <w:wordWrap w:val="0"/>
              <w:ind w:left="113"/>
              <w:jc w:val="center"/>
              <w:rPr>
                <w:rFonts w:hint="eastAsia"/>
                <w:color w:val="auto"/>
                <w:sz w:val="21"/>
                <w:szCs w:val="21"/>
                <w:highlight w:val="none"/>
              </w:rPr>
            </w:pPr>
            <w:r>
              <w:rPr>
                <w:rFonts w:hint="eastAsia"/>
                <w:color w:val="auto"/>
                <w:sz w:val="21"/>
                <w:szCs w:val="21"/>
                <w:highlight w:val="none"/>
              </w:rPr>
              <w:t>3000万元＜X≤4000万元</w:t>
            </w:r>
          </w:p>
        </w:tc>
        <w:tc>
          <w:tcPr>
            <w:tcW w:w="1596" w:type="pct"/>
            <w:vAlign w:val="center"/>
          </w:tcPr>
          <w:p w14:paraId="729D43CB">
            <w:pPr>
              <w:pStyle w:val="111"/>
              <w:wordWrap w:val="0"/>
              <w:ind w:left="113"/>
              <w:jc w:val="center"/>
              <w:rPr>
                <w:rFonts w:hint="eastAsia"/>
                <w:color w:val="auto"/>
                <w:sz w:val="21"/>
                <w:szCs w:val="21"/>
                <w:highlight w:val="none"/>
              </w:rPr>
            </w:pPr>
            <w:r>
              <w:rPr>
                <w:rFonts w:hint="eastAsia"/>
                <w:color w:val="auto"/>
                <w:sz w:val="21"/>
                <w:szCs w:val="21"/>
                <w:highlight w:val="none"/>
              </w:rPr>
              <w:t>70%</w:t>
            </w:r>
          </w:p>
        </w:tc>
      </w:tr>
      <w:tr w14:paraId="1997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DEF96DF">
            <w:pPr>
              <w:widowControl/>
              <w:wordWrap w:val="0"/>
              <w:jc w:val="left"/>
              <w:rPr>
                <w:rFonts w:hint="eastAsia" w:ascii="宋体" w:hAnsi="宋体" w:cs="宋体"/>
                <w:b/>
                <w:color w:val="auto"/>
                <w:szCs w:val="21"/>
                <w:highlight w:val="none"/>
              </w:rPr>
            </w:pPr>
          </w:p>
        </w:tc>
        <w:tc>
          <w:tcPr>
            <w:tcW w:w="2539" w:type="pct"/>
            <w:vAlign w:val="center"/>
          </w:tcPr>
          <w:p w14:paraId="6B7BD44F">
            <w:pPr>
              <w:pStyle w:val="111"/>
              <w:wordWrap w:val="0"/>
              <w:ind w:left="113"/>
              <w:jc w:val="center"/>
              <w:rPr>
                <w:rFonts w:hint="eastAsia"/>
                <w:color w:val="auto"/>
                <w:sz w:val="21"/>
                <w:szCs w:val="21"/>
                <w:highlight w:val="none"/>
              </w:rPr>
            </w:pPr>
            <w:r>
              <w:rPr>
                <w:rFonts w:hint="eastAsia"/>
                <w:color w:val="auto"/>
                <w:sz w:val="21"/>
                <w:szCs w:val="21"/>
                <w:highlight w:val="none"/>
              </w:rPr>
              <w:t>4000万元＜X≤5000万元</w:t>
            </w:r>
          </w:p>
        </w:tc>
        <w:tc>
          <w:tcPr>
            <w:tcW w:w="1596" w:type="pct"/>
            <w:vAlign w:val="center"/>
          </w:tcPr>
          <w:p w14:paraId="088CB8BD">
            <w:pPr>
              <w:pStyle w:val="111"/>
              <w:wordWrap w:val="0"/>
              <w:ind w:left="113"/>
              <w:jc w:val="center"/>
              <w:rPr>
                <w:rFonts w:hint="eastAsia"/>
                <w:color w:val="auto"/>
                <w:sz w:val="21"/>
                <w:szCs w:val="21"/>
                <w:highlight w:val="none"/>
              </w:rPr>
            </w:pPr>
            <w:r>
              <w:rPr>
                <w:rFonts w:hint="eastAsia"/>
                <w:color w:val="auto"/>
                <w:sz w:val="21"/>
                <w:szCs w:val="21"/>
                <w:highlight w:val="none"/>
              </w:rPr>
              <w:t>65%</w:t>
            </w:r>
          </w:p>
        </w:tc>
      </w:tr>
      <w:tr w14:paraId="3902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71F838F8">
            <w:pPr>
              <w:widowControl/>
              <w:wordWrap w:val="0"/>
              <w:jc w:val="left"/>
              <w:rPr>
                <w:rFonts w:hint="eastAsia" w:ascii="宋体" w:hAnsi="宋体" w:cs="宋体"/>
                <w:b/>
                <w:color w:val="auto"/>
                <w:szCs w:val="21"/>
                <w:highlight w:val="none"/>
              </w:rPr>
            </w:pPr>
          </w:p>
        </w:tc>
        <w:tc>
          <w:tcPr>
            <w:tcW w:w="2539" w:type="pct"/>
            <w:vAlign w:val="center"/>
          </w:tcPr>
          <w:p w14:paraId="5AAE878A">
            <w:pPr>
              <w:pStyle w:val="111"/>
              <w:wordWrap w:val="0"/>
              <w:ind w:left="113"/>
              <w:jc w:val="center"/>
              <w:rPr>
                <w:rFonts w:hint="eastAsia"/>
                <w:color w:val="auto"/>
                <w:sz w:val="21"/>
                <w:szCs w:val="21"/>
                <w:highlight w:val="none"/>
              </w:rPr>
            </w:pPr>
            <w:r>
              <w:rPr>
                <w:rFonts w:hint="eastAsia"/>
                <w:color w:val="auto"/>
                <w:sz w:val="21"/>
                <w:szCs w:val="21"/>
                <w:highlight w:val="none"/>
              </w:rPr>
              <w:t>5000万元＜X≤1亿元</w:t>
            </w:r>
          </w:p>
        </w:tc>
        <w:tc>
          <w:tcPr>
            <w:tcW w:w="1596" w:type="pct"/>
            <w:vAlign w:val="center"/>
          </w:tcPr>
          <w:p w14:paraId="7492A64D">
            <w:pPr>
              <w:pStyle w:val="111"/>
              <w:wordWrap w:val="0"/>
              <w:ind w:left="113"/>
              <w:jc w:val="center"/>
              <w:rPr>
                <w:rFonts w:hint="eastAsia"/>
                <w:color w:val="auto"/>
                <w:sz w:val="21"/>
                <w:szCs w:val="21"/>
                <w:highlight w:val="none"/>
              </w:rPr>
            </w:pPr>
            <w:r>
              <w:rPr>
                <w:rFonts w:hint="eastAsia"/>
                <w:color w:val="auto"/>
                <w:sz w:val="21"/>
                <w:szCs w:val="21"/>
                <w:highlight w:val="none"/>
              </w:rPr>
              <w:t>60%</w:t>
            </w:r>
          </w:p>
        </w:tc>
      </w:tr>
      <w:tr w14:paraId="024A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B297F2B">
            <w:pPr>
              <w:widowControl/>
              <w:wordWrap w:val="0"/>
              <w:jc w:val="left"/>
              <w:rPr>
                <w:rFonts w:hint="eastAsia" w:ascii="宋体" w:hAnsi="宋体" w:cs="宋体"/>
                <w:b/>
                <w:color w:val="auto"/>
                <w:szCs w:val="21"/>
                <w:highlight w:val="none"/>
              </w:rPr>
            </w:pPr>
          </w:p>
        </w:tc>
        <w:tc>
          <w:tcPr>
            <w:tcW w:w="2539" w:type="pct"/>
            <w:vAlign w:val="center"/>
          </w:tcPr>
          <w:p w14:paraId="420076C7">
            <w:pPr>
              <w:pStyle w:val="111"/>
              <w:wordWrap w:val="0"/>
              <w:ind w:left="113"/>
              <w:jc w:val="center"/>
              <w:rPr>
                <w:rFonts w:hint="eastAsia"/>
                <w:color w:val="auto"/>
                <w:sz w:val="21"/>
                <w:szCs w:val="21"/>
                <w:highlight w:val="none"/>
              </w:rPr>
            </w:pPr>
            <w:r>
              <w:rPr>
                <w:rFonts w:hint="eastAsia"/>
                <w:color w:val="auto"/>
                <w:sz w:val="21"/>
                <w:szCs w:val="21"/>
                <w:highlight w:val="none"/>
              </w:rPr>
              <w:t>X＞1亿元</w:t>
            </w:r>
          </w:p>
        </w:tc>
        <w:tc>
          <w:tcPr>
            <w:tcW w:w="1596" w:type="pct"/>
            <w:vAlign w:val="center"/>
          </w:tcPr>
          <w:p w14:paraId="26D98830">
            <w:pPr>
              <w:pStyle w:val="111"/>
              <w:wordWrap w:val="0"/>
              <w:ind w:left="113"/>
              <w:jc w:val="center"/>
              <w:rPr>
                <w:rFonts w:hint="eastAsia"/>
                <w:color w:val="auto"/>
                <w:sz w:val="21"/>
                <w:szCs w:val="21"/>
                <w:highlight w:val="none"/>
              </w:rPr>
            </w:pPr>
            <w:r>
              <w:rPr>
                <w:rFonts w:hint="eastAsia"/>
                <w:color w:val="auto"/>
                <w:sz w:val="21"/>
                <w:szCs w:val="21"/>
                <w:highlight w:val="none"/>
              </w:rPr>
              <w:t>55%</w:t>
            </w:r>
          </w:p>
        </w:tc>
      </w:tr>
      <w:tr w14:paraId="44605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77D45A69">
            <w:pPr>
              <w:pStyle w:val="111"/>
              <w:wordWrap w:val="0"/>
              <w:ind w:left="113"/>
              <w:jc w:val="center"/>
              <w:rPr>
                <w:rFonts w:hint="eastAsia"/>
                <w:b/>
                <w:color w:val="auto"/>
                <w:sz w:val="21"/>
                <w:szCs w:val="21"/>
                <w:highlight w:val="none"/>
              </w:rPr>
            </w:pPr>
            <w:r>
              <w:rPr>
                <w:rFonts w:hint="eastAsia"/>
                <w:b/>
                <w:color w:val="auto"/>
                <w:sz w:val="21"/>
                <w:szCs w:val="21"/>
                <w:highlight w:val="none"/>
              </w:rPr>
              <w:t>服务</w:t>
            </w:r>
          </w:p>
        </w:tc>
        <w:tc>
          <w:tcPr>
            <w:tcW w:w="2539" w:type="pct"/>
            <w:vAlign w:val="center"/>
          </w:tcPr>
          <w:p w14:paraId="289D58FF">
            <w:pPr>
              <w:pStyle w:val="111"/>
              <w:wordWrap w:val="0"/>
              <w:ind w:left="113"/>
              <w:jc w:val="center"/>
              <w:rPr>
                <w:rFonts w:hint="eastAsia"/>
                <w:color w:val="auto"/>
                <w:sz w:val="21"/>
                <w:szCs w:val="21"/>
                <w:highlight w:val="none"/>
              </w:rPr>
            </w:pPr>
            <w:r>
              <w:rPr>
                <w:rFonts w:hint="eastAsia"/>
                <w:color w:val="auto"/>
                <w:sz w:val="21"/>
                <w:szCs w:val="21"/>
                <w:highlight w:val="none"/>
              </w:rPr>
              <w:t>1000万元＜X≤2000万元</w:t>
            </w:r>
          </w:p>
        </w:tc>
        <w:tc>
          <w:tcPr>
            <w:tcW w:w="1596" w:type="pct"/>
            <w:vAlign w:val="center"/>
          </w:tcPr>
          <w:p w14:paraId="376BF9F1">
            <w:pPr>
              <w:pStyle w:val="111"/>
              <w:wordWrap w:val="0"/>
              <w:ind w:left="113"/>
              <w:jc w:val="center"/>
              <w:rPr>
                <w:rFonts w:hint="eastAsia"/>
                <w:color w:val="auto"/>
                <w:sz w:val="21"/>
                <w:szCs w:val="21"/>
                <w:highlight w:val="none"/>
              </w:rPr>
            </w:pPr>
            <w:r>
              <w:rPr>
                <w:rFonts w:hint="eastAsia"/>
                <w:color w:val="auto"/>
                <w:sz w:val="21"/>
                <w:szCs w:val="21"/>
                <w:highlight w:val="none"/>
              </w:rPr>
              <w:t>90%</w:t>
            </w:r>
          </w:p>
        </w:tc>
      </w:tr>
      <w:tr w14:paraId="6206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F9307E0">
            <w:pPr>
              <w:widowControl/>
              <w:wordWrap w:val="0"/>
              <w:jc w:val="left"/>
              <w:rPr>
                <w:rFonts w:hint="eastAsia" w:ascii="宋体" w:hAnsi="宋体" w:cs="宋体"/>
                <w:b/>
                <w:color w:val="auto"/>
                <w:szCs w:val="21"/>
                <w:highlight w:val="none"/>
              </w:rPr>
            </w:pPr>
          </w:p>
        </w:tc>
        <w:tc>
          <w:tcPr>
            <w:tcW w:w="2539" w:type="pct"/>
            <w:vAlign w:val="center"/>
          </w:tcPr>
          <w:p w14:paraId="06A1EEA6">
            <w:pPr>
              <w:pStyle w:val="111"/>
              <w:wordWrap w:val="0"/>
              <w:ind w:left="113"/>
              <w:jc w:val="center"/>
              <w:rPr>
                <w:rFonts w:hint="eastAsia"/>
                <w:color w:val="auto"/>
                <w:sz w:val="21"/>
                <w:szCs w:val="21"/>
                <w:highlight w:val="none"/>
              </w:rPr>
            </w:pPr>
            <w:r>
              <w:rPr>
                <w:rFonts w:hint="eastAsia"/>
                <w:color w:val="auto"/>
                <w:sz w:val="21"/>
                <w:szCs w:val="21"/>
                <w:highlight w:val="none"/>
              </w:rPr>
              <w:t>2000万元＜X≤3000万元</w:t>
            </w:r>
          </w:p>
        </w:tc>
        <w:tc>
          <w:tcPr>
            <w:tcW w:w="1596" w:type="pct"/>
            <w:vAlign w:val="center"/>
          </w:tcPr>
          <w:p w14:paraId="0D4D1AB8">
            <w:pPr>
              <w:pStyle w:val="111"/>
              <w:wordWrap w:val="0"/>
              <w:ind w:left="113"/>
              <w:jc w:val="center"/>
              <w:rPr>
                <w:rFonts w:hint="eastAsia"/>
                <w:color w:val="auto"/>
                <w:sz w:val="21"/>
                <w:szCs w:val="21"/>
                <w:highlight w:val="none"/>
              </w:rPr>
            </w:pPr>
            <w:r>
              <w:rPr>
                <w:rFonts w:hint="eastAsia"/>
                <w:color w:val="auto"/>
                <w:sz w:val="21"/>
                <w:szCs w:val="21"/>
                <w:highlight w:val="none"/>
              </w:rPr>
              <w:t>85%</w:t>
            </w:r>
          </w:p>
        </w:tc>
      </w:tr>
      <w:tr w14:paraId="1913F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5EB5E32">
            <w:pPr>
              <w:widowControl/>
              <w:wordWrap w:val="0"/>
              <w:jc w:val="left"/>
              <w:rPr>
                <w:rFonts w:hint="eastAsia" w:ascii="宋体" w:hAnsi="宋体" w:cs="宋体"/>
                <w:b/>
                <w:color w:val="auto"/>
                <w:szCs w:val="21"/>
                <w:highlight w:val="none"/>
              </w:rPr>
            </w:pPr>
          </w:p>
        </w:tc>
        <w:tc>
          <w:tcPr>
            <w:tcW w:w="2539" w:type="pct"/>
            <w:vAlign w:val="center"/>
          </w:tcPr>
          <w:p w14:paraId="21897A55">
            <w:pPr>
              <w:pStyle w:val="111"/>
              <w:wordWrap w:val="0"/>
              <w:ind w:left="113"/>
              <w:jc w:val="center"/>
              <w:rPr>
                <w:rFonts w:hint="eastAsia"/>
                <w:color w:val="auto"/>
                <w:sz w:val="21"/>
                <w:szCs w:val="21"/>
                <w:highlight w:val="none"/>
              </w:rPr>
            </w:pPr>
            <w:r>
              <w:rPr>
                <w:rFonts w:hint="eastAsia"/>
                <w:color w:val="auto"/>
                <w:sz w:val="21"/>
                <w:szCs w:val="21"/>
                <w:highlight w:val="none"/>
              </w:rPr>
              <w:t>3000万元＜X≤4000万元</w:t>
            </w:r>
          </w:p>
        </w:tc>
        <w:tc>
          <w:tcPr>
            <w:tcW w:w="1596" w:type="pct"/>
            <w:vAlign w:val="center"/>
          </w:tcPr>
          <w:p w14:paraId="3226E460">
            <w:pPr>
              <w:pStyle w:val="111"/>
              <w:wordWrap w:val="0"/>
              <w:ind w:left="113"/>
              <w:jc w:val="center"/>
              <w:rPr>
                <w:rFonts w:hint="eastAsia"/>
                <w:color w:val="auto"/>
                <w:sz w:val="21"/>
                <w:szCs w:val="21"/>
                <w:highlight w:val="none"/>
              </w:rPr>
            </w:pPr>
            <w:r>
              <w:rPr>
                <w:rFonts w:hint="eastAsia"/>
                <w:color w:val="auto"/>
                <w:sz w:val="21"/>
                <w:szCs w:val="21"/>
                <w:highlight w:val="none"/>
              </w:rPr>
              <w:t>80%</w:t>
            </w:r>
          </w:p>
        </w:tc>
      </w:tr>
      <w:tr w14:paraId="5C2D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2D851FB0">
            <w:pPr>
              <w:pStyle w:val="111"/>
              <w:wordWrap w:val="0"/>
              <w:ind w:left="113"/>
              <w:jc w:val="center"/>
              <w:rPr>
                <w:rFonts w:hint="eastAsia"/>
                <w:b/>
                <w:color w:val="auto"/>
                <w:sz w:val="21"/>
                <w:szCs w:val="21"/>
                <w:highlight w:val="none"/>
              </w:rPr>
            </w:pPr>
          </w:p>
        </w:tc>
        <w:tc>
          <w:tcPr>
            <w:tcW w:w="2539" w:type="pct"/>
            <w:vAlign w:val="center"/>
          </w:tcPr>
          <w:p w14:paraId="671D5B6E">
            <w:pPr>
              <w:pStyle w:val="111"/>
              <w:wordWrap w:val="0"/>
              <w:ind w:left="113"/>
              <w:jc w:val="center"/>
              <w:rPr>
                <w:rFonts w:hint="eastAsia"/>
                <w:color w:val="auto"/>
                <w:sz w:val="21"/>
                <w:szCs w:val="21"/>
                <w:highlight w:val="none"/>
              </w:rPr>
            </w:pPr>
            <w:r>
              <w:rPr>
                <w:rFonts w:hint="eastAsia"/>
                <w:color w:val="auto"/>
                <w:sz w:val="21"/>
                <w:szCs w:val="21"/>
                <w:highlight w:val="none"/>
              </w:rPr>
              <w:t>4000万元＜X≤5000万元</w:t>
            </w:r>
          </w:p>
        </w:tc>
        <w:tc>
          <w:tcPr>
            <w:tcW w:w="1596" w:type="pct"/>
            <w:vAlign w:val="center"/>
          </w:tcPr>
          <w:p w14:paraId="6C498983">
            <w:pPr>
              <w:pStyle w:val="111"/>
              <w:wordWrap w:val="0"/>
              <w:ind w:left="113"/>
              <w:jc w:val="center"/>
              <w:rPr>
                <w:rFonts w:hint="eastAsia"/>
                <w:color w:val="auto"/>
                <w:sz w:val="21"/>
                <w:szCs w:val="21"/>
                <w:highlight w:val="none"/>
              </w:rPr>
            </w:pPr>
            <w:r>
              <w:rPr>
                <w:rFonts w:hint="eastAsia"/>
                <w:color w:val="auto"/>
                <w:sz w:val="21"/>
                <w:szCs w:val="21"/>
                <w:highlight w:val="none"/>
              </w:rPr>
              <w:t>75%</w:t>
            </w:r>
          </w:p>
        </w:tc>
      </w:tr>
      <w:tr w14:paraId="2766E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5399B941">
            <w:pPr>
              <w:pStyle w:val="111"/>
              <w:wordWrap w:val="0"/>
              <w:ind w:left="113"/>
              <w:jc w:val="center"/>
              <w:rPr>
                <w:rFonts w:hint="eastAsia"/>
                <w:b/>
                <w:color w:val="auto"/>
                <w:sz w:val="21"/>
                <w:szCs w:val="21"/>
                <w:highlight w:val="none"/>
              </w:rPr>
            </w:pPr>
          </w:p>
        </w:tc>
        <w:tc>
          <w:tcPr>
            <w:tcW w:w="2539" w:type="pct"/>
            <w:vAlign w:val="center"/>
          </w:tcPr>
          <w:p w14:paraId="4B64DEF6">
            <w:pPr>
              <w:pStyle w:val="111"/>
              <w:wordWrap w:val="0"/>
              <w:ind w:left="113"/>
              <w:jc w:val="center"/>
              <w:rPr>
                <w:rFonts w:hint="eastAsia"/>
                <w:color w:val="auto"/>
                <w:sz w:val="21"/>
                <w:szCs w:val="21"/>
                <w:highlight w:val="none"/>
              </w:rPr>
            </w:pPr>
            <w:r>
              <w:rPr>
                <w:rFonts w:hint="eastAsia"/>
                <w:color w:val="auto"/>
                <w:sz w:val="21"/>
                <w:szCs w:val="21"/>
                <w:highlight w:val="none"/>
              </w:rPr>
              <w:t>5000万元＜X≤1亿元</w:t>
            </w:r>
          </w:p>
        </w:tc>
        <w:tc>
          <w:tcPr>
            <w:tcW w:w="1596" w:type="pct"/>
            <w:vAlign w:val="center"/>
          </w:tcPr>
          <w:p w14:paraId="77CA4FDE">
            <w:pPr>
              <w:pStyle w:val="111"/>
              <w:wordWrap w:val="0"/>
              <w:ind w:left="113"/>
              <w:jc w:val="center"/>
              <w:rPr>
                <w:rFonts w:hint="eastAsia"/>
                <w:color w:val="auto"/>
                <w:sz w:val="21"/>
                <w:szCs w:val="21"/>
                <w:highlight w:val="none"/>
              </w:rPr>
            </w:pPr>
            <w:r>
              <w:rPr>
                <w:rFonts w:hint="eastAsia"/>
                <w:color w:val="auto"/>
                <w:sz w:val="21"/>
                <w:szCs w:val="21"/>
                <w:highlight w:val="none"/>
              </w:rPr>
              <w:t>70%</w:t>
            </w:r>
          </w:p>
        </w:tc>
      </w:tr>
      <w:tr w14:paraId="5812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vAlign w:val="center"/>
          </w:tcPr>
          <w:p w14:paraId="311D3BF3">
            <w:pPr>
              <w:pStyle w:val="111"/>
              <w:wordWrap w:val="0"/>
              <w:ind w:left="113"/>
              <w:jc w:val="center"/>
              <w:rPr>
                <w:rFonts w:hint="eastAsia"/>
                <w:b/>
                <w:color w:val="auto"/>
                <w:sz w:val="21"/>
                <w:szCs w:val="21"/>
                <w:highlight w:val="none"/>
              </w:rPr>
            </w:pPr>
          </w:p>
        </w:tc>
        <w:tc>
          <w:tcPr>
            <w:tcW w:w="2539" w:type="pct"/>
            <w:vAlign w:val="center"/>
          </w:tcPr>
          <w:p w14:paraId="4991B18B">
            <w:pPr>
              <w:pStyle w:val="111"/>
              <w:wordWrap w:val="0"/>
              <w:ind w:left="113"/>
              <w:jc w:val="center"/>
              <w:rPr>
                <w:rFonts w:hint="eastAsia"/>
                <w:color w:val="auto"/>
                <w:sz w:val="21"/>
                <w:szCs w:val="21"/>
                <w:highlight w:val="none"/>
              </w:rPr>
            </w:pPr>
            <w:r>
              <w:rPr>
                <w:rFonts w:hint="eastAsia"/>
                <w:color w:val="auto"/>
                <w:sz w:val="21"/>
                <w:szCs w:val="21"/>
                <w:highlight w:val="none"/>
              </w:rPr>
              <w:t>X＞1亿元</w:t>
            </w:r>
          </w:p>
        </w:tc>
        <w:tc>
          <w:tcPr>
            <w:tcW w:w="1596" w:type="pct"/>
            <w:vAlign w:val="center"/>
          </w:tcPr>
          <w:p w14:paraId="7554FA48">
            <w:pPr>
              <w:pStyle w:val="111"/>
              <w:wordWrap w:val="0"/>
              <w:ind w:left="113"/>
              <w:jc w:val="center"/>
              <w:rPr>
                <w:rFonts w:hint="eastAsia"/>
                <w:color w:val="auto"/>
                <w:sz w:val="21"/>
                <w:szCs w:val="21"/>
                <w:highlight w:val="none"/>
              </w:rPr>
            </w:pPr>
            <w:r>
              <w:rPr>
                <w:rFonts w:hint="eastAsia"/>
                <w:color w:val="auto"/>
                <w:sz w:val="21"/>
                <w:szCs w:val="21"/>
                <w:highlight w:val="none"/>
              </w:rPr>
              <w:t>60%</w:t>
            </w:r>
          </w:p>
        </w:tc>
      </w:tr>
      <w:tr w14:paraId="1A78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restart"/>
            <w:vAlign w:val="center"/>
          </w:tcPr>
          <w:p w14:paraId="5E6C96ED">
            <w:pPr>
              <w:pStyle w:val="111"/>
              <w:wordWrap w:val="0"/>
              <w:ind w:left="113"/>
              <w:jc w:val="center"/>
              <w:rPr>
                <w:rFonts w:hint="eastAsia"/>
                <w:b/>
                <w:color w:val="auto"/>
                <w:sz w:val="21"/>
                <w:szCs w:val="21"/>
                <w:highlight w:val="none"/>
              </w:rPr>
            </w:pPr>
            <w:r>
              <w:rPr>
                <w:rFonts w:hint="eastAsia"/>
                <w:b/>
                <w:color w:val="auto"/>
                <w:sz w:val="21"/>
                <w:szCs w:val="21"/>
                <w:highlight w:val="none"/>
              </w:rPr>
              <w:t>工程建设</w:t>
            </w:r>
          </w:p>
        </w:tc>
        <w:tc>
          <w:tcPr>
            <w:tcW w:w="2539" w:type="pct"/>
            <w:vAlign w:val="center"/>
          </w:tcPr>
          <w:p w14:paraId="06E6F172">
            <w:pPr>
              <w:pStyle w:val="111"/>
              <w:wordWrap w:val="0"/>
              <w:ind w:left="113"/>
              <w:jc w:val="center"/>
              <w:rPr>
                <w:rFonts w:hint="eastAsia"/>
                <w:color w:val="auto"/>
                <w:sz w:val="21"/>
                <w:szCs w:val="21"/>
                <w:highlight w:val="none"/>
              </w:rPr>
            </w:pPr>
            <w:r>
              <w:rPr>
                <w:rFonts w:hint="eastAsia"/>
                <w:color w:val="auto"/>
                <w:sz w:val="21"/>
                <w:szCs w:val="21"/>
                <w:highlight w:val="none"/>
              </w:rPr>
              <w:t>1000万元＜X≤2000万元</w:t>
            </w:r>
          </w:p>
        </w:tc>
        <w:tc>
          <w:tcPr>
            <w:tcW w:w="1596" w:type="pct"/>
            <w:vAlign w:val="center"/>
          </w:tcPr>
          <w:p w14:paraId="64C952BE">
            <w:pPr>
              <w:pStyle w:val="111"/>
              <w:wordWrap w:val="0"/>
              <w:ind w:left="113"/>
              <w:jc w:val="center"/>
              <w:rPr>
                <w:rFonts w:hint="eastAsia"/>
                <w:color w:val="auto"/>
                <w:sz w:val="21"/>
                <w:szCs w:val="21"/>
                <w:highlight w:val="none"/>
              </w:rPr>
            </w:pPr>
            <w:r>
              <w:rPr>
                <w:rFonts w:hint="eastAsia"/>
                <w:color w:val="auto"/>
                <w:sz w:val="21"/>
                <w:szCs w:val="21"/>
                <w:highlight w:val="none"/>
              </w:rPr>
              <w:t>95%</w:t>
            </w:r>
          </w:p>
        </w:tc>
      </w:tr>
      <w:tr w14:paraId="6B04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0DE0F17C">
            <w:pPr>
              <w:widowControl/>
              <w:wordWrap w:val="0"/>
              <w:jc w:val="left"/>
              <w:rPr>
                <w:rFonts w:hint="eastAsia" w:ascii="宋体" w:hAnsi="宋体" w:cs="宋体"/>
                <w:b/>
                <w:color w:val="auto"/>
                <w:szCs w:val="21"/>
                <w:highlight w:val="none"/>
              </w:rPr>
            </w:pPr>
          </w:p>
        </w:tc>
        <w:tc>
          <w:tcPr>
            <w:tcW w:w="2539" w:type="pct"/>
            <w:vAlign w:val="center"/>
          </w:tcPr>
          <w:p w14:paraId="099CE08A">
            <w:pPr>
              <w:pStyle w:val="111"/>
              <w:wordWrap w:val="0"/>
              <w:ind w:left="113"/>
              <w:jc w:val="center"/>
              <w:rPr>
                <w:rFonts w:hint="eastAsia"/>
                <w:color w:val="auto"/>
                <w:sz w:val="21"/>
                <w:szCs w:val="21"/>
                <w:highlight w:val="none"/>
              </w:rPr>
            </w:pPr>
            <w:r>
              <w:rPr>
                <w:rFonts w:hint="eastAsia"/>
                <w:color w:val="auto"/>
                <w:sz w:val="21"/>
                <w:szCs w:val="21"/>
                <w:highlight w:val="none"/>
              </w:rPr>
              <w:t>2000万元＜X≤3000万元</w:t>
            </w:r>
          </w:p>
        </w:tc>
        <w:tc>
          <w:tcPr>
            <w:tcW w:w="1596" w:type="pct"/>
            <w:vAlign w:val="center"/>
          </w:tcPr>
          <w:p w14:paraId="625ED457">
            <w:pPr>
              <w:pStyle w:val="111"/>
              <w:wordWrap w:val="0"/>
              <w:ind w:left="113"/>
              <w:jc w:val="center"/>
              <w:rPr>
                <w:rFonts w:hint="eastAsia"/>
                <w:color w:val="auto"/>
                <w:sz w:val="21"/>
                <w:szCs w:val="21"/>
                <w:highlight w:val="none"/>
              </w:rPr>
            </w:pPr>
            <w:r>
              <w:rPr>
                <w:rFonts w:hint="eastAsia"/>
                <w:color w:val="auto"/>
                <w:sz w:val="21"/>
                <w:szCs w:val="21"/>
                <w:highlight w:val="none"/>
              </w:rPr>
              <w:t>90%</w:t>
            </w:r>
          </w:p>
        </w:tc>
      </w:tr>
      <w:tr w14:paraId="5B6F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37522506">
            <w:pPr>
              <w:widowControl/>
              <w:wordWrap w:val="0"/>
              <w:jc w:val="left"/>
              <w:rPr>
                <w:rFonts w:hint="eastAsia" w:ascii="宋体" w:hAnsi="宋体" w:cs="宋体"/>
                <w:b/>
                <w:color w:val="auto"/>
                <w:szCs w:val="21"/>
                <w:highlight w:val="none"/>
              </w:rPr>
            </w:pPr>
          </w:p>
        </w:tc>
        <w:tc>
          <w:tcPr>
            <w:tcW w:w="2539" w:type="pct"/>
            <w:vAlign w:val="center"/>
          </w:tcPr>
          <w:p w14:paraId="65633669">
            <w:pPr>
              <w:pStyle w:val="111"/>
              <w:wordWrap w:val="0"/>
              <w:ind w:left="113"/>
              <w:jc w:val="center"/>
              <w:rPr>
                <w:rFonts w:hint="eastAsia"/>
                <w:color w:val="auto"/>
                <w:sz w:val="21"/>
                <w:szCs w:val="21"/>
                <w:highlight w:val="none"/>
              </w:rPr>
            </w:pPr>
            <w:r>
              <w:rPr>
                <w:rFonts w:hint="eastAsia"/>
                <w:color w:val="auto"/>
                <w:sz w:val="21"/>
                <w:szCs w:val="21"/>
                <w:highlight w:val="none"/>
              </w:rPr>
              <w:t>3000万元＜X≤4000万元</w:t>
            </w:r>
          </w:p>
        </w:tc>
        <w:tc>
          <w:tcPr>
            <w:tcW w:w="1596" w:type="pct"/>
            <w:vAlign w:val="center"/>
          </w:tcPr>
          <w:p w14:paraId="2A2B552E">
            <w:pPr>
              <w:pStyle w:val="111"/>
              <w:wordWrap w:val="0"/>
              <w:ind w:left="113"/>
              <w:jc w:val="center"/>
              <w:rPr>
                <w:rFonts w:hint="eastAsia"/>
                <w:color w:val="auto"/>
                <w:sz w:val="21"/>
                <w:szCs w:val="21"/>
                <w:highlight w:val="none"/>
              </w:rPr>
            </w:pPr>
            <w:r>
              <w:rPr>
                <w:rFonts w:hint="eastAsia"/>
                <w:color w:val="auto"/>
                <w:sz w:val="21"/>
                <w:szCs w:val="21"/>
                <w:highlight w:val="none"/>
              </w:rPr>
              <w:t>85%</w:t>
            </w:r>
          </w:p>
        </w:tc>
      </w:tr>
      <w:tr w14:paraId="3BC5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5FFEA74C">
            <w:pPr>
              <w:widowControl/>
              <w:wordWrap w:val="0"/>
              <w:jc w:val="left"/>
              <w:rPr>
                <w:rFonts w:hint="eastAsia" w:ascii="宋体" w:hAnsi="宋体" w:cs="宋体"/>
                <w:b/>
                <w:color w:val="auto"/>
                <w:szCs w:val="21"/>
                <w:highlight w:val="none"/>
              </w:rPr>
            </w:pPr>
          </w:p>
        </w:tc>
        <w:tc>
          <w:tcPr>
            <w:tcW w:w="2539" w:type="pct"/>
            <w:vAlign w:val="center"/>
          </w:tcPr>
          <w:p w14:paraId="4764E959">
            <w:pPr>
              <w:pStyle w:val="111"/>
              <w:wordWrap w:val="0"/>
              <w:ind w:left="113"/>
              <w:jc w:val="center"/>
              <w:rPr>
                <w:rFonts w:hint="eastAsia"/>
                <w:color w:val="auto"/>
                <w:sz w:val="21"/>
                <w:szCs w:val="21"/>
                <w:highlight w:val="none"/>
              </w:rPr>
            </w:pPr>
            <w:r>
              <w:rPr>
                <w:rFonts w:hint="eastAsia"/>
                <w:color w:val="auto"/>
                <w:sz w:val="21"/>
                <w:szCs w:val="21"/>
                <w:highlight w:val="none"/>
              </w:rPr>
              <w:t>4000万元＜X≤5000万元</w:t>
            </w:r>
          </w:p>
        </w:tc>
        <w:tc>
          <w:tcPr>
            <w:tcW w:w="1596" w:type="pct"/>
            <w:vAlign w:val="center"/>
          </w:tcPr>
          <w:p w14:paraId="0558D3E7">
            <w:pPr>
              <w:pStyle w:val="111"/>
              <w:wordWrap w:val="0"/>
              <w:ind w:left="113"/>
              <w:jc w:val="center"/>
              <w:rPr>
                <w:rFonts w:hint="eastAsia"/>
                <w:color w:val="auto"/>
                <w:sz w:val="21"/>
                <w:szCs w:val="21"/>
                <w:highlight w:val="none"/>
              </w:rPr>
            </w:pPr>
            <w:r>
              <w:rPr>
                <w:rFonts w:hint="eastAsia"/>
                <w:color w:val="auto"/>
                <w:sz w:val="21"/>
                <w:szCs w:val="21"/>
                <w:highlight w:val="none"/>
              </w:rPr>
              <w:t>80%</w:t>
            </w:r>
          </w:p>
        </w:tc>
      </w:tr>
      <w:tr w14:paraId="4E432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331C6048">
            <w:pPr>
              <w:widowControl/>
              <w:wordWrap w:val="0"/>
              <w:jc w:val="left"/>
              <w:rPr>
                <w:rFonts w:hint="eastAsia" w:ascii="宋体" w:hAnsi="宋体" w:cs="宋体"/>
                <w:b/>
                <w:color w:val="auto"/>
                <w:szCs w:val="21"/>
                <w:highlight w:val="none"/>
              </w:rPr>
            </w:pPr>
          </w:p>
        </w:tc>
        <w:tc>
          <w:tcPr>
            <w:tcW w:w="2539" w:type="pct"/>
            <w:vAlign w:val="center"/>
          </w:tcPr>
          <w:p w14:paraId="62A67203">
            <w:pPr>
              <w:pStyle w:val="111"/>
              <w:wordWrap w:val="0"/>
              <w:ind w:left="113"/>
              <w:jc w:val="center"/>
              <w:rPr>
                <w:rFonts w:hint="eastAsia"/>
                <w:color w:val="auto"/>
                <w:sz w:val="21"/>
                <w:szCs w:val="21"/>
                <w:highlight w:val="none"/>
              </w:rPr>
            </w:pPr>
            <w:r>
              <w:rPr>
                <w:rFonts w:hint="eastAsia"/>
                <w:color w:val="auto"/>
                <w:sz w:val="21"/>
                <w:szCs w:val="21"/>
                <w:highlight w:val="none"/>
              </w:rPr>
              <w:t>5000万元＜X＜1亿元</w:t>
            </w:r>
          </w:p>
        </w:tc>
        <w:tc>
          <w:tcPr>
            <w:tcW w:w="1596" w:type="pct"/>
            <w:vAlign w:val="center"/>
          </w:tcPr>
          <w:p w14:paraId="2670BE59">
            <w:pPr>
              <w:pStyle w:val="111"/>
              <w:wordWrap w:val="0"/>
              <w:ind w:left="113"/>
              <w:jc w:val="center"/>
              <w:rPr>
                <w:rFonts w:hint="eastAsia"/>
                <w:color w:val="auto"/>
                <w:sz w:val="21"/>
                <w:szCs w:val="21"/>
                <w:highlight w:val="none"/>
              </w:rPr>
            </w:pPr>
            <w:r>
              <w:rPr>
                <w:rFonts w:hint="eastAsia"/>
                <w:color w:val="auto"/>
                <w:sz w:val="21"/>
                <w:szCs w:val="21"/>
                <w:highlight w:val="none"/>
              </w:rPr>
              <w:t>75%</w:t>
            </w:r>
          </w:p>
        </w:tc>
      </w:tr>
      <w:tr w14:paraId="7D5C0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022ED6EC">
            <w:pPr>
              <w:widowControl/>
              <w:wordWrap w:val="0"/>
              <w:jc w:val="left"/>
              <w:rPr>
                <w:rFonts w:hint="eastAsia" w:ascii="宋体" w:hAnsi="宋体" w:cs="宋体"/>
                <w:b/>
                <w:color w:val="auto"/>
                <w:szCs w:val="21"/>
                <w:highlight w:val="none"/>
              </w:rPr>
            </w:pPr>
          </w:p>
        </w:tc>
        <w:tc>
          <w:tcPr>
            <w:tcW w:w="2539" w:type="pct"/>
            <w:vAlign w:val="center"/>
          </w:tcPr>
          <w:p w14:paraId="59F7C252">
            <w:pPr>
              <w:pStyle w:val="111"/>
              <w:wordWrap w:val="0"/>
              <w:ind w:left="113"/>
              <w:jc w:val="center"/>
              <w:rPr>
                <w:rFonts w:hint="eastAsia"/>
                <w:color w:val="auto"/>
                <w:sz w:val="21"/>
                <w:szCs w:val="21"/>
                <w:highlight w:val="none"/>
              </w:rPr>
            </w:pPr>
            <w:r>
              <w:rPr>
                <w:rFonts w:hint="eastAsia"/>
                <w:color w:val="auto"/>
                <w:sz w:val="21"/>
                <w:szCs w:val="21"/>
                <w:highlight w:val="none"/>
              </w:rPr>
              <w:t>1亿元≤X＜5亿元</w:t>
            </w:r>
          </w:p>
        </w:tc>
        <w:tc>
          <w:tcPr>
            <w:tcW w:w="1596" w:type="pct"/>
            <w:vAlign w:val="center"/>
          </w:tcPr>
          <w:p w14:paraId="10E6B28A">
            <w:pPr>
              <w:pStyle w:val="111"/>
              <w:wordWrap w:val="0"/>
              <w:ind w:left="113"/>
              <w:jc w:val="center"/>
              <w:rPr>
                <w:rFonts w:hint="eastAsia"/>
                <w:color w:val="auto"/>
                <w:sz w:val="21"/>
                <w:szCs w:val="21"/>
                <w:highlight w:val="none"/>
              </w:rPr>
            </w:pPr>
            <w:r>
              <w:rPr>
                <w:rFonts w:hint="eastAsia"/>
                <w:color w:val="auto"/>
                <w:sz w:val="21"/>
                <w:szCs w:val="21"/>
                <w:highlight w:val="none"/>
              </w:rPr>
              <w:t>70%</w:t>
            </w:r>
          </w:p>
        </w:tc>
      </w:tr>
      <w:tr w14:paraId="2BA7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65" w:type="pct"/>
            <w:vMerge w:val="continue"/>
          </w:tcPr>
          <w:p w14:paraId="4F950D13">
            <w:pPr>
              <w:widowControl/>
              <w:wordWrap w:val="0"/>
              <w:jc w:val="left"/>
              <w:rPr>
                <w:rFonts w:hint="eastAsia" w:ascii="宋体" w:hAnsi="宋体" w:cs="宋体"/>
                <w:b/>
                <w:color w:val="auto"/>
                <w:szCs w:val="21"/>
                <w:highlight w:val="none"/>
              </w:rPr>
            </w:pPr>
          </w:p>
        </w:tc>
        <w:tc>
          <w:tcPr>
            <w:tcW w:w="2539" w:type="pct"/>
            <w:vAlign w:val="center"/>
          </w:tcPr>
          <w:p w14:paraId="24237CD4">
            <w:pPr>
              <w:pStyle w:val="111"/>
              <w:wordWrap w:val="0"/>
              <w:ind w:left="113"/>
              <w:jc w:val="center"/>
              <w:rPr>
                <w:rFonts w:hint="eastAsia"/>
                <w:color w:val="auto"/>
                <w:sz w:val="21"/>
                <w:szCs w:val="21"/>
                <w:highlight w:val="none"/>
              </w:rPr>
            </w:pPr>
            <w:r>
              <w:rPr>
                <w:rFonts w:hint="eastAsia"/>
                <w:color w:val="auto"/>
                <w:sz w:val="21"/>
                <w:szCs w:val="21"/>
                <w:highlight w:val="none"/>
              </w:rPr>
              <w:t>X≥5亿元</w:t>
            </w:r>
          </w:p>
        </w:tc>
        <w:tc>
          <w:tcPr>
            <w:tcW w:w="1596" w:type="pct"/>
            <w:vAlign w:val="center"/>
          </w:tcPr>
          <w:p w14:paraId="00788C37">
            <w:pPr>
              <w:pStyle w:val="111"/>
              <w:wordWrap w:val="0"/>
              <w:ind w:left="113"/>
              <w:jc w:val="center"/>
              <w:rPr>
                <w:rFonts w:hint="eastAsia"/>
                <w:color w:val="auto"/>
                <w:sz w:val="21"/>
                <w:szCs w:val="21"/>
                <w:highlight w:val="none"/>
              </w:rPr>
            </w:pPr>
            <w:r>
              <w:rPr>
                <w:rFonts w:hint="eastAsia"/>
                <w:color w:val="auto"/>
                <w:sz w:val="21"/>
                <w:szCs w:val="21"/>
                <w:highlight w:val="none"/>
              </w:rPr>
              <w:t>65%</w:t>
            </w:r>
          </w:p>
        </w:tc>
      </w:tr>
      <w:tr w14:paraId="4B370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404" w:type="pct"/>
            <w:gridSpan w:val="2"/>
            <w:vAlign w:val="center"/>
          </w:tcPr>
          <w:p w14:paraId="5C9C348B">
            <w:pPr>
              <w:pStyle w:val="111"/>
              <w:wordWrap w:val="0"/>
              <w:ind w:left="113"/>
              <w:jc w:val="center"/>
              <w:rPr>
                <w:rFonts w:hint="eastAsia"/>
                <w:color w:val="auto"/>
                <w:sz w:val="21"/>
                <w:szCs w:val="21"/>
                <w:highlight w:val="none"/>
              </w:rPr>
            </w:pPr>
            <w:r>
              <w:rPr>
                <w:rFonts w:hint="eastAsia"/>
                <w:b/>
                <w:color w:val="auto"/>
                <w:sz w:val="21"/>
                <w:szCs w:val="21"/>
                <w:highlight w:val="none"/>
              </w:rPr>
              <w:t>国际招标项目</w:t>
            </w:r>
          </w:p>
        </w:tc>
        <w:tc>
          <w:tcPr>
            <w:tcW w:w="1596" w:type="pct"/>
            <w:vAlign w:val="center"/>
          </w:tcPr>
          <w:p w14:paraId="6F989272">
            <w:pPr>
              <w:pStyle w:val="111"/>
              <w:wordWrap w:val="0"/>
              <w:ind w:left="113"/>
              <w:jc w:val="center"/>
              <w:rPr>
                <w:rFonts w:hint="eastAsia"/>
                <w:color w:val="auto"/>
                <w:sz w:val="21"/>
                <w:szCs w:val="21"/>
                <w:highlight w:val="none"/>
              </w:rPr>
            </w:pPr>
            <w:r>
              <w:rPr>
                <w:rFonts w:hint="eastAsia"/>
                <w:color w:val="auto"/>
                <w:sz w:val="21"/>
                <w:szCs w:val="21"/>
                <w:highlight w:val="none"/>
              </w:rPr>
              <w:t>90%</w:t>
            </w:r>
          </w:p>
        </w:tc>
      </w:tr>
      <w:tr w14:paraId="0161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5000" w:type="pct"/>
            <w:gridSpan w:val="3"/>
          </w:tcPr>
          <w:p w14:paraId="1A3DFF52">
            <w:pPr>
              <w:pStyle w:val="111"/>
              <w:wordWrap w:val="0"/>
              <w:rPr>
                <w:rFonts w:hint="eastAsia"/>
                <w:b/>
                <w:color w:val="auto"/>
                <w:sz w:val="21"/>
                <w:szCs w:val="21"/>
                <w:highlight w:val="none"/>
                <w:lang w:eastAsia="zh-CN"/>
              </w:rPr>
            </w:pPr>
            <w:r>
              <w:rPr>
                <w:rFonts w:hint="eastAsia"/>
                <w:b/>
                <w:color w:val="auto"/>
                <w:sz w:val="21"/>
                <w:szCs w:val="21"/>
                <w:highlight w:val="none"/>
                <w:lang w:eastAsia="zh-CN"/>
              </w:rPr>
              <w:t>收费说明：</w:t>
            </w:r>
          </w:p>
          <w:p w14:paraId="5778B445">
            <w:pPr>
              <w:pStyle w:val="111"/>
              <w:wordWrap w:val="0"/>
              <w:rPr>
                <w:rFonts w:hint="eastAsia"/>
                <w:color w:val="auto"/>
                <w:sz w:val="21"/>
                <w:szCs w:val="21"/>
                <w:highlight w:val="none"/>
                <w:lang w:eastAsia="zh-CN"/>
              </w:rPr>
            </w:pPr>
            <w:r>
              <w:rPr>
                <w:rFonts w:hint="eastAsia"/>
                <w:color w:val="auto"/>
                <w:sz w:val="21"/>
                <w:szCs w:val="21"/>
                <w:highlight w:val="none"/>
                <w:lang w:eastAsia="zh-CN"/>
              </w:rPr>
              <w:t>1.招标代理服务费按标段收取。</w:t>
            </w:r>
          </w:p>
          <w:p w14:paraId="4CA89FD8">
            <w:pPr>
              <w:pStyle w:val="111"/>
              <w:wordWrap w:val="0"/>
              <w:rPr>
                <w:rFonts w:hint="eastAsia"/>
                <w:color w:val="auto"/>
                <w:sz w:val="21"/>
                <w:szCs w:val="21"/>
                <w:highlight w:val="none"/>
                <w:lang w:eastAsia="zh-CN"/>
              </w:rPr>
            </w:pPr>
            <w:r>
              <w:rPr>
                <w:rFonts w:hint="eastAsia"/>
                <w:color w:val="auto"/>
                <w:sz w:val="21"/>
                <w:szCs w:val="21"/>
                <w:highlight w:val="none"/>
                <w:lang w:eastAsia="zh-CN"/>
              </w:rPr>
              <w:t>2.招标代理服务费以中标金额为基数，按表1计算后得出招标代理服务费初始金额，初始金额再按照表2对应的取费率进行计算得出最终的招标代理服务费收费金额，由中标人向招标代理服务机构缴纳；该金额为含税金额。</w:t>
            </w:r>
          </w:p>
          <w:p w14:paraId="7C090711">
            <w:pPr>
              <w:pStyle w:val="111"/>
              <w:wordWrap w:val="0"/>
              <w:rPr>
                <w:rFonts w:hint="eastAsia"/>
                <w:color w:val="auto"/>
                <w:sz w:val="21"/>
                <w:szCs w:val="21"/>
                <w:highlight w:val="none"/>
                <w:lang w:eastAsia="zh-CN"/>
              </w:rPr>
            </w:pPr>
            <w:r>
              <w:rPr>
                <w:rFonts w:hint="eastAsia"/>
                <w:color w:val="auto"/>
                <w:sz w:val="21"/>
                <w:szCs w:val="21"/>
                <w:highlight w:val="none"/>
                <w:lang w:eastAsia="zh-CN"/>
              </w:rPr>
              <w:t>2.按表1、表2计算后招标代理服务费最高不超过40万元；不足2万元的，按2万元收取。</w:t>
            </w:r>
          </w:p>
        </w:tc>
      </w:tr>
    </w:tbl>
    <w:p w14:paraId="068B21D0">
      <w:pPr>
        <w:pStyle w:val="63"/>
        <w:wordWrap w:val="0"/>
        <w:ind w:firstLine="0"/>
        <w:rPr>
          <w:color w:val="auto"/>
          <w:spacing w:val="0"/>
          <w:highlight w:val="none"/>
        </w:rPr>
      </w:pPr>
    </w:p>
    <w:p w14:paraId="2BCD162A">
      <w:pPr>
        <w:pStyle w:val="2"/>
        <w:wordWrap w:val="0"/>
        <w:spacing w:line="360" w:lineRule="auto"/>
        <w:jc w:val="center"/>
        <w:rPr>
          <w:rFonts w:hAnsi="黑体"/>
          <w:color w:val="0D0D0D" w:themeColor="text1" w:themeTint="F2"/>
          <w:sz w:val="44"/>
          <w:szCs w:val="44"/>
          <w:highlight w:val="none"/>
          <w14:textFill>
            <w14:solidFill>
              <w14:schemeClr w14:val="tx1">
                <w14:lumMod w14:val="95000"/>
                <w14:lumOff w14:val="5000"/>
              </w14:schemeClr>
            </w14:solidFill>
          </w14:textFill>
        </w:rPr>
      </w:pPr>
      <w:r>
        <w:rPr>
          <w:rFonts w:ascii="宋体" w:hAnsi="宋体"/>
          <w:color w:val="auto"/>
          <w:sz w:val="44"/>
          <w:szCs w:val="44"/>
          <w:highlight w:val="none"/>
        </w:rPr>
        <w:br w:type="page"/>
      </w:r>
      <w:bookmarkStart w:id="4" w:name="_Toc31477"/>
      <w:r>
        <w:rPr>
          <w:rFonts w:hAnsi="黑体"/>
          <w:color w:val="0D0D0D" w:themeColor="text1" w:themeTint="F2"/>
          <w:sz w:val="44"/>
          <w:szCs w:val="44"/>
          <w:highlight w:val="none"/>
          <w14:textFill>
            <w14:solidFill>
              <w14:schemeClr w14:val="tx1">
                <w14:lumMod w14:val="95000"/>
                <w14:lumOff w14:val="5000"/>
              </w14:schemeClr>
            </w14:solidFill>
          </w14:textFill>
        </w:rPr>
        <w:t>第三章</w:t>
      </w:r>
      <w:r>
        <w:rPr>
          <w:rFonts w:hint="eastAsia" w:hAnsi="黑体"/>
          <w:color w:val="0D0D0D" w:themeColor="text1" w:themeTint="F2"/>
          <w:sz w:val="44"/>
          <w:szCs w:val="44"/>
          <w:highlight w:val="none"/>
          <w14:textFill>
            <w14:solidFill>
              <w14:schemeClr w14:val="tx1">
                <w14:lumMod w14:val="95000"/>
                <w14:lumOff w14:val="5000"/>
              </w14:schemeClr>
            </w14:solidFill>
          </w14:textFill>
        </w:rPr>
        <w:t xml:space="preserve"> </w:t>
      </w:r>
      <w:r>
        <w:rPr>
          <w:rFonts w:hAnsi="黑体"/>
          <w:color w:val="0D0D0D" w:themeColor="text1" w:themeTint="F2"/>
          <w:sz w:val="44"/>
          <w:szCs w:val="44"/>
          <w:highlight w:val="none"/>
          <w14:textFill>
            <w14:solidFill>
              <w14:schemeClr w14:val="tx1">
                <w14:lumMod w14:val="95000"/>
                <w14:lumOff w14:val="5000"/>
              </w14:schemeClr>
            </w14:solidFill>
          </w14:textFill>
        </w:rPr>
        <w:t>评标办法</w:t>
      </w:r>
      <w:r>
        <w:rPr>
          <w:rFonts w:hint="eastAsia" w:hAnsi="黑体"/>
          <w:color w:val="0D0D0D" w:themeColor="text1" w:themeTint="F2"/>
          <w:sz w:val="44"/>
          <w:szCs w:val="44"/>
          <w:highlight w:val="none"/>
          <w14:textFill>
            <w14:solidFill>
              <w14:schemeClr w14:val="tx1">
                <w14:lumMod w14:val="95000"/>
                <w14:lumOff w14:val="5000"/>
              </w14:schemeClr>
            </w14:solidFill>
          </w14:textFill>
        </w:rPr>
        <w:t>（综合评估法）</w:t>
      </w:r>
    </w:p>
    <w:p w14:paraId="0B80F91B">
      <w:pPr>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评标办法前附表</w:t>
      </w:r>
    </w:p>
    <w:tbl>
      <w:tblPr>
        <w:tblStyle w:val="64"/>
        <w:tblW w:w="49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1704"/>
        <w:gridCol w:w="1438"/>
        <w:gridCol w:w="702"/>
        <w:gridCol w:w="5165"/>
      </w:tblGrid>
      <w:tr w14:paraId="3EAD6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tcBorders>
              <w:tl2br w:val="nil"/>
              <w:tr2bl w:val="nil"/>
            </w:tcBorders>
            <w:vAlign w:val="center"/>
          </w:tcPr>
          <w:p w14:paraId="199C59FF">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938" w:type="pct"/>
            <w:gridSpan w:val="3"/>
            <w:tcBorders>
              <w:tl2br w:val="nil"/>
              <w:tr2bl w:val="nil"/>
            </w:tcBorders>
            <w:vAlign w:val="center"/>
          </w:tcPr>
          <w:p w14:paraId="5F0644E9">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2603" w:type="pct"/>
            <w:tcBorders>
              <w:tl2br w:val="nil"/>
              <w:tr2bl w:val="nil"/>
            </w:tcBorders>
            <w:vAlign w:val="center"/>
          </w:tcPr>
          <w:p w14:paraId="6A8677F9">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评审标准</w:t>
            </w:r>
          </w:p>
        </w:tc>
      </w:tr>
      <w:tr w14:paraId="60E12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restart"/>
            <w:tcBorders>
              <w:tl2br w:val="nil"/>
              <w:tr2bl w:val="nil"/>
            </w:tcBorders>
            <w:vAlign w:val="center"/>
          </w:tcPr>
          <w:p w14:paraId="54A86DA0">
            <w:pPr>
              <w:spacing w:line="240" w:lineRule="auto"/>
              <w:jc w:val="center"/>
              <w:rPr>
                <w:rFonts w:hint="eastAsia" w:ascii="宋体" w:hAnsi="宋体" w:cs="宋体"/>
                <w:bCs/>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1</w:t>
            </w:r>
          </w:p>
        </w:tc>
        <w:tc>
          <w:tcPr>
            <w:tcW w:w="4542" w:type="pct"/>
            <w:gridSpan w:val="4"/>
            <w:tcBorders>
              <w:tl2br w:val="nil"/>
              <w:tr2bl w:val="nil"/>
            </w:tcBorders>
            <w:vAlign w:val="center"/>
          </w:tcPr>
          <w:p w14:paraId="42F3D761">
            <w:pPr>
              <w:spacing w:line="240" w:lineRule="auto"/>
              <w:jc w:val="center"/>
              <w:rPr>
                <w:rFonts w:hint="eastAsia" w:ascii="宋体" w:hAnsi="宋体" w:cs="宋体"/>
                <w:bCs/>
                <w:color w:val="auto"/>
                <w:szCs w:val="21"/>
                <w:highlight w:val="none"/>
              </w:rPr>
            </w:pPr>
            <w:r>
              <w:rPr>
                <w:rFonts w:hint="eastAsia" w:ascii="宋体" w:hAnsi="宋体" w:cs="宋体"/>
                <w:color w:val="auto"/>
                <w:szCs w:val="21"/>
                <w:highlight w:val="none"/>
              </w:rPr>
              <w:t>资格评审标准</w:t>
            </w:r>
          </w:p>
        </w:tc>
      </w:tr>
      <w:tr w14:paraId="3C47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57" w:type="pct"/>
            <w:vMerge w:val="continue"/>
            <w:tcBorders>
              <w:tl2br w:val="nil"/>
              <w:tr2bl w:val="nil"/>
            </w:tcBorders>
            <w:vAlign w:val="center"/>
          </w:tcPr>
          <w:p w14:paraId="512CF35B">
            <w:pPr>
              <w:spacing w:line="240" w:lineRule="auto"/>
              <w:jc w:val="center"/>
              <w:rPr>
                <w:rFonts w:hint="eastAsia" w:ascii="宋体" w:hAnsi="宋体" w:cs="宋体"/>
                <w:color w:val="auto"/>
                <w:szCs w:val="21"/>
                <w:highlight w:val="none"/>
              </w:rPr>
            </w:pPr>
          </w:p>
        </w:tc>
        <w:tc>
          <w:tcPr>
            <w:tcW w:w="859" w:type="pct"/>
            <w:vMerge w:val="restart"/>
            <w:tcBorders>
              <w:tl2br w:val="nil"/>
              <w:tr2bl w:val="nil"/>
            </w:tcBorders>
            <w:vAlign w:val="center"/>
          </w:tcPr>
          <w:p w14:paraId="5CA2FD58">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企业</w:t>
            </w:r>
          </w:p>
        </w:tc>
        <w:tc>
          <w:tcPr>
            <w:tcW w:w="1079" w:type="pct"/>
            <w:gridSpan w:val="2"/>
            <w:tcBorders>
              <w:tl2br w:val="nil"/>
              <w:tr2bl w:val="nil"/>
            </w:tcBorders>
            <w:vAlign w:val="center"/>
          </w:tcPr>
          <w:p w14:paraId="2D0F708D">
            <w:pPr>
              <w:spacing w:line="240" w:lineRule="auto"/>
              <w:jc w:val="center"/>
              <w:rPr>
                <w:color w:val="auto"/>
                <w:highlight w:val="none"/>
              </w:rPr>
            </w:pPr>
            <w:r>
              <w:rPr>
                <w:rFonts w:hint="eastAsia" w:ascii="宋体" w:hAnsi="宋体" w:cs="宋体"/>
                <w:color w:val="auto"/>
                <w:szCs w:val="21"/>
                <w:highlight w:val="none"/>
              </w:rPr>
              <w:t>营业执照</w:t>
            </w:r>
          </w:p>
        </w:tc>
        <w:tc>
          <w:tcPr>
            <w:tcW w:w="2603" w:type="pct"/>
            <w:vMerge w:val="restart"/>
            <w:tcBorders>
              <w:tl2br w:val="nil"/>
              <w:tr2bl w:val="nil"/>
            </w:tcBorders>
            <w:vAlign w:val="center"/>
          </w:tcPr>
          <w:p w14:paraId="2C5616CC">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符合第二章“投标人须知”第1.4.1项和第3.5项的规定。</w:t>
            </w:r>
          </w:p>
        </w:tc>
      </w:tr>
      <w:tr w14:paraId="14AA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57" w:type="pct"/>
            <w:vMerge w:val="continue"/>
            <w:tcBorders>
              <w:tl2br w:val="nil"/>
              <w:tr2bl w:val="nil"/>
            </w:tcBorders>
            <w:vAlign w:val="center"/>
          </w:tcPr>
          <w:p w14:paraId="3EA0D9EF">
            <w:pPr>
              <w:spacing w:line="240" w:lineRule="auto"/>
              <w:jc w:val="center"/>
              <w:rPr>
                <w:rFonts w:hint="eastAsia" w:ascii="宋体" w:hAnsi="宋体" w:cs="宋体"/>
                <w:color w:val="auto"/>
                <w:szCs w:val="21"/>
                <w:highlight w:val="none"/>
              </w:rPr>
            </w:pPr>
          </w:p>
        </w:tc>
        <w:tc>
          <w:tcPr>
            <w:tcW w:w="859" w:type="pct"/>
            <w:vMerge w:val="continue"/>
            <w:tcBorders>
              <w:tl2br w:val="nil"/>
              <w:tr2bl w:val="nil"/>
            </w:tcBorders>
            <w:vAlign w:val="center"/>
          </w:tcPr>
          <w:p w14:paraId="697F9624">
            <w:pPr>
              <w:spacing w:line="240" w:lineRule="auto"/>
              <w:jc w:val="center"/>
              <w:rPr>
                <w:rFonts w:hint="eastAsia" w:ascii="宋体" w:hAnsi="宋体" w:cs="宋体"/>
                <w:color w:val="auto"/>
                <w:szCs w:val="21"/>
                <w:highlight w:val="none"/>
              </w:rPr>
            </w:pPr>
          </w:p>
        </w:tc>
        <w:tc>
          <w:tcPr>
            <w:tcW w:w="1079" w:type="pct"/>
            <w:gridSpan w:val="2"/>
            <w:tcBorders>
              <w:tl2br w:val="nil"/>
              <w:tr2bl w:val="nil"/>
            </w:tcBorders>
            <w:vAlign w:val="center"/>
          </w:tcPr>
          <w:p w14:paraId="08D0D2F8">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资质证书（如有）</w:t>
            </w:r>
          </w:p>
        </w:tc>
        <w:tc>
          <w:tcPr>
            <w:tcW w:w="2603" w:type="pct"/>
            <w:vMerge w:val="continue"/>
            <w:tcBorders>
              <w:tl2br w:val="nil"/>
              <w:tr2bl w:val="nil"/>
            </w:tcBorders>
            <w:vAlign w:val="center"/>
          </w:tcPr>
          <w:p w14:paraId="3E31BE2F">
            <w:pPr>
              <w:spacing w:line="240" w:lineRule="auto"/>
              <w:rPr>
                <w:rFonts w:hint="eastAsia" w:ascii="宋体" w:hAnsi="宋体" w:cs="宋体"/>
                <w:color w:val="auto"/>
                <w:szCs w:val="21"/>
                <w:highlight w:val="none"/>
              </w:rPr>
            </w:pPr>
          </w:p>
        </w:tc>
      </w:tr>
      <w:tr w14:paraId="0CB7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457" w:type="pct"/>
            <w:vMerge w:val="continue"/>
            <w:tcBorders>
              <w:tl2br w:val="nil"/>
              <w:tr2bl w:val="nil"/>
            </w:tcBorders>
            <w:vAlign w:val="center"/>
          </w:tcPr>
          <w:p w14:paraId="5BBBDF62">
            <w:pPr>
              <w:spacing w:line="240" w:lineRule="auto"/>
              <w:jc w:val="center"/>
              <w:rPr>
                <w:rFonts w:hint="eastAsia" w:ascii="宋体" w:hAnsi="宋体" w:cs="宋体"/>
                <w:color w:val="auto"/>
                <w:szCs w:val="21"/>
                <w:highlight w:val="none"/>
              </w:rPr>
            </w:pPr>
          </w:p>
        </w:tc>
        <w:tc>
          <w:tcPr>
            <w:tcW w:w="859" w:type="pct"/>
            <w:vMerge w:val="continue"/>
            <w:tcBorders>
              <w:tl2br w:val="nil"/>
              <w:tr2bl w:val="nil"/>
            </w:tcBorders>
            <w:vAlign w:val="center"/>
          </w:tcPr>
          <w:p w14:paraId="1FC697F8">
            <w:pPr>
              <w:spacing w:line="240" w:lineRule="auto"/>
              <w:jc w:val="center"/>
              <w:rPr>
                <w:rFonts w:hint="eastAsia" w:ascii="宋体" w:hAnsi="宋体" w:cs="宋体"/>
                <w:color w:val="auto"/>
                <w:szCs w:val="21"/>
                <w:highlight w:val="none"/>
              </w:rPr>
            </w:pPr>
          </w:p>
        </w:tc>
        <w:tc>
          <w:tcPr>
            <w:tcW w:w="1079" w:type="pct"/>
            <w:gridSpan w:val="2"/>
            <w:tcBorders>
              <w:tl2br w:val="nil"/>
              <w:tr2bl w:val="nil"/>
            </w:tcBorders>
            <w:vAlign w:val="center"/>
          </w:tcPr>
          <w:p w14:paraId="04C73D9A">
            <w:pPr>
              <w:spacing w:line="240" w:lineRule="auto"/>
              <w:jc w:val="center"/>
              <w:rPr>
                <w:color w:val="auto"/>
                <w:highlight w:val="none"/>
              </w:rPr>
            </w:pPr>
            <w:r>
              <w:rPr>
                <w:rFonts w:hint="eastAsia" w:ascii="宋体" w:hAnsi="宋体" w:cs="宋体"/>
                <w:color w:val="auto"/>
                <w:szCs w:val="21"/>
                <w:highlight w:val="none"/>
              </w:rPr>
              <w:t>业绩要求</w:t>
            </w:r>
          </w:p>
        </w:tc>
        <w:tc>
          <w:tcPr>
            <w:tcW w:w="2603" w:type="pct"/>
            <w:vMerge w:val="continue"/>
            <w:tcBorders>
              <w:tl2br w:val="nil"/>
              <w:tr2bl w:val="nil"/>
            </w:tcBorders>
            <w:vAlign w:val="center"/>
          </w:tcPr>
          <w:p w14:paraId="24BA3FFA">
            <w:pPr>
              <w:spacing w:line="240" w:lineRule="auto"/>
              <w:rPr>
                <w:rFonts w:hint="eastAsia" w:ascii="宋体" w:hAnsi="宋体" w:cs="宋体"/>
                <w:color w:val="auto"/>
                <w:szCs w:val="21"/>
                <w:highlight w:val="none"/>
              </w:rPr>
            </w:pPr>
          </w:p>
        </w:tc>
      </w:tr>
      <w:tr w14:paraId="2D46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457" w:type="pct"/>
            <w:vMerge w:val="continue"/>
            <w:tcBorders>
              <w:tl2br w:val="nil"/>
              <w:tr2bl w:val="nil"/>
            </w:tcBorders>
            <w:vAlign w:val="center"/>
          </w:tcPr>
          <w:p w14:paraId="58048723">
            <w:pPr>
              <w:spacing w:line="240" w:lineRule="auto"/>
              <w:jc w:val="center"/>
              <w:rPr>
                <w:rFonts w:hint="eastAsia" w:ascii="宋体" w:hAnsi="宋体" w:cs="宋体"/>
                <w:color w:val="auto"/>
                <w:szCs w:val="21"/>
                <w:highlight w:val="none"/>
              </w:rPr>
            </w:pPr>
          </w:p>
        </w:tc>
        <w:tc>
          <w:tcPr>
            <w:tcW w:w="859" w:type="pct"/>
            <w:vMerge w:val="continue"/>
            <w:tcBorders>
              <w:tl2br w:val="nil"/>
              <w:tr2bl w:val="nil"/>
            </w:tcBorders>
            <w:vAlign w:val="center"/>
          </w:tcPr>
          <w:p w14:paraId="341D8036">
            <w:pPr>
              <w:spacing w:line="240" w:lineRule="auto"/>
              <w:jc w:val="center"/>
              <w:rPr>
                <w:rFonts w:hint="eastAsia" w:ascii="宋体" w:hAnsi="宋体" w:cs="宋体"/>
                <w:color w:val="auto"/>
                <w:szCs w:val="21"/>
                <w:highlight w:val="none"/>
              </w:rPr>
            </w:pPr>
          </w:p>
        </w:tc>
        <w:tc>
          <w:tcPr>
            <w:tcW w:w="1079" w:type="pct"/>
            <w:gridSpan w:val="2"/>
            <w:tcBorders>
              <w:tl2br w:val="nil"/>
              <w:tr2bl w:val="nil"/>
            </w:tcBorders>
            <w:vAlign w:val="center"/>
          </w:tcPr>
          <w:p w14:paraId="6CC49FAA">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信誉要求</w:t>
            </w:r>
          </w:p>
        </w:tc>
        <w:tc>
          <w:tcPr>
            <w:tcW w:w="2603" w:type="pct"/>
            <w:vMerge w:val="continue"/>
            <w:tcBorders>
              <w:tl2br w:val="nil"/>
              <w:tr2bl w:val="nil"/>
            </w:tcBorders>
            <w:vAlign w:val="center"/>
          </w:tcPr>
          <w:p w14:paraId="38A9FA7D">
            <w:pPr>
              <w:spacing w:line="240" w:lineRule="auto"/>
              <w:rPr>
                <w:rFonts w:hint="eastAsia" w:ascii="宋体" w:hAnsi="宋体" w:cs="宋体"/>
                <w:color w:val="auto"/>
                <w:szCs w:val="21"/>
                <w:highlight w:val="none"/>
              </w:rPr>
            </w:pPr>
          </w:p>
        </w:tc>
      </w:tr>
      <w:tr w14:paraId="68C30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6B35D565">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3EFFFBAC">
            <w:pPr>
              <w:spacing w:line="240" w:lineRule="auto"/>
              <w:jc w:val="center"/>
              <w:rPr>
                <w:rFonts w:hint="eastAsia" w:ascii="宋体" w:hAnsi="宋体" w:cs="宋体"/>
                <w:strike/>
                <w:color w:val="auto"/>
                <w:szCs w:val="21"/>
                <w:highlight w:val="none"/>
              </w:rPr>
            </w:pPr>
            <w:r>
              <w:rPr>
                <w:rFonts w:hint="eastAsia" w:ascii="宋体" w:hAnsi="宋体" w:cs="宋体"/>
                <w:color w:val="auto"/>
                <w:szCs w:val="21"/>
                <w:highlight w:val="none"/>
              </w:rPr>
              <w:t>人员要求（如有）</w:t>
            </w:r>
          </w:p>
        </w:tc>
        <w:tc>
          <w:tcPr>
            <w:tcW w:w="2603" w:type="pct"/>
            <w:vMerge w:val="continue"/>
            <w:tcBorders>
              <w:tl2br w:val="nil"/>
              <w:tr2bl w:val="nil"/>
            </w:tcBorders>
            <w:vAlign w:val="center"/>
          </w:tcPr>
          <w:p w14:paraId="152AE1BF">
            <w:pPr>
              <w:spacing w:line="240" w:lineRule="auto"/>
              <w:rPr>
                <w:rFonts w:hint="eastAsia" w:ascii="宋体" w:hAnsi="宋体" w:cs="宋体"/>
                <w:color w:val="auto"/>
                <w:szCs w:val="21"/>
                <w:highlight w:val="none"/>
              </w:rPr>
            </w:pPr>
          </w:p>
        </w:tc>
      </w:tr>
      <w:tr w14:paraId="3B12F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457" w:type="pct"/>
            <w:vMerge w:val="continue"/>
            <w:tcBorders>
              <w:tl2br w:val="nil"/>
              <w:tr2bl w:val="nil"/>
            </w:tcBorders>
            <w:vAlign w:val="center"/>
          </w:tcPr>
          <w:p w14:paraId="7E65AAD2">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5E9E1B33">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法定代表人身份证明（如有）</w:t>
            </w:r>
          </w:p>
        </w:tc>
        <w:tc>
          <w:tcPr>
            <w:tcW w:w="2603" w:type="pct"/>
            <w:vMerge w:val="continue"/>
            <w:tcBorders>
              <w:tl2br w:val="nil"/>
              <w:tr2bl w:val="nil"/>
            </w:tcBorders>
            <w:vAlign w:val="center"/>
          </w:tcPr>
          <w:p w14:paraId="2F8B1425">
            <w:pPr>
              <w:spacing w:line="240" w:lineRule="auto"/>
              <w:rPr>
                <w:rFonts w:hint="eastAsia" w:ascii="宋体" w:hAnsi="宋体" w:cs="宋体"/>
                <w:color w:val="auto"/>
                <w:szCs w:val="21"/>
                <w:highlight w:val="none"/>
              </w:rPr>
            </w:pPr>
          </w:p>
        </w:tc>
      </w:tr>
      <w:tr w14:paraId="066AA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57" w:type="pct"/>
            <w:vMerge w:val="continue"/>
            <w:tcBorders>
              <w:tl2br w:val="nil"/>
              <w:tr2bl w:val="nil"/>
            </w:tcBorders>
            <w:vAlign w:val="center"/>
          </w:tcPr>
          <w:p w14:paraId="0108D171">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6DEC7984">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授权委托书（如有）</w:t>
            </w:r>
          </w:p>
        </w:tc>
        <w:tc>
          <w:tcPr>
            <w:tcW w:w="2603" w:type="pct"/>
            <w:vMerge w:val="continue"/>
            <w:tcBorders>
              <w:tl2br w:val="nil"/>
              <w:tr2bl w:val="nil"/>
            </w:tcBorders>
            <w:vAlign w:val="center"/>
          </w:tcPr>
          <w:p w14:paraId="1CDE046C">
            <w:pPr>
              <w:spacing w:line="240" w:lineRule="auto"/>
              <w:rPr>
                <w:rFonts w:hint="eastAsia" w:ascii="宋体" w:hAnsi="宋体" w:cs="宋体"/>
                <w:color w:val="auto"/>
                <w:szCs w:val="21"/>
                <w:highlight w:val="none"/>
              </w:rPr>
            </w:pPr>
          </w:p>
        </w:tc>
      </w:tr>
      <w:tr w14:paraId="2CF9E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57" w:type="pct"/>
            <w:vMerge w:val="continue"/>
            <w:tcBorders>
              <w:tl2br w:val="nil"/>
              <w:tr2bl w:val="nil"/>
            </w:tcBorders>
            <w:vAlign w:val="center"/>
          </w:tcPr>
          <w:p w14:paraId="79F20653">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7520D1FE">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投标保证金</w:t>
            </w:r>
          </w:p>
        </w:tc>
        <w:tc>
          <w:tcPr>
            <w:tcW w:w="2603" w:type="pct"/>
            <w:tcBorders>
              <w:tl2br w:val="nil"/>
              <w:tr2bl w:val="nil"/>
            </w:tcBorders>
            <w:vAlign w:val="center"/>
          </w:tcPr>
          <w:p w14:paraId="737D1557">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符合第二章“投标人须知”第3.4.1项规定</w:t>
            </w:r>
          </w:p>
        </w:tc>
      </w:tr>
      <w:tr w14:paraId="6DFB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3F311A63">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20F1396C">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不存在禁止</w:t>
            </w:r>
          </w:p>
          <w:p w14:paraId="35C51EEF">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投标的情形</w:t>
            </w:r>
          </w:p>
        </w:tc>
        <w:tc>
          <w:tcPr>
            <w:tcW w:w="2603" w:type="pct"/>
            <w:tcBorders>
              <w:tl2br w:val="nil"/>
              <w:tr2bl w:val="nil"/>
            </w:tcBorders>
            <w:vAlign w:val="center"/>
          </w:tcPr>
          <w:p w14:paraId="69BA8B46">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不存在第二章“投标人须知”第1.4.</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项规定的任何一种情形，以投标函为准（格式见第六章“投标文件格式”一《投标函》）。</w:t>
            </w:r>
          </w:p>
        </w:tc>
      </w:tr>
      <w:tr w14:paraId="15A73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4AFBD8F9">
            <w:pPr>
              <w:spacing w:line="240" w:lineRule="auto"/>
              <w:jc w:val="center"/>
              <w:rPr>
                <w:rFonts w:hint="eastAsia" w:ascii="宋体" w:hAnsi="宋体" w:cs="宋体"/>
                <w:color w:val="auto"/>
                <w:szCs w:val="21"/>
                <w:highlight w:val="none"/>
              </w:rPr>
            </w:pPr>
          </w:p>
        </w:tc>
        <w:tc>
          <w:tcPr>
            <w:tcW w:w="4542" w:type="pct"/>
            <w:gridSpan w:val="4"/>
            <w:tcBorders>
              <w:tl2br w:val="nil"/>
              <w:tr2bl w:val="nil"/>
            </w:tcBorders>
            <w:vAlign w:val="center"/>
          </w:tcPr>
          <w:p w14:paraId="0FD343FB">
            <w:pPr>
              <w:spacing w:line="240" w:lineRule="auto"/>
              <w:ind w:firstLine="420" w:firstLineChars="200"/>
              <w:rPr>
                <w:rFonts w:hint="eastAsia" w:ascii="宋体" w:hAnsi="宋体" w:cs="宋体"/>
                <w:color w:val="auto"/>
                <w:szCs w:val="21"/>
                <w:highlight w:val="none"/>
              </w:rPr>
            </w:pPr>
            <w:r>
              <w:rPr>
                <w:rFonts w:hint="eastAsia" w:ascii="宋体" w:hAnsi="宋体" w:eastAsia="宋体" w:cs="宋体"/>
                <w:bCs/>
                <w:color w:val="auto"/>
                <w:szCs w:val="21"/>
                <w:highlight w:val="none"/>
              </w:rPr>
              <w:t>没有发生被长沙</w:t>
            </w:r>
            <w:r>
              <w:rPr>
                <w:rFonts w:hint="eastAsia" w:ascii="宋体" w:hAnsi="宋体" w:eastAsia="宋体" w:cs="宋体"/>
                <w:bCs/>
                <w:color w:val="auto"/>
                <w:szCs w:val="21"/>
                <w:highlight w:val="none"/>
                <w:lang w:val="en-US" w:eastAsia="zh-CN"/>
              </w:rPr>
              <w:t>市</w:t>
            </w:r>
            <w:r>
              <w:rPr>
                <w:rFonts w:hint="eastAsia" w:ascii="宋体" w:hAnsi="宋体" w:eastAsia="宋体" w:cs="宋体"/>
                <w:bCs/>
                <w:color w:val="auto"/>
                <w:szCs w:val="21"/>
                <w:highlight w:val="none"/>
              </w:rPr>
              <w:t>轨道交通集团</w:t>
            </w:r>
            <w:r>
              <w:rPr>
                <w:rFonts w:hint="eastAsia" w:ascii="宋体" w:hAnsi="宋体" w:eastAsia="宋体" w:cs="宋体"/>
                <w:bCs/>
                <w:color w:val="auto"/>
                <w:szCs w:val="21"/>
                <w:highlight w:val="none"/>
                <w:lang w:val="en-US" w:eastAsia="zh-CN"/>
              </w:rPr>
              <w:t>有限公司</w:t>
            </w:r>
            <w:r>
              <w:rPr>
                <w:rFonts w:hint="eastAsia" w:ascii="宋体" w:hAnsi="宋体" w:eastAsia="宋体" w:cs="宋体"/>
                <w:bCs/>
                <w:color w:val="auto"/>
                <w:szCs w:val="21"/>
                <w:highlight w:val="none"/>
              </w:rPr>
              <w:t>或长沙穗城轨道交通有限公司函告禁止在一定期限内参与轨道项目投标的单位按函告内容执行。如有，则以招标人提供的函件内容为准</w:t>
            </w:r>
          </w:p>
        </w:tc>
      </w:tr>
      <w:tr w14:paraId="0B5F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restart"/>
            <w:tcBorders>
              <w:tl2br w:val="nil"/>
              <w:tr2bl w:val="nil"/>
            </w:tcBorders>
            <w:vAlign w:val="center"/>
          </w:tcPr>
          <w:p w14:paraId="1BC5624E">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p>
        </w:tc>
        <w:tc>
          <w:tcPr>
            <w:tcW w:w="4542" w:type="pct"/>
            <w:gridSpan w:val="4"/>
            <w:tcBorders>
              <w:tl2br w:val="nil"/>
              <w:tr2bl w:val="nil"/>
            </w:tcBorders>
            <w:vAlign w:val="center"/>
          </w:tcPr>
          <w:p w14:paraId="73FFD27C">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符合性评审标准</w:t>
            </w:r>
          </w:p>
        </w:tc>
      </w:tr>
      <w:tr w14:paraId="4C39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7E8E44F1">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5E177047">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2603" w:type="pct"/>
            <w:tcBorders>
              <w:tl2br w:val="nil"/>
              <w:tr2bl w:val="nil"/>
            </w:tcBorders>
            <w:vAlign w:val="center"/>
          </w:tcPr>
          <w:p w14:paraId="32791130">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与营业执照、资质证书（如有）一致</w:t>
            </w:r>
          </w:p>
        </w:tc>
      </w:tr>
      <w:tr w14:paraId="13D6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2E7AAB1F">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03C4603C">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投标文件签字盖章</w:t>
            </w:r>
          </w:p>
        </w:tc>
        <w:tc>
          <w:tcPr>
            <w:tcW w:w="2603" w:type="pct"/>
            <w:tcBorders>
              <w:tl2br w:val="nil"/>
              <w:tr2bl w:val="nil"/>
            </w:tcBorders>
            <w:vAlign w:val="center"/>
          </w:tcPr>
          <w:p w14:paraId="7C31D27F">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按照第六章“投标文件格式”的要求签字及加盖投标人单位公章。</w:t>
            </w:r>
          </w:p>
        </w:tc>
      </w:tr>
      <w:tr w14:paraId="260D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1F259C4C">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322D7B37">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联合体投标人（不适用）</w:t>
            </w:r>
          </w:p>
        </w:tc>
        <w:tc>
          <w:tcPr>
            <w:tcW w:w="2603" w:type="pct"/>
            <w:tcBorders>
              <w:tl2br w:val="nil"/>
              <w:tr2bl w:val="nil"/>
            </w:tcBorders>
            <w:vAlign w:val="center"/>
          </w:tcPr>
          <w:p w14:paraId="380DE4A8">
            <w:pPr>
              <w:spacing w:line="240" w:lineRule="auto"/>
              <w:rPr>
                <w:rFonts w:hint="eastAsia" w:ascii="宋体" w:hAnsi="宋体" w:cs="宋体"/>
                <w:b/>
                <w:bCs/>
                <w:color w:val="auto"/>
                <w:szCs w:val="21"/>
                <w:highlight w:val="none"/>
              </w:rPr>
            </w:pPr>
            <w:r>
              <w:rPr>
                <w:rFonts w:hint="eastAsia" w:ascii="宋体" w:hAnsi="宋体" w:cs="宋体"/>
                <w:color w:val="auto"/>
                <w:szCs w:val="21"/>
                <w:highlight w:val="none"/>
              </w:rPr>
              <w:t>符合第二章“投标人须知”第1.4.2项的规定。</w:t>
            </w:r>
          </w:p>
        </w:tc>
      </w:tr>
      <w:tr w14:paraId="5D9D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1AF54243">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0A1B65F7">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备选投标方案</w:t>
            </w:r>
          </w:p>
        </w:tc>
        <w:tc>
          <w:tcPr>
            <w:tcW w:w="2603" w:type="pct"/>
            <w:tcBorders>
              <w:tl2br w:val="nil"/>
              <w:tr2bl w:val="nil"/>
            </w:tcBorders>
            <w:vAlign w:val="center"/>
          </w:tcPr>
          <w:p w14:paraId="71B5A0BE">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投标人不得提交备选投标方案</w:t>
            </w:r>
          </w:p>
        </w:tc>
      </w:tr>
      <w:tr w14:paraId="3116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457" w:type="pct"/>
            <w:vMerge w:val="continue"/>
            <w:tcBorders>
              <w:tl2br w:val="nil"/>
              <w:tr2bl w:val="nil"/>
            </w:tcBorders>
            <w:vAlign w:val="center"/>
          </w:tcPr>
          <w:p w14:paraId="682423DF">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7D4B461D">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投标报价</w:t>
            </w:r>
          </w:p>
        </w:tc>
        <w:tc>
          <w:tcPr>
            <w:tcW w:w="2603" w:type="pct"/>
            <w:tcBorders>
              <w:tl2br w:val="nil"/>
              <w:tr2bl w:val="nil"/>
            </w:tcBorders>
            <w:vAlign w:val="center"/>
          </w:tcPr>
          <w:p w14:paraId="3335AD30">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符合第二章“投标人须知”第3.2款规定</w:t>
            </w:r>
          </w:p>
        </w:tc>
      </w:tr>
      <w:tr w14:paraId="3A93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7E8A2B37">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4FC62030">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投标内容</w:t>
            </w:r>
          </w:p>
        </w:tc>
        <w:tc>
          <w:tcPr>
            <w:tcW w:w="2603" w:type="pct"/>
            <w:tcBorders>
              <w:tl2br w:val="nil"/>
              <w:tr2bl w:val="nil"/>
            </w:tcBorders>
            <w:vAlign w:val="center"/>
          </w:tcPr>
          <w:p w14:paraId="1945D43C">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符合第二章“投标人须知”第1.3.1项规定</w:t>
            </w:r>
          </w:p>
        </w:tc>
      </w:tr>
      <w:tr w14:paraId="57D6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5BD82458">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1BA372C0">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服务期限</w:t>
            </w:r>
          </w:p>
        </w:tc>
        <w:tc>
          <w:tcPr>
            <w:tcW w:w="2603" w:type="pct"/>
            <w:tcBorders>
              <w:tl2br w:val="nil"/>
              <w:tr2bl w:val="nil"/>
            </w:tcBorders>
            <w:vAlign w:val="center"/>
          </w:tcPr>
          <w:p w14:paraId="66C25469">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符合第二章“投标人须知”第1.3.2项规定</w:t>
            </w:r>
          </w:p>
        </w:tc>
      </w:tr>
      <w:tr w14:paraId="30C9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235D57FA">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1221D4D1">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2603" w:type="pct"/>
            <w:tcBorders>
              <w:tl2br w:val="nil"/>
              <w:tr2bl w:val="nil"/>
            </w:tcBorders>
            <w:vAlign w:val="center"/>
          </w:tcPr>
          <w:p w14:paraId="379FEE1B">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符合第二章“投标人须知”第3.3.1项规定</w:t>
            </w:r>
          </w:p>
        </w:tc>
      </w:tr>
      <w:tr w14:paraId="038C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712252D8">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566FC39D">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响应和偏差</w:t>
            </w:r>
          </w:p>
        </w:tc>
        <w:tc>
          <w:tcPr>
            <w:tcW w:w="2603" w:type="pct"/>
            <w:tcBorders>
              <w:tl2br w:val="nil"/>
              <w:tr2bl w:val="nil"/>
            </w:tcBorders>
            <w:vAlign w:val="center"/>
          </w:tcPr>
          <w:p w14:paraId="5EA773A0">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t>符合第二章“投标人须知”第1.10项规定</w:t>
            </w:r>
          </w:p>
        </w:tc>
      </w:tr>
      <w:tr w14:paraId="5E15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vMerge w:val="continue"/>
            <w:tcBorders>
              <w:tl2br w:val="nil"/>
              <w:tr2bl w:val="nil"/>
            </w:tcBorders>
            <w:vAlign w:val="center"/>
          </w:tcPr>
          <w:p w14:paraId="5A7E4ED5">
            <w:pPr>
              <w:spacing w:line="240" w:lineRule="auto"/>
              <w:jc w:val="center"/>
              <w:rPr>
                <w:rFonts w:hint="eastAsia" w:ascii="宋体" w:hAnsi="宋体" w:cs="宋体"/>
                <w:color w:val="auto"/>
                <w:szCs w:val="21"/>
                <w:highlight w:val="none"/>
              </w:rPr>
            </w:pPr>
          </w:p>
        </w:tc>
        <w:tc>
          <w:tcPr>
            <w:tcW w:w="1938" w:type="pct"/>
            <w:gridSpan w:val="3"/>
            <w:tcBorders>
              <w:tl2br w:val="nil"/>
              <w:tr2bl w:val="nil"/>
            </w:tcBorders>
            <w:vAlign w:val="center"/>
          </w:tcPr>
          <w:p w14:paraId="31B45A85">
            <w:pPr>
              <w:keepNext w:val="0"/>
              <w:keepLines w:val="0"/>
              <w:pageBreakBefore w:val="0"/>
              <w:kinsoku/>
              <w:topLinePunct w:val="0"/>
              <w:bidi w:val="0"/>
              <w:adjustRightInd/>
              <w:snapToGrid/>
              <w:spacing w:line="240" w:lineRule="auto"/>
              <w:ind w:firstLine="0" w:firstLineChars="0"/>
              <w:jc w:val="center"/>
              <w:rPr>
                <w:rFonts w:hint="eastAsia" w:ascii="宋体" w:hAnsi="宋体" w:cs="宋体"/>
                <w:color w:val="auto"/>
                <w:szCs w:val="21"/>
                <w:highlight w:val="none"/>
              </w:rPr>
            </w:pPr>
            <w:r>
              <w:rPr>
                <w:rFonts w:hint="eastAsia" w:ascii="Times New Roman" w:hAnsi="Times New Roman" w:eastAsia="宋体" w:cs="Times New Roman"/>
                <w:color w:val="auto"/>
                <w:szCs w:val="21"/>
                <w:highlight w:val="none"/>
                <w:lang w:val="en-US" w:eastAsia="zh-CN"/>
              </w:rPr>
              <w:t>成本评审</w:t>
            </w:r>
          </w:p>
        </w:tc>
        <w:tc>
          <w:tcPr>
            <w:tcW w:w="2603" w:type="pct"/>
            <w:tcBorders>
              <w:tl2br w:val="nil"/>
              <w:tr2bl w:val="nil"/>
            </w:tcBorders>
            <w:vAlign w:val="center"/>
          </w:tcPr>
          <w:p w14:paraId="5A8523CE">
            <w:pPr>
              <w:keepNext w:val="0"/>
              <w:keepLines w:val="0"/>
              <w:pageBreakBefore w:val="0"/>
              <w:kinsoku/>
              <w:topLinePunct w:val="0"/>
              <w:bidi w:val="0"/>
              <w:adjustRightInd/>
              <w:snapToGrid/>
              <w:spacing w:line="240" w:lineRule="auto"/>
              <w:ind w:firstLine="0" w:firstLineChars="0"/>
              <w:jc w:val="left"/>
              <w:rPr>
                <w:rFonts w:hint="eastAsia" w:ascii="宋体" w:hAnsi="宋体" w:cs="宋体"/>
                <w:color w:val="auto"/>
                <w:szCs w:val="21"/>
                <w:highlight w:val="none"/>
              </w:rPr>
            </w:pPr>
            <w:r>
              <w:rPr>
                <w:rFonts w:hint="eastAsia" w:ascii="Times New Roman" w:hAnsi="Times New Roman" w:eastAsia="宋体" w:cs="Times New Roman"/>
                <w:color w:val="auto"/>
                <w:szCs w:val="21"/>
                <w:highlight w:val="none"/>
              </w:rPr>
              <w:t>投标人“开标一览表”的“投标总报价”低于通过资格评审的所有投标人的“开标一览表”的“投标总报价”的算术平均值80%时，由评标委员会启动成本评审工作，以判别该投标人的投标报价是否低于其成本。评标委员会应当要求该投标人作出书面说明并提供相应的证明材料。投标人不能合理说明或者不能提供相应证明材料的，由评标委员会认定该投标人以低于成本报价竞标，并否决其投标。</w:t>
            </w:r>
          </w:p>
        </w:tc>
      </w:tr>
      <w:tr w14:paraId="2177E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tcBorders>
              <w:tl2br w:val="nil"/>
              <w:tr2bl w:val="nil"/>
            </w:tcBorders>
            <w:vAlign w:val="center"/>
          </w:tcPr>
          <w:p w14:paraId="6B14469B">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938" w:type="pct"/>
            <w:gridSpan w:val="3"/>
            <w:tcBorders>
              <w:tl2br w:val="nil"/>
              <w:tr2bl w:val="nil"/>
            </w:tcBorders>
            <w:vAlign w:val="center"/>
          </w:tcPr>
          <w:p w14:paraId="754FD4E9">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条款内容</w:t>
            </w:r>
          </w:p>
        </w:tc>
        <w:tc>
          <w:tcPr>
            <w:tcW w:w="2603" w:type="pct"/>
            <w:tcBorders>
              <w:tl2br w:val="nil"/>
              <w:tr2bl w:val="nil"/>
            </w:tcBorders>
            <w:vAlign w:val="center"/>
          </w:tcPr>
          <w:p w14:paraId="2170A674">
            <w:pPr>
              <w:spacing w:line="24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编列内容</w:t>
            </w:r>
          </w:p>
        </w:tc>
      </w:tr>
      <w:tr w14:paraId="0D4D6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7" w:type="pct"/>
            <w:tcBorders>
              <w:tl2br w:val="nil"/>
              <w:tr2bl w:val="nil"/>
            </w:tcBorders>
            <w:vAlign w:val="center"/>
          </w:tcPr>
          <w:p w14:paraId="001F2EF2">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2.2.1</w:t>
            </w:r>
          </w:p>
        </w:tc>
        <w:tc>
          <w:tcPr>
            <w:tcW w:w="1938" w:type="pct"/>
            <w:gridSpan w:val="3"/>
            <w:tcBorders>
              <w:tl2br w:val="nil"/>
              <w:tr2bl w:val="nil"/>
            </w:tcBorders>
            <w:vAlign w:val="center"/>
          </w:tcPr>
          <w:p w14:paraId="03B1C576">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权重分值</w:t>
            </w:r>
          </w:p>
        </w:tc>
        <w:tc>
          <w:tcPr>
            <w:tcW w:w="2603" w:type="pct"/>
            <w:tcBorders>
              <w:tl2br w:val="nil"/>
              <w:tr2bl w:val="nil"/>
            </w:tcBorders>
            <w:vAlign w:val="center"/>
          </w:tcPr>
          <w:p w14:paraId="1B87D804">
            <w:pPr>
              <w:jc w:val="center"/>
              <w:rPr>
                <w:rFonts w:hint="eastAsia" w:ascii="宋体" w:hAnsi="宋体" w:cs="宋体"/>
                <w:color w:val="auto"/>
                <w:szCs w:val="21"/>
                <w:highlight w:val="none"/>
              </w:rPr>
            </w:pPr>
            <w:r>
              <w:rPr>
                <w:rFonts w:hint="eastAsia" w:ascii="宋体" w:hAnsi="宋体" w:cs="宋体"/>
                <w:color w:val="auto"/>
                <w:szCs w:val="21"/>
                <w:highlight w:val="none"/>
              </w:rPr>
              <w:t>商务部分：30分</w:t>
            </w:r>
          </w:p>
          <w:p w14:paraId="09C6AB11">
            <w:pPr>
              <w:jc w:val="center"/>
              <w:rPr>
                <w:rFonts w:hint="eastAsia" w:ascii="宋体" w:hAnsi="宋体" w:cs="宋体"/>
                <w:color w:val="auto"/>
                <w:szCs w:val="21"/>
                <w:highlight w:val="none"/>
              </w:rPr>
            </w:pPr>
            <w:r>
              <w:rPr>
                <w:rFonts w:hint="eastAsia" w:ascii="宋体" w:hAnsi="宋体" w:cs="宋体"/>
                <w:color w:val="auto"/>
                <w:szCs w:val="21"/>
                <w:highlight w:val="none"/>
              </w:rPr>
              <w:t>技术部分：40分</w:t>
            </w:r>
          </w:p>
          <w:p w14:paraId="506B2E36">
            <w:pPr>
              <w:jc w:val="center"/>
              <w:rPr>
                <w:rFonts w:hint="eastAsia" w:ascii="宋体" w:hAnsi="宋体" w:cs="宋体"/>
                <w:color w:val="auto"/>
                <w:szCs w:val="21"/>
                <w:highlight w:val="none"/>
              </w:rPr>
            </w:pPr>
            <w:r>
              <w:rPr>
                <w:rFonts w:hint="eastAsia" w:ascii="宋体" w:hAnsi="宋体" w:cs="宋体"/>
                <w:color w:val="auto"/>
                <w:szCs w:val="21"/>
                <w:highlight w:val="none"/>
              </w:rPr>
              <w:t>报价部分：30分</w:t>
            </w:r>
          </w:p>
        </w:tc>
      </w:tr>
      <w:tr w14:paraId="0C527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457" w:type="pct"/>
            <w:tcBorders>
              <w:tl2br w:val="nil"/>
              <w:tr2bl w:val="nil"/>
            </w:tcBorders>
            <w:vAlign w:val="center"/>
          </w:tcPr>
          <w:p w14:paraId="1BE9F20F">
            <w:pPr>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584" w:type="pct"/>
            <w:gridSpan w:val="2"/>
            <w:tcBorders>
              <w:tl2br w:val="nil"/>
              <w:tr2bl w:val="nil"/>
            </w:tcBorders>
            <w:vAlign w:val="center"/>
          </w:tcPr>
          <w:p w14:paraId="3D7506AD">
            <w:pPr>
              <w:jc w:val="center"/>
              <w:rPr>
                <w:rFonts w:hint="eastAsia" w:ascii="宋体" w:hAnsi="宋体" w:cs="宋体"/>
                <w:b/>
                <w:color w:val="auto"/>
                <w:szCs w:val="21"/>
                <w:highlight w:val="none"/>
              </w:rPr>
            </w:pPr>
            <w:r>
              <w:rPr>
                <w:rFonts w:hint="eastAsia" w:ascii="宋体" w:hAnsi="宋体" w:cs="宋体"/>
                <w:b/>
                <w:color w:val="auto"/>
                <w:szCs w:val="21"/>
                <w:highlight w:val="none"/>
              </w:rPr>
              <w:t>评审因素</w:t>
            </w:r>
          </w:p>
        </w:tc>
        <w:tc>
          <w:tcPr>
            <w:tcW w:w="353" w:type="pct"/>
            <w:tcBorders>
              <w:tl2br w:val="nil"/>
              <w:tr2bl w:val="nil"/>
            </w:tcBorders>
            <w:vAlign w:val="center"/>
          </w:tcPr>
          <w:p w14:paraId="2C0FBFAA">
            <w:pPr>
              <w:jc w:val="center"/>
              <w:rPr>
                <w:rFonts w:hint="eastAsia" w:ascii="宋体" w:hAnsi="宋体" w:cs="宋体"/>
                <w:b/>
                <w:color w:val="auto"/>
                <w:szCs w:val="21"/>
                <w:highlight w:val="none"/>
              </w:rPr>
            </w:pPr>
            <w:r>
              <w:rPr>
                <w:rFonts w:hint="eastAsia" w:ascii="宋体" w:hAnsi="宋体" w:cs="宋体"/>
                <w:b/>
                <w:color w:val="auto"/>
                <w:szCs w:val="21"/>
                <w:highlight w:val="none"/>
              </w:rPr>
              <w:t>分值</w:t>
            </w:r>
          </w:p>
        </w:tc>
        <w:tc>
          <w:tcPr>
            <w:tcW w:w="2603" w:type="pct"/>
            <w:tcBorders>
              <w:tl2br w:val="nil"/>
              <w:tr2bl w:val="nil"/>
            </w:tcBorders>
            <w:vAlign w:val="center"/>
          </w:tcPr>
          <w:p w14:paraId="10FAC73B">
            <w:pPr>
              <w:jc w:val="center"/>
              <w:rPr>
                <w:rFonts w:hint="eastAsia" w:ascii="宋体" w:hAnsi="宋体" w:cs="宋体"/>
                <w:b/>
                <w:color w:val="auto"/>
                <w:szCs w:val="21"/>
                <w:highlight w:val="none"/>
              </w:rPr>
            </w:pPr>
            <w:r>
              <w:rPr>
                <w:rFonts w:hint="eastAsia" w:ascii="宋体" w:hAnsi="宋体" w:cs="宋体"/>
                <w:b/>
                <w:color w:val="auto"/>
                <w:szCs w:val="21"/>
                <w:highlight w:val="none"/>
              </w:rPr>
              <w:t>评审标准</w:t>
            </w:r>
          </w:p>
        </w:tc>
      </w:tr>
      <w:tr w14:paraId="30D4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57" w:type="pct"/>
            <w:vMerge w:val="restart"/>
            <w:tcBorders>
              <w:tl2br w:val="nil"/>
              <w:tr2bl w:val="nil"/>
            </w:tcBorders>
            <w:vAlign w:val="center"/>
          </w:tcPr>
          <w:p w14:paraId="56CA8102">
            <w:pPr>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654CE82A">
            <w:pPr>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p>
        </w:tc>
        <w:tc>
          <w:tcPr>
            <w:tcW w:w="4542" w:type="pct"/>
            <w:gridSpan w:val="4"/>
            <w:tcBorders>
              <w:tl2br w:val="nil"/>
              <w:tr2bl w:val="nil"/>
            </w:tcBorders>
            <w:vAlign w:val="center"/>
          </w:tcPr>
          <w:p w14:paraId="1573B4C8">
            <w:pPr>
              <w:jc w:val="center"/>
              <w:rPr>
                <w:rFonts w:hint="eastAsia" w:ascii="宋体" w:hAnsi="宋体" w:cs="宋体"/>
                <w:b/>
                <w:color w:val="auto"/>
                <w:szCs w:val="21"/>
                <w:highlight w:val="none"/>
              </w:rPr>
            </w:pPr>
            <w:r>
              <w:rPr>
                <w:rFonts w:hint="eastAsia" w:ascii="宋体" w:hAnsi="宋体" w:cs="宋体"/>
                <w:color w:val="auto"/>
                <w:szCs w:val="21"/>
                <w:highlight w:val="none"/>
              </w:rPr>
              <w:t>商务部分详细评分标准</w:t>
            </w:r>
          </w:p>
        </w:tc>
      </w:tr>
      <w:tr w14:paraId="6A414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457" w:type="pct"/>
            <w:vMerge w:val="continue"/>
            <w:tcBorders>
              <w:tl2br w:val="nil"/>
              <w:tr2bl w:val="nil"/>
            </w:tcBorders>
            <w:vAlign w:val="center"/>
          </w:tcPr>
          <w:p w14:paraId="449527F0">
            <w:pPr>
              <w:jc w:val="center"/>
              <w:rPr>
                <w:rFonts w:hint="eastAsia" w:ascii="宋体" w:hAnsi="宋体" w:cs="宋体"/>
                <w:b/>
                <w:color w:val="auto"/>
                <w:szCs w:val="21"/>
                <w:highlight w:val="none"/>
              </w:rPr>
            </w:pPr>
          </w:p>
        </w:tc>
        <w:tc>
          <w:tcPr>
            <w:tcW w:w="1584" w:type="pct"/>
            <w:gridSpan w:val="2"/>
            <w:tcBorders>
              <w:tl2br w:val="nil"/>
              <w:tr2bl w:val="nil"/>
            </w:tcBorders>
            <w:vAlign w:val="center"/>
          </w:tcPr>
          <w:p w14:paraId="1ED75756">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投标文件编制</w:t>
            </w:r>
          </w:p>
        </w:tc>
        <w:tc>
          <w:tcPr>
            <w:tcW w:w="353" w:type="pct"/>
            <w:tcBorders>
              <w:tl2br w:val="nil"/>
              <w:tr2bl w:val="nil"/>
            </w:tcBorders>
            <w:vAlign w:val="center"/>
          </w:tcPr>
          <w:p w14:paraId="44076E40">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603" w:type="pct"/>
            <w:tcBorders>
              <w:tl2br w:val="nil"/>
              <w:tr2bl w:val="nil"/>
            </w:tcBorders>
            <w:vAlign w:val="center"/>
          </w:tcPr>
          <w:p w14:paraId="6AFA6660">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rPr>
              <w:t>1.版面整齐，表述清晰，内容完整准确，图文清楚，未出现格式等错误，得2分；</w:t>
            </w:r>
          </w:p>
          <w:p w14:paraId="6F90B32D">
            <w:pPr>
              <w:widowControl/>
              <w:spacing w:line="240" w:lineRule="auto"/>
              <w:rPr>
                <w:rFonts w:hint="eastAsia" w:ascii="宋体" w:hAnsi="宋体" w:cs="宋体"/>
                <w:color w:val="auto"/>
                <w:kern w:val="0"/>
                <w:szCs w:val="21"/>
                <w:highlight w:val="none"/>
              </w:rPr>
            </w:pPr>
            <w:r>
              <w:rPr>
                <w:rFonts w:hint="eastAsia" w:ascii="宋体" w:hAnsi="宋体" w:cs="宋体"/>
                <w:color w:val="auto"/>
                <w:szCs w:val="21"/>
                <w:highlight w:val="none"/>
              </w:rPr>
              <w:t>2.版面欠整齐，表述欠清晰，内容欠完整准确，图文欠清楚，出现格式错误等错误，每处扣0.5分，扣完为止。</w:t>
            </w:r>
          </w:p>
        </w:tc>
      </w:tr>
      <w:tr w14:paraId="57406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457" w:type="pct"/>
            <w:vMerge w:val="continue"/>
            <w:tcBorders>
              <w:tl2br w:val="nil"/>
              <w:tr2bl w:val="nil"/>
            </w:tcBorders>
            <w:vAlign w:val="center"/>
          </w:tcPr>
          <w:p w14:paraId="39AD5DAD">
            <w:pPr>
              <w:jc w:val="center"/>
              <w:rPr>
                <w:rFonts w:hint="eastAsia" w:ascii="宋体" w:hAnsi="宋体" w:cs="宋体"/>
                <w:b/>
                <w:color w:val="auto"/>
                <w:szCs w:val="21"/>
                <w:highlight w:val="none"/>
              </w:rPr>
            </w:pPr>
          </w:p>
        </w:tc>
        <w:tc>
          <w:tcPr>
            <w:tcW w:w="1584" w:type="pct"/>
            <w:gridSpan w:val="2"/>
            <w:tcBorders>
              <w:tl2br w:val="nil"/>
              <w:tr2bl w:val="nil"/>
            </w:tcBorders>
            <w:shd w:val="clear" w:color="auto" w:fill="auto"/>
            <w:vAlign w:val="center"/>
          </w:tcPr>
          <w:p w14:paraId="12BAA1FF">
            <w:pPr>
              <w:widowControl/>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类似</w:t>
            </w:r>
            <w:r>
              <w:rPr>
                <w:rFonts w:hint="eastAsia" w:ascii="宋体" w:hAnsi="宋体" w:cs="宋体"/>
                <w:color w:val="auto"/>
                <w:szCs w:val="21"/>
                <w:highlight w:val="none"/>
              </w:rPr>
              <w:t>业绩</w:t>
            </w:r>
          </w:p>
        </w:tc>
        <w:tc>
          <w:tcPr>
            <w:tcW w:w="353" w:type="pct"/>
            <w:tcBorders>
              <w:tl2br w:val="nil"/>
              <w:tr2bl w:val="nil"/>
            </w:tcBorders>
            <w:shd w:val="clear" w:color="auto" w:fill="auto"/>
            <w:vAlign w:val="center"/>
          </w:tcPr>
          <w:p w14:paraId="3BF75145">
            <w:pPr>
              <w:widowControl/>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15</w:t>
            </w:r>
          </w:p>
        </w:tc>
        <w:tc>
          <w:tcPr>
            <w:tcW w:w="2603" w:type="pct"/>
            <w:tcBorders>
              <w:tl2br w:val="nil"/>
              <w:tr2bl w:val="nil"/>
            </w:tcBorders>
            <w:shd w:val="clear" w:color="auto" w:fill="auto"/>
            <w:vAlign w:val="center"/>
          </w:tcPr>
          <w:p w14:paraId="04A421E2">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rPr>
              <w:t>投标人在投标截止之日前</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个月内，每具有1个单项合同金额不少于</w:t>
            </w:r>
            <w:r>
              <w:rPr>
                <w:rFonts w:hint="eastAsia" w:ascii="宋体" w:hAnsi="宋体" w:cs="宋体"/>
                <w:color w:val="auto"/>
                <w:szCs w:val="21"/>
                <w:highlight w:val="none"/>
                <w:lang w:val="en-US" w:eastAsia="zh-CN"/>
              </w:rPr>
              <w:t>19</w:t>
            </w:r>
            <w:r>
              <w:rPr>
                <w:rFonts w:hint="eastAsia" w:ascii="宋体" w:hAnsi="宋体" w:cs="宋体"/>
                <w:color w:val="auto"/>
                <w:szCs w:val="21"/>
                <w:highlight w:val="none"/>
              </w:rPr>
              <w:t>0万元的</w:t>
            </w:r>
            <w:r>
              <w:rPr>
                <w:rFonts w:hint="eastAsia" w:ascii="宋体" w:hAnsi="宋体" w:cs="宋体"/>
                <w:color w:val="000000"/>
                <w:szCs w:val="21"/>
                <w:highlight w:val="none"/>
                <w:lang w:val="en-US" w:eastAsia="zh-CN"/>
              </w:rPr>
              <w:t>网络安全服务类项目</w:t>
            </w:r>
            <w:r>
              <w:rPr>
                <w:rFonts w:hint="eastAsia" w:ascii="宋体" w:hAnsi="宋体" w:cs="宋体"/>
                <w:color w:val="auto"/>
                <w:szCs w:val="21"/>
                <w:highlight w:val="none"/>
              </w:rPr>
              <w:t>业绩，计</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分；本项最高计</w:t>
            </w:r>
            <w:r>
              <w:rPr>
                <w:rFonts w:hint="eastAsia" w:ascii="宋体" w:hAnsi="宋体" w:cs="宋体"/>
                <w:color w:val="auto"/>
                <w:szCs w:val="21"/>
                <w:highlight w:val="none"/>
                <w:lang w:eastAsia="zh-CN"/>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5E52BF26">
            <w:pPr>
              <w:widowControl/>
              <w:spacing w:line="240" w:lineRule="auto"/>
              <w:rPr>
                <w:rFonts w:hint="eastAsia" w:ascii="宋体" w:hAnsi="宋体" w:eastAsia="宋体" w:cs="宋体"/>
                <w:color w:val="auto"/>
                <w:kern w:val="0"/>
                <w:sz w:val="21"/>
                <w:szCs w:val="24"/>
                <w:highlight w:val="none"/>
                <w:lang w:val="en-US" w:eastAsia="zh-CN" w:bidi="ar-SA"/>
              </w:rPr>
            </w:pPr>
            <w:r>
              <w:rPr>
                <w:rFonts w:hint="eastAsia"/>
                <w:b/>
                <w:bCs/>
                <w:color w:val="auto"/>
                <w:highlight w:val="none"/>
              </w:rPr>
              <w:t>注：</w:t>
            </w:r>
            <w:r>
              <w:rPr>
                <w:rFonts w:hint="eastAsia"/>
                <w:color w:val="auto"/>
                <w:highlight w:val="none"/>
                <w:lang w:val="en-US" w:eastAsia="zh-CN"/>
              </w:rPr>
              <w:t>类似</w:t>
            </w:r>
            <w:r>
              <w:rPr>
                <w:rFonts w:hint="eastAsia"/>
                <w:color w:val="auto"/>
                <w:highlight w:val="none"/>
              </w:rPr>
              <w:t>业绩</w:t>
            </w:r>
            <w:r>
              <w:rPr>
                <w:rFonts w:hint="eastAsia"/>
                <w:color w:val="auto"/>
                <w:highlight w:val="none"/>
                <w:lang w:val="en-US" w:eastAsia="zh-CN"/>
              </w:rPr>
              <w:t>时间</w:t>
            </w:r>
            <w:r>
              <w:rPr>
                <w:rFonts w:hint="eastAsia"/>
                <w:color w:val="auto"/>
                <w:highlight w:val="none"/>
              </w:rPr>
              <w:t>以合同中较晚一方签字时间为准，且须提供合同</w:t>
            </w:r>
            <w:r>
              <w:rPr>
                <w:rFonts w:hint="eastAsia"/>
                <w:color w:val="auto"/>
                <w:highlight w:val="none"/>
                <w:lang w:eastAsia="zh-CN"/>
              </w:rPr>
              <w:t>复印</w:t>
            </w:r>
            <w:r>
              <w:rPr>
                <w:rFonts w:hint="eastAsia"/>
                <w:color w:val="auto"/>
                <w:highlight w:val="none"/>
              </w:rPr>
              <w:t>件；业绩金额以合同中的相应金额为准，合同中相应金额无法体现或计算、汇总出金额的，须另外提供由业主单位出具的</w:t>
            </w:r>
            <w:r>
              <w:rPr>
                <w:rFonts w:hint="eastAsia"/>
                <w:color w:val="auto"/>
                <w:highlight w:val="none"/>
                <w:lang w:val="en-US" w:eastAsia="zh-CN"/>
              </w:rPr>
              <w:t>证明材料</w:t>
            </w:r>
            <w:r>
              <w:rPr>
                <w:rFonts w:hint="eastAsia"/>
                <w:color w:val="auto"/>
                <w:highlight w:val="none"/>
              </w:rPr>
              <w:t>；</w:t>
            </w:r>
            <w:r>
              <w:rPr>
                <w:rFonts w:hint="eastAsia"/>
                <w:color w:val="auto"/>
                <w:highlight w:val="none"/>
                <w:lang w:val="en-US" w:eastAsia="zh-CN"/>
              </w:rPr>
              <w:t>以上业绩不接受联合体业绩，</w:t>
            </w:r>
            <w:r>
              <w:rPr>
                <w:rFonts w:hint="eastAsia"/>
                <w:color w:val="auto"/>
                <w:highlight w:val="none"/>
              </w:rPr>
              <w:t>不接受港澳台或境外业绩。</w:t>
            </w:r>
          </w:p>
        </w:tc>
      </w:tr>
      <w:tr w14:paraId="3200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457" w:type="pct"/>
            <w:vMerge w:val="continue"/>
            <w:tcBorders>
              <w:tl2br w:val="nil"/>
              <w:tr2bl w:val="nil"/>
            </w:tcBorders>
            <w:vAlign w:val="center"/>
          </w:tcPr>
          <w:p w14:paraId="486E8A8D">
            <w:pPr>
              <w:jc w:val="center"/>
              <w:rPr>
                <w:rFonts w:hint="eastAsia" w:ascii="宋体" w:hAnsi="宋体" w:cs="宋体"/>
                <w:b/>
                <w:color w:val="auto"/>
                <w:szCs w:val="21"/>
                <w:highlight w:val="none"/>
              </w:rPr>
            </w:pPr>
          </w:p>
        </w:tc>
        <w:tc>
          <w:tcPr>
            <w:tcW w:w="1584" w:type="pct"/>
            <w:gridSpan w:val="2"/>
            <w:tcBorders>
              <w:tl2br w:val="nil"/>
              <w:tr2bl w:val="nil"/>
            </w:tcBorders>
            <w:vAlign w:val="center"/>
          </w:tcPr>
          <w:p w14:paraId="3D93660B">
            <w:pPr>
              <w:widowControl/>
              <w:spacing w:line="24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企业资质认证</w:t>
            </w:r>
          </w:p>
        </w:tc>
        <w:tc>
          <w:tcPr>
            <w:tcW w:w="353" w:type="pct"/>
            <w:tcBorders>
              <w:tl2br w:val="nil"/>
              <w:tr2bl w:val="nil"/>
            </w:tcBorders>
            <w:vAlign w:val="center"/>
          </w:tcPr>
          <w:p w14:paraId="0C6A791B">
            <w:pPr>
              <w:widowControl/>
              <w:spacing w:line="24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2603" w:type="pct"/>
            <w:tcBorders>
              <w:tl2br w:val="nil"/>
              <w:tr2bl w:val="nil"/>
            </w:tcBorders>
            <w:vAlign w:val="center"/>
          </w:tcPr>
          <w:p w14:paraId="532904EF">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rPr>
              <w:t>投标人具有中国网络安全审查认证和市场监管大数据中心颁发的信息安全服务资质认证证书，且证书服务资质的类型</w:t>
            </w:r>
            <w:r>
              <w:rPr>
                <w:rFonts w:hint="eastAsia" w:ascii="宋体" w:hAnsi="宋体" w:cs="宋体"/>
                <w:color w:val="auto"/>
                <w:szCs w:val="21"/>
                <w:highlight w:val="none"/>
                <w:lang w:val="en-US" w:eastAsia="zh-CN"/>
              </w:rPr>
              <w:t>满足以下服务要求的</w:t>
            </w:r>
            <w:r>
              <w:rPr>
                <w:rFonts w:hint="eastAsia" w:ascii="宋体" w:hAnsi="宋体" w:cs="宋体"/>
                <w:color w:val="auto"/>
                <w:szCs w:val="21"/>
                <w:highlight w:val="none"/>
              </w:rPr>
              <w:t>，每</w:t>
            </w:r>
            <w:r>
              <w:rPr>
                <w:rFonts w:hint="eastAsia" w:ascii="宋体" w:hAnsi="宋体" w:cs="宋体"/>
                <w:color w:val="auto"/>
                <w:szCs w:val="21"/>
                <w:highlight w:val="none"/>
                <w:lang w:val="en-US" w:eastAsia="zh-CN"/>
              </w:rPr>
              <w:t>项</w:t>
            </w:r>
            <w:r>
              <w:rPr>
                <w:rFonts w:hint="eastAsia" w:ascii="宋体" w:hAnsi="宋体" w:cs="宋体"/>
                <w:color w:val="auto"/>
                <w:szCs w:val="21"/>
                <w:highlight w:val="none"/>
              </w:rPr>
              <w:t>计</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33D3D07C">
            <w:pPr>
              <w:widowControl/>
              <w:spacing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1.证书服务资质的类型为二级</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以上的“信息安全应急处理”</w:t>
            </w:r>
            <w:r>
              <w:rPr>
                <w:rFonts w:hint="eastAsia" w:ascii="宋体" w:hAnsi="宋体" w:cs="宋体"/>
                <w:color w:val="auto"/>
                <w:szCs w:val="21"/>
                <w:highlight w:val="none"/>
                <w:lang w:eastAsia="zh-CN"/>
              </w:rPr>
              <w:t>；</w:t>
            </w:r>
          </w:p>
          <w:p w14:paraId="5BD60B71">
            <w:pPr>
              <w:widowControl/>
              <w:spacing w:line="24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2.证书服务资质的类型为二级</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以上的“信息系统安全运维”</w:t>
            </w:r>
            <w:r>
              <w:rPr>
                <w:rFonts w:hint="eastAsia" w:ascii="宋体" w:hAnsi="宋体" w:cs="宋体"/>
                <w:color w:val="auto"/>
                <w:szCs w:val="21"/>
                <w:highlight w:val="none"/>
                <w:lang w:eastAsia="zh-CN"/>
              </w:rPr>
              <w:t>；</w:t>
            </w:r>
          </w:p>
          <w:p w14:paraId="6A14009A">
            <w:pPr>
              <w:widowControl/>
              <w:spacing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3.证书服务资质的类型为二级</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以上的“信息安全风险评估”</w:t>
            </w:r>
            <w:r>
              <w:rPr>
                <w:rFonts w:hint="eastAsia" w:ascii="宋体" w:hAnsi="宋体" w:cs="宋体"/>
                <w:color w:val="auto"/>
                <w:szCs w:val="21"/>
                <w:highlight w:val="none"/>
                <w:lang w:eastAsia="zh-CN"/>
              </w:rPr>
              <w:t>。</w:t>
            </w:r>
          </w:p>
          <w:p w14:paraId="07A97663">
            <w:pPr>
              <w:widowControl/>
              <w:spacing w:line="240" w:lineRule="auto"/>
              <w:rPr>
                <w:rFonts w:hint="eastAsia" w:ascii="宋体" w:hAnsi="宋体" w:cs="宋体"/>
                <w:color w:val="auto"/>
                <w:szCs w:val="21"/>
                <w:highlight w:val="none"/>
              </w:rPr>
            </w:pPr>
            <w:r>
              <w:rPr>
                <w:rFonts w:hint="eastAsia" w:ascii="宋体" w:hAnsi="宋体" w:cs="宋体"/>
                <w:b/>
                <w:bCs/>
                <w:color w:val="auto"/>
                <w:szCs w:val="21"/>
                <w:highlight w:val="none"/>
              </w:rPr>
              <w:t>注：</w:t>
            </w:r>
            <w:r>
              <w:rPr>
                <w:rFonts w:hint="eastAsia" w:ascii="宋体" w:hAnsi="宋体" w:cs="宋体"/>
                <w:color w:val="auto"/>
                <w:szCs w:val="21"/>
                <w:highlight w:val="none"/>
              </w:rPr>
              <w:t>以上</w:t>
            </w:r>
            <w:r>
              <w:rPr>
                <w:rFonts w:hint="eastAsia" w:ascii="宋体" w:hAnsi="宋体" w:cs="宋体"/>
                <w:color w:val="auto"/>
                <w:szCs w:val="21"/>
                <w:highlight w:val="none"/>
                <w:lang w:val="en-US" w:eastAsia="zh-CN"/>
              </w:rPr>
              <w:t>证明材料</w:t>
            </w:r>
            <w:r>
              <w:rPr>
                <w:rFonts w:hint="eastAsia" w:ascii="宋体" w:hAnsi="宋体" w:cs="宋体"/>
                <w:color w:val="auto"/>
                <w:szCs w:val="21"/>
                <w:highlight w:val="none"/>
              </w:rPr>
              <w:t>须提供证书</w:t>
            </w:r>
            <w:r>
              <w:rPr>
                <w:rFonts w:hint="eastAsia" w:ascii="宋体" w:hAnsi="宋体" w:cs="宋体"/>
                <w:color w:val="auto"/>
                <w:szCs w:val="21"/>
                <w:highlight w:val="none"/>
                <w:lang w:val="en-US" w:eastAsia="zh-CN"/>
              </w:rPr>
              <w:t>复印</w:t>
            </w:r>
            <w:r>
              <w:rPr>
                <w:rFonts w:hint="eastAsia" w:ascii="宋体" w:hAnsi="宋体" w:cs="宋体"/>
                <w:color w:val="auto"/>
                <w:szCs w:val="21"/>
                <w:highlight w:val="none"/>
              </w:rPr>
              <w:t>件，且须处于有效期内。</w:t>
            </w:r>
          </w:p>
        </w:tc>
      </w:tr>
      <w:tr w14:paraId="2829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457" w:type="pct"/>
            <w:vMerge w:val="continue"/>
            <w:tcBorders>
              <w:tl2br w:val="nil"/>
              <w:tr2bl w:val="nil"/>
            </w:tcBorders>
            <w:vAlign w:val="center"/>
          </w:tcPr>
          <w:p w14:paraId="2234B5C5">
            <w:pPr>
              <w:jc w:val="center"/>
              <w:rPr>
                <w:rFonts w:hint="eastAsia" w:ascii="宋体" w:hAnsi="宋体" w:cs="宋体"/>
                <w:b/>
                <w:color w:val="auto"/>
                <w:szCs w:val="21"/>
                <w:highlight w:val="none"/>
              </w:rPr>
            </w:pPr>
          </w:p>
        </w:tc>
        <w:tc>
          <w:tcPr>
            <w:tcW w:w="1584" w:type="pct"/>
            <w:gridSpan w:val="2"/>
            <w:tcBorders>
              <w:tl2br w:val="nil"/>
              <w:tr2bl w:val="nil"/>
            </w:tcBorders>
            <w:vAlign w:val="center"/>
          </w:tcPr>
          <w:p w14:paraId="403F598C">
            <w:pPr>
              <w:widowControl/>
              <w:spacing w:line="24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服务能力</w:t>
            </w:r>
          </w:p>
        </w:tc>
        <w:tc>
          <w:tcPr>
            <w:tcW w:w="353" w:type="pct"/>
            <w:tcBorders>
              <w:tl2br w:val="nil"/>
              <w:tr2bl w:val="nil"/>
            </w:tcBorders>
            <w:vAlign w:val="center"/>
          </w:tcPr>
          <w:p w14:paraId="7A16ACBA">
            <w:pPr>
              <w:widowControl/>
              <w:spacing w:line="24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2603" w:type="pct"/>
            <w:tcBorders>
              <w:tl2br w:val="nil"/>
              <w:tr2bl w:val="nil"/>
            </w:tcBorders>
            <w:vAlign w:val="center"/>
          </w:tcPr>
          <w:p w14:paraId="68C40D4F">
            <w:pPr>
              <w:widowControl/>
              <w:spacing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rPr>
              <w:t>具</w:t>
            </w:r>
            <w:r>
              <w:rPr>
                <w:rFonts w:hint="eastAsia" w:ascii="宋体" w:hAnsi="宋体" w:cs="宋体"/>
                <w:color w:val="auto"/>
                <w:szCs w:val="21"/>
                <w:highlight w:val="none"/>
                <w:lang w:val="en-US" w:eastAsia="zh-CN"/>
              </w:rPr>
              <w:t>有中国国家认证认可监督管理委员会（CNCA）批准的第三方认证机构颁发的</w:t>
            </w:r>
            <w:r>
              <w:rPr>
                <w:rFonts w:hint="eastAsia" w:ascii="宋体" w:hAnsi="宋体" w:cs="宋体"/>
                <w:color w:val="auto"/>
                <w:szCs w:val="21"/>
                <w:highlight w:val="none"/>
              </w:rPr>
              <w:t>商品售后服务管理体系认证（GB/T 27922-2011）证书</w:t>
            </w:r>
            <w:r>
              <w:rPr>
                <w:rFonts w:hint="eastAsia" w:ascii="宋体" w:hAnsi="宋体" w:cs="宋体"/>
                <w:color w:val="auto"/>
                <w:szCs w:val="21"/>
                <w:highlight w:val="none"/>
                <w:lang w:eastAsia="zh-CN"/>
              </w:rPr>
              <w:t>：</w:t>
            </w:r>
          </w:p>
          <w:p w14:paraId="1499D493">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具备五星认证证书，计4分；</w:t>
            </w:r>
          </w:p>
          <w:p w14:paraId="0A68CE1C">
            <w:pPr>
              <w:widowControl/>
              <w:spacing w:line="24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具备四星认证证书，计2分；</w:t>
            </w:r>
          </w:p>
          <w:p w14:paraId="3174922A">
            <w:pPr>
              <w:widowControl/>
              <w:spacing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具备三星认证证书，计1分</w:t>
            </w:r>
            <w:r>
              <w:rPr>
                <w:rFonts w:hint="eastAsia" w:ascii="宋体" w:hAnsi="宋体" w:cs="宋体"/>
                <w:color w:val="auto"/>
                <w:szCs w:val="21"/>
                <w:highlight w:val="none"/>
                <w:lang w:eastAsia="zh-CN"/>
              </w:rPr>
              <w:t>。</w:t>
            </w:r>
          </w:p>
          <w:p w14:paraId="6D82F751">
            <w:pPr>
              <w:widowControl/>
              <w:spacing w:line="240" w:lineRule="auto"/>
              <w:rPr>
                <w:rFonts w:hint="eastAsia" w:ascii="宋体" w:hAnsi="宋体" w:cs="宋体"/>
                <w:color w:val="auto"/>
                <w:kern w:val="0"/>
                <w:szCs w:val="21"/>
                <w:highlight w:val="none"/>
              </w:rPr>
            </w:pPr>
            <w:r>
              <w:rPr>
                <w:rFonts w:hint="eastAsia" w:ascii="宋体" w:hAnsi="宋体" w:cs="宋体"/>
                <w:b/>
                <w:bCs/>
                <w:color w:val="auto"/>
                <w:szCs w:val="21"/>
                <w:highlight w:val="none"/>
              </w:rPr>
              <w:t>注：</w:t>
            </w:r>
            <w:r>
              <w:rPr>
                <w:rFonts w:hint="eastAsia" w:ascii="Calibri" w:hAnsi="Calibri" w:cs="Calibri"/>
                <w:color w:val="auto"/>
                <w:szCs w:val="21"/>
                <w:highlight w:val="none"/>
              </w:rPr>
              <w:t>须提供以上证书复印件，且</w:t>
            </w:r>
            <w:r>
              <w:rPr>
                <w:rFonts w:hint="eastAsia" w:ascii="Calibri" w:hAnsi="Calibri" w:cs="Calibri"/>
                <w:color w:val="auto"/>
                <w:szCs w:val="21"/>
                <w:highlight w:val="none"/>
                <w:lang w:val="en-US" w:eastAsia="zh-CN"/>
              </w:rPr>
              <w:t>证书</w:t>
            </w:r>
            <w:r>
              <w:rPr>
                <w:rFonts w:hint="eastAsia" w:ascii="Calibri" w:hAnsi="Calibri" w:cs="Calibri"/>
                <w:color w:val="auto"/>
                <w:szCs w:val="21"/>
                <w:highlight w:val="none"/>
              </w:rPr>
              <w:t>须处于有效期内。</w:t>
            </w:r>
          </w:p>
        </w:tc>
      </w:tr>
      <w:tr w14:paraId="1082B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57" w:type="pct"/>
            <w:vMerge w:val="continue"/>
            <w:tcBorders>
              <w:tl2br w:val="nil"/>
              <w:tr2bl w:val="nil"/>
            </w:tcBorders>
            <w:vAlign w:val="center"/>
          </w:tcPr>
          <w:p w14:paraId="0E7DF0CA">
            <w:pPr>
              <w:jc w:val="center"/>
              <w:rPr>
                <w:rFonts w:hint="eastAsia" w:ascii="宋体" w:hAnsi="宋体" w:cs="宋体"/>
                <w:b/>
                <w:color w:val="auto"/>
                <w:szCs w:val="21"/>
                <w:highlight w:val="none"/>
              </w:rPr>
            </w:pPr>
          </w:p>
        </w:tc>
        <w:tc>
          <w:tcPr>
            <w:tcW w:w="1584" w:type="pct"/>
            <w:gridSpan w:val="2"/>
            <w:tcBorders>
              <w:tl2br w:val="nil"/>
              <w:tr2bl w:val="nil"/>
            </w:tcBorders>
            <w:vAlign w:val="center"/>
          </w:tcPr>
          <w:p w14:paraId="44B05793">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353" w:type="pct"/>
            <w:tcBorders>
              <w:tl2br w:val="nil"/>
              <w:tr2bl w:val="nil"/>
            </w:tcBorders>
            <w:vAlign w:val="center"/>
          </w:tcPr>
          <w:p w14:paraId="54B9FE4E">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2603" w:type="pct"/>
            <w:tcBorders>
              <w:tl2br w:val="nil"/>
              <w:tr2bl w:val="nil"/>
            </w:tcBorders>
            <w:vAlign w:val="center"/>
          </w:tcPr>
          <w:p w14:paraId="503E315A">
            <w:pPr>
              <w:spacing w:line="240" w:lineRule="auto"/>
              <w:jc w:val="center"/>
              <w:rPr>
                <w:rFonts w:hint="eastAsia" w:ascii="宋体" w:hAnsi="宋体" w:cs="宋体"/>
                <w:color w:val="auto"/>
                <w:szCs w:val="21"/>
                <w:highlight w:val="none"/>
              </w:rPr>
            </w:pPr>
          </w:p>
        </w:tc>
      </w:tr>
      <w:tr w14:paraId="19AD9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57" w:type="pct"/>
            <w:vMerge w:val="continue"/>
            <w:tcBorders>
              <w:tl2br w:val="nil"/>
              <w:tr2bl w:val="nil"/>
            </w:tcBorders>
            <w:vAlign w:val="center"/>
          </w:tcPr>
          <w:p w14:paraId="3EC05D90">
            <w:pPr>
              <w:jc w:val="center"/>
              <w:rPr>
                <w:rFonts w:hint="eastAsia" w:ascii="宋体" w:hAnsi="宋体" w:cs="宋体"/>
                <w:b/>
                <w:color w:val="auto"/>
                <w:szCs w:val="21"/>
                <w:highlight w:val="none"/>
              </w:rPr>
            </w:pPr>
          </w:p>
        </w:tc>
        <w:tc>
          <w:tcPr>
            <w:tcW w:w="4542" w:type="pct"/>
            <w:gridSpan w:val="4"/>
            <w:tcBorders>
              <w:tl2br w:val="nil"/>
              <w:tr2bl w:val="nil"/>
            </w:tcBorders>
            <w:vAlign w:val="center"/>
          </w:tcPr>
          <w:p w14:paraId="4B7B6AAF">
            <w:pPr>
              <w:jc w:val="left"/>
              <w:rPr>
                <w:rFonts w:hint="eastAsia" w:ascii="宋体" w:hAnsi="宋体" w:cs="宋体"/>
                <w:b/>
                <w:color w:val="auto"/>
                <w:szCs w:val="21"/>
                <w:highlight w:val="none"/>
              </w:rPr>
            </w:pPr>
            <w:r>
              <w:rPr>
                <w:rFonts w:hint="eastAsia" w:ascii="宋体" w:hAnsi="宋体" w:cs="宋体"/>
                <w:b/>
                <w:color w:val="auto"/>
                <w:szCs w:val="21"/>
                <w:highlight w:val="none"/>
              </w:rPr>
              <w:t>评审说明：</w:t>
            </w:r>
            <w:r>
              <w:rPr>
                <w:rFonts w:ascii="宋体" w:hAnsi="宋体" w:cs="宋体"/>
                <w:color w:val="auto"/>
                <w:szCs w:val="21"/>
                <w:highlight w:val="none"/>
              </w:rPr>
              <w:t>该项评标内容计分，由评标委员会按以上规定集体评议确</w:t>
            </w:r>
            <w:r>
              <w:rPr>
                <w:rFonts w:hint="eastAsia" w:ascii="宋体" w:hAnsi="宋体" w:cs="宋体"/>
                <w:color w:val="auto"/>
                <w:szCs w:val="21"/>
                <w:highlight w:val="none"/>
              </w:rPr>
              <w:t>定</w:t>
            </w:r>
            <w:r>
              <w:rPr>
                <w:rFonts w:hint="eastAsia" w:ascii="宋体" w:hAnsi="宋体" w:cs="宋体"/>
                <w:snapToGrid w:val="0"/>
                <w:color w:val="auto"/>
                <w:kern w:val="0"/>
                <w:szCs w:val="21"/>
                <w:highlight w:val="none"/>
              </w:rPr>
              <w:t>。</w:t>
            </w:r>
          </w:p>
        </w:tc>
      </w:tr>
      <w:tr w14:paraId="6586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57" w:type="pct"/>
            <w:vMerge w:val="restart"/>
            <w:tcBorders>
              <w:tl2br w:val="nil"/>
              <w:tr2bl w:val="nil"/>
            </w:tcBorders>
            <w:vAlign w:val="center"/>
          </w:tcPr>
          <w:p w14:paraId="7154E102">
            <w:pPr>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61DF8D01">
            <w:pPr>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2</w:t>
            </w:r>
            <w:r>
              <w:rPr>
                <w:rFonts w:hint="eastAsia" w:ascii="宋体" w:hAnsi="宋体" w:cs="宋体"/>
                <w:color w:val="auto"/>
                <w:szCs w:val="21"/>
                <w:highlight w:val="none"/>
                <w:lang w:eastAsia="zh-CN"/>
              </w:rPr>
              <w:t>)</w:t>
            </w:r>
          </w:p>
        </w:tc>
        <w:tc>
          <w:tcPr>
            <w:tcW w:w="1584" w:type="pct"/>
            <w:gridSpan w:val="2"/>
            <w:tcBorders>
              <w:tl2br w:val="nil"/>
              <w:tr2bl w:val="nil"/>
            </w:tcBorders>
            <w:shd w:val="clear" w:color="auto" w:fill="auto"/>
            <w:vAlign w:val="center"/>
          </w:tcPr>
          <w:p w14:paraId="4E9236DF">
            <w:pPr>
              <w:jc w:val="center"/>
              <w:rPr>
                <w:rFonts w:hint="eastAsia" w:ascii="宋体" w:hAnsi="宋体" w:cs="宋体"/>
                <w:color w:val="auto"/>
                <w:szCs w:val="21"/>
                <w:highlight w:val="none"/>
                <w:u w:val="single"/>
              </w:rPr>
            </w:pPr>
            <w:r>
              <w:rPr>
                <w:rFonts w:hint="eastAsia" w:ascii="宋体" w:hAnsi="宋体" w:cs="宋体"/>
                <w:b/>
                <w:color w:val="auto"/>
                <w:szCs w:val="21"/>
                <w:highlight w:val="none"/>
              </w:rPr>
              <w:t>评审因素</w:t>
            </w:r>
          </w:p>
        </w:tc>
        <w:tc>
          <w:tcPr>
            <w:tcW w:w="353" w:type="pct"/>
            <w:tcBorders>
              <w:tl2br w:val="nil"/>
              <w:tr2bl w:val="nil"/>
            </w:tcBorders>
            <w:shd w:val="clear" w:color="auto" w:fill="auto"/>
            <w:vAlign w:val="center"/>
          </w:tcPr>
          <w:p w14:paraId="75D56A52">
            <w:pPr>
              <w:jc w:val="center"/>
              <w:rPr>
                <w:rFonts w:hint="eastAsia" w:ascii="宋体" w:hAnsi="宋体" w:cs="宋体"/>
                <w:color w:val="auto"/>
                <w:szCs w:val="21"/>
                <w:highlight w:val="none"/>
              </w:rPr>
            </w:pPr>
            <w:r>
              <w:rPr>
                <w:rFonts w:hint="eastAsia" w:ascii="宋体" w:hAnsi="宋体" w:cs="宋体"/>
                <w:b/>
                <w:color w:val="auto"/>
                <w:szCs w:val="21"/>
                <w:highlight w:val="none"/>
              </w:rPr>
              <w:t>分值</w:t>
            </w:r>
          </w:p>
        </w:tc>
        <w:tc>
          <w:tcPr>
            <w:tcW w:w="2603" w:type="pct"/>
            <w:tcBorders>
              <w:tl2br w:val="nil"/>
              <w:tr2bl w:val="nil"/>
            </w:tcBorders>
            <w:shd w:val="clear" w:color="auto" w:fill="auto"/>
            <w:vAlign w:val="center"/>
          </w:tcPr>
          <w:p w14:paraId="65635E96">
            <w:pPr>
              <w:jc w:val="center"/>
              <w:rPr>
                <w:rFonts w:hint="eastAsia" w:ascii="宋体" w:hAnsi="宋体" w:cs="宋体"/>
                <w:color w:val="auto"/>
                <w:szCs w:val="21"/>
                <w:highlight w:val="none"/>
              </w:rPr>
            </w:pPr>
            <w:r>
              <w:rPr>
                <w:rFonts w:hint="eastAsia" w:ascii="宋体" w:hAnsi="宋体" w:cs="宋体"/>
                <w:b/>
                <w:color w:val="auto"/>
                <w:szCs w:val="21"/>
                <w:highlight w:val="none"/>
              </w:rPr>
              <w:t>评审标准</w:t>
            </w:r>
          </w:p>
        </w:tc>
      </w:tr>
      <w:tr w14:paraId="3515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57" w:type="pct"/>
            <w:vMerge w:val="continue"/>
            <w:tcBorders>
              <w:tl2br w:val="nil"/>
              <w:tr2bl w:val="nil"/>
            </w:tcBorders>
            <w:vAlign w:val="center"/>
          </w:tcPr>
          <w:p w14:paraId="3D815B80">
            <w:pPr>
              <w:jc w:val="center"/>
              <w:rPr>
                <w:rFonts w:hint="eastAsia" w:ascii="宋体" w:hAnsi="宋体" w:cs="宋体"/>
                <w:b/>
                <w:color w:val="auto"/>
                <w:szCs w:val="21"/>
                <w:highlight w:val="none"/>
              </w:rPr>
            </w:pPr>
          </w:p>
        </w:tc>
        <w:tc>
          <w:tcPr>
            <w:tcW w:w="4542" w:type="pct"/>
            <w:gridSpan w:val="4"/>
            <w:tcBorders>
              <w:tl2br w:val="nil"/>
              <w:tr2bl w:val="nil"/>
            </w:tcBorders>
            <w:shd w:val="clear" w:color="auto" w:fill="auto"/>
            <w:vAlign w:val="center"/>
          </w:tcPr>
          <w:p w14:paraId="5FF007FF">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技术部分详细评分标准</w:t>
            </w:r>
          </w:p>
        </w:tc>
      </w:tr>
      <w:tr w14:paraId="4B3E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jc w:val="center"/>
        </w:trPr>
        <w:tc>
          <w:tcPr>
            <w:tcW w:w="457" w:type="pct"/>
            <w:vMerge w:val="continue"/>
            <w:tcBorders>
              <w:tl2br w:val="nil"/>
              <w:tr2bl w:val="nil"/>
            </w:tcBorders>
            <w:vAlign w:val="center"/>
          </w:tcPr>
          <w:p w14:paraId="43B6F8AE">
            <w:pPr>
              <w:jc w:val="center"/>
              <w:rPr>
                <w:rFonts w:hint="eastAsia" w:ascii="宋体" w:hAnsi="宋体" w:cs="宋体"/>
                <w:b/>
                <w:color w:val="auto"/>
                <w:szCs w:val="21"/>
                <w:highlight w:val="none"/>
              </w:rPr>
            </w:pPr>
          </w:p>
        </w:tc>
        <w:tc>
          <w:tcPr>
            <w:tcW w:w="1584" w:type="pct"/>
            <w:gridSpan w:val="2"/>
            <w:tcBorders>
              <w:tl2br w:val="nil"/>
              <w:tr2bl w:val="nil"/>
            </w:tcBorders>
            <w:shd w:val="clear" w:color="auto" w:fill="auto"/>
            <w:vAlign w:val="center"/>
          </w:tcPr>
          <w:p w14:paraId="3C759184">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cs="宋体"/>
                <w:strike w:val="0"/>
                <w:dstrike w:val="0"/>
                <w:color w:val="000000"/>
                <w:szCs w:val="21"/>
                <w:highlight w:val="none"/>
                <w:lang w:val="en-US" w:eastAsia="zh-CN"/>
              </w:rPr>
              <w:t>项目实施方案</w:t>
            </w:r>
          </w:p>
        </w:tc>
        <w:tc>
          <w:tcPr>
            <w:tcW w:w="353" w:type="pct"/>
            <w:tcBorders>
              <w:tl2br w:val="nil"/>
              <w:tr2bl w:val="nil"/>
            </w:tcBorders>
            <w:shd w:val="clear" w:color="auto" w:fill="auto"/>
            <w:vAlign w:val="center"/>
          </w:tcPr>
          <w:p w14:paraId="25597E13">
            <w:pPr>
              <w:keepNext w:val="0"/>
              <w:keepLines w:val="0"/>
              <w:widowControl/>
              <w:suppressLineNumbers w:val="0"/>
              <w:jc w:val="center"/>
              <w:textAlignment w:val="auto"/>
              <w:rPr>
                <w:rFonts w:hint="default" w:ascii="宋体" w:hAnsi="宋体" w:eastAsia="宋体" w:cs="宋体"/>
                <w:color w:val="auto"/>
                <w:szCs w:val="21"/>
                <w:highlight w:val="none"/>
                <w:lang w:val="en-US" w:eastAsia="zh-CN"/>
              </w:rPr>
            </w:pPr>
            <w:r>
              <w:rPr>
                <w:rFonts w:hint="eastAsia" w:ascii="宋体" w:hAnsi="宋体" w:cs="宋体"/>
                <w:i w:val="0"/>
                <w:iCs w:val="0"/>
                <w:color w:val="auto"/>
                <w:kern w:val="2"/>
                <w:sz w:val="21"/>
                <w:szCs w:val="21"/>
                <w:highlight w:val="none"/>
                <w:u w:val="none"/>
                <w:lang w:val="en-US" w:eastAsia="zh-CN" w:bidi="ar"/>
              </w:rPr>
              <w:t>14</w:t>
            </w:r>
          </w:p>
        </w:tc>
        <w:tc>
          <w:tcPr>
            <w:tcW w:w="2603" w:type="pct"/>
            <w:tcBorders>
              <w:tl2br w:val="nil"/>
              <w:tr2bl w:val="nil"/>
            </w:tcBorders>
            <w:shd w:val="clear" w:color="auto" w:fill="auto"/>
            <w:vAlign w:val="center"/>
          </w:tcPr>
          <w:p w14:paraId="7464153E">
            <w:pPr>
              <w:keepNext w:val="0"/>
              <w:keepLines w:val="0"/>
              <w:pageBreakBefore w:val="0"/>
              <w:kinsoku/>
              <w:wordWrap/>
              <w:overflowPunct/>
              <w:topLinePunct w:val="0"/>
              <w:autoSpaceDE/>
              <w:autoSpaceDN/>
              <w:bidi w:val="0"/>
              <w:adjustRightInd w:val="0"/>
              <w:snapToGrid w:val="0"/>
              <w:spacing w:line="300" w:lineRule="exact"/>
              <w:jc w:val="left"/>
              <w:textAlignment w:val="auto"/>
              <w:rPr>
                <w:rFonts w:hint="eastAsia" w:ascii="宋体" w:hAnsi="宋体" w:cs="宋体"/>
                <w:strike w:val="0"/>
                <w:dstrike w:val="0"/>
                <w:color w:val="000000"/>
                <w:szCs w:val="21"/>
                <w:highlight w:val="none"/>
                <w:lang w:val="en-US" w:eastAsia="zh-CN"/>
              </w:rPr>
            </w:pPr>
            <w:r>
              <w:rPr>
                <w:rFonts w:hint="eastAsia" w:ascii="宋体" w:hAnsi="宋体" w:cs="宋体"/>
                <w:strike w:val="0"/>
                <w:dstrike w:val="0"/>
                <w:color w:val="000000"/>
                <w:szCs w:val="21"/>
                <w:highlight w:val="none"/>
                <w:lang w:val="en-US" w:eastAsia="zh-CN"/>
              </w:rPr>
              <w:t>投标人能够给出详细、可行的项目实施方案，包括但不限于项目规划与组织架构、安全防护技术措施、专项保障与应急响应、资源投入等内容。</w:t>
            </w:r>
          </w:p>
          <w:p w14:paraId="320D5A92">
            <w:pPr>
              <w:adjustRightInd w:val="0"/>
              <w:snapToGrid w:val="0"/>
              <w:spacing w:line="300" w:lineRule="exact"/>
              <w:ind w:left="0" w:leftChars="0" w:firstLineChars="0"/>
              <w:rPr>
                <w:rFonts w:hint="eastAsia" w:ascii="宋体" w:hAnsi="宋体" w:cs="宋体"/>
                <w:strike w:val="0"/>
                <w:dstrike w:val="0"/>
                <w:color w:val="000000"/>
                <w:szCs w:val="21"/>
                <w:highlight w:val="none"/>
                <w:lang w:val="en-US" w:eastAsia="zh-CN"/>
              </w:rPr>
            </w:pPr>
            <w:r>
              <w:rPr>
                <w:rFonts w:hint="eastAsia" w:ascii="宋体" w:hAnsi="宋体" w:eastAsia="宋体" w:cs="宋体"/>
                <w:strike w:val="0"/>
                <w:dstrike w:val="0"/>
                <w:color w:val="000000"/>
                <w:kern w:val="2"/>
                <w:sz w:val="21"/>
                <w:szCs w:val="21"/>
                <w:highlight w:val="none"/>
                <w:lang w:val="en-US" w:eastAsia="zh-CN" w:bidi="ar-SA"/>
              </w:rPr>
              <w:t>1.</w:t>
            </w:r>
            <w:r>
              <w:rPr>
                <w:rFonts w:hint="eastAsia" w:ascii="宋体" w:hAnsi="宋体" w:cs="宋体"/>
                <w:strike w:val="0"/>
                <w:dstrike w:val="0"/>
                <w:color w:val="000000"/>
                <w:szCs w:val="21"/>
                <w:highlight w:val="none"/>
                <w:lang w:val="en-US" w:eastAsia="zh-CN"/>
              </w:rPr>
              <w:t>全面、合理、可行的，计10-14分；</w:t>
            </w:r>
          </w:p>
          <w:p w14:paraId="3AEDA1AA">
            <w:pPr>
              <w:adjustRightInd w:val="0"/>
              <w:snapToGrid w:val="0"/>
              <w:spacing w:line="300" w:lineRule="exact"/>
              <w:ind w:leftChars="0"/>
              <w:rPr>
                <w:rFonts w:hint="eastAsia" w:ascii="宋体" w:hAnsi="宋体" w:cs="宋体"/>
                <w:strike w:val="0"/>
                <w:dstrike w:val="0"/>
                <w:color w:val="000000"/>
                <w:szCs w:val="21"/>
                <w:highlight w:val="none"/>
                <w:lang w:val="en-US" w:eastAsia="zh-CN"/>
              </w:rPr>
            </w:pPr>
            <w:r>
              <w:rPr>
                <w:rFonts w:hint="eastAsia" w:ascii="宋体" w:hAnsi="宋体" w:cs="宋体"/>
                <w:strike w:val="0"/>
                <w:dstrike w:val="0"/>
                <w:color w:val="000000"/>
                <w:szCs w:val="21"/>
                <w:highlight w:val="none"/>
                <w:lang w:val="en-US" w:eastAsia="zh-CN"/>
              </w:rPr>
              <w:t>2.较全面、较合理、较可行的，计5-9分；</w:t>
            </w:r>
          </w:p>
          <w:p w14:paraId="7D579324">
            <w:pPr>
              <w:adjustRightInd w:val="0"/>
              <w:snapToGrid w:val="0"/>
              <w:spacing w:line="300" w:lineRule="exact"/>
              <w:ind w:leftChars="0"/>
              <w:rPr>
                <w:rFonts w:hint="eastAsia" w:ascii="宋体" w:hAnsi="宋体" w:cs="宋体"/>
                <w:strike w:val="0"/>
                <w:dstrike w:val="0"/>
                <w:color w:val="000000"/>
                <w:szCs w:val="21"/>
                <w:highlight w:val="none"/>
                <w:lang w:val="en-US" w:eastAsia="zh-CN"/>
              </w:rPr>
            </w:pPr>
            <w:r>
              <w:rPr>
                <w:rFonts w:hint="eastAsia" w:ascii="宋体" w:hAnsi="宋体" w:cs="宋体"/>
                <w:strike w:val="0"/>
                <w:dstrike w:val="0"/>
                <w:color w:val="000000"/>
                <w:szCs w:val="21"/>
                <w:highlight w:val="none"/>
                <w:lang w:val="en-US" w:eastAsia="zh-CN"/>
              </w:rPr>
              <w:t>3.欠全面、欠合理、欠可行的，计1-4分；</w:t>
            </w:r>
          </w:p>
          <w:p w14:paraId="726E1A22">
            <w:pPr>
              <w:keepNext w:val="0"/>
              <w:keepLines w:val="0"/>
              <w:widowControl/>
              <w:suppressLineNumbers w:val="0"/>
              <w:jc w:val="left"/>
              <w:textAlignment w:val="auto"/>
              <w:rPr>
                <w:rFonts w:hint="eastAsia" w:ascii="宋体" w:hAnsi="宋体" w:cs="宋体"/>
                <w:color w:val="auto"/>
                <w:szCs w:val="21"/>
                <w:highlight w:val="none"/>
              </w:rPr>
            </w:pPr>
            <w:r>
              <w:rPr>
                <w:rFonts w:hint="eastAsia" w:ascii="宋体" w:hAnsi="宋体" w:cs="宋体"/>
                <w:strike w:val="0"/>
                <w:dstrike w:val="0"/>
                <w:color w:val="000000"/>
                <w:szCs w:val="21"/>
                <w:highlight w:val="none"/>
                <w:lang w:val="en-US" w:eastAsia="zh-CN"/>
              </w:rPr>
              <w:t>4.未提供的不计分。</w:t>
            </w:r>
          </w:p>
        </w:tc>
      </w:tr>
      <w:tr w14:paraId="21E5F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7" w:type="pct"/>
            <w:vMerge w:val="continue"/>
            <w:tcBorders>
              <w:tl2br w:val="nil"/>
              <w:tr2bl w:val="nil"/>
            </w:tcBorders>
            <w:vAlign w:val="center"/>
          </w:tcPr>
          <w:p w14:paraId="52DF5CB7">
            <w:pPr>
              <w:jc w:val="center"/>
              <w:rPr>
                <w:rFonts w:hint="eastAsia" w:ascii="宋体" w:hAnsi="宋体" w:cs="宋体"/>
                <w:b/>
                <w:color w:val="auto"/>
                <w:szCs w:val="21"/>
                <w:highlight w:val="none"/>
              </w:rPr>
            </w:pPr>
          </w:p>
        </w:tc>
        <w:tc>
          <w:tcPr>
            <w:tcW w:w="1584" w:type="pct"/>
            <w:gridSpan w:val="2"/>
            <w:tcBorders>
              <w:tl2br w:val="nil"/>
              <w:tr2bl w:val="nil"/>
            </w:tcBorders>
            <w:shd w:val="clear" w:color="auto" w:fill="auto"/>
            <w:vAlign w:val="center"/>
          </w:tcPr>
          <w:p w14:paraId="52DADD21">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cs="宋体"/>
                <w:strike w:val="0"/>
                <w:dstrike w:val="0"/>
                <w:color w:val="000000"/>
                <w:szCs w:val="21"/>
                <w:highlight w:val="none"/>
                <w:lang w:val="en-US" w:eastAsia="zh-CN"/>
              </w:rPr>
              <w:t>安全风险评估</w:t>
            </w:r>
            <w:r>
              <w:rPr>
                <w:rFonts w:hint="eastAsia" w:ascii="宋体" w:hAnsi="宋体" w:eastAsia="宋体" w:cs="宋体"/>
                <w:strike w:val="0"/>
                <w:dstrike w:val="0"/>
                <w:color w:val="000000"/>
                <w:szCs w:val="21"/>
                <w:highlight w:val="none"/>
                <w:lang w:val="en-US" w:eastAsia="zh-CN"/>
              </w:rPr>
              <w:t>方案</w:t>
            </w:r>
          </w:p>
        </w:tc>
        <w:tc>
          <w:tcPr>
            <w:tcW w:w="353" w:type="pct"/>
            <w:tcBorders>
              <w:tl2br w:val="nil"/>
              <w:tr2bl w:val="nil"/>
            </w:tcBorders>
            <w:shd w:val="clear" w:color="auto" w:fill="auto"/>
            <w:vAlign w:val="center"/>
          </w:tcPr>
          <w:p w14:paraId="150F1BAF">
            <w:pPr>
              <w:keepNext w:val="0"/>
              <w:keepLines w:val="0"/>
              <w:widowControl/>
              <w:suppressLineNumbers w:val="0"/>
              <w:jc w:val="center"/>
              <w:textAlignment w:val="auto"/>
              <w:rPr>
                <w:rFonts w:hint="default" w:ascii="宋体" w:hAnsi="宋体" w:cs="宋体"/>
                <w:color w:val="auto"/>
                <w:szCs w:val="21"/>
                <w:highlight w:val="none"/>
                <w:lang w:val="en-US"/>
              </w:rPr>
            </w:pPr>
            <w:r>
              <w:rPr>
                <w:rFonts w:hint="eastAsia" w:ascii="宋体" w:hAnsi="宋体" w:cs="宋体"/>
                <w:i w:val="0"/>
                <w:iCs w:val="0"/>
                <w:color w:val="auto"/>
                <w:kern w:val="2"/>
                <w:sz w:val="21"/>
                <w:szCs w:val="21"/>
                <w:highlight w:val="none"/>
                <w:u w:val="none"/>
                <w:lang w:val="en-US" w:eastAsia="zh-CN" w:bidi="ar"/>
              </w:rPr>
              <w:t>14</w:t>
            </w:r>
          </w:p>
        </w:tc>
        <w:tc>
          <w:tcPr>
            <w:tcW w:w="2603" w:type="pct"/>
            <w:tcBorders>
              <w:tl2br w:val="nil"/>
              <w:tr2bl w:val="nil"/>
            </w:tcBorders>
            <w:shd w:val="clear" w:color="auto" w:fill="auto"/>
            <w:vAlign w:val="center"/>
          </w:tcPr>
          <w:p w14:paraId="445CB7D3">
            <w:pPr>
              <w:keepNext w:val="0"/>
              <w:keepLines w:val="0"/>
              <w:pageBreakBefore w:val="0"/>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strike w:val="0"/>
                <w:dstrike w:val="0"/>
                <w:color w:val="000000"/>
                <w:szCs w:val="21"/>
                <w:highlight w:val="none"/>
                <w:lang w:val="en-US" w:eastAsia="zh-CN"/>
              </w:rPr>
            </w:pPr>
            <w:r>
              <w:rPr>
                <w:rFonts w:hint="eastAsia" w:ascii="宋体" w:hAnsi="宋体" w:eastAsia="宋体" w:cs="宋体"/>
                <w:strike w:val="0"/>
                <w:dstrike w:val="0"/>
                <w:color w:val="000000"/>
                <w:szCs w:val="21"/>
                <w:highlight w:val="none"/>
                <w:lang w:val="en-US" w:eastAsia="zh-CN"/>
              </w:rPr>
              <w:t>投标人能够给出详细、可行的</w:t>
            </w:r>
            <w:r>
              <w:rPr>
                <w:rFonts w:hint="eastAsia" w:ascii="宋体" w:hAnsi="宋体" w:cs="宋体"/>
                <w:strike w:val="0"/>
                <w:dstrike w:val="0"/>
                <w:color w:val="000000"/>
                <w:szCs w:val="21"/>
                <w:highlight w:val="none"/>
                <w:lang w:val="en-US" w:eastAsia="zh-CN"/>
              </w:rPr>
              <w:t>安全风险评估</w:t>
            </w:r>
            <w:r>
              <w:rPr>
                <w:rFonts w:hint="eastAsia" w:ascii="宋体" w:hAnsi="宋体" w:eastAsia="宋体" w:cs="宋体"/>
                <w:strike w:val="0"/>
                <w:dstrike w:val="0"/>
                <w:color w:val="000000"/>
                <w:szCs w:val="21"/>
                <w:highlight w:val="none"/>
                <w:lang w:val="en-US" w:eastAsia="zh-CN"/>
              </w:rPr>
              <w:t>方案，包括但不限于</w:t>
            </w:r>
            <w:r>
              <w:rPr>
                <w:rFonts w:hint="eastAsia" w:ascii="宋体" w:hAnsi="宋体" w:cs="宋体"/>
                <w:strike w:val="0"/>
                <w:dstrike w:val="0"/>
                <w:color w:val="000000"/>
                <w:szCs w:val="21"/>
                <w:highlight w:val="none"/>
                <w:lang w:val="en-US" w:eastAsia="zh-CN"/>
              </w:rPr>
              <w:t>评估准备与规划、资产识别与评估、威胁与脆弱性分析、风险分析、风险处置与控制措施、合规性</w:t>
            </w:r>
            <w:r>
              <w:rPr>
                <w:rFonts w:hint="eastAsia" w:ascii="宋体" w:hAnsi="宋体" w:eastAsia="宋体" w:cs="宋体"/>
                <w:strike w:val="0"/>
                <w:dstrike w:val="0"/>
                <w:color w:val="000000"/>
                <w:szCs w:val="21"/>
                <w:highlight w:val="none"/>
                <w:lang w:val="en-US" w:eastAsia="zh-CN"/>
              </w:rPr>
              <w:t>等内容。</w:t>
            </w:r>
          </w:p>
          <w:p w14:paraId="75F12EEC">
            <w:pPr>
              <w:keepNext w:val="0"/>
              <w:keepLines w:val="0"/>
              <w:pageBreakBefore w:val="0"/>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strike w:val="0"/>
                <w:dstrike w:val="0"/>
                <w:color w:val="000000"/>
                <w:szCs w:val="21"/>
                <w:highlight w:val="none"/>
                <w:lang w:val="en-US" w:eastAsia="zh-CN"/>
              </w:rPr>
            </w:pPr>
            <w:r>
              <w:rPr>
                <w:rFonts w:hint="eastAsia" w:ascii="宋体" w:hAnsi="宋体" w:eastAsia="宋体" w:cs="宋体"/>
                <w:strike w:val="0"/>
                <w:dstrike w:val="0"/>
                <w:color w:val="000000"/>
                <w:szCs w:val="21"/>
                <w:highlight w:val="none"/>
                <w:lang w:val="en-US" w:eastAsia="zh-CN"/>
              </w:rPr>
              <w:t>1.全面、合理、可行的，计</w:t>
            </w:r>
            <w:r>
              <w:rPr>
                <w:rFonts w:hint="eastAsia" w:ascii="宋体" w:hAnsi="宋体" w:cs="宋体"/>
                <w:strike w:val="0"/>
                <w:dstrike w:val="0"/>
                <w:color w:val="000000"/>
                <w:szCs w:val="21"/>
                <w:highlight w:val="none"/>
                <w:lang w:val="en-US" w:eastAsia="zh-CN"/>
              </w:rPr>
              <w:t>10</w:t>
            </w:r>
            <w:r>
              <w:rPr>
                <w:rFonts w:hint="eastAsia" w:ascii="宋体" w:hAnsi="宋体" w:eastAsia="宋体" w:cs="宋体"/>
                <w:strike w:val="0"/>
                <w:dstrike w:val="0"/>
                <w:color w:val="000000"/>
                <w:szCs w:val="21"/>
                <w:highlight w:val="none"/>
                <w:lang w:val="en-US" w:eastAsia="zh-CN"/>
              </w:rPr>
              <w:t>-</w:t>
            </w:r>
            <w:r>
              <w:rPr>
                <w:rFonts w:hint="eastAsia" w:ascii="宋体" w:hAnsi="宋体" w:cs="宋体"/>
                <w:strike w:val="0"/>
                <w:dstrike w:val="0"/>
                <w:color w:val="000000"/>
                <w:szCs w:val="21"/>
                <w:highlight w:val="none"/>
                <w:lang w:val="en-US" w:eastAsia="zh-CN"/>
              </w:rPr>
              <w:t>14</w:t>
            </w:r>
            <w:r>
              <w:rPr>
                <w:rFonts w:hint="eastAsia" w:ascii="宋体" w:hAnsi="宋体" w:eastAsia="宋体" w:cs="宋体"/>
                <w:strike w:val="0"/>
                <w:dstrike w:val="0"/>
                <w:color w:val="000000"/>
                <w:szCs w:val="21"/>
                <w:highlight w:val="none"/>
                <w:lang w:val="en-US" w:eastAsia="zh-CN"/>
              </w:rPr>
              <w:t>分；</w:t>
            </w:r>
          </w:p>
          <w:p w14:paraId="78E6B5EE">
            <w:pPr>
              <w:keepNext w:val="0"/>
              <w:keepLines w:val="0"/>
              <w:pageBreakBefore w:val="0"/>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strike w:val="0"/>
                <w:dstrike w:val="0"/>
                <w:color w:val="000000"/>
                <w:szCs w:val="21"/>
                <w:highlight w:val="none"/>
                <w:lang w:val="en-US" w:eastAsia="zh-CN"/>
              </w:rPr>
            </w:pPr>
            <w:r>
              <w:rPr>
                <w:rFonts w:hint="eastAsia" w:ascii="宋体" w:hAnsi="宋体" w:eastAsia="宋体" w:cs="宋体"/>
                <w:strike w:val="0"/>
                <w:dstrike w:val="0"/>
                <w:color w:val="000000"/>
                <w:szCs w:val="21"/>
                <w:highlight w:val="none"/>
                <w:lang w:val="en-US" w:eastAsia="zh-CN"/>
              </w:rPr>
              <w:t>2.较全面、较合理、较可行的，计</w:t>
            </w:r>
            <w:r>
              <w:rPr>
                <w:rFonts w:hint="eastAsia" w:ascii="宋体" w:hAnsi="宋体" w:cs="宋体"/>
                <w:strike w:val="0"/>
                <w:dstrike w:val="0"/>
                <w:color w:val="000000"/>
                <w:szCs w:val="21"/>
                <w:highlight w:val="none"/>
                <w:lang w:val="en-US" w:eastAsia="zh-CN"/>
              </w:rPr>
              <w:t>5</w:t>
            </w:r>
            <w:r>
              <w:rPr>
                <w:rFonts w:hint="eastAsia" w:ascii="宋体" w:hAnsi="宋体" w:eastAsia="宋体" w:cs="宋体"/>
                <w:strike w:val="0"/>
                <w:dstrike w:val="0"/>
                <w:color w:val="000000"/>
                <w:szCs w:val="21"/>
                <w:highlight w:val="none"/>
                <w:lang w:val="en-US" w:eastAsia="zh-CN"/>
              </w:rPr>
              <w:t>-</w:t>
            </w:r>
            <w:r>
              <w:rPr>
                <w:rFonts w:hint="eastAsia" w:ascii="宋体" w:hAnsi="宋体" w:cs="宋体"/>
                <w:strike w:val="0"/>
                <w:dstrike w:val="0"/>
                <w:color w:val="000000"/>
                <w:szCs w:val="21"/>
                <w:highlight w:val="none"/>
                <w:lang w:val="en-US" w:eastAsia="zh-CN"/>
              </w:rPr>
              <w:t>9</w:t>
            </w:r>
            <w:r>
              <w:rPr>
                <w:rFonts w:hint="eastAsia" w:ascii="宋体" w:hAnsi="宋体" w:eastAsia="宋体" w:cs="宋体"/>
                <w:strike w:val="0"/>
                <w:dstrike w:val="0"/>
                <w:color w:val="000000"/>
                <w:szCs w:val="21"/>
                <w:highlight w:val="none"/>
                <w:lang w:val="en-US" w:eastAsia="zh-CN"/>
              </w:rPr>
              <w:t>分；</w:t>
            </w:r>
          </w:p>
          <w:p w14:paraId="507322BE">
            <w:pPr>
              <w:keepNext w:val="0"/>
              <w:keepLines w:val="0"/>
              <w:pageBreakBefore w:val="0"/>
              <w:kinsoku/>
              <w:wordWrap/>
              <w:overflowPunct/>
              <w:topLinePunct w:val="0"/>
              <w:autoSpaceDE/>
              <w:autoSpaceDN/>
              <w:bidi w:val="0"/>
              <w:adjustRightInd w:val="0"/>
              <w:snapToGrid w:val="0"/>
              <w:spacing w:line="300" w:lineRule="exact"/>
              <w:jc w:val="left"/>
              <w:textAlignment w:val="auto"/>
              <w:rPr>
                <w:rFonts w:hint="eastAsia" w:ascii="宋体" w:hAnsi="宋体" w:eastAsia="宋体" w:cs="宋体"/>
                <w:strike w:val="0"/>
                <w:dstrike w:val="0"/>
                <w:color w:val="000000"/>
                <w:szCs w:val="21"/>
                <w:highlight w:val="none"/>
                <w:lang w:val="en-US" w:eastAsia="zh-CN"/>
              </w:rPr>
            </w:pPr>
            <w:r>
              <w:rPr>
                <w:rFonts w:hint="eastAsia" w:ascii="宋体" w:hAnsi="宋体" w:eastAsia="宋体" w:cs="宋体"/>
                <w:strike w:val="0"/>
                <w:dstrike w:val="0"/>
                <w:color w:val="000000"/>
                <w:szCs w:val="21"/>
                <w:highlight w:val="none"/>
                <w:lang w:val="en-US" w:eastAsia="zh-CN"/>
              </w:rPr>
              <w:t>3.欠全面、欠合理、欠可行的，计</w:t>
            </w:r>
            <w:r>
              <w:rPr>
                <w:rFonts w:hint="eastAsia" w:ascii="宋体" w:hAnsi="宋体" w:cs="宋体"/>
                <w:strike w:val="0"/>
                <w:dstrike w:val="0"/>
                <w:color w:val="000000"/>
                <w:szCs w:val="21"/>
                <w:highlight w:val="none"/>
                <w:lang w:val="en-US" w:eastAsia="zh-CN"/>
              </w:rPr>
              <w:t>1</w:t>
            </w:r>
            <w:r>
              <w:rPr>
                <w:rFonts w:hint="eastAsia" w:ascii="宋体" w:hAnsi="宋体" w:eastAsia="宋体" w:cs="宋体"/>
                <w:strike w:val="0"/>
                <w:dstrike w:val="0"/>
                <w:color w:val="000000"/>
                <w:szCs w:val="21"/>
                <w:highlight w:val="none"/>
                <w:lang w:val="en-US" w:eastAsia="zh-CN"/>
              </w:rPr>
              <w:t>-</w:t>
            </w:r>
            <w:r>
              <w:rPr>
                <w:rFonts w:hint="eastAsia" w:ascii="宋体" w:hAnsi="宋体" w:cs="宋体"/>
                <w:strike w:val="0"/>
                <w:dstrike w:val="0"/>
                <w:color w:val="000000"/>
                <w:szCs w:val="21"/>
                <w:highlight w:val="none"/>
                <w:lang w:val="en-US" w:eastAsia="zh-CN"/>
              </w:rPr>
              <w:t>4</w:t>
            </w:r>
            <w:r>
              <w:rPr>
                <w:rFonts w:hint="eastAsia" w:ascii="宋体" w:hAnsi="宋体" w:eastAsia="宋体" w:cs="宋体"/>
                <w:strike w:val="0"/>
                <w:dstrike w:val="0"/>
                <w:color w:val="000000"/>
                <w:szCs w:val="21"/>
                <w:highlight w:val="none"/>
                <w:lang w:val="en-US" w:eastAsia="zh-CN"/>
              </w:rPr>
              <w:t>分；</w:t>
            </w:r>
          </w:p>
          <w:p w14:paraId="74B2FB25">
            <w:pPr>
              <w:keepNext w:val="0"/>
              <w:keepLines w:val="0"/>
              <w:widowControl/>
              <w:suppressLineNumbers w:val="0"/>
              <w:jc w:val="left"/>
              <w:textAlignment w:val="auto"/>
              <w:rPr>
                <w:rFonts w:hint="eastAsia" w:ascii="宋体" w:hAnsi="宋体" w:cs="宋体"/>
                <w:color w:val="auto"/>
                <w:szCs w:val="21"/>
                <w:highlight w:val="none"/>
              </w:rPr>
            </w:pPr>
            <w:r>
              <w:rPr>
                <w:rFonts w:hint="eastAsia" w:ascii="宋体" w:hAnsi="宋体" w:eastAsia="宋体" w:cs="宋体"/>
                <w:strike w:val="0"/>
                <w:dstrike w:val="0"/>
                <w:color w:val="000000"/>
                <w:szCs w:val="21"/>
                <w:highlight w:val="none"/>
                <w:lang w:val="en-US" w:eastAsia="zh-CN"/>
              </w:rPr>
              <w:t>4.未提供的不计分。</w:t>
            </w:r>
          </w:p>
        </w:tc>
      </w:tr>
      <w:tr w14:paraId="361B6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7" w:type="pct"/>
            <w:vMerge w:val="continue"/>
            <w:tcBorders>
              <w:tl2br w:val="nil"/>
              <w:tr2bl w:val="nil"/>
            </w:tcBorders>
            <w:vAlign w:val="center"/>
          </w:tcPr>
          <w:p w14:paraId="3235E84F">
            <w:pPr>
              <w:jc w:val="center"/>
              <w:rPr>
                <w:rFonts w:hint="eastAsia" w:ascii="宋体" w:hAnsi="宋体" w:cs="宋体"/>
                <w:b/>
                <w:color w:val="auto"/>
                <w:szCs w:val="21"/>
                <w:highlight w:val="none"/>
              </w:rPr>
            </w:pPr>
          </w:p>
        </w:tc>
        <w:tc>
          <w:tcPr>
            <w:tcW w:w="1584" w:type="pct"/>
            <w:gridSpan w:val="2"/>
            <w:tcBorders>
              <w:tl2br w:val="nil"/>
              <w:tr2bl w:val="nil"/>
            </w:tcBorders>
            <w:shd w:val="clear" w:color="auto" w:fill="auto"/>
            <w:vAlign w:val="center"/>
          </w:tcPr>
          <w:p w14:paraId="4EE95A9B">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cs="宋体"/>
                <w:color w:val="000000"/>
                <w:szCs w:val="21"/>
                <w:highlight w:val="none"/>
                <w:lang w:val="en-US" w:eastAsia="zh-CN" w:bidi="ar"/>
              </w:rPr>
              <w:t>漏洞挖掘能力</w:t>
            </w:r>
          </w:p>
        </w:tc>
        <w:tc>
          <w:tcPr>
            <w:tcW w:w="353" w:type="pct"/>
            <w:tcBorders>
              <w:tl2br w:val="nil"/>
              <w:tr2bl w:val="nil"/>
            </w:tcBorders>
            <w:shd w:val="clear" w:color="auto" w:fill="auto"/>
            <w:vAlign w:val="center"/>
          </w:tcPr>
          <w:p w14:paraId="3688FF7E">
            <w:pPr>
              <w:keepNext w:val="0"/>
              <w:keepLines w:val="0"/>
              <w:widowControl/>
              <w:suppressLineNumbers w:val="0"/>
              <w:jc w:val="center"/>
              <w:textAlignment w:val="auto"/>
              <w:rPr>
                <w:rFonts w:hint="default" w:ascii="宋体" w:hAnsi="宋体" w:cs="宋体"/>
                <w:color w:val="auto"/>
                <w:szCs w:val="21"/>
                <w:highlight w:val="none"/>
                <w:lang w:val="en-US"/>
              </w:rPr>
            </w:pPr>
            <w:r>
              <w:rPr>
                <w:rFonts w:hint="eastAsia" w:ascii="宋体" w:hAnsi="宋体" w:cs="宋体"/>
                <w:i w:val="0"/>
                <w:iCs w:val="0"/>
                <w:color w:val="auto"/>
                <w:kern w:val="2"/>
                <w:sz w:val="21"/>
                <w:szCs w:val="21"/>
                <w:highlight w:val="none"/>
                <w:u w:val="none"/>
                <w:lang w:val="en-US" w:eastAsia="zh-CN" w:bidi="ar"/>
              </w:rPr>
              <w:t>8</w:t>
            </w:r>
          </w:p>
        </w:tc>
        <w:tc>
          <w:tcPr>
            <w:tcW w:w="2603" w:type="pct"/>
            <w:tcBorders>
              <w:tl2br w:val="nil"/>
              <w:tr2bl w:val="nil"/>
            </w:tcBorders>
            <w:shd w:val="clear" w:color="auto" w:fill="auto"/>
            <w:vAlign w:val="center"/>
          </w:tcPr>
          <w:p w14:paraId="71A48287">
            <w:pPr>
              <w:keepNext w:val="0"/>
              <w:keepLines w:val="0"/>
              <w:widowControl/>
              <w:suppressLineNumbers w:val="0"/>
              <w:jc w:val="left"/>
              <w:textAlignment w:val="auto"/>
              <w:rPr>
                <w:rFonts w:hint="eastAsia" w:ascii="宋体" w:hAnsi="宋体" w:cs="宋体"/>
                <w:color w:val="auto"/>
                <w:szCs w:val="21"/>
                <w:highlight w:val="none"/>
              </w:rPr>
            </w:pPr>
            <w:r>
              <w:rPr>
                <w:rFonts w:hint="eastAsia" w:ascii="宋体" w:hAnsi="宋体" w:cs="宋体"/>
                <w:strike w:val="0"/>
                <w:dstrike w:val="0"/>
                <w:color w:val="000000"/>
                <w:sz w:val="21"/>
                <w:szCs w:val="21"/>
                <w:highlight w:val="none"/>
                <w:lang w:val="en-US" w:eastAsia="zh-CN"/>
              </w:rPr>
              <w:t>投标人</w:t>
            </w:r>
            <w:r>
              <w:rPr>
                <w:rFonts w:hint="eastAsia" w:ascii="宋体" w:hAnsi="宋体" w:eastAsia="宋体" w:cs="宋体"/>
                <w:i w:val="0"/>
                <w:iCs w:val="0"/>
                <w:caps w:val="0"/>
                <w:color w:val="000000"/>
                <w:spacing w:val="0"/>
                <w:sz w:val="21"/>
                <w:szCs w:val="21"/>
                <w:highlight w:val="none"/>
                <w:shd w:val="clear"/>
              </w:rPr>
              <w:t>自202</w:t>
            </w:r>
            <w:r>
              <w:rPr>
                <w:rFonts w:hint="eastAsia" w:ascii="宋体" w:hAnsi="宋体" w:eastAsia="宋体" w:cs="宋体"/>
                <w:i w:val="0"/>
                <w:iCs w:val="0"/>
                <w:caps w:val="0"/>
                <w:color w:val="000000"/>
                <w:spacing w:val="0"/>
                <w:sz w:val="21"/>
                <w:szCs w:val="21"/>
                <w:highlight w:val="none"/>
                <w:shd w:val="clear"/>
                <w:lang w:val="en-US" w:eastAsia="zh-CN"/>
              </w:rPr>
              <w:t>2</w:t>
            </w:r>
            <w:r>
              <w:rPr>
                <w:rFonts w:hint="eastAsia" w:ascii="宋体" w:hAnsi="宋体" w:eastAsia="宋体" w:cs="宋体"/>
                <w:i w:val="0"/>
                <w:iCs w:val="0"/>
                <w:caps w:val="0"/>
                <w:color w:val="000000"/>
                <w:spacing w:val="0"/>
                <w:sz w:val="21"/>
                <w:szCs w:val="21"/>
                <w:highlight w:val="none"/>
                <w:shd w:val="clear"/>
              </w:rPr>
              <w:t>年</w:t>
            </w:r>
            <w:r>
              <w:rPr>
                <w:rFonts w:hint="eastAsia" w:ascii="宋体" w:hAnsi="宋体" w:eastAsia="宋体" w:cs="宋体"/>
                <w:i w:val="0"/>
                <w:iCs w:val="0"/>
                <w:caps w:val="0"/>
                <w:color w:val="000000"/>
                <w:spacing w:val="0"/>
                <w:sz w:val="21"/>
                <w:szCs w:val="21"/>
                <w:highlight w:val="none"/>
                <w:shd w:val="clear"/>
                <w:lang w:val="en-US" w:eastAsia="zh-CN"/>
              </w:rPr>
              <w:t>10</w:t>
            </w:r>
            <w:r>
              <w:rPr>
                <w:rFonts w:hint="eastAsia" w:ascii="宋体" w:hAnsi="宋体" w:eastAsia="宋体" w:cs="宋体"/>
                <w:i w:val="0"/>
                <w:iCs w:val="0"/>
                <w:caps w:val="0"/>
                <w:color w:val="000000"/>
                <w:spacing w:val="0"/>
                <w:sz w:val="21"/>
                <w:szCs w:val="21"/>
                <w:highlight w:val="none"/>
                <w:shd w:val="clear"/>
              </w:rPr>
              <w:t>月1日至响应报名截止时间内在通用安全漏洞库（CVE）上提交过包含微软、华为、苹果</w:t>
            </w:r>
            <w:r>
              <w:rPr>
                <w:rFonts w:hint="eastAsia" w:ascii="宋体" w:hAnsi="宋体" w:cs="宋体"/>
                <w:i w:val="0"/>
                <w:iCs w:val="0"/>
                <w:caps w:val="0"/>
                <w:color w:val="000000"/>
                <w:spacing w:val="0"/>
                <w:sz w:val="21"/>
                <w:szCs w:val="21"/>
                <w:highlight w:val="none"/>
                <w:shd w:val="clear"/>
                <w:lang w:eastAsia="zh-CN"/>
              </w:rPr>
              <w:t>、</w:t>
            </w:r>
            <w:r>
              <w:rPr>
                <w:rFonts w:hint="eastAsia" w:ascii="宋体" w:hAnsi="宋体" w:eastAsia="宋体" w:cs="宋体"/>
                <w:i w:val="0"/>
                <w:iCs w:val="0"/>
                <w:caps w:val="0"/>
                <w:color w:val="000000"/>
                <w:spacing w:val="0"/>
                <w:sz w:val="21"/>
                <w:szCs w:val="21"/>
                <w:highlight w:val="none"/>
                <w:shd w:val="clear"/>
              </w:rPr>
              <w:t>思科、Oracle、Apache、VMware或RedHat厂商漏洞的，每覆盖一个上述厂商，</w:t>
            </w:r>
            <w:r>
              <w:rPr>
                <w:rFonts w:hint="eastAsia" w:ascii="宋体" w:hAnsi="宋体" w:cs="宋体"/>
                <w:i w:val="0"/>
                <w:iCs w:val="0"/>
                <w:caps w:val="0"/>
                <w:color w:val="000000"/>
                <w:spacing w:val="0"/>
                <w:sz w:val="21"/>
                <w:szCs w:val="21"/>
                <w:highlight w:val="none"/>
                <w:shd w:val="clear"/>
                <w:lang w:val="en-US" w:eastAsia="zh-CN"/>
              </w:rPr>
              <w:t>计2</w:t>
            </w:r>
            <w:r>
              <w:rPr>
                <w:rFonts w:hint="eastAsia" w:ascii="宋体" w:hAnsi="宋体" w:eastAsia="宋体" w:cs="宋体"/>
                <w:i w:val="0"/>
                <w:iCs w:val="0"/>
                <w:caps w:val="0"/>
                <w:color w:val="000000"/>
                <w:spacing w:val="0"/>
                <w:sz w:val="21"/>
                <w:szCs w:val="21"/>
                <w:highlight w:val="none"/>
                <w:shd w:val="clear"/>
              </w:rPr>
              <w:t>分，最多</w:t>
            </w:r>
            <w:r>
              <w:rPr>
                <w:rFonts w:hint="eastAsia" w:ascii="宋体" w:hAnsi="宋体" w:cs="宋体"/>
                <w:i w:val="0"/>
                <w:iCs w:val="0"/>
                <w:caps w:val="0"/>
                <w:color w:val="000000"/>
                <w:spacing w:val="0"/>
                <w:sz w:val="21"/>
                <w:szCs w:val="21"/>
                <w:highlight w:val="none"/>
                <w:shd w:val="clear"/>
                <w:lang w:val="en-US" w:eastAsia="zh-CN"/>
              </w:rPr>
              <w:t>计8</w:t>
            </w:r>
            <w:r>
              <w:rPr>
                <w:rFonts w:hint="eastAsia" w:ascii="宋体" w:hAnsi="宋体" w:eastAsia="宋体" w:cs="宋体"/>
                <w:i w:val="0"/>
                <w:iCs w:val="0"/>
                <w:caps w:val="0"/>
                <w:color w:val="000000"/>
                <w:spacing w:val="0"/>
                <w:sz w:val="21"/>
                <w:szCs w:val="21"/>
                <w:highlight w:val="none"/>
                <w:shd w:val="clear"/>
              </w:rPr>
              <w:t>分。</w:t>
            </w:r>
            <w:r>
              <w:rPr>
                <w:rFonts w:hint="eastAsia" w:ascii="宋体" w:hAnsi="宋体" w:eastAsia="宋体" w:cs="宋体"/>
                <w:i w:val="0"/>
                <w:iCs w:val="0"/>
                <w:caps w:val="0"/>
                <w:color w:val="000000"/>
                <w:spacing w:val="0"/>
                <w:sz w:val="21"/>
                <w:szCs w:val="21"/>
                <w:highlight w:val="none"/>
                <w:shd w:val="clear"/>
              </w:rPr>
              <w:br w:type="textWrapping"/>
            </w:r>
            <w:r>
              <w:rPr>
                <w:rFonts w:hint="eastAsia" w:ascii="宋体" w:hAnsi="宋体" w:eastAsia="宋体" w:cs="宋体"/>
                <w:i w:val="0"/>
                <w:iCs w:val="0"/>
                <w:caps w:val="0"/>
                <w:color w:val="000000"/>
                <w:spacing w:val="0"/>
                <w:sz w:val="21"/>
                <w:szCs w:val="21"/>
                <w:highlight w:val="none"/>
                <w:shd w:val="clear"/>
              </w:rPr>
              <w:br w:type="textWrapping"/>
            </w:r>
            <w:r>
              <w:rPr>
                <w:rFonts w:hint="eastAsia" w:ascii="宋体" w:hAnsi="宋体" w:eastAsia="宋体" w:cs="宋体"/>
                <w:i w:val="0"/>
                <w:iCs w:val="0"/>
                <w:caps w:val="0"/>
                <w:color w:val="000000"/>
                <w:spacing w:val="0"/>
                <w:sz w:val="21"/>
                <w:szCs w:val="21"/>
                <w:highlight w:val="none"/>
                <w:shd w:val="clear"/>
              </w:rPr>
              <w:t>注：</w:t>
            </w:r>
            <w:r>
              <w:rPr>
                <w:rFonts w:hint="eastAsia" w:ascii="宋体" w:hAnsi="宋体" w:cs="宋体"/>
                <w:i w:val="0"/>
                <w:iCs w:val="0"/>
                <w:caps w:val="0"/>
                <w:color w:val="000000"/>
                <w:spacing w:val="0"/>
                <w:sz w:val="21"/>
                <w:szCs w:val="21"/>
                <w:highlight w:val="none"/>
                <w:shd w:val="clear"/>
                <w:lang w:val="en-US" w:eastAsia="zh-CN"/>
              </w:rPr>
              <w:t>投标</w:t>
            </w:r>
            <w:r>
              <w:rPr>
                <w:rFonts w:hint="eastAsia" w:ascii="宋体" w:hAnsi="宋体" w:eastAsia="宋体" w:cs="宋体"/>
                <w:i w:val="0"/>
                <w:iCs w:val="0"/>
                <w:caps w:val="0"/>
                <w:color w:val="000000"/>
                <w:spacing w:val="0"/>
                <w:sz w:val="21"/>
                <w:szCs w:val="21"/>
                <w:highlight w:val="none"/>
                <w:shd w:val="clear"/>
              </w:rPr>
              <w:t>人须提交CVE漏洞编号证明文件复印件，</w:t>
            </w:r>
            <w:r>
              <w:rPr>
                <w:rFonts w:hint="eastAsia"/>
                <w:highlight w:val="none"/>
                <w:lang w:val="en-US" w:eastAsia="zh-CN"/>
              </w:rPr>
              <w:t>并加盖公章，且该漏洞为非投标人所属厂商自身漏洞，</w:t>
            </w:r>
            <w:r>
              <w:rPr>
                <w:rFonts w:hint="eastAsia" w:ascii="宋体" w:hAnsi="宋体" w:eastAsia="宋体" w:cs="宋体"/>
                <w:i w:val="0"/>
                <w:iCs w:val="0"/>
                <w:caps w:val="0"/>
                <w:color w:val="000000"/>
                <w:spacing w:val="0"/>
                <w:sz w:val="21"/>
                <w:szCs w:val="21"/>
                <w:highlight w:val="none"/>
                <w:shd w:val="clear"/>
              </w:rPr>
              <w:t>否则不予计分</w:t>
            </w:r>
            <w:r>
              <w:rPr>
                <w:rFonts w:hint="eastAsia" w:ascii="宋体" w:hAnsi="宋体" w:cs="宋体"/>
                <w:i w:val="0"/>
                <w:iCs w:val="0"/>
                <w:caps w:val="0"/>
                <w:color w:val="000000"/>
                <w:spacing w:val="0"/>
                <w:sz w:val="21"/>
                <w:szCs w:val="21"/>
                <w:highlight w:val="none"/>
                <w:shd w:val="clear"/>
                <w:lang w:eastAsia="zh-CN"/>
              </w:rPr>
              <w:t>，</w:t>
            </w:r>
            <w:r>
              <w:rPr>
                <w:rFonts w:hint="eastAsia" w:ascii="宋体" w:hAnsi="宋体" w:cs="宋体"/>
                <w:i w:val="0"/>
                <w:iCs w:val="0"/>
                <w:caps w:val="0"/>
                <w:color w:val="000000"/>
                <w:spacing w:val="0"/>
                <w:sz w:val="21"/>
                <w:szCs w:val="21"/>
                <w:highlight w:val="none"/>
                <w:shd w:val="clear"/>
                <w:lang w:val="en-US" w:eastAsia="zh-CN"/>
              </w:rPr>
              <w:t>具体以评标委员会评定为准</w:t>
            </w:r>
            <w:r>
              <w:rPr>
                <w:rFonts w:hint="eastAsia" w:ascii="宋体" w:hAnsi="宋体" w:eastAsia="宋体" w:cs="宋体"/>
                <w:i w:val="0"/>
                <w:iCs w:val="0"/>
                <w:caps w:val="0"/>
                <w:color w:val="000000"/>
                <w:spacing w:val="0"/>
                <w:sz w:val="21"/>
                <w:szCs w:val="21"/>
                <w:highlight w:val="none"/>
                <w:shd w:val="clear"/>
              </w:rPr>
              <w:t>。</w:t>
            </w:r>
          </w:p>
        </w:tc>
      </w:tr>
      <w:tr w14:paraId="5B0D0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7" w:type="pct"/>
            <w:vMerge w:val="continue"/>
            <w:tcBorders>
              <w:tl2br w:val="nil"/>
              <w:tr2bl w:val="nil"/>
            </w:tcBorders>
            <w:vAlign w:val="center"/>
          </w:tcPr>
          <w:p w14:paraId="29EF3BB0">
            <w:pPr>
              <w:jc w:val="center"/>
              <w:rPr>
                <w:rFonts w:hint="eastAsia" w:ascii="宋体" w:hAnsi="宋体" w:cs="宋体"/>
                <w:b/>
                <w:color w:val="auto"/>
                <w:szCs w:val="21"/>
                <w:highlight w:val="none"/>
              </w:rPr>
            </w:pPr>
          </w:p>
        </w:tc>
        <w:tc>
          <w:tcPr>
            <w:tcW w:w="1584" w:type="pct"/>
            <w:gridSpan w:val="2"/>
            <w:tcBorders>
              <w:tl2br w:val="nil"/>
              <w:tr2bl w:val="nil"/>
            </w:tcBorders>
            <w:shd w:val="clear" w:color="auto" w:fill="auto"/>
            <w:vAlign w:val="center"/>
          </w:tcPr>
          <w:p w14:paraId="0A132BEC">
            <w:pPr>
              <w:keepNext w:val="0"/>
              <w:keepLines w:val="0"/>
              <w:widowControl/>
              <w:suppressLineNumbers w:val="0"/>
              <w:jc w:val="center"/>
              <w:textAlignment w:val="auto"/>
              <w:rPr>
                <w:rFonts w:hint="eastAsia" w:ascii="宋体" w:hAnsi="宋体" w:cs="宋体"/>
                <w:color w:val="auto"/>
                <w:szCs w:val="21"/>
                <w:highlight w:val="none"/>
              </w:rPr>
            </w:pPr>
            <w:r>
              <w:rPr>
                <w:rFonts w:hint="eastAsia" w:ascii="宋体" w:hAnsi="宋体" w:cs="仿宋_GB2312"/>
                <w:szCs w:val="21"/>
                <w:highlight w:val="none"/>
              </w:rPr>
              <w:t>采用的技术工具</w:t>
            </w:r>
          </w:p>
        </w:tc>
        <w:tc>
          <w:tcPr>
            <w:tcW w:w="353" w:type="pct"/>
            <w:tcBorders>
              <w:tl2br w:val="nil"/>
              <w:tr2bl w:val="nil"/>
            </w:tcBorders>
            <w:shd w:val="clear" w:color="auto" w:fill="auto"/>
            <w:vAlign w:val="center"/>
          </w:tcPr>
          <w:p w14:paraId="55317518">
            <w:pPr>
              <w:keepNext w:val="0"/>
              <w:keepLines w:val="0"/>
              <w:widowControl/>
              <w:suppressLineNumbers w:val="0"/>
              <w:jc w:val="center"/>
              <w:textAlignment w:val="auto"/>
              <w:rPr>
                <w:rFonts w:hint="eastAsia" w:ascii="宋体" w:hAnsi="宋体" w:eastAsia="宋体" w:cs="宋体"/>
                <w:color w:val="auto"/>
                <w:szCs w:val="21"/>
                <w:highlight w:val="none"/>
                <w:lang w:eastAsia="zh-CN"/>
              </w:rPr>
            </w:pPr>
            <w:r>
              <w:rPr>
                <w:rFonts w:hint="eastAsia" w:ascii="宋体" w:hAnsi="宋体" w:cs="宋体"/>
                <w:i w:val="0"/>
                <w:iCs w:val="0"/>
                <w:color w:val="auto"/>
                <w:kern w:val="2"/>
                <w:sz w:val="21"/>
                <w:szCs w:val="21"/>
                <w:highlight w:val="none"/>
                <w:u w:val="none"/>
                <w:lang w:val="en-US" w:eastAsia="zh-CN" w:bidi="ar"/>
              </w:rPr>
              <w:t>4</w:t>
            </w:r>
          </w:p>
        </w:tc>
        <w:tc>
          <w:tcPr>
            <w:tcW w:w="2603" w:type="pct"/>
            <w:tcBorders>
              <w:tl2br w:val="nil"/>
              <w:tr2bl w:val="nil"/>
            </w:tcBorders>
            <w:shd w:val="clear" w:color="auto" w:fill="auto"/>
            <w:vAlign w:val="center"/>
          </w:tcPr>
          <w:p w14:paraId="0CD16A33">
            <w:pPr>
              <w:adjustRightInd w:val="0"/>
              <w:snapToGrid w:val="0"/>
              <w:jc w:val="left"/>
              <w:rPr>
                <w:rFonts w:hint="eastAsia"/>
                <w:highlight w:val="none"/>
              </w:rPr>
            </w:pPr>
            <w:r>
              <w:rPr>
                <w:rFonts w:hint="eastAsia" w:ascii="宋体" w:hAnsi="宋体"/>
                <w:color w:val="000000"/>
                <w:szCs w:val="21"/>
                <w:highlight w:val="none"/>
              </w:rPr>
              <w:t>1</w:t>
            </w:r>
            <w:r>
              <w:rPr>
                <w:rFonts w:hint="eastAsia" w:ascii="宋体" w:hAnsi="宋体"/>
                <w:color w:val="000000"/>
                <w:szCs w:val="21"/>
                <w:highlight w:val="none"/>
                <w:lang w:val="en-US" w:eastAsia="zh-CN"/>
              </w:rPr>
              <w:t>.</w:t>
            </w:r>
            <w:r>
              <w:rPr>
                <w:rFonts w:hint="eastAsia"/>
                <w:highlight w:val="none"/>
                <w:lang w:val="en-US" w:eastAsia="zh-CN"/>
              </w:rPr>
              <w:t>投标人</w:t>
            </w:r>
            <w:r>
              <w:rPr>
                <w:rFonts w:hint="eastAsia"/>
                <w:highlight w:val="none"/>
              </w:rPr>
              <w:t>具备自主研发</w:t>
            </w:r>
            <w:r>
              <w:rPr>
                <w:rFonts w:hint="eastAsia"/>
                <w:highlight w:val="none"/>
                <w:lang w:val="en-US" w:eastAsia="zh-CN"/>
              </w:rPr>
              <w:t>或取得合法授权</w:t>
            </w:r>
            <w:r>
              <w:rPr>
                <w:rFonts w:hint="eastAsia"/>
                <w:highlight w:val="none"/>
              </w:rPr>
              <w:t>的自动化安全评估工具，</w:t>
            </w:r>
            <w:r>
              <w:rPr>
                <w:rFonts w:hint="eastAsia"/>
                <w:highlight w:val="none"/>
                <w:lang w:val="en-US" w:eastAsia="zh-CN"/>
              </w:rPr>
              <w:t>且该工具具备</w:t>
            </w:r>
            <w:r>
              <w:rPr>
                <w:rFonts w:ascii="Helvetica" w:hAnsi="Helvetica" w:eastAsia="Helvetica" w:cs="Helvetica"/>
                <w:i w:val="0"/>
                <w:iCs w:val="0"/>
                <w:caps w:val="0"/>
                <w:color w:val="303133"/>
                <w:spacing w:val="0"/>
                <w:sz w:val="21"/>
                <w:szCs w:val="21"/>
                <w:highlight w:val="none"/>
                <w:shd w:val="clear" w:fill="FFFFFF"/>
              </w:rPr>
              <w:t>CNNVD兼容性服务资质证书</w:t>
            </w:r>
            <w:r>
              <w:rPr>
                <w:rFonts w:hint="eastAsia"/>
                <w:highlight w:val="none"/>
              </w:rPr>
              <w:t>的，计</w:t>
            </w:r>
            <w:r>
              <w:rPr>
                <w:rFonts w:hint="eastAsia"/>
                <w:highlight w:val="none"/>
                <w:lang w:val="en-US" w:eastAsia="zh-CN"/>
              </w:rPr>
              <w:t>2</w:t>
            </w:r>
            <w:r>
              <w:rPr>
                <w:rFonts w:hint="eastAsia"/>
                <w:highlight w:val="none"/>
              </w:rPr>
              <w:t>分。</w:t>
            </w:r>
          </w:p>
          <w:p w14:paraId="4CA8BD00">
            <w:pPr>
              <w:adjustRightInd w:val="0"/>
              <w:snapToGrid w:val="0"/>
              <w:jc w:val="left"/>
              <w:rPr>
                <w:rFonts w:hint="eastAsia"/>
                <w:highlight w:val="none"/>
              </w:rPr>
            </w:pPr>
            <w:r>
              <w:rPr>
                <w:rFonts w:ascii="宋体" w:hAnsi="宋体"/>
                <w:color w:val="000000"/>
                <w:szCs w:val="21"/>
                <w:highlight w:val="none"/>
              </w:rPr>
              <w:t>2</w:t>
            </w:r>
            <w:r>
              <w:rPr>
                <w:rFonts w:hint="eastAsia" w:ascii="宋体" w:hAnsi="宋体"/>
                <w:color w:val="000000"/>
                <w:szCs w:val="21"/>
                <w:highlight w:val="none"/>
                <w:lang w:val="en-US" w:eastAsia="zh-CN"/>
              </w:rPr>
              <w:t>.</w:t>
            </w:r>
            <w:r>
              <w:rPr>
                <w:rFonts w:hint="eastAsia"/>
                <w:highlight w:val="none"/>
                <w:lang w:val="en-US" w:eastAsia="zh-CN"/>
              </w:rPr>
              <w:t>投标人</w:t>
            </w:r>
            <w:r>
              <w:rPr>
                <w:rFonts w:hint="eastAsia"/>
                <w:highlight w:val="none"/>
              </w:rPr>
              <w:t>具备自主研发</w:t>
            </w:r>
            <w:r>
              <w:rPr>
                <w:rFonts w:hint="eastAsia"/>
                <w:highlight w:val="none"/>
                <w:lang w:val="en-US" w:eastAsia="zh-CN"/>
              </w:rPr>
              <w:t>或取得合法授权</w:t>
            </w:r>
            <w:r>
              <w:rPr>
                <w:rFonts w:hint="eastAsia"/>
                <w:highlight w:val="none"/>
              </w:rPr>
              <w:t>的源代码缺陷分析能力工具，</w:t>
            </w:r>
            <w:r>
              <w:rPr>
                <w:rFonts w:hint="eastAsia"/>
                <w:highlight w:val="none"/>
                <w:lang w:val="en-US" w:eastAsia="zh-CN"/>
              </w:rPr>
              <w:t>且该工具具备</w:t>
            </w:r>
            <w:r>
              <w:rPr>
                <w:rFonts w:ascii="Helvetica" w:hAnsi="Helvetica" w:eastAsia="Helvetica" w:cs="Helvetica"/>
                <w:i w:val="0"/>
                <w:iCs w:val="0"/>
                <w:caps w:val="0"/>
                <w:color w:val="303133"/>
                <w:spacing w:val="0"/>
                <w:sz w:val="21"/>
                <w:szCs w:val="21"/>
                <w:highlight w:val="none"/>
                <w:shd w:val="clear" w:fill="FFFFFF"/>
              </w:rPr>
              <w:t>CNNVD兼容性服务资质证书</w:t>
            </w:r>
            <w:r>
              <w:rPr>
                <w:rFonts w:hint="eastAsia"/>
                <w:highlight w:val="none"/>
              </w:rPr>
              <w:t>的，计</w:t>
            </w:r>
            <w:r>
              <w:rPr>
                <w:rFonts w:hint="eastAsia"/>
                <w:highlight w:val="none"/>
                <w:lang w:val="en-US" w:eastAsia="zh-CN"/>
              </w:rPr>
              <w:t>2</w:t>
            </w:r>
            <w:r>
              <w:rPr>
                <w:rFonts w:hint="eastAsia"/>
                <w:highlight w:val="none"/>
              </w:rPr>
              <w:t>分。</w:t>
            </w:r>
          </w:p>
          <w:p w14:paraId="49E38C4D">
            <w:pPr>
              <w:keepNext w:val="0"/>
              <w:keepLines w:val="0"/>
              <w:widowControl/>
              <w:suppressLineNumbers w:val="0"/>
              <w:jc w:val="left"/>
              <w:textAlignment w:val="auto"/>
              <w:rPr>
                <w:rFonts w:hint="eastAsia" w:ascii="宋体" w:hAnsi="宋体" w:cs="宋体"/>
                <w:color w:val="auto"/>
                <w:szCs w:val="21"/>
                <w:highlight w:val="none"/>
              </w:rPr>
            </w:pPr>
            <w:r>
              <w:rPr>
                <w:rFonts w:hint="eastAsia"/>
                <w:b/>
                <w:bCs/>
                <w:highlight w:val="none"/>
              </w:rPr>
              <w:t>注：</w:t>
            </w:r>
            <w:r>
              <w:rPr>
                <w:rFonts w:hint="eastAsia"/>
                <w:highlight w:val="none"/>
                <w:lang w:val="en-US" w:eastAsia="zh-CN"/>
              </w:rPr>
              <w:t>投标人</w:t>
            </w:r>
            <w:r>
              <w:rPr>
                <w:rFonts w:hint="eastAsia"/>
                <w:highlight w:val="none"/>
              </w:rPr>
              <w:t>须提供相关</w:t>
            </w:r>
            <w:r>
              <w:rPr>
                <w:rFonts w:hint="eastAsia"/>
                <w:highlight w:val="none"/>
                <w:lang w:val="en-US" w:eastAsia="zh-CN"/>
              </w:rPr>
              <w:t>证明材料或授权证明文件</w:t>
            </w:r>
            <w:r>
              <w:rPr>
                <w:rFonts w:hint="eastAsia"/>
                <w:highlight w:val="none"/>
              </w:rPr>
              <w:t>复印件，</w:t>
            </w:r>
            <w:r>
              <w:rPr>
                <w:rFonts w:hint="eastAsia"/>
                <w:highlight w:val="none"/>
                <w:lang w:val="en-US" w:eastAsia="zh-CN"/>
              </w:rPr>
              <w:t>并加盖公章，</w:t>
            </w:r>
            <w:r>
              <w:rPr>
                <w:rFonts w:hint="eastAsia"/>
                <w:highlight w:val="none"/>
              </w:rPr>
              <w:t>否则不计分。</w:t>
            </w:r>
          </w:p>
        </w:tc>
      </w:tr>
      <w:tr w14:paraId="5C60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457" w:type="pct"/>
            <w:vMerge w:val="continue"/>
            <w:tcBorders>
              <w:tl2br w:val="nil"/>
              <w:tr2bl w:val="nil"/>
            </w:tcBorders>
            <w:vAlign w:val="center"/>
          </w:tcPr>
          <w:p w14:paraId="4A1D70FA">
            <w:pPr>
              <w:jc w:val="center"/>
              <w:rPr>
                <w:rFonts w:hint="eastAsia" w:ascii="宋体" w:hAnsi="宋体" w:cs="宋体"/>
                <w:b/>
                <w:color w:val="auto"/>
                <w:szCs w:val="21"/>
                <w:highlight w:val="none"/>
              </w:rPr>
            </w:pPr>
          </w:p>
        </w:tc>
        <w:tc>
          <w:tcPr>
            <w:tcW w:w="1584" w:type="pct"/>
            <w:gridSpan w:val="2"/>
            <w:tcBorders>
              <w:tl2br w:val="nil"/>
              <w:tr2bl w:val="nil"/>
            </w:tcBorders>
            <w:shd w:val="clear" w:color="auto" w:fill="auto"/>
            <w:vAlign w:val="center"/>
          </w:tcPr>
          <w:p w14:paraId="593528B4">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合计</w:t>
            </w:r>
          </w:p>
        </w:tc>
        <w:tc>
          <w:tcPr>
            <w:tcW w:w="353" w:type="pct"/>
            <w:tcBorders>
              <w:tl2br w:val="nil"/>
              <w:tr2bl w:val="nil"/>
            </w:tcBorders>
            <w:shd w:val="clear" w:color="auto" w:fill="auto"/>
            <w:vAlign w:val="center"/>
          </w:tcPr>
          <w:p w14:paraId="3FED7D5F">
            <w:pPr>
              <w:widowControl/>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40</w:t>
            </w:r>
          </w:p>
        </w:tc>
        <w:tc>
          <w:tcPr>
            <w:tcW w:w="2603" w:type="pct"/>
            <w:tcBorders>
              <w:tl2br w:val="nil"/>
              <w:tr2bl w:val="nil"/>
            </w:tcBorders>
            <w:shd w:val="clear" w:color="auto" w:fill="auto"/>
            <w:vAlign w:val="center"/>
          </w:tcPr>
          <w:p w14:paraId="43AF37FD">
            <w:pPr>
              <w:spacing w:line="240" w:lineRule="auto"/>
              <w:jc w:val="left"/>
              <w:rPr>
                <w:rFonts w:hint="eastAsia" w:ascii="宋体" w:hAnsi="宋体" w:cs="宋体"/>
                <w:color w:val="auto"/>
                <w:szCs w:val="21"/>
                <w:highlight w:val="none"/>
              </w:rPr>
            </w:pPr>
          </w:p>
        </w:tc>
      </w:tr>
      <w:tr w14:paraId="6403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457" w:type="pct"/>
            <w:vMerge w:val="continue"/>
            <w:tcBorders>
              <w:tl2br w:val="nil"/>
              <w:tr2bl w:val="nil"/>
            </w:tcBorders>
            <w:vAlign w:val="center"/>
          </w:tcPr>
          <w:p w14:paraId="453AE816">
            <w:pPr>
              <w:jc w:val="center"/>
              <w:rPr>
                <w:rFonts w:hint="eastAsia" w:ascii="宋体" w:hAnsi="宋体" w:cs="宋体"/>
                <w:b/>
                <w:color w:val="auto"/>
                <w:szCs w:val="21"/>
                <w:highlight w:val="none"/>
              </w:rPr>
            </w:pPr>
          </w:p>
        </w:tc>
        <w:tc>
          <w:tcPr>
            <w:tcW w:w="4542" w:type="pct"/>
            <w:gridSpan w:val="4"/>
            <w:tcBorders>
              <w:tl2br w:val="nil"/>
              <w:tr2bl w:val="nil"/>
            </w:tcBorders>
            <w:shd w:val="clear" w:color="auto" w:fill="auto"/>
            <w:vAlign w:val="center"/>
          </w:tcPr>
          <w:p w14:paraId="449C1180">
            <w:pPr>
              <w:widowControl/>
              <w:spacing w:line="240" w:lineRule="auto"/>
              <w:jc w:val="left"/>
              <w:rPr>
                <w:rFonts w:hint="eastAsia" w:ascii="宋体" w:hAnsi="宋体" w:cs="宋体"/>
                <w:b/>
                <w:iCs/>
                <w:color w:val="auto"/>
                <w:szCs w:val="21"/>
                <w:highlight w:val="none"/>
              </w:rPr>
            </w:pPr>
            <w:r>
              <w:rPr>
                <w:rFonts w:hint="eastAsia" w:ascii="宋体" w:hAnsi="宋体" w:cs="宋体"/>
                <w:b/>
                <w:iCs/>
                <w:color w:val="auto"/>
                <w:szCs w:val="21"/>
                <w:highlight w:val="none"/>
              </w:rPr>
              <w:t>备注：</w:t>
            </w:r>
          </w:p>
          <w:p w14:paraId="4F1E4B17">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当评标委员会人数大于5时，技术部分单项得分为评标委员会成员个人评审计分去掉一个最高分和一个最低分后的算术平均值；当评标委员会人数等于5时，技术部分单项得分为评标委员会成员个人评审计分的算术平均值。</w:t>
            </w:r>
          </w:p>
          <w:p w14:paraId="73D6BA7F">
            <w:pPr>
              <w:widowControl/>
              <w:spacing w:line="240" w:lineRule="auto"/>
              <w:jc w:val="left"/>
              <w:rPr>
                <w:rFonts w:hint="eastAsia" w:ascii="宋体" w:hAnsi="宋体" w:cs="宋体"/>
                <w:color w:val="auto"/>
                <w:szCs w:val="21"/>
                <w:highlight w:val="none"/>
              </w:rPr>
            </w:pPr>
            <w:r>
              <w:rPr>
                <w:rFonts w:hint="eastAsia" w:ascii="宋体" w:hAnsi="宋体" w:cs="宋体"/>
                <w:b w:val="0"/>
                <w:bCs w:val="0"/>
                <w:color w:val="auto"/>
                <w:szCs w:val="21"/>
                <w:highlight w:val="none"/>
              </w:rPr>
              <w:t>2.</w:t>
            </w:r>
            <w:r>
              <w:rPr>
                <w:rFonts w:hint="eastAsia" w:ascii="宋体" w:hAnsi="宋体" w:eastAsia="宋体" w:cs="宋体"/>
                <w:b w:val="0"/>
                <w:bCs w:val="0"/>
                <w:color w:val="auto"/>
                <w:kern w:val="2"/>
                <w:sz w:val="21"/>
                <w:szCs w:val="21"/>
                <w:highlight w:val="none"/>
                <w:lang w:val="en-US" w:eastAsia="zh-CN" w:bidi="ar-SA"/>
              </w:rPr>
              <w:t>投标文件缺失某项评审因素的，该项计零分</w:t>
            </w:r>
            <w:r>
              <w:rPr>
                <w:rFonts w:hint="eastAsia" w:ascii="宋体" w:hAnsi="宋体" w:cs="宋体"/>
                <w:b w:val="0"/>
                <w:bCs w:val="0"/>
                <w:color w:val="auto"/>
                <w:szCs w:val="21"/>
                <w:highlight w:val="none"/>
              </w:rPr>
              <w:t>。</w:t>
            </w:r>
          </w:p>
        </w:tc>
      </w:tr>
      <w:tr w14:paraId="44B6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57" w:type="pct"/>
            <w:vMerge w:val="restart"/>
            <w:tcBorders>
              <w:tl2br w:val="nil"/>
              <w:tr2bl w:val="nil"/>
            </w:tcBorders>
            <w:vAlign w:val="center"/>
          </w:tcPr>
          <w:p w14:paraId="3B9F0EAF">
            <w:pPr>
              <w:spacing w:line="240" w:lineRule="auto"/>
              <w:jc w:val="center"/>
              <w:rPr>
                <w:rFonts w:hint="eastAsia" w:ascii="宋体" w:hAnsi="宋体" w:cs="宋体"/>
                <w:color w:val="auto"/>
                <w:szCs w:val="21"/>
                <w:highlight w:val="none"/>
              </w:rPr>
            </w:pPr>
            <w:r>
              <w:rPr>
                <w:rFonts w:hint="eastAsia" w:ascii="宋体" w:hAnsi="宋体" w:cs="宋体"/>
                <w:color w:val="auto"/>
                <w:szCs w:val="21"/>
                <w:highlight w:val="none"/>
              </w:rPr>
              <w:t>2.2.2</w:t>
            </w:r>
          </w:p>
          <w:p w14:paraId="01F84A69">
            <w:pPr>
              <w:spacing w:line="240" w:lineRule="auto"/>
              <w:jc w:val="center"/>
              <w:rPr>
                <w:rFonts w:hint="eastAsia" w:ascii="宋体" w:hAnsi="宋体" w:cs="宋体"/>
                <w:b/>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3</w:t>
            </w:r>
            <w:r>
              <w:rPr>
                <w:rFonts w:hint="eastAsia" w:ascii="宋体" w:hAnsi="宋体" w:cs="宋体"/>
                <w:color w:val="auto"/>
                <w:szCs w:val="21"/>
                <w:highlight w:val="none"/>
                <w:lang w:eastAsia="zh-CN"/>
              </w:rPr>
              <w:t>)</w:t>
            </w:r>
          </w:p>
        </w:tc>
        <w:tc>
          <w:tcPr>
            <w:tcW w:w="4542" w:type="pct"/>
            <w:gridSpan w:val="4"/>
            <w:tcBorders>
              <w:tl2br w:val="nil"/>
              <w:tr2bl w:val="nil"/>
            </w:tcBorders>
            <w:shd w:val="clear" w:color="auto" w:fill="auto"/>
            <w:vAlign w:val="center"/>
          </w:tcPr>
          <w:p w14:paraId="56A92FDF">
            <w:pPr>
              <w:spacing w:line="240" w:lineRule="auto"/>
              <w:jc w:val="center"/>
              <w:rPr>
                <w:rFonts w:hint="eastAsia" w:ascii="宋体" w:hAnsi="宋体" w:cs="宋体"/>
                <w:color w:val="auto"/>
                <w:szCs w:val="21"/>
                <w:highlight w:val="none"/>
                <w:lang w:bidi="ar"/>
              </w:rPr>
            </w:pPr>
            <w:r>
              <w:rPr>
                <w:rFonts w:hint="eastAsia" w:ascii="宋体" w:hAnsi="宋体" w:cs="宋体"/>
                <w:color w:val="auto"/>
                <w:szCs w:val="21"/>
                <w:highlight w:val="none"/>
              </w:rPr>
              <w:t>报价部分详细评分标准</w:t>
            </w:r>
          </w:p>
        </w:tc>
      </w:tr>
      <w:tr w14:paraId="18B4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457" w:type="pct"/>
            <w:vMerge w:val="continue"/>
            <w:tcBorders>
              <w:tl2br w:val="nil"/>
              <w:tr2bl w:val="nil"/>
            </w:tcBorders>
            <w:vAlign w:val="center"/>
          </w:tcPr>
          <w:p w14:paraId="025798DD">
            <w:pPr>
              <w:spacing w:line="240" w:lineRule="auto"/>
              <w:jc w:val="center"/>
              <w:rPr>
                <w:rFonts w:hint="eastAsia" w:ascii="宋体" w:hAnsi="宋体" w:cs="宋体"/>
                <w:color w:val="auto"/>
                <w:szCs w:val="21"/>
                <w:highlight w:val="none"/>
              </w:rPr>
            </w:pPr>
          </w:p>
        </w:tc>
        <w:tc>
          <w:tcPr>
            <w:tcW w:w="4542" w:type="pct"/>
            <w:gridSpan w:val="4"/>
            <w:tcBorders>
              <w:tl2br w:val="nil"/>
              <w:tr2bl w:val="nil"/>
            </w:tcBorders>
            <w:shd w:val="clear" w:color="auto" w:fill="auto"/>
            <w:vAlign w:val="center"/>
          </w:tcPr>
          <w:p w14:paraId="3EDB01E5">
            <w:pPr>
              <w:widowControl/>
              <w:spacing w:line="24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1.计算平均价格 </w:t>
            </w:r>
          </w:p>
          <w:p w14:paraId="268672D9">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1.1计算合格投标人投标报价的初步算术平均值Pa。</w:t>
            </w:r>
          </w:p>
          <w:p w14:paraId="08E77D7C">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1.1.1如果合格投标人在5家及以上，则先去掉一个最高报价和一个最低</w:t>
            </w:r>
            <w:r>
              <w:rPr>
                <w:rFonts w:hint="eastAsia" w:ascii="宋体" w:hAnsi="宋体" w:cs="宋体"/>
                <w:color w:val="auto"/>
                <w:szCs w:val="21"/>
                <w:highlight w:val="none"/>
                <w:lang w:eastAsia="zh-CN"/>
              </w:rPr>
              <w:t>报价</w:t>
            </w:r>
            <w:r>
              <w:rPr>
                <w:rFonts w:hint="eastAsia" w:ascii="宋体" w:hAnsi="宋体" w:cs="宋体"/>
                <w:color w:val="auto"/>
                <w:szCs w:val="21"/>
                <w:highlight w:val="none"/>
              </w:rPr>
              <w:t>，对剩余合格投标人的投标报价进行算术平均得到Pa。</w:t>
            </w:r>
          </w:p>
          <w:p w14:paraId="472CECDA">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1.1.2如合格投标人不足5家，则直接对所有合格投标人的投标报价进行算术平均得到Pa。</w:t>
            </w:r>
          </w:p>
          <w:p w14:paraId="2C550952">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1.2计算合格投标人投标报价的最终算术平均值P。</w:t>
            </w:r>
          </w:p>
          <w:p w14:paraId="44589383">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1.2.1若有合格投标人投标价格在[Pa×0.</w:t>
            </w:r>
            <w:r>
              <w:rPr>
                <w:rFonts w:hint="eastAsia" w:ascii="宋体" w:hAnsi="宋体" w:cs="宋体"/>
                <w:color w:val="auto"/>
                <w:szCs w:val="21"/>
                <w:highlight w:val="none"/>
                <w:lang w:eastAsia="zh-CN"/>
              </w:rPr>
              <w:t>8</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，Pa×1.1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]之外，则该投标人不参与该平均价格计算并重新计算其他投标价格在上述区间内的合格投标人投标价格算术平均值P。</w:t>
            </w:r>
          </w:p>
          <w:p w14:paraId="5444134B">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1.2.2若合格投标人投标报价均在[Pa×0.</w:t>
            </w:r>
            <w:r>
              <w:rPr>
                <w:rFonts w:hint="eastAsia" w:ascii="宋体" w:hAnsi="宋体" w:cs="宋体"/>
                <w:color w:val="auto"/>
                <w:szCs w:val="21"/>
                <w:highlight w:val="none"/>
                <w:lang w:val="en-US" w:eastAsia="zh-CN"/>
              </w:rPr>
              <w:t>85</w:t>
            </w:r>
            <w:r>
              <w:rPr>
                <w:rFonts w:hint="eastAsia" w:ascii="宋体" w:hAnsi="宋体" w:cs="宋体"/>
                <w:color w:val="auto"/>
                <w:szCs w:val="21"/>
                <w:highlight w:val="none"/>
              </w:rPr>
              <w:t>，Pa×1.1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]之外或均在[Pa×0.</w:t>
            </w:r>
            <w:r>
              <w:rPr>
                <w:rFonts w:hint="eastAsia" w:ascii="宋体" w:hAnsi="宋体" w:cs="宋体"/>
                <w:color w:val="auto"/>
                <w:szCs w:val="21"/>
                <w:highlight w:val="none"/>
                <w:lang w:val="en-US" w:eastAsia="zh-CN"/>
              </w:rPr>
              <w:t>85</w:t>
            </w:r>
            <w:r>
              <w:rPr>
                <w:rFonts w:hint="eastAsia" w:ascii="宋体" w:hAnsi="宋体" w:cs="宋体"/>
                <w:color w:val="auto"/>
                <w:szCs w:val="21"/>
                <w:highlight w:val="none"/>
              </w:rPr>
              <w:t>，Pa×1.1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]之内，则P=Pa。</w:t>
            </w:r>
          </w:p>
          <w:p w14:paraId="756CEAD6">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1.2.3若参与P值计算的合格投标人不足3家，则P=Pa。</w:t>
            </w:r>
          </w:p>
          <w:p w14:paraId="233511D8">
            <w:pPr>
              <w:widowControl/>
              <w:spacing w:line="24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2</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 xml:space="preserve">价格得分计算 </w:t>
            </w:r>
          </w:p>
          <w:p w14:paraId="1DF0117F">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2.1当Pn＝P时，C=30。</w:t>
            </w:r>
          </w:p>
          <w:p w14:paraId="0C4AF871">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2.2当Pn＞P，且（Pn－P）/P≤10%时，C＝30－（Pn－P）/P×30。</w:t>
            </w:r>
          </w:p>
          <w:p w14:paraId="722C9E86">
            <w:pPr>
              <w:widowControl w:val="0"/>
              <w:spacing w:line="24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2.3当Pn＞P，且（Pn－P）/P＞10%时，C＝30－（Pn－P）/P×2×30。</w:t>
            </w:r>
          </w:p>
          <w:p w14:paraId="0FB37530">
            <w:pPr>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2.4当Pn＜P时，C＝30－（P－Pn）/P×0.5×30。</w:t>
            </w:r>
          </w:p>
          <w:p w14:paraId="64143548">
            <w:pPr>
              <w:rPr>
                <w:rFonts w:hint="eastAsia" w:ascii="宋体" w:hAnsi="宋体" w:cs="宋体"/>
                <w:color w:val="auto"/>
                <w:highlight w:val="none"/>
              </w:rPr>
            </w:pPr>
            <w:r>
              <w:rPr>
                <w:rFonts w:hint="eastAsia" w:ascii="宋体" w:hAnsi="宋体" w:eastAsia="宋体" w:cs="宋体"/>
                <w:bCs/>
                <w:color w:val="auto"/>
                <w:kern w:val="2"/>
                <w:sz w:val="21"/>
                <w:szCs w:val="21"/>
                <w:highlight w:val="none"/>
                <w:lang w:val="en-US" w:eastAsia="zh-CN" w:bidi="ar-SA"/>
              </w:rPr>
              <w:t>Pn为各投标人的投标报价；C即为投标人的报价部分得分，分值最高为30分。</w:t>
            </w:r>
          </w:p>
        </w:tc>
      </w:tr>
      <w:tr w14:paraId="51C5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8" w:hRule="atLeast"/>
          <w:jc w:val="center"/>
        </w:trPr>
        <w:tc>
          <w:tcPr>
            <w:tcW w:w="457" w:type="pct"/>
            <w:vMerge w:val="continue"/>
            <w:tcBorders>
              <w:tl2br w:val="nil"/>
              <w:tr2bl w:val="nil"/>
            </w:tcBorders>
            <w:vAlign w:val="center"/>
          </w:tcPr>
          <w:p w14:paraId="277F984D">
            <w:pPr>
              <w:spacing w:line="240" w:lineRule="auto"/>
              <w:jc w:val="center"/>
              <w:rPr>
                <w:rFonts w:hint="eastAsia" w:ascii="宋体" w:hAnsi="宋体" w:cs="宋体"/>
                <w:color w:val="auto"/>
                <w:szCs w:val="21"/>
                <w:highlight w:val="none"/>
              </w:rPr>
            </w:pPr>
          </w:p>
        </w:tc>
        <w:tc>
          <w:tcPr>
            <w:tcW w:w="4542" w:type="pct"/>
            <w:gridSpan w:val="4"/>
            <w:tcBorders>
              <w:tl2br w:val="nil"/>
              <w:tr2bl w:val="nil"/>
            </w:tcBorders>
            <w:shd w:val="clear" w:color="auto" w:fill="auto"/>
            <w:vAlign w:val="center"/>
          </w:tcPr>
          <w:p w14:paraId="0A017B12">
            <w:pPr>
              <w:spacing w:line="240" w:lineRule="auto"/>
              <w:jc w:val="left"/>
              <w:rPr>
                <w:rFonts w:hint="eastAsia" w:ascii="宋体" w:hAnsi="宋体" w:cs="宋体"/>
                <w:b/>
                <w:bCs/>
                <w:color w:val="auto"/>
                <w:szCs w:val="21"/>
                <w:highlight w:val="none"/>
              </w:rPr>
            </w:pPr>
            <w:r>
              <w:rPr>
                <w:rFonts w:hint="eastAsia" w:ascii="宋体" w:hAnsi="宋体" w:eastAsia="宋体" w:cs="宋体"/>
                <w:b/>
                <w:bCs w:val="0"/>
                <w:color w:val="auto"/>
                <w:kern w:val="2"/>
                <w:sz w:val="21"/>
                <w:szCs w:val="21"/>
                <w:highlight w:val="none"/>
                <w:lang w:val="en-US" w:eastAsia="zh-CN" w:bidi="ar-SA"/>
              </w:rPr>
              <w:t>经济</w:t>
            </w:r>
            <w:r>
              <w:rPr>
                <w:rFonts w:hint="eastAsia" w:ascii="宋体" w:hAnsi="宋体" w:cs="宋体"/>
                <w:b/>
                <w:bCs/>
                <w:color w:val="auto"/>
                <w:szCs w:val="21"/>
                <w:highlight w:val="none"/>
              </w:rPr>
              <w:t>评审说明：</w:t>
            </w:r>
          </w:p>
          <w:p w14:paraId="30DF92FE">
            <w:pPr>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当投标人的投标报价小于进入详细评审的所有有效投标报价的算术平均值</w:t>
            </w:r>
            <w:r>
              <w:rPr>
                <w:rFonts w:hint="eastAsia" w:ascii="宋体" w:hAnsi="宋体" w:cs="宋体"/>
                <w:color w:val="auto"/>
                <w:szCs w:val="21"/>
                <w:highlight w:val="none"/>
                <w:lang w:val="en-US" w:eastAsia="zh-CN"/>
              </w:rPr>
              <w:t>80</w:t>
            </w:r>
            <w:r>
              <w:rPr>
                <w:rFonts w:hint="eastAsia" w:ascii="宋体" w:hAnsi="宋体" w:cs="宋体"/>
                <w:color w:val="auto"/>
                <w:szCs w:val="21"/>
                <w:highlight w:val="none"/>
              </w:rPr>
              <w:t>%时，由评标委员会启动成本评审工作，以判别该投标人的投标报价是否低于其成本。评标委员会应当要求该投标人作出书面说明并提供相应的证明材料。投标人不能合理说明或者不能提供相应证明材料的，由评标委员会认定该投标人以低于成本报价竞标，并否决其投标。</w:t>
            </w:r>
          </w:p>
          <w:p w14:paraId="18F67C8E">
            <w:pPr>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投标人的投标报价评审以投标文件中“开标一览表”中的含税总报价为准；最后报价部分得分保留小数点后两位，小数点后第三位“四舍五入”。</w:t>
            </w:r>
          </w:p>
        </w:tc>
      </w:tr>
    </w:tbl>
    <w:p w14:paraId="5DB84B28">
      <w:pPr>
        <w:spacing w:line="360" w:lineRule="auto"/>
        <w:ind w:firstLine="420" w:firstLineChars="200"/>
        <w:rPr>
          <w:rFonts w:hint="eastAsia" w:ascii="等线 Light" w:hAnsi="等线 Light" w:eastAsia="等线 Light" w:cs="等线 Light"/>
          <w:b/>
          <w:color w:val="auto"/>
          <w:szCs w:val="21"/>
          <w:highlight w:val="none"/>
        </w:rPr>
      </w:pPr>
      <w:r>
        <w:rPr>
          <w:rFonts w:ascii="宋体" w:hAnsi="宋体" w:cs="宋体"/>
          <w:color w:val="auto"/>
          <w:szCs w:val="21"/>
          <w:highlight w:val="none"/>
        </w:rPr>
        <w:br w:type="page"/>
      </w:r>
      <w:r>
        <w:rPr>
          <w:rFonts w:hint="eastAsia" w:ascii="等线 Light" w:hAnsi="等线 Light" w:eastAsia="等线 Light" w:cs="等线 Light"/>
          <w:b/>
          <w:color w:val="auto"/>
          <w:szCs w:val="21"/>
          <w:highlight w:val="none"/>
        </w:rPr>
        <w:t>1.评标方法</w:t>
      </w:r>
    </w:p>
    <w:p w14:paraId="52D9FE6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1.1本次评标采用综合评</w:t>
      </w:r>
      <w:r>
        <w:rPr>
          <w:rFonts w:hint="eastAsia" w:ascii="宋体" w:hAnsi="宋体" w:cs="宋体"/>
          <w:color w:val="auto"/>
          <w:szCs w:val="21"/>
          <w:highlight w:val="none"/>
          <w:lang w:val="en-US" w:eastAsia="zh-CN"/>
        </w:rPr>
        <w:t>估</w:t>
      </w:r>
      <w:r>
        <w:rPr>
          <w:rFonts w:hint="eastAsia" w:ascii="宋体" w:hAnsi="宋体" w:cs="宋体"/>
          <w:color w:val="auto"/>
          <w:szCs w:val="21"/>
          <w:highlight w:val="none"/>
        </w:rPr>
        <w:t>法，资格审查方式为资格后审。</w:t>
      </w:r>
    </w:p>
    <w:p w14:paraId="37C8EDF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1.2评标委员会按照本章第2款规定的评审标准进行评审，并按</w:t>
      </w:r>
      <w:r>
        <w:rPr>
          <w:rFonts w:ascii="宋体" w:hAnsi="宋体" w:cs="宋体"/>
          <w:color w:val="auto"/>
          <w:szCs w:val="21"/>
          <w:highlight w:val="none"/>
        </w:rPr>
        <w:t>招标文件规定推荐中标候选人。</w:t>
      </w:r>
    </w:p>
    <w:p w14:paraId="133DC3E6">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2.评审标准</w:t>
      </w:r>
    </w:p>
    <w:p w14:paraId="024ACB56">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2.1 初步评审标准</w:t>
      </w:r>
    </w:p>
    <w:p w14:paraId="3220C30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资格性评审标准：见评标办法前附表。</w:t>
      </w:r>
    </w:p>
    <w:p w14:paraId="108730B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符合性评审标准：见评标办法前附表。</w:t>
      </w:r>
    </w:p>
    <w:p w14:paraId="6FC4E96E">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2.2 详细评审标准</w:t>
      </w:r>
    </w:p>
    <w:p w14:paraId="563F631D">
      <w:pPr>
        <w:spacing w:line="360" w:lineRule="auto"/>
        <w:ind w:firstLine="420" w:firstLineChars="200"/>
        <w:rPr>
          <w:rFonts w:hint="eastAsia" w:hAnsi="宋体"/>
          <w:color w:val="auto"/>
          <w:szCs w:val="21"/>
          <w:highlight w:val="none"/>
        </w:rPr>
      </w:pPr>
      <w:r>
        <w:rPr>
          <w:rFonts w:hint="eastAsia" w:ascii="宋体" w:hAnsi="宋体" w:cs="宋体"/>
          <w:color w:val="auto"/>
          <w:szCs w:val="21"/>
          <w:highlight w:val="none"/>
        </w:rPr>
        <w:t>2.2.1分值构成：</w:t>
      </w:r>
      <w:r>
        <w:rPr>
          <w:rFonts w:hAnsi="宋体"/>
          <w:color w:val="auto"/>
          <w:szCs w:val="21"/>
          <w:highlight w:val="none"/>
        </w:rPr>
        <w:t>见评标办法前附表；</w:t>
      </w:r>
    </w:p>
    <w:p w14:paraId="0DA6C54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w:t>
      </w:r>
      <w:r>
        <w:rPr>
          <w:rFonts w:ascii="宋体" w:hAnsi="宋体" w:cs="宋体"/>
          <w:color w:val="auto"/>
          <w:szCs w:val="21"/>
          <w:highlight w:val="none"/>
        </w:rPr>
        <w:t>2</w:t>
      </w:r>
      <w:r>
        <w:rPr>
          <w:rFonts w:hint="eastAsia" w:ascii="宋体" w:hAnsi="宋体" w:cs="宋体"/>
          <w:color w:val="auto"/>
          <w:szCs w:val="21"/>
          <w:highlight w:val="none"/>
        </w:rPr>
        <w:t>评分标准</w:t>
      </w:r>
    </w:p>
    <w:p w14:paraId="2A1C74EB">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（1）商务部分：见评标办法前附表；</w:t>
      </w:r>
    </w:p>
    <w:p w14:paraId="33331861">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（2）技术部分：见评标办法前附表；</w:t>
      </w:r>
    </w:p>
    <w:p w14:paraId="441646A2">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（3）投标报价：见评标办法前附表</w:t>
      </w:r>
      <w:r>
        <w:rPr>
          <w:rFonts w:hint="eastAsia" w:ascii="宋体" w:hAnsi="宋体"/>
          <w:color w:val="auto"/>
          <w:szCs w:val="21"/>
          <w:highlight w:val="none"/>
        </w:rPr>
        <w:t>。</w:t>
      </w:r>
    </w:p>
    <w:p w14:paraId="54FE4CB1">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3.评标程序</w:t>
      </w:r>
    </w:p>
    <w:p w14:paraId="3F26EB2E">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3.1 初步评审</w:t>
      </w:r>
    </w:p>
    <w:p w14:paraId="7981845F">
      <w:pPr>
        <w:spacing w:line="360" w:lineRule="auto"/>
        <w:ind w:firstLine="420" w:firstLineChars="200"/>
        <w:jc w:val="left"/>
        <w:rPr>
          <w:rFonts w:hint="eastAsia" w:ascii="宋体" w:hAnsi="宋体"/>
          <w:strike/>
          <w:color w:val="auto"/>
          <w:szCs w:val="21"/>
          <w:highlight w:val="none"/>
        </w:rPr>
      </w:pPr>
      <w:r>
        <w:rPr>
          <w:rFonts w:hint="eastAsia" w:ascii="宋体" w:hAnsi="宋体"/>
          <w:color w:val="auto"/>
          <w:szCs w:val="21"/>
          <w:highlight w:val="none"/>
        </w:rPr>
        <w:t>3.1.1</w:t>
      </w:r>
      <w:r>
        <w:rPr>
          <w:rFonts w:ascii="宋体" w:hAnsi="宋体"/>
          <w:color w:val="auto"/>
          <w:szCs w:val="21"/>
          <w:highlight w:val="none"/>
        </w:rPr>
        <w:t>评标委员会</w:t>
      </w:r>
      <w:r>
        <w:rPr>
          <w:rFonts w:hint="eastAsia" w:ascii="宋体" w:hAnsi="宋体"/>
          <w:color w:val="auto"/>
          <w:szCs w:val="21"/>
          <w:highlight w:val="none"/>
        </w:rPr>
        <w:t>根据第</w:t>
      </w:r>
      <w:r>
        <w:rPr>
          <w:rFonts w:ascii="宋体" w:hAnsi="宋体"/>
          <w:color w:val="auto"/>
          <w:szCs w:val="21"/>
          <w:highlight w:val="none"/>
        </w:rPr>
        <w:t>2.1</w:t>
      </w:r>
      <w:r>
        <w:rPr>
          <w:rFonts w:hint="eastAsia" w:ascii="宋体" w:hAnsi="宋体"/>
          <w:color w:val="auto"/>
          <w:szCs w:val="21"/>
          <w:highlight w:val="none"/>
        </w:rPr>
        <w:t>款规定的评审因素和评审标准，对投标人的投标文件进行初步审查，</w:t>
      </w:r>
      <w:r>
        <w:rPr>
          <w:rFonts w:ascii="宋体" w:hAnsi="宋体"/>
          <w:color w:val="auto"/>
          <w:szCs w:val="21"/>
          <w:highlight w:val="none"/>
        </w:rPr>
        <w:t>有一项不符合评审标准的，评标委员会应当</w:t>
      </w:r>
      <w:r>
        <w:rPr>
          <w:rFonts w:ascii="宋体" w:hAnsi="宋体"/>
          <w:b/>
          <w:bCs/>
          <w:color w:val="auto"/>
          <w:szCs w:val="21"/>
          <w:highlight w:val="none"/>
        </w:rPr>
        <w:t>否决</w:t>
      </w:r>
      <w:r>
        <w:rPr>
          <w:rFonts w:ascii="宋体" w:hAnsi="宋体"/>
          <w:color w:val="auto"/>
          <w:szCs w:val="21"/>
          <w:highlight w:val="none"/>
        </w:rPr>
        <w:t>其投标。</w:t>
      </w:r>
      <w:r>
        <w:rPr>
          <w:rFonts w:hint="eastAsia" w:ascii="宋体" w:hAnsi="宋体"/>
          <w:color w:val="auto"/>
          <w:szCs w:val="21"/>
          <w:highlight w:val="none"/>
        </w:rPr>
        <w:t>通过初步评审的有效投标人不足3家，且评标委员会认为投标明显缺乏竞争的，不得进入下一评审环节。</w:t>
      </w:r>
    </w:p>
    <w:p w14:paraId="7274664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3.1.2</w:t>
      </w:r>
      <w:r>
        <w:rPr>
          <w:rFonts w:ascii="宋体" w:hAnsi="宋体"/>
          <w:color w:val="auto"/>
          <w:szCs w:val="21"/>
          <w:highlight w:val="none"/>
        </w:rPr>
        <w:t>投标人有</w:t>
      </w:r>
      <w:r>
        <w:rPr>
          <w:rFonts w:ascii="宋体"/>
          <w:color w:val="auto"/>
          <w:szCs w:val="21"/>
          <w:highlight w:val="none"/>
        </w:rPr>
        <w:t>串通投标、弄虚作假、行贿等违法行为</w:t>
      </w:r>
      <w:r>
        <w:rPr>
          <w:rFonts w:hint="eastAsia" w:ascii="宋体"/>
          <w:color w:val="auto"/>
          <w:szCs w:val="21"/>
          <w:highlight w:val="none"/>
        </w:rPr>
        <w:t>的</w:t>
      </w:r>
      <w:r>
        <w:rPr>
          <w:rFonts w:ascii="宋体" w:hAnsi="宋体"/>
          <w:color w:val="auto"/>
          <w:szCs w:val="21"/>
          <w:highlight w:val="none"/>
        </w:rPr>
        <w:t>，评标委员会应当</w:t>
      </w:r>
      <w:r>
        <w:rPr>
          <w:rFonts w:ascii="宋体" w:hAnsi="宋体"/>
          <w:b/>
          <w:bCs/>
          <w:color w:val="auto"/>
          <w:szCs w:val="21"/>
          <w:highlight w:val="none"/>
        </w:rPr>
        <w:t>否决</w:t>
      </w:r>
      <w:r>
        <w:rPr>
          <w:rFonts w:ascii="宋体" w:hAnsi="宋体"/>
          <w:color w:val="auto"/>
          <w:szCs w:val="21"/>
          <w:highlight w:val="none"/>
        </w:rPr>
        <w:t>其投标</w:t>
      </w:r>
      <w:r>
        <w:rPr>
          <w:rFonts w:ascii="宋体"/>
          <w:color w:val="auto"/>
          <w:szCs w:val="21"/>
          <w:highlight w:val="none"/>
        </w:rPr>
        <w:t>。</w:t>
      </w:r>
    </w:p>
    <w:p w14:paraId="127A7C49">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3.2 详细评审</w:t>
      </w:r>
    </w:p>
    <w:p w14:paraId="59EA98F9">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3.2.1评标委员会按本章第 2.2 款规定的量化因素和分值进行打分，并计算出综合评估得分。</w:t>
      </w:r>
    </w:p>
    <w:p w14:paraId="1A1865D3">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（1）按本章第 2.2.2（1）目规定的评审因素和分值对商务部分计算出得分 A；</w:t>
      </w:r>
    </w:p>
    <w:p w14:paraId="1BE4304F">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（2）按本章第 2.2.2（2）目规定的评审因素和分值对技术部分计算出得分 B；</w:t>
      </w:r>
    </w:p>
    <w:p w14:paraId="705289EA">
      <w:pPr>
        <w:spacing w:line="360" w:lineRule="auto"/>
        <w:ind w:firstLine="420" w:firstLineChars="200"/>
        <w:jc w:val="left"/>
        <w:rPr>
          <w:rFonts w:hint="eastAsia" w:ascii="宋体" w:hAnsi="宋体"/>
          <w:color w:val="auto"/>
          <w:szCs w:val="21"/>
          <w:highlight w:val="none"/>
        </w:rPr>
      </w:pPr>
      <w:r>
        <w:rPr>
          <w:rFonts w:ascii="宋体" w:hAnsi="宋体"/>
          <w:color w:val="auto"/>
          <w:szCs w:val="21"/>
          <w:highlight w:val="none"/>
        </w:rPr>
        <w:t>（3）按本章第 2.2.2（3）目规定的评审因素和分值对报价</w:t>
      </w:r>
      <w:r>
        <w:rPr>
          <w:rFonts w:hint="eastAsia" w:ascii="宋体" w:hAnsi="宋体"/>
          <w:color w:val="auto"/>
          <w:szCs w:val="21"/>
          <w:highlight w:val="none"/>
        </w:rPr>
        <w:t>部分</w:t>
      </w:r>
      <w:r>
        <w:rPr>
          <w:rFonts w:ascii="宋体" w:hAnsi="宋体"/>
          <w:color w:val="auto"/>
          <w:szCs w:val="21"/>
          <w:highlight w:val="none"/>
        </w:rPr>
        <w:t>计算出得分 C</w:t>
      </w:r>
      <w:r>
        <w:rPr>
          <w:rFonts w:hint="eastAsia" w:ascii="宋体" w:hAnsi="宋体"/>
          <w:color w:val="auto"/>
          <w:szCs w:val="21"/>
          <w:highlight w:val="none"/>
        </w:rPr>
        <w:t>。</w:t>
      </w:r>
    </w:p>
    <w:p w14:paraId="5389D461">
      <w:pPr>
        <w:spacing w:line="360" w:lineRule="auto"/>
        <w:ind w:firstLine="420" w:firstLineChars="200"/>
        <w:jc w:val="left"/>
        <w:rPr>
          <w:rFonts w:hint="eastAsia" w:ascii="宋体" w:hAnsi="宋体"/>
          <w:color w:val="auto"/>
          <w:szCs w:val="21"/>
          <w:highlight w:val="none"/>
        </w:rPr>
      </w:pPr>
      <w:r>
        <w:rPr>
          <w:rFonts w:hint="eastAsia" w:ascii="宋体"/>
          <w:color w:val="auto"/>
          <w:szCs w:val="21"/>
          <w:highlight w:val="none"/>
        </w:rPr>
        <w:t>（4）</w:t>
      </w:r>
      <w:r>
        <w:rPr>
          <w:rFonts w:ascii="宋体"/>
          <w:color w:val="auto"/>
          <w:szCs w:val="21"/>
          <w:highlight w:val="none"/>
        </w:rPr>
        <w:t>投标人得分=A + B</w:t>
      </w:r>
      <w:r>
        <w:rPr>
          <w:rFonts w:hint="eastAsia" w:ascii="宋体"/>
          <w:color w:val="auto"/>
          <w:szCs w:val="21"/>
          <w:highlight w:val="none"/>
        </w:rPr>
        <w:t xml:space="preserve"> </w:t>
      </w:r>
      <w:r>
        <w:rPr>
          <w:rFonts w:ascii="宋体"/>
          <w:color w:val="auto"/>
          <w:szCs w:val="21"/>
          <w:highlight w:val="none"/>
        </w:rPr>
        <w:t>+ C。</w:t>
      </w:r>
    </w:p>
    <w:p w14:paraId="132D73FD">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（5）评委计分保留小数点后两位，小数点后第三位“四舍五入”。</w:t>
      </w:r>
    </w:p>
    <w:p w14:paraId="5EA47EF4">
      <w:pPr>
        <w:spacing w:line="360" w:lineRule="auto"/>
        <w:ind w:firstLine="420" w:firstLineChars="200"/>
        <w:rPr>
          <w:rFonts w:hint="eastAsia" w:ascii="等线 Light" w:hAnsi="等线 Light" w:eastAsia="等线 Light" w:cs="等线 Light"/>
          <w:b/>
          <w:color w:val="auto"/>
          <w:szCs w:val="21"/>
          <w:highlight w:val="none"/>
        </w:rPr>
      </w:pPr>
      <w:r>
        <w:rPr>
          <w:rFonts w:hint="eastAsia" w:ascii="等线 Light" w:hAnsi="等线 Light" w:eastAsia="等线 Light" w:cs="等线 Light"/>
          <w:b/>
          <w:color w:val="auto"/>
          <w:szCs w:val="21"/>
          <w:highlight w:val="none"/>
        </w:rPr>
        <w:t>3.3 投标文件的澄清</w:t>
      </w:r>
    </w:p>
    <w:p w14:paraId="322F1D5A">
      <w:pPr>
        <w:spacing w:line="360" w:lineRule="auto"/>
        <w:ind w:firstLine="420" w:firstLineChars="200"/>
        <w:jc w:val="left"/>
        <w:rPr>
          <w:rFonts w:hint="eastAsia" w:ascii="宋体" w:hAnsi="宋体" w:cs="宋体"/>
          <w:color w:val="auto"/>
          <w:sz w:val="24"/>
          <w:szCs w:val="21"/>
          <w:highlight w:val="none"/>
        </w:rPr>
      </w:pPr>
      <w:r>
        <w:rPr>
          <w:rFonts w:ascii="宋体" w:hAnsi="宋体" w:cs="宋体"/>
          <w:color w:val="auto"/>
          <w:szCs w:val="21"/>
          <w:highlight w:val="none"/>
        </w:rPr>
        <w:t>3.3.1</w:t>
      </w:r>
      <w:r>
        <w:rPr>
          <w:rFonts w:hint="eastAsia" w:ascii="宋体" w:hAnsi="宋体" w:cs="宋体"/>
          <w:color w:val="auto"/>
          <w:szCs w:val="21"/>
          <w:highlight w:val="none"/>
        </w:rPr>
        <w:t>因投标人资格条件不符合规定否决其投标的，评标委员会应在资格审查结束后通知已否决的投标人予以澄清，但不能改变投标文件内容。投标人如未在规定时间内进行澄清，则视同认可资格审查结论。</w:t>
      </w:r>
    </w:p>
    <w:p w14:paraId="77679382">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3.3.2在评标过程中，评标委员会可以要求投标人对投标文件中含义不明确、对同类问题表述不一致或者有明显文字和计算错误的内容</w:t>
      </w:r>
      <w:r>
        <w:rPr>
          <w:rFonts w:hint="eastAsia" w:ascii="宋体" w:hAnsi="宋体" w:cs="宋体"/>
          <w:color w:val="auto"/>
          <w:szCs w:val="21"/>
          <w:highlight w:val="none"/>
          <w:lang w:eastAsia="zh-CN"/>
        </w:rPr>
        <w:t>做必要</w:t>
      </w:r>
      <w:r>
        <w:rPr>
          <w:rFonts w:hint="eastAsia" w:ascii="宋体" w:hAnsi="宋体" w:cs="宋体"/>
          <w:color w:val="auto"/>
          <w:szCs w:val="21"/>
          <w:highlight w:val="none"/>
        </w:rPr>
        <w:t>的澄清、说明或补正。澄清、说明或补正应在澄清答疑室进行。评标委员会不接受投标人主动提出的澄清、说明或补正。</w:t>
      </w:r>
    </w:p>
    <w:p w14:paraId="16F948E1">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3.3.3投标人在评标过程中作出的澄清、说明或补正不得超出投标文件的范围且不得改变投标文件的实质性内容，并且澄清、说明或补正的内容构成投标文件的组成部分。</w:t>
      </w:r>
    </w:p>
    <w:p w14:paraId="74A6E658">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3.3.4投标人的澄清、说明或者补正按评标委员会的通知要求递交。</w:t>
      </w:r>
    </w:p>
    <w:p w14:paraId="6E52415E">
      <w:pPr>
        <w:spacing w:line="360" w:lineRule="auto"/>
        <w:ind w:firstLine="480"/>
        <w:jc w:val="left"/>
        <w:rPr>
          <w:rFonts w:hint="eastAsia" w:ascii="宋体" w:hAnsi="宋体" w:cs="宋体"/>
          <w:color w:val="auto"/>
          <w:szCs w:val="21"/>
          <w:highlight w:val="none"/>
        </w:rPr>
      </w:pPr>
      <w:r>
        <w:rPr>
          <w:rFonts w:hint="eastAsia" w:ascii="宋体" w:hAnsi="宋体" w:cs="宋体"/>
          <w:color w:val="auto"/>
          <w:szCs w:val="21"/>
          <w:highlight w:val="none"/>
        </w:rPr>
        <w:t>3.3.5评标委员会对投标人提交的澄清、说明或补正有疑问的，可以要求投标人进一步澄清、说明或补正，直至满足评标委员会的要求。</w:t>
      </w:r>
    </w:p>
    <w:p w14:paraId="5EC8E49C">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3.4 评标结果</w:t>
      </w:r>
    </w:p>
    <w:p w14:paraId="3F5FAD99">
      <w:pPr>
        <w:spacing w:line="360" w:lineRule="auto"/>
        <w:ind w:right="105" w:firstLine="480"/>
        <w:rPr>
          <w:rFonts w:hint="eastAsia" w:ascii="宋体" w:hAnsi="宋体" w:cs="宋体"/>
          <w:color w:val="auto"/>
          <w:szCs w:val="21"/>
          <w:highlight w:val="none"/>
        </w:rPr>
      </w:pPr>
      <w:r>
        <w:rPr>
          <w:rFonts w:hint="eastAsia" w:ascii="宋体" w:hAnsi="宋体" w:cs="宋体"/>
          <w:color w:val="auto"/>
          <w:szCs w:val="21"/>
          <w:highlight w:val="none"/>
        </w:rPr>
        <w:t>3.4.1评标委员会按综合得分由高至低的顺序推荐中标候选人，</w:t>
      </w:r>
      <w:r>
        <w:rPr>
          <w:rFonts w:hint="eastAsia" w:ascii="宋体" w:hAnsi="宋体" w:cs="宋体"/>
          <w:color w:val="auto"/>
          <w:szCs w:val="21"/>
          <w:highlight w:val="none"/>
          <w:lang w:eastAsia="zh-CN"/>
        </w:rPr>
        <w:t>其他</w:t>
      </w:r>
      <w:r>
        <w:rPr>
          <w:rFonts w:hint="eastAsia" w:ascii="宋体" w:hAnsi="宋体" w:cs="宋体"/>
          <w:color w:val="auto"/>
          <w:szCs w:val="21"/>
          <w:highlight w:val="none"/>
        </w:rPr>
        <w:t>单位不予排序。若出现投标人评审综合得分相同的情况，则依次按照其不含增值税报价由低至高排序、技术部分得分由高至低排序、评委票决的顺序确定成交候选人排序。评标委员会推荐中标候选人的人数见第二章投标人须知前附表 6.3.2。</w:t>
      </w:r>
    </w:p>
    <w:p w14:paraId="76EBCA13">
      <w:pPr>
        <w:spacing w:line="360" w:lineRule="auto"/>
        <w:ind w:firstLine="420" w:firstLineChars="200"/>
        <w:rPr>
          <w:rFonts w:ascii="宋体"/>
          <w:color w:val="auto"/>
          <w:sz w:val="24"/>
          <w:highlight w:val="none"/>
        </w:rPr>
      </w:pPr>
      <w:r>
        <w:rPr>
          <w:rFonts w:hint="eastAsia" w:ascii="宋体" w:hAnsi="宋体" w:cs="宋体"/>
          <w:color w:val="auto"/>
          <w:szCs w:val="21"/>
          <w:highlight w:val="none"/>
        </w:rPr>
        <w:t>3.4.2评标委员会完成评标后，应当向招标人提交书面评标报告和中标候选人名单</w:t>
      </w:r>
      <w:r>
        <w:rPr>
          <w:rFonts w:ascii="宋体" w:hAnsi="宋体"/>
          <w:color w:val="auto"/>
          <w:szCs w:val="21"/>
          <w:highlight w:val="none"/>
        </w:rPr>
        <w:t>。</w:t>
      </w:r>
    </w:p>
    <w:p w14:paraId="2344F325">
      <w:pPr>
        <w:widowControl/>
        <w:wordWrap w:val="0"/>
        <w:spacing w:line="360" w:lineRule="auto"/>
        <w:jc w:val="left"/>
        <w:rPr>
          <w:rFonts w:hint="eastAsia" w:ascii="黑体" w:hAnsi="黑体" w:eastAsia="黑体"/>
          <w:b/>
          <w:color w:val="auto"/>
          <w:sz w:val="44"/>
          <w:szCs w:val="44"/>
          <w:highlight w:val="none"/>
        </w:rPr>
      </w:pPr>
    </w:p>
    <w:p w14:paraId="3BAFD61D">
      <w:pPr>
        <w:pStyle w:val="273"/>
        <w:wordWrap w:val="0"/>
        <w:jc w:val="both"/>
        <w:rPr>
          <w:highlight w:val="none"/>
        </w:rPr>
      </w:pPr>
    </w:p>
    <w:bookmarkEnd w:id="4"/>
    <w:p w14:paraId="1B53D78B">
      <w:pPr>
        <w:widowControl/>
        <w:wordWrap w:val="0"/>
        <w:spacing w:line="360" w:lineRule="auto"/>
        <w:jc w:val="left"/>
        <w:rPr>
          <w:rFonts w:hint="eastAsia" w:ascii="黑体" w:hAnsi="黑体" w:eastAsia="黑体"/>
          <w:b/>
          <w:color w:val="auto"/>
          <w:sz w:val="44"/>
          <w:szCs w:val="44"/>
          <w:highlight w:val="none"/>
        </w:rPr>
      </w:pPr>
      <w:r>
        <w:rPr>
          <w:rFonts w:hAnsi="黑体"/>
          <w:color w:val="auto"/>
          <w:sz w:val="44"/>
          <w:szCs w:val="44"/>
          <w:highlight w:val="none"/>
        </w:rPr>
        <w:br w:type="page"/>
      </w:r>
    </w:p>
    <w:p w14:paraId="7A80A7B0">
      <w:pPr>
        <w:pStyle w:val="2"/>
        <w:wordWrap w:val="0"/>
        <w:spacing w:line="360" w:lineRule="auto"/>
        <w:ind w:left="0" w:firstLine="0"/>
        <w:jc w:val="center"/>
        <w:rPr>
          <w:rFonts w:hint="eastAsia" w:hAnsi="黑体"/>
          <w:color w:val="auto"/>
          <w:sz w:val="44"/>
          <w:szCs w:val="44"/>
          <w:highlight w:val="none"/>
        </w:rPr>
      </w:pPr>
      <w:bookmarkStart w:id="5" w:name="_Toc4396"/>
      <w:r>
        <w:rPr>
          <w:rFonts w:hAnsi="黑体"/>
          <w:color w:val="auto"/>
          <w:sz w:val="44"/>
          <w:szCs w:val="44"/>
          <w:highlight w:val="none"/>
        </w:rPr>
        <w:t>第四章</w:t>
      </w:r>
      <w:r>
        <w:rPr>
          <w:rFonts w:hint="eastAsia" w:hAnsi="黑体"/>
          <w:color w:val="auto"/>
          <w:sz w:val="44"/>
          <w:szCs w:val="44"/>
          <w:highlight w:val="none"/>
        </w:rPr>
        <w:t xml:space="preserve"> </w:t>
      </w:r>
      <w:r>
        <w:rPr>
          <w:rFonts w:hAnsi="黑体"/>
          <w:color w:val="auto"/>
          <w:sz w:val="44"/>
          <w:szCs w:val="44"/>
          <w:highlight w:val="none"/>
        </w:rPr>
        <w:t>合同条款及格式</w:t>
      </w:r>
      <w:bookmarkEnd w:id="5"/>
    </w:p>
    <w:p w14:paraId="19E583F6">
      <w:pPr>
        <w:keepNext w:val="0"/>
        <w:keepLines w:val="0"/>
        <w:pageBreakBefore w:val="0"/>
        <w:widowControl w:val="0"/>
        <w:tabs>
          <w:tab w:val="left" w:pos="8364"/>
        </w:tabs>
        <w:kinsoku/>
        <w:wordWrap w:val="0"/>
        <w:topLinePunct w:val="0"/>
        <w:autoSpaceDE w:val="0"/>
        <w:autoSpaceDN w:val="0"/>
        <w:bidi w:val="0"/>
        <w:adjustRightInd w:val="0"/>
        <w:snapToGrid w:val="0"/>
        <w:spacing w:line="360" w:lineRule="auto"/>
        <w:jc w:val="center"/>
        <w:rPr>
          <w:rFonts w:hint="default" w:ascii="黑体" w:hAnsi="黑体" w:eastAsia="黑体"/>
          <w:b/>
          <w:color w:val="0D0D0D"/>
          <w:sz w:val="28"/>
          <w:szCs w:val="32"/>
          <w:highlight w:val="none"/>
          <w:u w:val="single"/>
          <w:lang w:val="en-US" w:eastAsia="zh-CN"/>
        </w:rPr>
      </w:pPr>
      <w:bookmarkStart w:id="6" w:name="_Toc31773"/>
      <w:bookmarkStart w:id="7" w:name="_Toc18037"/>
      <w:bookmarkStart w:id="8" w:name="_Toc300920667"/>
      <w:r>
        <w:rPr>
          <w:rFonts w:hint="eastAsia" w:ascii="黑体" w:hAnsi="黑体" w:eastAsia="黑体"/>
          <w:b/>
          <w:color w:val="0D0D0D"/>
          <w:sz w:val="28"/>
          <w:szCs w:val="32"/>
          <w:highlight w:val="none"/>
          <w:u w:val="single"/>
          <w:lang w:val="en-US" w:eastAsia="zh-CN"/>
        </w:rPr>
        <w:t>长沙穗城轨道交通有限公司</w:t>
      </w:r>
    </w:p>
    <w:p w14:paraId="38BE5D5F">
      <w:pPr>
        <w:keepNext w:val="0"/>
        <w:keepLines w:val="0"/>
        <w:pageBreakBefore w:val="0"/>
        <w:widowControl w:val="0"/>
        <w:tabs>
          <w:tab w:val="left" w:pos="8364"/>
        </w:tabs>
        <w:kinsoku/>
        <w:wordWrap w:val="0"/>
        <w:topLinePunct w:val="0"/>
        <w:autoSpaceDE w:val="0"/>
        <w:autoSpaceDN w:val="0"/>
        <w:bidi w:val="0"/>
        <w:adjustRightInd w:val="0"/>
        <w:snapToGrid w:val="0"/>
        <w:spacing w:line="360" w:lineRule="auto"/>
        <w:jc w:val="center"/>
        <w:rPr>
          <w:rFonts w:hint="eastAsia" w:ascii="宋体" w:hAnsi="宋体"/>
          <w:b/>
          <w:bCs/>
          <w:snapToGrid w:val="0"/>
          <w:color w:val="0D0D0D"/>
          <w:kern w:val="0"/>
          <w:sz w:val="20"/>
          <w:szCs w:val="21"/>
          <w:highlight w:val="none"/>
        </w:rPr>
      </w:pPr>
      <w:r>
        <w:rPr>
          <w:rFonts w:hint="eastAsia" w:ascii="黑体" w:hAnsi="黑体" w:eastAsia="黑体"/>
          <w:b/>
          <w:color w:val="0D0D0D"/>
          <w:sz w:val="28"/>
          <w:szCs w:val="32"/>
          <w:highlight w:val="none"/>
          <w:u w:val="single"/>
          <w:lang w:val="en-US" w:eastAsia="zh-CN"/>
        </w:rPr>
        <w:t>2025-2028年网络安全服务项目</w:t>
      </w:r>
      <w:r>
        <w:rPr>
          <w:rFonts w:hint="eastAsia" w:ascii="黑体" w:hAnsi="黑体" w:eastAsia="黑体"/>
          <w:b/>
          <w:color w:val="0D0D0D"/>
          <w:sz w:val="28"/>
          <w:szCs w:val="32"/>
          <w:highlight w:val="none"/>
        </w:rPr>
        <w:t>合同</w:t>
      </w:r>
    </w:p>
    <w:p w14:paraId="1CF68543">
      <w:pPr>
        <w:keepNext w:val="0"/>
        <w:keepLines w:val="0"/>
        <w:pageBreakBefore w:val="0"/>
        <w:widowControl w:val="0"/>
        <w:kinsoku/>
        <w:wordWrap w:val="0"/>
        <w:topLinePunct w:val="0"/>
        <w:autoSpaceDE w:val="0"/>
        <w:autoSpaceDN w:val="0"/>
        <w:bidi w:val="0"/>
        <w:spacing w:line="360" w:lineRule="auto"/>
        <w:jc w:val="right"/>
        <w:rPr>
          <w:rFonts w:hint="default" w:eastAsia="宋体"/>
          <w:color w:val="0D0D0D"/>
          <w:highlight w:val="none"/>
          <w:lang w:val="en-US" w:eastAsia="zh-CN"/>
        </w:rPr>
      </w:pPr>
      <w:r>
        <w:rPr>
          <w:rFonts w:hint="eastAsia"/>
          <w:color w:val="0D0D0D"/>
          <w:highlight w:val="none"/>
        </w:rPr>
        <w:t>合同编号：</w:t>
      </w:r>
      <w:r>
        <w:rPr>
          <w:rFonts w:hint="eastAsia"/>
          <w:color w:val="0D0D0D"/>
          <w:highlight w:val="none"/>
          <w:lang w:val="en-US" w:eastAsia="zh-CN"/>
        </w:rPr>
        <w:t xml:space="preserve">         </w:t>
      </w:r>
    </w:p>
    <w:p w14:paraId="1E87E3B6">
      <w:pPr>
        <w:keepNext w:val="0"/>
        <w:keepLines w:val="0"/>
        <w:pageBreakBefore w:val="0"/>
        <w:widowControl w:val="0"/>
        <w:kinsoku/>
        <w:wordWrap w:val="0"/>
        <w:topLinePunct w:val="0"/>
        <w:autoSpaceDE w:val="0"/>
        <w:autoSpaceDN w:val="0"/>
        <w:bidi w:val="0"/>
        <w:spacing w:line="360" w:lineRule="auto"/>
        <w:jc w:val="right"/>
        <w:rPr>
          <w:rFonts w:hint="eastAsia"/>
          <w:color w:val="0D0D0D"/>
          <w:highlight w:val="none"/>
        </w:rPr>
      </w:pPr>
    </w:p>
    <w:p w14:paraId="6AC76200">
      <w:pPr>
        <w:keepNext w:val="0"/>
        <w:keepLines w:val="0"/>
        <w:pageBreakBefore w:val="0"/>
        <w:widowControl w:val="0"/>
        <w:kinsoku/>
        <w:wordWrap w:val="0"/>
        <w:topLinePunct w:val="0"/>
        <w:autoSpaceDE w:val="0"/>
        <w:autoSpaceDN w:val="0"/>
        <w:bidi w:val="0"/>
        <w:spacing w:line="360" w:lineRule="auto"/>
        <w:rPr>
          <w:rFonts w:hint="eastAsia"/>
          <w:color w:val="0D0D0D"/>
          <w:highlight w:val="none"/>
        </w:rPr>
      </w:pPr>
      <w:r>
        <w:rPr>
          <w:rFonts w:hint="eastAsia"/>
          <w:color w:val="0D0D0D"/>
          <w:highlight w:val="none"/>
        </w:rPr>
        <w:t>甲方：长沙穗城轨道交通有限公司</w:t>
      </w:r>
    </w:p>
    <w:p w14:paraId="41911202">
      <w:pPr>
        <w:keepNext w:val="0"/>
        <w:keepLines w:val="0"/>
        <w:pageBreakBefore w:val="0"/>
        <w:widowControl w:val="0"/>
        <w:kinsoku/>
        <w:wordWrap w:val="0"/>
        <w:topLinePunct w:val="0"/>
        <w:autoSpaceDE w:val="0"/>
        <w:autoSpaceDN w:val="0"/>
        <w:bidi w:val="0"/>
        <w:spacing w:line="360" w:lineRule="auto"/>
        <w:rPr>
          <w:rFonts w:hint="eastAsia" w:eastAsia="宋体"/>
          <w:color w:val="0D0D0D"/>
          <w:highlight w:val="none"/>
          <w:lang w:val="en-US" w:eastAsia="zh-CN"/>
        </w:rPr>
      </w:pPr>
      <w:r>
        <w:rPr>
          <w:rFonts w:hint="eastAsia"/>
          <w:color w:val="0D0D0D"/>
          <w:highlight w:val="none"/>
        </w:rPr>
        <w:t>法定代表人：</w:t>
      </w:r>
      <w:r>
        <w:rPr>
          <w:rFonts w:hint="eastAsia"/>
          <w:color w:val="0D0D0D"/>
          <w:highlight w:val="none"/>
          <w:lang w:val="en-US" w:eastAsia="zh-CN"/>
        </w:rPr>
        <w:t>曹忠于</w:t>
      </w:r>
    </w:p>
    <w:p w14:paraId="5987F927">
      <w:pPr>
        <w:keepNext w:val="0"/>
        <w:keepLines w:val="0"/>
        <w:pageBreakBefore w:val="0"/>
        <w:widowControl w:val="0"/>
        <w:kinsoku/>
        <w:wordWrap w:val="0"/>
        <w:topLinePunct w:val="0"/>
        <w:autoSpaceDE w:val="0"/>
        <w:autoSpaceDN w:val="0"/>
        <w:bidi w:val="0"/>
        <w:spacing w:line="360" w:lineRule="auto"/>
        <w:rPr>
          <w:color w:val="0D0D0D"/>
          <w:highlight w:val="none"/>
        </w:rPr>
      </w:pPr>
      <w:r>
        <w:rPr>
          <w:rFonts w:hint="eastAsia"/>
          <w:color w:val="0D0D0D"/>
          <w:highlight w:val="none"/>
        </w:rPr>
        <w:t>联系地址：</w:t>
      </w:r>
      <w:r>
        <w:rPr>
          <w:color w:val="0D0D0D"/>
          <w:highlight w:val="none"/>
        </w:rPr>
        <w:t xml:space="preserve"> </w:t>
      </w:r>
      <w:r>
        <w:rPr>
          <w:rFonts w:hint="eastAsia"/>
          <w:color w:val="000000"/>
        </w:rPr>
        <w:t>湖南省长沙县榔梨街道东六路南段85号轨道交通六号线黄梨路车辆段</w:t>
      </w:r>
    </w:p>
    <w:p w14:paraId="10D8099A">
      <w:pPr>
        <w:keepNext w:val="0"/>
        <w:keepLines w:val="0"/>
        <w:pageBreakBefore w:val="0"/>
        <w:widowControl w:val="0"/>
        <w:kinsoku/>
        <w:wordWrap w:val="0"/>
        <w:topLinePunct w:val="0"/>
        <w:autoSpaceDE w:val="0"/>
        <w:autoSpaceDN w:val="0"/>
        <w:bidi w:val="0"/>
        <w:spacing w:line="360" w:lineRule="auto"/>
        <w:rPr>
          <w:rFonts w:hint="eastAsia"/>
          <w:color w:val="0D0D0D"/>
          <w:highlight w:val="none"/>
        </w:rPr>
      </w:pPr>
    </w:p>
    <w:p w14:paraId="358C8995">
      <w:pPr>
        <w:keepNext w:val="0"/>
        <w:keepLines w:val="0"/>
        <w:pageBreakBefore w:val="0"/>
        <w:widowControl w:val="0"/>
        <w:kinsoku/>
        <w:wordWrap w:val="0"/>
        <w:topLinePunct w:val="0"/>
        <w:autoSpaceDE w:val="0"/>
        <w:autoSpaceDN w:val="0"/>
        <w:bidi w:val="0"/>
        <w:spacing w:line="360" w:lineRule="auto"/>
        <w:rPr>
          <w:rFonts w:hint="eastAsia"/>
          <w:color w:val="0D0D0D"/>
          <w:highlight w:val="none"/>
        </w:rPr>
      </w:pPr>
      <w:r>
        <w:rPr>
          <w:rFonts w:hint="eastAsia"/>
          <w:color w:val="0D0D0D"/>
          <w:highlight w:val="none"/>
        </w:rPr>
        <w:t>乙方：</w:t>
      </w:r>
    </w:p>
    <w:p w14:paraId="7ED5EB05">
      <w:pPr>
        <w:keepNext w:val="0"/>
        <w:keepLines w:val="0"/>
        <w:pageBreakBefore w:val="0"/>
        <w:widowControl w:val="0"/>
        <w:kinsoku/>
        <w:wordWrap w:val="0"/>
        <w:topLinePunct w:val="0"/>
        <w:autoSpaceDE w:val="0"/>
        <w:autoSpaceDN w:val="0"/>
        <w:bidi w:val="0"/>
        <w:spacing w:line="360" w:lineRule="auto"/>
        <w:rPr>
          <w:rFonts w:hint="default" w:eastAsia="宋体"/>
          <w:color w:val="0D0D0D"/>
          <w:highlight w:val="none"/>
          <w:lang w:val="en-US" w:eastAsia="zh-CN"/>
        </w:rPr>
      </w:pPr>
      <w:r>
        <w:rPr>
          <w:rFonts w:hint="eastAsia"/>
          <w:color w:val="0D0D0D"/>
          <w:highlight w:val="none"/>
        </w:rPr>
        <w:t>法定代表人：</w:t>
      </w:r>
    </w:p>
    <w:p w14:paraId="465EDA77">
      <w:pPr>
        <w:keepNext w:val="0"/>
        <w:keepLines w:val="0"/>
        <w:pageBreakBefore w:val="0"/>
        <w:widowControl w:val="0"/>
        <w:kinsoku/>
        <w:wordWrap w:val="0"/>
        <w:topLinePunct w:val="0"/>
        <w:autoSpaceDE w:val="0"/>
        <w:autoSpaceDN w:val="0"/>
        <w:bidi w:val="0"/>
        <w:spacing w:line="360" w:lineRule="auto"/>
        <w:rPr>
          <w:rFonts w:hint="default" w:eastAsia="宋体"/>
          <w:color w:val="0D0D0D"/>
          <w:highlight w:val="none"/>
          <w:lang w:val="en-US" w:eastAsia="zh-CN"/>
        </w:rPr>
      </w:pPr>
      <w:r>
        <w:rPr>
          <w:rFonts w:hint="eastAsia"/>
          <w:color w:val="0D0D0D"/>
          <w:highlight w:val="none"/>
        </w:rPr>
        <w:t>联系地址：</w:t>
      </w:r>
    </w:p>
    <w:p w14:paraId="57E0B4F3">
      <w:pPr>
        <w:keepNext w:val="0"/>
        <w:keepLines w:val="0"/>
        <w:pageBreakBefore w:val="0"/>
        <w:widowControl w:val="0"/>
        <w:kinsoku/>
        <w:wordWrap w:val="0"/>
        <w:topLinePunct w:val="0"/>
        <w:autoSpaceDE w:val="0"/>
        <w:autoSpaceDN w:val="0"/>
        <w:bidi w:val="0"/>
        <w:spacing w:line="360" w:lineRule="auto"/>
        <w:rPr>
          <w:rFonts w:hint="eastAsia"/>
          <w:color w:val="0D0D0D"/>
          <w:highlight w:val="none"/>
        </w:rPr>
      </w:pPr>
    </w:p>
    <w:p w14:paraId="42FF1E96">
      <w:pPr>
        <w:keepNext w:val="0"/>
        <w:keepLines w:val="0"/>
        <w:pageBreakBefore w:val="0"/>
        <w:widowControl w:val="0"/>
        <w:kinsoku/>
        <w:wordWrap w:val="0"/>
        <w:topLinePunct w:val="0"/>
        <w:autoSpaceDE w:val="0"/>
        <w:autoSpaceDN w:val="0"/>
        <w:bidi w:val="0"/>
        <w:adjustRightInd w:val="0"/>
        <w:snapToGrid w:val="0"/>
        <w:spacing w:line="360" w:lineRule="auto"/>
        <w:ind w:firstLine="420" w:firstLineChars="200"/>
        <w:rPr>
          <w:rFonts w:hint="eastAsia" w:ascii="宋体" w:hAnsi="宋体"/>
          <w:snapToGrid w:val="0"/>
          <w:color w:val="0D0D0D"/>
          <w:kern w:val="0"/>
          <w:szCs w:val="21"/>
          <w:highlight w:val="none"/>
        </w:rPr>
      </w:pPr>
      <w:r>
        <w:rPr>
          <w:rFonts w:hint="eastAsia"/>
          <w:color w:val="0D0D0D"/>
          <w:highlight w:val="none"/>
        </w:rPr>
        <w:t>甲乙双方根据《中华人民共和国民法典》及其它有关规定，经友好协商，就本项目相关事宜，达成如下协议。</w:t>
      </w:r>
    </w:p>
    <w:p w14:paraId="6819EA73">
      <w:pPr>
        <w:pStyle w:val="2"/>
        <w:keepNext w:val="0"/>
        <w:keepLines w:val="0"/>
        <w:pageBreakBefore w:val="0"/>
        <w:widowControl w:val="0"/>
        <w:numPr>
          <w:ilvl w:val="0"/>
          <w:numId w:val="12"/>
        </w:numPr>
        <w:tabs>
          <w:tab w:val="left" w:pos="720"/>
          <w:tab w:val="clear" w:pos="885"/>
        </w:tabs>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定义和解释</w:t>
      </w:r>
    </w:p>
    <w:p w14:paraId="75B39608">
      <w:pPr>
        <w:keepNext w:val="0"/>
        <w:keepLines w:val="0"/>
        <w:pageBreakBefore w:val="0"/>
        <w:widowControl w:val="0"/>
        <w:numPr>
          <w:ilvl w:val="1"/>
          <w:numId w:val="13"/>
        </w:numPr>
        <w:tabs>
          <w:tab w:val="left" w:pos="426"/>
        </w:tabs>
        <w:kinsoku/>
        <w:wordWrap w:val="0"/>
        <w:topLinePunct w:val="0"/>
        <w:autoSpaceDE w:val="0"/>
        <w:autoSpaceDN w:val="0"/>
        <w:bidi w:val="0"/>
        <w:adjustRightInd w:val="0"/>
        <w:snapToGrid w:val="0"/>
        <w:spacing w:line="360" w:lineRule="auto"/>
        <w:rPr>
          <w:rFonts w:hint="eastAsia" w:ascii="宋体" w:hAnsi="宋体"/>
          <w:color w:val="0D0D0D"/>
          <w:szCs w:val="20"/>
          <w:highlight w:val="none"/>
        </w:rPr>
      </w:pPr>
      <w:bookmarkStart w:id="9" w:name="OLE_LINK2"/>
      <w:bookmarkStart w:id="10" w:name="OLE_LINK1"/>
      <w:r>
        <w:rPr>
          <w:rFonts w:hint="eastAsia" w:ascii="宋体" w:hAnsi="宋体"/>
          <w:color w:val="0D0D0D"/>
          <w:szCs w:val="20"/>
          <w:highlight w:val="none"/>
        </w:rPr>
        <w:t>项目或本项目：是指</w:t>
      </w:r>
      <w:r>
        <w:rPr>
          <w:rFonts w:hint="eastAsia" w:ascii="宋体" w:hAnsi="宋体" w:cs="宋体"/>
          <w:color w:val="0D0D0D" w:themeColor="text1" w:themeTint="F2"/>
          <w:szCs w:val="21"/>
          <w:highlight w:val="none"/>
          <w:lang w:eastAsia="zh-CN"/>
          <w14:textFill>
            <w14:solidFill>
              <w14:schemeClr w14:val="tx1">
                <w14:lumMod w14:val="95000"/>
                <w14:lumOff w14:val="5000"/>
              </w14:schemeClr>
            </w14:solidFill>
          </w14:textFill>
        </w:rPr>
        <w:t>长沙穗城轨道交通有限公司</w:t>
      </w:r>
      <w:r>
        <w:rPr>
          <w:rFonts w:hint="eastAsia" w:ascii="宋体" w:hAnsi="宋体" w:cs="宋体"/>
          <w:snapToGrid w:val="0"/>
          <w:color w:val="0D0D0D" w:themeColor="text1" w:themeTint="F2"/>
          <w:kern w:val="0"/>
          <w:szCs w:val="21"/>
          <w:highlight w:val="none"/>
          <w:lang w:val="en-US" w:eastAsia="zh-CN"/>
          <w14:textFill>
            <w14:solidFill>
              <w14:schemeClr w14:val="tx1">
                <w14:lumMod w14:val="95000"/>
                <w14:lumOff w14:val="5000"/>
              </w14:schemeClr>
            </w14:solidFill>
          </w14:textFill>
        </w:rPr>
        <w:t>2025-2028年网络安全服务项目</w:t>
      </w:r>
      <w:r>
        <w:rPr>
          <w:rFonts w:hint="eastAsia" w:ascii="宋体" w:hAnsi="宋体"/>
          <w:color w:val="0D0D0D"/>
          <w:szCs w:val="20"/>
          <w:highlight w:val="none"/>
        </w:rPr>
        <w:t>。</w:t>
      </w:r>
    </w:p>
    <w:p w14:paraId="7FCBF531">
      <w:pPr>
        <w:keepNext w:val="0"/>
        <w:keepLines w:val="0"/>
        <w:pageBreakBefore w:val="0"/>
        <w:widowControl w:val="0"/>
        <w:numPr>
          <w:ilvl w:val="1"/>
          <w:numId w:val="13"/>
        </w:numPr>
        <w:tabs>
          <w:tab w:val="left" w:pos="426"/>
        </w:tabs>
        <w:kinsoku/>
        <w:wordWrap w:val="0"/>
        <w:topLinePunct w:val="0"/>
        <w:autoSpaceDE w:val="0"/>
        <w:autoSpaceDN w:val="0"/>
        <w:bidi w:val="0"/>
        <w:adjustRightInd w:val="0"/>
        <w:snapToGrid w:val="0"/>
        <w:spacing w:line="360" w:lineRule="auto"/>
        <w:rPr>
          <w:rFonts w:hint="eastAsia" w:ascii="宋体" w:hAnsi="宋体"/>
          <w:color w:val="0D0D0D"/>
          <w:szCs w:val="20"/>
          <w:highlight w:val="none"/>
        </w:rPr>
      </w:pPr>
      <w:r>
        <w:rPr>
          <w:rFonts w:hint="eastAsia" w:ascii="宋体" w:hAnsi="宋体"/>
          <w:color w:val="0D0D0D"/>
          <w:szCs w:val="20"/>
          <w:highlight w:val="none"/>
        </w:rPr>
        <w:t>项目成果：是指乙方按合同约定提交项目综合服务方案</w:t>
      </w:r>
      <w:r>
        <w:rPr>
          <w:rFonts w:hint="eastAsia" w:ascii="宋体" w:hAnsi="宋体"/>
          <w:color w:val="0D0D0D"/>
          <w:szCs w:val="20"/>
          <w:highlight w:val="none"/>
          <w:lang w:eastAsia="zh-CN"/>
        </w:rPr>
        <w:t>、年度服务报告</w:t>
      </w:r>
      <w:r>
        <w:rPr>
          <w:rFonts w:hint="eastAsia" w:ascii="宋体" w:hAnsi="宋体"/>
          <w:color w:val="0D0D0D"/>
          <w:szCs w:val="20"/>
          <w:highlight w:val="none"/>
          <w:lang w:val="en-US" w:eastAsia="zh-CN"/>
        </w:rPr>
        <w:t>等</w:t>
      </w:r>
      <w:r>
        <w:rPr>
          <w:rFonts w:hint="eastAsia" w:ascii="宋体" w:hAnsi="宋体"/>
          <w:color w:val="0D0D0D"/>
          <w:szCs w:val="20"/>
          <w:highlight w:val="none"/>
        </w:rPr>
        <w:t>成果文件等</w:t>
      </w:r>
      <w:r>
        <w:rPr>
          <w:rFonts w:hint="eastAsia" w:ascii="宋体" w:hAnsi="宋体"/>
          <w:color w:val="0D0D0D"/>
          <w:szCs w:val="20"/>
          <w:highlight w:val="none"/>
          <w:lang w:eastAsia="zh-CN"/>
        </w:rPr>
        <w:t>，</w:t>
      </w:r>
      <w:r>
        <w:rPr>
          <w:rFonts w:hint="eastAsia" w:ascii="宋体" w:hAnsi="宋体"/>
          <w:color w:val="0D0D0D"/>
          <w:szCs w:val="20"/>
          <w:highlight w:val="none"/>
        </w:rPr>
        <w:t>具体详见合同附件二用户需求书约定。</w:t>
      </w:r>
    </w:p>
    <w:p w14:paraId="13211E28">
      <w:pPr>
        <w:keepNext w:val="0"/>
        <w:keepLines w:val="0"/>
        <w:pageBreakBefore w:val="0"/>
        <w:widowControl w:val="0"/>
        <w:numPr>
          <w:ilvl w:val="1"/>
          <w:numId w:val="13"/>
        </w:numPr>
        <w:tabs>
          <w:tab w:val="left" w:pos="426"/>
        </w:tabs>
        <w:kinsoku/>
        <w:wordWrap w:val="0"/>
        <w:topLinePunct w:val="0"/>
        <w:autoSpaceDE w:val="0"/>
        <w:autoSpaceDN w:val="0"/>
        <w:bidi w:val="0"/>
        <w:adjustRightInd w:val="0"/>
        <w:snapToGrid w:val="0"/>
        <w:spacing w:line="360" w:lineRule="auto"/>
        <w:rPr>
          <w:rFonts w:hint="eastAsia"/>
        </w:rPr>
      </w:pPr>
      <w:r>
        <w:rPr>
          <w:rFonts w:hint="eastAsia"/>
          <w:lang w:val="en-US" w:eastAsia="zh-CN"/>
        </w:rPr>
        <w:t>项目服务期：自本合同生效之日</w:t>
      </w:r>
      <w:r>
        <w:rPr>
          <w:rFonts w:hint="eastAsia" w:ascii="Times New Roman" w:hAnsi="Times New Roman"/>
          <w:szCs w:val="20"/>
          <w:lang w:val="en-US" w:eastAsia="zh-CN"/>
        </w:rPr>
        <w:t>起</w:t>
      </w:r>
      <w:r>
        <w:rPr>
          <w:rFonts w:hint="eastAsia"/>
          <w:szCs w:val="20"/>
          <w:lang w:val="en-US" w:eastAsia="zh-CN"/>
        </w:rPr>
        <w:t>3</w:t>
      </w:r>
      <w:r>
        <w:rPr>
          <w:rFonts w:hint="eastAsia" w:ascii="Times New Roman" w:hAnsi="Times New Roman"/>
          <w:szCs w:val="20"/>
          <w:u w:val="none"/>
          <w:lang w:val="en-US" w:eastAsia="zh-CN"/>
        </w:rPr>
        <w:t>年。</w:t>
      </w:r>
    </w:p>
    <w:p w14:paraId="275EF0E2">
      <w:pPr>
        <w:keepNext w:val="0"/>
        <w:keepLines w:val="0"/>
        <w:pageBreakBefore w:val="0"/>
        <w:widowControl w:val="0"/>
        <w:numPr>
          <w:ilvl w:val="1"/>
          <w:numId w:val="13"/>
        </w:numPr>
        <w:tabs>
          <w:tab w:val="left" w:pos="426"/>
        </w:tabs>
        <w:kinsoku/>
        <w:wordWrap w:val="0"/>
        <w:topLinePunct w:val="0"/>
        <w:autoSpaceDE w:val="0"/>
        <w:autoSpaceDN w:val="0"/>
        <w:bidi w:val="0"/>
        <w:adjustRightInd w:val="0"/>
        <w:snapToGrid w:val="0"/>
        <w:spacing w:line="360" w:lineRule="auto"/>
        <w:rPr>
          <w:rFonts w:hint="eastAsia" w:ascii="宋体" w:hAnsi="宋体"/>
          <w:color w:val="0D0D0D"/>
          <w:szCs w:val="20"/>
          <w:highlight w:val="none"/>
        </w:rPr>
      </w:pPr>
      <w:r>
        <w:rPr>
          <w:rFonts w:hint="eastAsia" w:ascii="宋体" w:hAnsi="宋体"/>
          <w:color w:val="0D0D0D"/>
          <w:szCs w:val="20"/>
          <w:highlight w:val="none"/>
        </w:rPr>
        <w:t>下列文件应被视作为本合同的有效组成部分：</w:t>
      </w:r>
    </w:p>
    <w:p w14:paraId="26ED9FB0">
      <w:pPr>
        <w:keepNext w:val="0"/>
        <w:keepLines w:val="0"/>
        <w:pageBreakBefore w:val="0"/>
        <w:widowControl w:val="0"/>
        <w:numPr>
          <w:ilvl w:val="0"/>
          <w:numId w:val="14"/>
        </w:numPr>
        <w:tabs>
          <w:tab w:val="left" w:pos="1080"/>
          <w:tab w:val="clear" w:pos="857"/>
        </w:tabs>
        <w:kinsoku/>
        <w:wordWrap w:val="0"/>
        <w:topLinePunct w:val="0"/>
        <w:autoSpaceDE w:val="0"/>
        <w:autoSpaceDN w:val="0"/>
        <w:bidi w:val="0"/>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本合同的附件及补充协议；</w:t>
      </w:r>
    </w:p>
    <w:p w14:paraId="127FEB10">
      <w:pPr>
        <w:keepNext w:val="0"/>
        <w:keepLines w:val="0"/>
        <w:pageBreakBefore w:val="0"/>
        <w:widowControl w:val="0"/>
        <w:numPr>
          <w:ilvl w:val="0"/>
          <w:numId w:val="14"/>
        </w:numPr>
        <w:tabs>
          <w:tab w:val="left" w:pos="1080"/>
          <w:tab w:val="clear" w:pos="857"/>
        </w:tabs>
        <w:kinsoku/>
        <w:wordWrap w:val="0"/>
        <w:topLinePunct w:val="0"/>
        <w:autoSpaceDE w:val="0"/>
        <w:autoSpaceDN w:val="0"/>
        <w:bidi w:val="0"/>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甲方发出的公开</w:t>
      </w:r>
      <w:r>
        <w:rPr>
          <w:rFonts w:hint="eastAsia" w:ascii="宋体" w:hAnsi="宋体"/>
          <w:snapToGrid w:val="0"/>
          <w:color w:val="0D0D0D"/>
          <w:kern w:val="0"/>
          <w:szCs w:val="21"/>
          <w:highlight w:val="none"/>
          <w:lang w:val="en-US" w:eastAsia="zh-CN"/>
        </w:rPr>
        <w:t>公告文件</w:t>
      </w:r>
      <w:r>
        <w:rPr>
          <w:rFonts w:hint="eastAsia" w:ascii="宋体" w:hAnsi="宋体"/>
          <w:snapToGrid w:val="0"/>
          <w:color w:val="0D0D0D"/>
          <w:kern w:val="0"/>
          <w:szCs w:val="21"/>
          <w:highlight w:val="none"/>
        </w:rPr>
        <w:t>及其修改补充文件；</w:t>
      </w:r>
    </w:p>
    <w:p w14:paraId="1E3B73C4">
      <w:pPr>
        <w:keepNext w:val="0"/>
        <w:keepLines w:val="0"/>
        <w:pageBreakBefore w:val="0"/>
        <w:widowControl w:val="0"/>
        <w:numPr>
          <w:ilvl w:val="0"/>
          <w:numId w:val="14"/>
        </w:numPr>
        <w:tabs>
          <w:tab w:val="left" w:pos="1080"/>
          <w:tab w:val="clear" w:pos="857"/>
        </w:tabs>
        <w:kinsoku/>
        <w:wordWrap w:val="0"/>
        <w:topLinePunct w:val="0"/>
        <w:autoSpaceDE w:val="0"/>
        <w:autoSpaceDN w:val="0"/>
        <w:bidi w:val="0"/>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乙方提交的响应文件及其修改澄清文件；</w:t>
      </w:r>
    </w:p>
    <w:p w14:paraId="65BAF02E">
      <w:pPr>
        <w:keepNext w:val="0"/>
        <w:keepLines w:val="0"/>
        <w:pageBreakBefore w:val="0"/>
        <w:widowControl w:val="0"/>
        <w:numPr>
          <w:ilvl w:val="0"/>
          <w:numId w:val="14"/>
        </w:numPr>
        <w:tabs>
          <w:tab w:val="left" w:pos="1080"/>
          <w:tab w:val="clear" w:pos="857"/>
        </w:tabs>
        <w:kinsoku/>
        <w:wordWrap w:val="0"/>
        <w:topLinePunct w:val="0"/>
        <w:autoSpaceDE w:val="0"/>
        <w:autoSpaceDN w:val="0"/>
        <w:bidi w:val="0"/>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甲方向乙方发出的《中</w:t>
      </w:r>
      <w:r>
        <w:rPr>
          <w:rFonts w:hint="eastAsia" w:ascii="宋体" w:hAnsi="宋体"/>
          <w:snapToGrid w:val="0"/>
          <w:color w:val="0D0D0D"/>
          <w:kern w:val="0"/>
          <w:szCs w:val="21"/>
          <w:highlight w:val="none"/>
          <w:lang w:val="en-US" w:eastAsia="zh-CN"/>
        </w:rPr>
        <w:t>标</w:t>
      </w:r>
      <w:r>
        <w:rPr>
          <w:rFonts w:hint="eastAsia" w:ascii="宋体" w:hAnsi="宋体"/>
          <w:snapToGrid w:val="0"/>
          <w:color w:val="0D0D0D"/>
          <w:kern w:val="0"/>
          <w:szCs w:val="21"/>
          <w:highlight w:val="none"/>
        </w:rPr>
        <w:t>通知书》。</w:t>
      </w:r>
    </w:p>
    <w:p w14:paraId="3B271F3F">
      <w:pPr>
        <w:keepNext w:val="0"/>
        <w:keepLines w:val="0"/>
        <w:pageBreakBefore w:val="0"/>
        <w:widowControl w:val="0"/>
        <w:kinsoku/>
        <w:wordWrap w:val="0"/>
        <w:topLinePunct w:val="0"/>
        <w:autoSpaceDE w:val="0"/>
        <w:autoSpaceDN w:val="0"/>
        <w:bidi w:val="0"/>
        <w:adjustRightInd w:val="0"/>
        <w:snapToGrid w:val="0"/>
        <w:spacing w:line="360" w:lineRule="auto"/>
        <w:ind w:firstLine="420" w:firstLineChars="200"/>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若上述文件对相关事项的约定不相一致，以日期在后的文件约定为准</w:t>
      </w:r>
      <w:bookmarkEnd w:id="9"/>
      <w:bookmarkEnd w:id="10"/>
      <w:r>
        <w:rPr>
          <w:rFonts w:hint="eastAsia" w:ascii="宋体" w:hAnsi="宋体"/>
          <w:snapToGrid w:val="0"/>
          <w:color w:val="0D0D0D"/>
          <w:kern w:val="0"/>
          <w:szCs w:val="21"/>
          <w:highlight w:val="none"/>
        </w:rPr>
        <w:t>。</w:t>
      </w:r>
    </w:p>
    <w:p w14:paraId="4F36461B">
      <w:pPr>
        <w:pStyle w:val="2"/>
        <w:keepNext w:val="0"/>
        <w:keepLines w:val="0"/>
        <w:pageBreakBefore w:val="0"/>
        <w:widowControl w:val="0"/>
        <w:numPr>
          <w:ilvl w:val="0"/>
          <w:numId w:val="12"/>
        </w:numPr>
        <w:tabs>
          <w:tab w:val="left" w:pos="720"/>
          <w:tab w:val="clear" w:pos="885"/>
        </w:tabs>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合同范围</w:t>
      </w:r>
    </w:p>
    <w:p w14:paraId="7B067DBB">
      <w:pPr>
        <w:keepNext w:val="0"/>
        <w:keepLines w:val="0"/>
        <w:pageBreakBefore w:val="0"/>
        <w:widowControl w:val="0"/>
        <w:numPr>
          <w:ilvl w:val="1"/>
          <w:numId w:val="12"/>
        </w:numPr>
        <w:tabs>
          <w:tab w:val="left" w:pos="284"/>
          <w:tab w:val="left" w:pos="426"/>
          <w:tab w:val="left" w:pos="599"/>
        </w:tabs>
        <w:kinsoku/>
        <w:wordWrap w:val="0"/>
        <w:topLinePunct w:val="0"/>
        <w:autoSpaceDE w:val="0"/>
        <w:autoSpaceDN w:val="0"/>
        <w:bidi w:val="0"/>
        <w:adjustRightInd w:val="0"/>
        <w:spacing w:line="360" w:lineRule="auto"/>
        <w:ind w:left="420" w:leftChars="0" w:hanging="420" w:firstLineChars="0"/>
        <w:rPr>
          <w:rFonts w:ascii="宋体" w:hAnsi="宋体"/>
          <w:color w:val="0D0D0D"/>
          <w:szCs w:val="20"/>
          <w:highlight w:val="none"/>
        </w:rPr>
      </w:pPr>
      <w:r>
        <w:rPr>
          <w:rFonts w:hint="eastAsia" w:ascii="宋体" w:hAnsi="宋体"/>
          <w:color w:val="0D0D0D"/>
          <w:szCs w:val="20"/>
          <w:highlight w:val="none"/>
        </w:rPr>
        <w:t>乙方在本合同项下为甲方提供以下服务，具体详见合同附件二用户需求书约定。</w:t>
      </w:r>
    </w:p>
    <w:p w14:paraId="42400F3B">
      <w:pPr>
        <w:numPr>
          <w:ilvl w:val="0"/>
          <w:numId w:val="15"/>
        </w:numPr>
        <w:tabs>
          <w:tab w:val="left" w:pos="1080"/>
        </w:tabs>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u w:val="none"/>
          <w:lang w:val="en-US" w:eastAsia="zh-CN"/>
        </w:rPr>
        <w:t>现场驻场人员服务</w:t>
      </w:r>
      <w:r>
        <w:rPr>
          <w:rFonts w:hint="eastAsia" w:ascii="宋体" w:hAnsi="宋体"/>
          <w:snapToGrid w:val="0"/>
          <w:color w:val="0D0D0D"/>
          <w:kern w:val="0"/>
          <w:szCs w:val="21"/>
          <w:highlight w:val="none"/>
        </w:rPr>
        <w:t>；</w:t>
      </w:r>
    </w:p>
    <w:p w14:paraId="3124DCAB">
      <w:pPr>
        <w:numPr>
          <w:ilvl w:val="0"/>
          <w:numId w:val="15"/>
        </w:numPr>
        <w:tabs>
          <w:tab w:val="left" w:pos="1080"/>
        </w:tabs>
        <w:adjustRightInd w:val="0"/>
        <w:snapToGrid w:val="0"/>
        <w:spacing w:line="360" w:lineRule="auto"/>
        <w:ind w:hanging="715"/>
        <w:rPr>
          <w:rFonts w:hint="eastAsia"/>
        </w:rPr>
      </w:pPr>
      <w:r>
        <w:rPr>
          <w:rFonts w:hint="eastAsia"/>
          <w:lang w:val="en-US" w:eastAsia="zh-CN"/>
        </w:rPr>
        <w:t>网络防护安全服务；</w:t>
      </w:r>
    </w:p>
    <w:p w14:paraId="1DB47539">
      <w:pPr>
        <w:numPr>
          <w:ilvl w:val="0"/>
          <w:numId w:val="15"/>
        </w:numPr>
        <w:tabs>
          <w:tab w:val="left" w:pos="1080"/>
        </w:tabs>
        <w:adjustRightInd w:val="0"/>
        <w:snapToGrid w:val="0"/>
        <w:spacing w:line="360" w:lineRule="auto"/>
        <w:ind w:hanging="715"/>
        <w:rPr>
          <w:rFonts w:hint="eastAsia"/>
        </w:rPr>
      </w:pPr>
      <w:r>
        <w:rPr>
          <w:rFonts w:hint="eastAsia"/>
          <w:lang w:val="en-US" w:eastAsia="zh-CN"/>
        </w:rPr>
        <w:t>系统安全测评服务；</w:t>
      </w:r>
    </w:p>
    <w:p w14:paraId="7B1C239C">
      <w:pPr>
        <w:numPr>
          <w:ilvl w:val="0"/>
          <w:numId w:val="15"/>
        </w:numPr>
        <w:tabs>
          <w:tab w:val="left" w:pos="1080"/>
        </w:tabs>
        <w:adjustRightInd w:val="0"/>
        <w:snapToGrid w:val="0"/>
        <w:spacing w:line="360" w:lineRule="auto"/>
        <w:ind w:hanging="715"/>
        <w:rPr>
          <w:rFonts w:hint="eastAsia"/>
        </w:rPr>
      </w:pPr>
      <w:r>
        <w:rPr>
          <w:rFonts w:hint="eastAsia"/>
          <w:lang w:val="en-US" w:eastAsia="zh-CN"/>
        </w:rPr>
        <w:t>网络安全保障；</w:t>
      </w:r>
    </w:p>
    <w:p w14:paraId="284960FC">
      <w:pPr>
        <w:numPr>
          <w:ilvl w:val="0"/>
          <w:numId w:val="15"/>
        </w:numPr>
        <w:tabs>
          <w:tab w:val="left" w:pos="1080"/>
        </w:tabs>
        <w:adjustRightInd w:val="0"/>
        <w:snapToGrid w:val="0"/>
        <w:spacing w:line="360" w:lineRule="auto"/>
        <w:ind w:hanging="715"/>
        <w:rPr>
          <w:rFonts w:hint="eastAsia"/>
        </w:rPr>
      </w:pPr>
      <w:r>
        <w:rPr>
          <w:rFonts w:hint="eastAsia"/>
          <w:lang w:val="en-US" w:eastAsia="zh-CN"/>
        </w:rPr>
        <w:t>安全培训服务；</w:t>
      </w:r>
    </w:p>
    <w:p w14:paraId="44DB3174">
      <w:pPr>
        <w:numPr>
          <w:ilvl w:val="0"/>
          <w:numId w:val="15"/>
        </w:numPr>
        <w:tabs>
          <w:tab w:val="left" w:pos="1080"/>
        </w:tabs>
        <w:adjustRightInd w:val="0"/>
        <w:snapToGrid w:val="0"/>
        <w:spacing w:line="360" w:lineRule="auto"/>
        <w:ind w:hanging="715"/>
        <w:rPr>
          <w:rFonts w:hint="eastAsia"/>
        </w:rPr>
      </w:pPr>
      <w:r>
        <w:rPr>
          <w:rFonts w:hint="eastAsia"/>
          <w:lang w:val="en-US" w:eastAsia="zh-CN"/>
        </w:rPr>
        <w:t>网络安全支持服务。</w:t>
      </w:r>
    </w:p>
    <w:p w14:paraId="62216056">
      <w:pPr>
        <w:pStyle w:val="2"/>
        <w:keepNext w:val="0"/>
        <w:keepLines w:val="0"/>
        <w:pageBreakBefore w:val="0"/>
        <w:widowControl w:val="0"/>
        <w:numPr>
          <w:ilvl w:val="0"/>
          <w:numId w:val="12"/>
        </w:numPr>
        <w:tabs>
          <w:tab w:val="left" w:pos="720"/>
          <w:tab w:val="clear" w:pos="885"/>
        </w:tabs>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合同</w:t>
      </w:r>
      <w:r>
        <w:rPr>
          <w:rFonts w:hint="eastAsia" w:ascii="宋体" w:hAnsi="宋体"/>
          <w:snapToGrid w:val="0"/>
          <w:color w:val="0D0D0D"/>
          <w:kern w:val="0"/>
          <w:sz w:val="21"/>
          <w:szCs w:val="21"/>
          <w:highlight w:val="none"/>
          <w:lang w:val="en-US" w:eastAsia="zh-CN"/>
        </w:rPr>
        <w:t>价款</w:t>
      </w:r>
    </w:p>
    <w:p w14:paraId="16B665A0">
      <w:pPr>
        <w:keepNext w:val="0"/>
        <w:keepLines w:val="0"/>
        <w:pageBreakBefore w:val="0"/>
        <w:widowControl w:val="0"/>
        <w:numPr>
          <w:ilvl w:val="1"/>
          <w:numId w:val="12"/>
        </w:numPr>
        <w:tabs>
          <w:tab w:val="left" w:pos="284"/>
          <w:tab w:val="left" w:pos="426"/>
          <w:tab w:val="left" w:pos="599"/>
        </w:tabs>
        <w:kinsoku/>
        <w:wordWrap w:val="0"/>
        <w:topLinePunct w:val="0"/>
        <w:autoSpaceDE w:val="0"/>
        <w:autoSpaceDN w:val="0"/>
        <w:bidi w:val="0"/>
        <w:adjustRightInd w:val="0"/>
        <w:spacing w:line="360" w:lineRule="auto"/>
        <w:ind w:left="420" w:leftChars="0" w:hanging="420" w:firstLineChars="0"/>
        <w:rPr>
          <w:rFonts w:hint="eastAsia" w:ascii="宋体" w:hAnsi="宋体"/>
          <w:color w:val="0D0D0D"/>
          <w:szCs w:val="20"/>
          <w:highlight w:val="none"/>
        </w:rPr>
      </w:pPr>
      <w:r>
        <w:rPr>
          <w:rFonts w:hint="eastAsia" w:ascii="宋体" w:hAnsi="宋体"/>
          <w:color w:val="0D0D0D"/>
          <w:szCs w:val="20"/>
          <w:highlight w:val="none"/>
          <w:lang w:val="en-US" w:eastAsia="zh-CN"/>
        </w:rPr>
        <w:t>本合同为单价包干合同，合同暂定总价为人民币          元整（￥      元），其中不含税价为人民币        元，税费为人民币      元，具体构成详见合同附件一；。</w:t>
      </w:r>
    </w:p>
    <w:p w14:paraId="331DFDA8">
      <w:pPr>
        <w:keepNext w:val="0"/>
        <w:keepLines w:val="0"/>
        <w:pageBreakBefore w:val="0"/>
        <w:widowControl w:val="0"/>
        <w:numPr>
          <w:ilvl w:val="1"/>
          <w:numId w:val="12"/>
        </w:numPr>
        <w:tabs>
          <w:tab w:val="left" w:pos="284"/>
          <w:tab w:val="left" w:pos="426"/>
          <w:tab w:val="left" w:pos="599"/>
        </w:tabs>
        <w:kinsoku/>
        <w:wordWrap w:val="0"/>
        <w:topLinePunct w:val="0"/>
        <w:autoSpaceDE w:val="0"/>
        <w:autoSpaceDN w:val="0"/>
        <w:bidi w:val="0"/>
        <w:adjustRightInd w:val="0"/>
        <w:spacing w:line="360" w:lineRule="auto"/>
        <w:ind w:left="420" w:leftChars="0" w:hanging="420" w:firstLineChars="0"/>
        <w:rPr>
          <w:rFonts w:ascii="宋体" w:hAnsi="宋体"/>
          <w:color w:val="0D0D0D"/>
          <w:szCs w:val="20"/>
          <w:highlight w:val="none"/>
        </w:rPr>
      </w:pPr>
      <w:r>
        <w:rPr>
          <w:rFonts w:hint="eastAsia" w:ascii="宋体" w:hAnsi="宋体"/>
          <w:color w:val="0D0D0D"/>
          <w:szCs w:val="20"/>
          <w:highlight w:val="none"/>
        </w:rPr>
        <w:t>本项目合同</w:t>
      </w:r>
      <w:r>
        <w:rPr>
          <w:rFonts w:hint="eastAsia" w:ascii="宋体" w:hAnsi="宋体"/>
          <w:color w:val="0D0D0D"/>
          <w:szCs w:val="20"/>
          <w:highlight w:val="none"/>
          <w:lang w:val="en-US" w:eastAsia="zh-CN"/>
        </w:rPr>
        <w:t>单</w:t>
      </w:r>
      <w:r>
        <w:rPr>
          <w:rFonts w:hint="eastAsia" w:ascii="宋体" w:hAnsi="宋体"/>
          <w:color w:val="0D0D0D"/>
          <w:szCs w:val="20"/>
          <w:highlight w:val="none"/>
        </w:rPr>
        <w:t>价为含税金额，发票税金包含在合同价格中。</w:t>
      </w:r>
    </w:p>
    <w:p w14:paraId="41D33B08">
      <w:pPr>
        <w:keepNext w:val="0"/>
        <w:keepLines w:val="0"/>
        <w:pageBreakBefore w:val="0"/>
        <w:widowControl w:val="0"/>
        <w:numPr>
          <w:ilvl w:val="1"/>
          <w:numId w:val="12"/>
        </w:numPr>
        <w:tabs>
          <w:tab w:val="left" w:pos="284"/>
          <w:tab w:val="left" w:pos="426"/>
          <w:tab w:val="left" w:pos="599"/>
        </w:tabs>
        <w:kinsoku/>
        <w:wordWrap w:val="0"/>
        <w:topLinePunct w:val="0"/>
        <w:autoSpaceDE w:val="0"/>
        <w:autoSpaceDN w:val="0"/>
        <w:bidi w:val="0"/>
        <w:adjustRightInd w:val="0"/>
        <w:spacing w:line="360" w:lineRule="auto"/>
        <w:ind w:left="420" w:leftChars="0" w:hanging="420" w:firstLineChars="0"/>
        <w:rPr>
          <w:rFonts w:hint="eastAsia" w:ascii="宋体" w:hAnsi="宋体"/>
          <w:color w:val="0D0D0D"/>
          <w:szCs w:val="20"/>
          <w:highlight w:val="none"/>
        </w:rPr>
      </w:pPr>
      <w:r>
        <w:rPr>
          <w:rFonts w:hint="eastAsia" w:ascii="宋体" w:hAnsi="宋体"/>
          <w:color w:val="0D0D0D"/>
          <w:highlight w:val="none"/>
        </w:rPr>
        <w:t>本合同的不含税部分不因国家税收政策变化而变化；若在履行期间，遇国家税收政策调整，则税率根据国家最新规定执行，合同总价做相应调整</w:t>
      </w:r>
      <w:r>
        <w:rPr>
          <w:rFonts w:hint="eastAsia" w:ascii="宋体" w:hAnsi="宋体"/>
          <w:color w:val="0D0D0D"/>
          <w:szCs w:val="20"/>
          <w:highlight w:val="none"/>
        </w:rPr>
        <w:t>。</w:t>
      </w:r>
    </w:p>
    <w:p w14:paraId="5EF2BB15">
      <w:pPr>
        <w:keepNext w:val="0"/>
        <w:keepLines w:val="0"/>
        <w:pageBreakBefore w:val="0"/>
        <w:widowControl w:val="0"/>
        <w:numPr>
          <w:ilvl w:val="1"/>
          <w:numId w:val="12"/>
        </w:numPr>
        <w:tabs>
          <w:tab w:val="left" w:pos="284"/>
          <w:tab w:val="left" w:pos="426"/>
          <w:tab w:val="left" w:pos="599"/>
        </w:tabs>
        <w:kinsoku/>
        <w:wordWrap w:val="0"/>
        <w:topLinePunct w:val="0"/>
        <w:autoSpaceDE w:val="0"/>
        <w:autoSpaceDN w:val="0"/>
        <w:bidi w:val="0"/>
        <w:adjustRightInd w:val="0"/>
        <w:spacing w:line="360" w:lineRule="auto"/>
        <w:ind w:left="420" w:leftChars="0" w:hanging="420" w:firstLineChars="0"/>
        <w:rPr>
          <w:rFonts w:ascii="宋体" w:hAnsi="宋体"/>
          <w:color w:val="0D0D0D"/>
          <w:szCs w:val="20"/>
          <w:highlight w:val="none"/>
        </w:rPr>
      </w:pPr>
      <w:r>
        <w:rPr>
          <w:rFonts w:hint="eastAsia" w:ascii="宋体" w:hAnsi="宋体"/>
          <w:color w:val="0D0D0D"/>
          <w:highlight w:val="none"/>
        </w:rPr>
        <w:t>除合同另行约定外，本项目的合同</w:t>
      </w:r>
      <w:r>
        <w:rPr>
          <w:rFonts w:hint="eastAsia" w:ascii="宋体" w:hAnsi="宋体"/>
          <w:color w:val="0D0D0D"/>
          <w:highlight w:val="none"/>
          <w:lang w:val="en-US" w:eastAsia="zh-CN"/>
        </w:rPr>
        <w:t>单</w:t>
      </w:r>
      <w:r>
        <w:rPr>
          <w:rFonts w:hint="eastAsia" w:ascii="宋体" w:hAnsi="宋体"/>
          <w:color w:val="0D0D0D"/>
          <w:highlight w:val="none"/>
        </w:rPr>
        <w:t>价已包括乙方履行本项目合同所必须的所有成本费用；包括但不仅限于前期调研、成果编制、装订及寄送、文档和图档的打印、成果评审、办公、交通、人员、培训、差旅、文件、税费、测试工具费用、其他管理费用以及乙方所需的合理利润。乙方的合同总价应已考虑了履行本项目的所有市场风险，包括但不限于人力成本的增加、原材料的价格上涨、国家宏观调控、经济环境变化等因素</w:t>
      </w:r>
      <w:r>
        <w:rPr>
          <w:rFonts w:hint="eastAsia" w:ascii="宋体" w:hAnsi="宋体"/>
          <w:bCs/>
          <w:snapToGrid w:val="0"/>
          <w:color w:val="0D0D0D"/>
          <w:kern w:val="0"/>
          <w:szCs w:val="21"/>
          <w:highlight w:val="none"/>
        </w:rPr>
        <w:t>。</w:t>
      </w:r>
    </w:p>
    <w:p w14:paraId="0CDC7770">
      <w:pPr>
        <w:keepNext w:val="0"/>
        <w:keepLines w:val="0"/>
        <w:pageBreakBefore w:val="0"/>
        <w:widowControl w:val="0"/>
        <w:numPr>
          <w:ilvl w:val="1"/>
          <w:numId w:val="12"/>
        </w:numPr>
        <w:tabs>
          <w:tab w:val="left" w:pos="284"/>
          <w:tab w:val="left" w:pos="426"/>
          <w:tab w:val="left" w:pos="599"/>
        </w:tabs>
        <w:kinsoku/>
        <w:wordWrap w:val="0"/>
        <w:topLinePunct w:val="0"/>
        <w:autoSpaceDE w:val="0"/>
        <w:autoSpaceDN w:val="0"/>
        <w:bidi w:val="0"/>
        <w:adjustRightInd w:val="0"/>
        <w:spacing w:line="360" w:lineRule="auto"/>
        <w:ind w:left="420" w:leftChars="0" w:hanging="420" w:firstLineChars="0"/>
        <w:rPr>
          <w:rFonts w:hint="eastAsia" w:ascii="宋体" w:hAnsi="宋体"/>
          <w:color w:val="0D0D0D"/>
          <w:szCs w:val="20"/>
          <w:highlight w:val="none"/>
        </w:rPr>
      </w:pPr>
      <w:r>
        <w:rPr>
          <w:rFonts w:hint="eastAsia" w:ascii="宋体" w:hAnsi="宋体"/>
          <w:color w:val="0D0D0D"/>
          <w:szCs w:val="20"/>
          <w:highlight w:val="none"/>
        </w:rPr>
        <w:t>应当认为乙方已经彻底查清，并在合同</w:t>
      </w:r>
      <w:r>
        <w:rPr>
          <w:rFonts w:hint="eastAsia" w:ascii="宋体" w:hAnsi="宋体"/>
          <w:color w:val="0D0D0D"/>
          <w:szCs w:val="20"/>
          <w:highlight w:val="none"/>
          <w:lang w:val="en-US" w:eastAsia="zh-CN"/>
        </w:rPr>
        <w:t>单</w:t>
      </w:r>
      <w:r>
        <w:rPr>
          <w:rFonts w:hint="eastAsia" w:ascii="宋体" w:hAnsi="宋体"/>
          <w:color w:val="0D0D0D"/>
          <w:szCs w:val="20"/>
          <w:highlight w:val="none"/>
        </w:rPr>
        <w:t>价中充分考虑到了以下几项：</w:t>
      </w:r>
    </w:p>
    <w:p w14:paraId="1AB05068">
      <w:pPr>
        <w:keepNext w:val="0"/>
        <w:keepLines w:val="0"/>
        <w:pageBreakBefore w:val="0"/>
        <w:widowControl w:val="0"/>
        <w:numPr>
          <w:ilvl w:val="0"/>
          <w:numId w:val="16"/>
        </w:numPr>
        <w:tabs>
          <w:tab w:val="left" w:pos="1080"/>
        </w:tabs>
        <w:kinsoku/>
        <w:wordWrap w:val="0"/>
        <w:topLinePunct w:val="0"/>
        <w:autoSpaceDE w:val="0"/>
        <w:autoSpaceDN w:val="0"/>
        <w:bidi w:val="0"/>
        <w:adjustRightInd w:val="0"/>
        <w:snapToGrid w:val="0"/>
        <w:spacing w:line="360" w:lineRule="auto"/>
        <w:ind w:hanging="715"/>
        <w:rPr>
          <w:rFonts w:ascii="宋体" w:hAnsi="宋体"/>
          <w:snapToGrid w:val="0"/>
          <w:color w:val="0D0D0D"/>
          <w:kern w:val="0"/>
          <w:szCs w:val="21"/>
          <w:highlight w:val="none"/>
        </w:rPr>
      </w:pPr>
      <w:r>
        <w:rPr>
          <w:rFonts w:hint="eastAsia" w:ascii="宋体" w:hAnsi="宋体"/>
          <w:snapToGrid w:val="0"/>
          <w:color w:val="0D0D0D"/>
          <w:kern w:val="0"/>
          <w:szCs w:val="21"/>
          <w:highlight w:val="none"/>
        </w:rPr>
        <w:t>影响到合同</w:t>
      </w:r>
      <w:r>
        <w:rPr>
          <w:rFonts w:hint="eastAsia" w:ascii="宋体" w:hAnsi="宋体"/>
          <w:snapToGrid w:val="0"/>
          <w:color w:val="0D0D0D"/>
          <w:kern w:val="0"/>
          <w:szCs w:val="21"/>
          <w:highlight w:val="none"/>
          <w:lang w:val="en-US" w:eastAsia="zh-CN"/>
        </w:rPr>
        <w:t>单</w:t>
      </w:r>
      <w:r>
        <w:rPr>
          <w:rFonts w:hint="eastAsia" w:ascii="宋体" w:hAnsi="宋体"/>
          <w:snapToGrid w:val="0"/>
          <w:color w:val="0D0D0D"/>
          <w:kern w:val="0"/>
          <w:szCs w:val="21"/>
          <w:highlight w:val="none"/>
        </w:rPr>
        <w:t>价的全部条件和情况；</w:t>
      </w:r>
    </w:p>
    <w:p w14:paraId="4CE77236">
      <w:pPr>
        <w:keepNext w:val="0"/>
        <w:keepLines w:val="0"/>
        <w:pageBreakBefore w:val="0"/>
        <w:widowControl w:val="0"/>
        <w:numPr>
          <w:ilvl w:val="0"/>
          <w:numId w:val="16"/>
        </w:numPr>
        <w:tabs>
          <w:tab w:val="left" w:pos="1080"/>
        </w:tabs>
        <w:kinsoku/>
        <w:wordWrap w:val="0"/>
        <w:topLinePunct w:val="0"/>
        <w:autoSpaceDE w:val="0"/>
        <w:autoSpaceDN w:val="0"/>
        <w:bidi w:val="0"/>
        <w:adjustRightInd w:val="0"/>
        <w:snapToGrid w:val="0"/>
        <w:spacing w:line="360" w:lineRule="auto"/>
        <w:ind w:hanging="715"/>
        <w:rPr>
          <w:rFonts w:ascii="宋体" w:hAnsi="宋体"/>
          <w:snapToGrid w:val="0"/>
          <w:color w:val="0D0D0D"/>
          <w:kern w:val="0"/>
          <w:szCs w:val="21"/>
          <w:highlight w:val="none"/>
        </w:rPr>
      </w:pPr>
      <w:r>
        <w:rPr>
          <w:rFonts w:hint="eastAsia" w:ascii="宋体" w:hAnsi="宋体"/>
          <w:snapToGrid w:val="0"/>
          <w:color w:val="0D0D0D"/>
          <w:kern w:val="0"/>
          <w:szCs w:val="21"/>
          <w:highlight w:val="none"/>
        </w:rPr>
        <w:t>完成项目中所有可能出现的情况；</w:t>
      </w:r>
    </w:p>
    <w:p w14:paraId="1F9AC18B">
      <w:pPr>
        <w:keepNext w:val="0"/>
        <w:keepLines w:val="0"/>
        <w:pageBreakBefore w:val="0"/>
        <w:widowControl w:val="0"/>
        <w:numPr>
          <w:ilvl w:val="0"/>
          <w:numId w:val="16"/>
        </w:numPr>
        <w:tabs>
          <w:tab w:val="left" w:pos="1080"/>
        </w:tabs>
        <w:kinsoku/>
        <w:wordWrap w:val="0"/>
        <w:topLinePunct w:val="0"/>
        <w:autoSpaceDE w:val="0"/>
        <w:autoSpaceDN w:val="0"/>
        <w:bidi w:val="0"/>
        <w:adjustRightInd w:val="0"/>
        <w:snapToGrid w:val="0"/>
        <w:spacing w:line="360" w:lineRule="auto"/>
        <w:ind w:hanging="715"/>
        <w:rPr>
          <w:rFonts w:ascii="宋体" w:hAnsi="宋体"/>
          <w:snapToGrid w:val="0"/>
          <w:color w:val="0D0D0D"/>
          <w:kern w:val="0"/>
          <w:szCs w:val="21"/>
          <w:highlight w:val="none"/>
        </w:rPr>
      </w:pPr>
      <w:r>
        <w:rPr>
          <w:rFonts w:hint="eastAsia" w:ascii="宋体" w:hAnsi="宋体"/>
          <w:snapToGrid w:val="0"/>
          <w:color w:val="0D0D0D"/>
          <w:kern w:val="0"/>
          <w:szCs w:val="21"/>
          <w:highlight w:val="none"/>
        </w:rPr>
        <w:t>现场的综合情况；</w:t>
      </w:r>
    </w:p>
    <w:p w14:paraId="74EAC62E">
      <w:pPr>
        <w:keepNext w:val="0"/>
        <w:keepLines w:val="0"/>
        <w:pageBreakBefore w:val="0"/>
        <w:widowControl w:val="0"/>
        <w:numPr>
          <w:ilvl w:val="0"/>
          <w:numId w:val="16"/>
        </w:numPr>
        <w:tabs>
          <w:tab w:val="left" w:pos="1080"/>
        </w:tabs>
        <w:kinsoku/>
        <w:wordWrap w:val="0"/>
        <w:topLinePunct w:val="0"/>
        <w:autoSpaceDE w:val="0"/>
        <w:autoSpaceDN w:val="0"/>
        <w:bidi w:val="0"/>
        <w:adjustRightInd w:val="0"/>
        <w:snapToGrid w:val="0"/>
        <w:spacing w:line="360" w:lineRule="auto"/>
        <w:ind w:hanging="715"/>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现场总的劳务情况。</w:t>
      </w:r>
    </w:p>
    <w:p w14:paraId="502C2CD5">
      <w:pPr>
        <w:keepNext w:val="0"/>
        <w:keepLines w:val="0"/>
        <w:pageBreakBefore w:val="0"/>
        <w:widowControl w:val="0"/>
        <w:numPr>
          <w:ilvl w:val="1"/>
          <w:numId w:val="12"/>
        </w:numPr>
        <w:tabs>
          <w:tab w:val="left" w:pos="284"/>
          <w:tab w:val="left" w:pos="426"/>
          <w:tab w:val="left" w:pos="599"/>
        </w:tabs>
        <w:kinsoku/>
        <w:wordWrap w:val="0"/>
        <w:topLinePunct w:val="0"/>
        <w:autoSpaceDE w:val="0"/>
        <w:autoSpaceDN w:val="0"/>
        <w:bidi w:val="0"/>
        <w:adjustRightInd w:val="0"/>
        <w:spacing w:line="360" w:lineRule="auto"/>
        <w:ind w:left="420" w:leftChars="0" w:hanging="420" w:firstLineChars="0"/>
        <w:rPr>
          <w:rFonts w:hint="eastAsia" w:ascii="宋体" w:hAnsi="宋体"/>
          <w:color w:val="0D0D0D"/>
          <w:szCs w:val="20"/>
          <w:highlight w:val="none"/>
        </w:rPr>
      </w:pPr>
      <w:r>
        <w:rPr>
          <w:rFonts w:hint="eastAsia" w:ascii="宋体" w:hAnsi="宋体"/>
          <w:color w:val="0D0D0D"/>
          <w:szCs w:val="20"/>
          <w:highlight w:val="none"/>
        </w:rPr>
        <w:t>除上述合同价款外，乙方履行本合同约定义务甲方不再支付任何费用。</w:t>
      </w:r>
    </w:p>
    <w:p w14:paraId="5876945B">
      <w:pPr>
        <w:keepNext w:val="0"/>
        <w:keepLines w:val="0"/>
        <w:pageBreakBefore w:val="0"/>
        <w:widowControl w:val="0"/>
        <w:numPr>
          <w:ilvl w:val="0"/>
          <w:numId w:val="12"/>
        </w:numPr>
        <w:tabs>
          <w:tab w:val="left" w:pos="720"/>
        </w:tabs>
        <w:kinsoku/>
        <w:wordWrap w:val="0"/>
        <w:topLinePunct w:val="0"/>
        <w:autoSpaceDE w:val="0"/>
        <w:autoSpaceDN w:val="0"/>
        <w:bidi w:val="0"/>
        <w:adjustRightInd w:val="0"/>
        <w:snapToGrid w:val="0"/>
        <w:spacing w:line="360" w:lineRule="auto"/>
        <w:ind w:left="425" w:leftChars="0" w:hanging="425" w:firstLineChars="0"/>
        <w:outlineLvl w:val="0"/>
        <w:rPr>
          <w:rFonts w:hint="eastAsia" w:ascii="宋体" w:hAnsi="宋体" w:eastAsia="黑体"/>
          <w:b w:val="0"/>
          <w:bCs/>
          <w:snapToGrid w:val="0"/>
          <w:color w:val="0D0D0D"/>
          <w:kern w:val="0"/>
          <w:szCs w:val="21"/>
          <w:highlight w:val="none"/>
        </w:rPr>
      </w:pPr>
      <w:r>
        <w:rPr>
          <w:rFonts w:hint="eastAsia" w:ascii="宋体" w:hAnsi="宋体" w:eastAsia="黑体"/>
          <w:b w:val="0"/>
          <w:bCs/>
          <w:snapToGrid w:val="0"/>
          <w:color w:val="0D0D0D"/>
          <w:kern w:val="0"/>
          <w:szCs w:val="21"/>
          <w:highlight w:val="none"/>
        </w:rPr>
        <w:t>合同款项支付</w:t>
      </w:r>
    </w:p>
    <w:p w14:paraId="65B672CA">
      <w:pPr>
        <w:keepNext w:val="0"/>
        <w:keepLines w:val="0"/>
        <w:pageBreakBefore w:val="0"/>
        <w:widowControl w:val="0"/>
        <w:numPr>
          <w:ilvl w:val="1"/>
          <w:numId w:val="12"/>
        </w:numPr>
        <w:tabs>
          <w:tab w:val="left" w:pos="284"/>
          <w:tab w:val="left" w:pos="426"/>
          <w:tab w:val="left" w:pos="599"/>
        </w:tabs>
        <w:kinsoku/>
        <w:wordWrap w:val="0"/>
        <w:topLinePunct w:val="0"/>
        <w:autoSpaceDE w:val="0"/>
        <w:autoSpaceDN w:val="0"/>
        <w:bidi w:val="0"/>
        <w:adjustRightInd w:val="0"/>
        <w:spacing w:line="360" w:lineRule="auto"/>
        <w:ind w:left="420" w:leftChars="0" w:hanging="420" w:firstLineChars="0"/>
        <w:rPr>
          <w:rFonts w:ascii="宋体" w:hAnsi="宋体"/>
          <w:color w:val="0D0D0D"/>
          <w:szCs w:val="20"/>
          <w:highlight w:val="none"/>
        </w:rPr>
      </w:pPr>
      <w:r>
        <w:rPr>
          <w:rFonts w:hint="eastAsia" w:ascii="宋体" w:hAnsi="宋体"/>
          <w:color w:val="0D0D0D"/>
          <w:szCs w:val="20"/>
          <w:highlight w:val="none"/>
        </w:rPr>
        <w:t>本合同所有款项的支付均通过甲方指定的中国境内银行（不含港澳台地区）以</w:t>
      </w:r>
      <w:r>
        <w:rPr>
          <w:rFonts w:hint="eastAsia" w:ascii="宋体" w:hAnsi="宋体"/>
          <w:color w:val="0D0D0D"/>
          <w:szCs w:val="20"/>
          <w:highlight w:val="none"/>
          <w:lang w:val="en-US" w:eastAsia="zh-CN"/>
        </w:rPr>
        <w:t>银行转账</w:t>
      </w:r>
      <w:r>
        <w:rPr>
          <w:rFonts w:hint="eastAsia" w:ascii="宋体" w:hAnsi="宋体"/>
          <w:color w:val="0D0D0D"/>
          <w:szCs w:val="20"/>
          <w:highlight w:val="none"/>
        </w:rPr>
        <w:t>方式支付给乙方指定的中国境内银行（不含港澳台地区）的银行账号。</w:t>
      </w:r>
    </w:p>
    <w:p w14:paraId="46462A53">
      <w:pPr>
        <w:keepNext w:val="0"/>
        <w:keepLines w:val="0"/>
        <w:pageBreakBefore w:val="0"/>
        <w:widowControl w:val="0"/>
        <w:numPr>
          <w:ilvl w:val="1"/>
          <w:numId w:val="12"/>
        </w:numPr>
        <w:tabs>
          <w:tab w:val="left" w:pos="540"/>
          <w:tab w:val="left" w:pos="599"/>
        </w:tabs>
        <w:kinsoku/>
        <w:wordWrap w:val="0"/>
        <w:overflowPunct/>
        <w:topLinePunct w:val="0"/>
        <w:autoSpaceDE w:val="0"/>
        <w:autoSpaceDN w:val="0"/>
        <w:bidi w:val="0"/>
        <w:adjustRightInd w:val="0"/>
        <w:snapToGrid/>
        <w:spacing w:line="360" w:lineRule="auto"/>
        <w:ind w:left="420" w:leftChars="0" w:hanging="420" w:firstLineChars="0"/>
        <w:textAlignment w:val="auto"/>
        <w:rPr>
          <w:rFonts w:hint="eastAsia" w:ascii="黑体" w:hAnsi="黑体" w:eastAsia="黑体" w:cs="黑体"/>
          <w:b w:val="0"/>
          <w:bCs w:val="0"/>
          <w:color w:val="0D0D0D"/>
          <w:highlight w:val="none"/>
          <w:u w:val="none"/>
        </w:rPr>
      </w:pPr>
      <w:r>
        <w:rPr>
          <w:rFonts w:hint="eastAsia" w:ascii="黑体" w:hAnsi="黑体" w:eastAsia="黑体" w:cs="黑体"/>
          <w:b w:val="0"/>
          <w:bCs w:val="0"/>
          <w:color w:val="0D0D0D"/>
          <w:szCs w:val="20"/>
          <w:highlight w:val="none"/>
          <w:u w:val="none"/>
        </w:rPr>
        <w:t>合同款项的支付</w:t>
      </w:r>
    </w:p>
    <w:p w14:paraId="6879F999">
      <w:pPr>
        <w:keepNext w:val="0"/>
        <w:keepLines w:val="0"/>
        <w:pageBreakBefore w:val="0"/>
        <w:widowControl w:val="0"/>
        <w:numPr>
          <w:ilvl w:val="0"/>
          <w:numId w:val="0"/>
        </w:numPr>
        <w:tabs>
          <w:tab w:val="left" w:pos="540"/>
          <w:tab w:val="left" w:pos="599"/>
        </w:tabs>
        <w:kinsoku/>
        <w:wordWrap w:val="0"/>
        <w:overflowPunct/>
        <w:topLinePunct w:val="0"/>
        <w:autoSpaceDE w:val="0"/>
        <w:autoSpaceDN w:val="0"/>
        <w:bidi w:val="0"/>
        <w:adjustRightInd w:val="0"/>
        <w:snapToGrid/>
        <w:spacing w:line="360" w:lineRule="auto"/>
        <w:ind w:leftChars="0" w:firstLine="420" w:firstLineChars="200"/>
        <w:textAlignment w:val="auto"/>
        <w:rPr>
          <w:rFonts w:hint="eastAsia" w:ascii="宋体" w:hAnsi="宋体"/>
          <w:color w:val="0D0D0D"/>
          <w:highlight w:val="none"/>
        </w:rPr>
      </w:pPr>
      <w:r>
        <w:rPr>
          <w:rFonts w:hint="eastAsia" w:ascii="宋体" w:hAnsi="宋体"/>
          <w:color w:val="0D0D0D"/>
          <w:highlight w:val="none"/>
          <w:lang w:val="en-US" w:eastAsia="zh-CN"/>
        </w:rPr>
        <w:t>进度款</w:t>
      </w:r>
      <w:r>
        <w:rPr>
          <w:rFonts w:hint="eastAsia" w:ascii="宋体" w:hAnsi="宋体"/>
          <w:color w:val="0D0D0D"/>
          <w:highlight w:val="none"/>
        </w:rPr>
        <w:t>的支付：</w:t>
      </w:r>
      <w:r>
        <w:rPr>
          <w:rFonts w:hint="eastAsia" w:ascii="宋体" w:hAnsi="宋体"/>
          <w:color w:val="0D0D0D"/>
          <w:highlight w:val="none"/>
          <w:lang w:val="en-US" w:eastAsia="zh-CN"/>
        </w:rPr>
        <w:t>在合同履约过程中，甲方每3个自然月进行一次阶段性验收、计量，并结合甲方对乙方的服务评价结果进行支付。计量按乙方实际提供的服务项目、服务时长、合同单价（按年度服务天数折算）进行计算。乙方满足下列条件且经甲方确认无误后的30个工作日内，向乙方支付该笔款项，首次支付时，乙方需提交甲方出具的履约保证金收据复印件或符合要求的银行保函复印件</w:t>
      </w:r>
      <w:r>
        <w:rPr>
          <w:rFonts w:hint="eastAsia" w:ascii="宋体" w:hAnsi="宋体"/>
          <w:color w:val="0D0D0D"/>
          <w:highlight w:val="none"/>
        </w:rPr>
        <w:t>。</w:t>
      </w:r>
    </w:p>
    <w:p w14:paraId="750DE983">
      <w:pPr>
        <w:keepNext w:val="0"/>
        <w:keepLines w:val="0"/>
        <w:pageBreakBefore w:val="0"/>
        <w:widowControl w:val="0"/>
        <w:numPr>
          <w:ilvl w:val="0"/>
          <w:numId w:val="17"/>
        </w:numPr>
        <w:tabs>
          <w:tab w:val="left" w:pos="1276"/>
          <w:tab w:val="left" w:pos="1560"/>
        </w:tabs>
        <w:kinsoku/>
        <w:wordWrap w:val="0"/>
        <w:topLinePunct w:val="0"/>
        <w:autoSpaceDE w:val="0"/>
        <w:autoSpaceDN w:val="0"/>
        <w:bidi w:val="0"/>
        <w:adjustRightInd w:val="0"/>
        <w:spacing w:line="360" w:lineRule="auto"/>
        <w:ind w:left="1140" w:hanging="420"/>
        <w:rPr>
          <w:rFonts w:hint="eastAsia" w:ascii="宋体" w:hAnsi="宋体"/>
          <w:color w:val="0D0D0D"/>
          <w:highlight w:val="none"/>
        </w:rPr>
      </w:pPr>
      <w:r>
        <w:rPr>
          <w:rFonts w:hint="eastAsia" w:ascii="宋体" w:hAnsi="宋体"/>
          <w:color w:val="0D0D0D"/>
          <w:highlight w:val="none"/>
        </w:rPr>
        <w:t>乙方须提供与</w:t>
      </w:r>
      <w:r>
        <w:rPr>
          <w:rFonts w:hint="eastAsia" w:ascii="宋体" w:hAnsi="宋体"/>
          <w:color w:val="0D0D0D"/>
          <w:highlight w:val="none"/>
          <w:lang w:val="en-US" w:eastAsia="zh-CN"/>
        </w:rPr>
        <w:t>当期</w:t>
      </w:r>
      <w:r>
        <w:rPr>
          <w:rFonts w:hint="eastAsia" w:ascii="宋体" w:hAnsi="宋体"/>
          <w:color w:val="0D0D0D"/>
          <w:highlight w:val="none"/>
        </w:rPr>
        <w:t>支付金额一致的合法、合规、有效的增值税专用发票</w:t>
      </w:r>
      <w:r>
        <w:rPr>
          <w:rFonts w:hint="eastAsia" w:ascii="宋体" w:hAnsi="宋体"/>
          <w:color w:val="0D0D0D"/>
          <w:highlight w:val="none"/>
          <w:lang w:eastAsia="zh-CN"/>
        </w:rPr>
        <w:t>；</w:t>
      </w:r>
    </w:p>
    <w:p w14:paraId="0CE1C4F7">
      <w:pPr>
        <w:keepNext w:val="0"/>
        <w:keepLines w:val="0"/>
        <w:pageBreakBefore w:val="0"/>
        <w:widowControl w:val="0"/>
        <w:numPr>
          <w:ilvl w:val="0"/>
          <w:numId w:val="17"/>
        </w:numPr>
        <w:tabs>
          <w:tab w:val="left" w:pos="1276"/>
          <w:tab w:val="left" w:pos="1560"/>
        </w:tabs>
        <w:kinsoku/>
        <w:wordWrap w:val="0"/>
        <w:topLinePunct w:val="0"/>
        <w:autoSpaceDE w:val="0"/>
        <w:autoSpaceDN w:val="0"/>
        <w:bidi w:val="0"/>
        <w:adjustRightInd w:val="0"/>
        <w:spacing w:line="360" w:lineRule="auto"/>
        <w:ind w:left="1140" w:hanging="420"/>
        <w:rPr>
          <w:rFonts w:hint="eastAsia" w:ascii="宋体" w:hAnsi="宋体"/>
          <w:color w:val="0D0D0D"/>
          <w:highlight w:val="none"/>
        </w:rPr>
      </w:pPr>
      <w:r>
        <w:rPr>
          <w:rFonts w:hint="eastAsia" w:ascii="宋体" w:hAnsi="宋体"/>
          <w:color w:val="0D0D0D"/>
          <w:highlight w:val="none"/>
        </w:rPr>
        <w:t>乙方已按甲方要求提交支付请求及进度款支付证书</w:t>
      </w:r>
      <w:r>
        <w:rPr>
          <w:rFonts w:hint="eastAsia" w:ascii="宋体" w:hAnsi="宋体"/>
          <w:color w:val="0D0D0D"/>
          <w:highlight w:val="none"/>
          <w:lang w:eastAsia="zh-CN"/>
        </w:rPr>
        <w:t>；</w:t>
      </w:r>
    </w:p>
    <w:p w14:paraId="4FD56124">
      <w:pPr>
        <w:numPr>
          <w:ilvl w:val="0"/>
          <w:numId w:val="17"/>
        </w:numPr>
        <w:tabs>
          <w:tab w:val="left" w:pos="1276"/>
          <w:tab w:val="left" w:pos="1560"/>
        </w:tabs>
        <w:wordWrap w:val="0"/>
        <w:autoSpaceDE w:val="0"/>
        <w:autoSpaceDN w:val="0"/>
        <w:adjustRightInd w:val="0"/>
        <w:spacing w:line="360" w:lineRule="auto"/>
        <w:ind w:left="1140" w:hanging="420"/>
        <w:rPr>
          <w:rFonts w:hint="eastAsia"/>
        </w:rPr>
      </w:pPr>
      <w:r>
        <w:rPr>
          <w:rFonts w:hint="eastAsia"/>
        </w:rPr>
        <w:t>乙方已提交经甲方确认</w:t>
      </w:r>
      <w:r>
        <w:rPr>
          <w:rFonts w:hint="eastAsia"/>
          <w:lang w:val="en-US" w:eastAsia="zh-CN"/>
        </w:rPr>
        <w:t>验收的当期服务报告（报告应包括但不限于驻场服务总结、网络防护服务授权、测评服务总结、网络安全保障服务总结、安全培训总结、网络安全支持服务总结）。</w:t>
      </w:r>
    </w:p>
    <w:p w14:paraId="235E1BF6">
      <w:pPr>
        <w:pStyle w:val="2"/>
        <w:keepNext w:val="0"/>
        <w:keepLines w:val="0"/>
        <w:pageBreakBefore w:val="0"/>
        <w:widowControl w:val="0"/>
        <w:numPr>
          <w:ilvl w:val="0"/>
          <w:numId w:val="12"/>
        </w:numPr>
        <w:tabs>
          <w:tab w:val="left" w:pos="720"/>
          <w:tab w:val="clear" w:pos="885"/>
        </w:tabs>
        <w:kinsoku/>
        <w:wordWrap w:val="0"/>
        <w:topLinePunct w:val="0"/>
        <w:autoSpaceDE w:val="0"/>
        <w:autoSpaceDN w:val="0"/>
        <w:bidi w:val="0"/>
        <w:adjustRightInd w:val="0"/>
        <w:spacing w:before="0" w:after="0" w:line="360" w:lineRule="auto"/>
        <w:ind w:left="425" w:leftChars="0" w:hanging="425" w:firstLineChars="0"/>
        <w:jc w:val="both"/>
        <w:rPr>
          <w:rFonts w:hint="eastAsia"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发票赔偿责任</w:t>
      </w:r>
    </w:p>
    <w:p w14:paraId="7AB62855">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ascii="宋体" w:hAnsi="宋体"/>
          <w:snapToGrid w:val="0"/>
          <w:color w:val="0D0D0D"/>
          <w:kern w:val="0"/>
          <w:szCs w:val="21"/>
          <w:highlight w:val="none"/>
        </w:rPr>
      </w:pPr>
      <w:r>
        <w:rPr>
          <w:rFonts w:hint="eastAsia" w:ascii="宋体" w:hAnsi="宋体"/>
          <w:snapToGrid w:val="0"/>
          <w:color w:val="0D0D0D"/>
          <w:kern w:val="0"/>
          <w:szCs w:val="21"/>
          <w:highlight w:val="none"/>
        </w:rPr>
        <w:t>由于乙方不及时提供发票或提供的发票不符合税务部门的要求，导致甲方取得的增值税专用发票不能报验抵扣进项税金，或虽可通过报验，后被税务机关以“比对不符”或“失控发票”等事由追缴税款，从而给甲方造成的全部经济损失，由乙方负责赔偿。</w:t>
      </w:r>
    </w:p>
    <w:p w14:paraId="318FC0A4">
      <w:pPr>
        <w:pStyle w:val="2"/>
        <w:keepNext w:val="0"/>
        <w:keepLines w:val="0"/>
        <w:pageBreakBefore w:val="0"/>
        <w:widowControl w:val="0"/>
        <w:numPr>
          <w:ilvl w:val="0"/>
          <w:numId w:val="12"/>
        </w:numPr>
        <w:tabs>
          <w:tab w:val="left" w:pos="720"/>
          <w:tab w:val="clear" w:pos="885"/>
        </w:tabs>
        <w:kinsoku/>
        <w:wordWrap w:val="0"/>
        <w:topLinePunct w:val="0"/>
        <w:autoSpaceDE w:val="0"/>
        <w:autoSpaceDN w:val="0"/>
        <w:bidi w:val="0"/>
        <w:adjustRightInd w:val="0"/>
        <w:spacing w:before="0" w:after="0" w:line="360" w:lineRule="auto"/>
        <w:ind w:left="425" w:leftChars="0" w:hanging="425" w:firstLineChars="0"/>
        <w:jc w:val="both"/>
        <w:rPr>
          <w:rFonts w:hint="eastAsia" w:ascii="宋体" w:hAnsi="宋体"/>
          <w:snapToGrid w:val="0"/>
          <w:color w:val="0D0D0D"/>
          <w:kern w:val="0"/>
          <w:sz w:val="21"/>
          <w:szCs w:val="21"/>
          <w:highlight w:val="none"/>
        </w:rPr>
      </w:pPr>
      <w:r>
        <w:rPr>
          <w:rFonts w:hint="eastAsia" w:ascii="宋体" w:hAnsi="宋体"/>
          <w:snapToGrid w:val="0"/>
          <w:color w:val="0D0D0D"/>
          <w:kern w:val="0"/>
          <w:sz w:val="21"/>
          <w:szCs w:val="21"/>
          <w:highlight w:val="none"/>
          <w:lang w:val="en-US" w:eastAsia="zh-CN"/>
        </w:rPr>
        <w:t>履约保证金</w:t>
      </w:r>
    </w:p>
    <w:p w14:paraId="71F64456">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rPr>
      </w:pPr>
      <w:r>
        <w:rPr>
          <w:rFonts w:hint="eastAsia"/>
        </w:rPr>
        <w:t>乙方应在本合同签订后</w:t>
      </w:r>
      <w:r>
        <w:rPr>
          <w:rFonts w:hint="eastAsia"/>
          <w:lang w:val="en-US" w:eastAsia="zh-CN"/>
        </w:rPr>
        <w:t>30个工作日内</w:t>
      </w:r>
      <w:r>
        <w:rPr>
          <w:rFonts w:hint="eastAsia"/>
        </w:rPr>
        <w:t>按合同总价的</w:t>
      </w:r>
      <w:r>
        <w:rPr>
          <w:rFonts w:hint="eastAsia"/>
          <w:lang w:val="en-US" w:eastAsia="zh-CN"/>
        </w:rPr>
        <w:t>10</w:t>
      </w:r>
      <w:r>
        <w:rPr>
          <w:rFonts w:hint="eastAsia"/>
        </w:rPr>
        <w:t>%向甲方缴纳履约保证金。履约保证金须在合同的权利义务终止前保持有效。</w:t>
      </w:r>
    </w:p>
    <w:p w14:paraId="4B845C8F">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rPr>
      </w:pPr>
      <w:r>
        <w:rPr>
          <w:rFonts w:hint="eastAsia"/>
        </w:rPr>
        <w:t>履约保证金用银行保函提交的，保函格式须经甲方确认并经甲方指定银行进行鉴定；乙方自行办理保函鉴定手续并承担相关费用。</w:t>
      </w:r>
    </w:p>
    <w:p w14:paraId="7FC584FD">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rPr>
      </w:pPr>
      <w:r>
        <w:rPr>
          <w:rFonts w:hint="eastAsia"/>
        </w:rPr>
        <w:t>履约保证金用人民币转账提交的，甲方银行账号资料如下：</w:t>
      </w:r>
    </w:p>
    <w:p w14:paraId="32E1AF78">
      <w:pPr>
        <w:keepNext w:val="0"/>
        <w:keepLines w:val="0"/>
        <w:pageBreakBefore w:val="0"/>
        <w:widowControl w:val="0"/>
        <w:numPr>
          <w:ilvl w:val="0"/>
          <w:numId w:val="0"/>
        </w:numPr>
        <w:kinsoku/>
        <w:wordWrap w:val="0"/>
        <w:overflowPunct/>
        <w:topLinePunct w:val="0"/>
        <w:autoSpaceDE w:val="0"/>
        <w:autoSpaceDN w:val="0"/>
        <w:bidi w:val="0"/>
        <w:adjustRightInd w:val="0"/>
        <w:snapToGrid w:val="0"/>
        <w:spacing w:line="360" w:lineRule="auto"/>
        <w:ind w:left="420" w:leftChars="200"/>
        <w:textAlignment w:val="auto"/>
        <w:rPr>
          <w:rFonts w:hint="eastAsia"/>
        </w:rPr>
      </w:pPr>
      <w:r>
        <w:rPr>
          <w:rFonts w:hint="eastAsia"/>
        </w:rPr>
        <w:t>开户名称：长沙穗城轨道交通有限公司</w:t>
      </w:r>
    </w:p>
    <w:p w14:paraId="7065A557">
      <w:pPr>
        <w:keepNext w:val="0"/>
        <w:keepLines w:val="0"/>
        <w:pageBreakBefore w:val="0"/>
        <w:widowControl w:val="0"/>
        <w:numPr>
          <w:ilvl w:val="0"/>
          <w:numId w:val="0"/>
        </w:numPr>
        <w:kinsoku/>
        <w:wordWrap w:val="0"/>
        <w:overflowPunct/>
        <w:topLinePunct w:val="0"/>
        <w:autoSpaceDE w:val="0"/>
        <w:autoSpaceDN w:val="0"/>
        <w:bidi w:val="0"/>
        <w:adjustRightInd w:val="0"/>
        <w:snapToGrid w:val="0"/>
        <w:spacing w:line="360" w:lineRule="auto"/>
        <w:ind w:left="420" w:leftChars="200"/>
        <w:textAlignment w:val="auto"/>
        <w:rPr>
          <w:rFonts w:hint="eastAsia"/>
        </w:rPr>
      </w:pPr>
      <w:r>
        <w:rPr>
          <w:rFonts w:hint="eastAsia"/>
        </w:rPr>
        <w:t>开户银行：中国建设银行股份有限公司长沙望城坡支行</w:t>
      </w:r>
    </w:p>
    <w:p w14:paraId="3E1B70AA">
      <w:pPr>
        <w:keepNext w:val="0"/>
        <w:keepLines w:val="0"/>
        <w:pageBreakBefore w:val="0"/>
        <w:widowControl w:val="0"/>
        <w:numPr>
          <w:ilvl w:val="0"/>
          <w:numId w:val="0"/>
        </w:numPr>
        <w:kinsoku/>
        <w:wordWrap w:val="0"/>
        <w:overflowPunct/>
        <w:topLinePunct w:val="0"/>
        <w:autoSpaceDE w:val="0"/>
        <w:autoSpaceDN w:val="0"/>
        <w:bidi w:val="0"/>
        <w:adjustRightInd w:val="0"/>
        <w:snapToGrid w:val="0"/>
        <w:spacing w:line="360" w:lineRule="auto"/>
        <w:ind w:left="420" w:leftChars="200"/>
        <w:textAlignment w:val="auto"/>
        <w:rPr>
          <w:rFonts w:hint="eastAsia"/>
        </w:rPr>
      </w:pPr>
      <w:r>
        <w:rPr>
          <w:rFonts w:hint="eastAsia"/>
        </w:rPr>
        <w:t xml:space="preserve">帐    号：4305 0178 4136 0000 0646 </w:t>
      </w:r>
    </w:p>
    <w:p w14:paraId="2DEBA766">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rPr>
      </w:pPr>
      <w:r>
        <w:rPr>
          <w:rFonts w:hint="eastAsia"/>
        </w:rPr>
        <w:t>乙方在合同履行期间存在任何违约行为，甲方有权直接从履约保证金扣除合同约定的违约金或损害赔偿金等费用，但甲方需将这一行为及时通知乙方；乙方有权提出异议，双方无法达成一致时按合同约定的争议解决方式处理。履约保证金应在</w:t>
      </w:r>
      <w:r>
        <w:rPr>
          <w:rFonts w:hint="eastAsia"/>
          <w:lang w:val="en-US" w:eastAsia="zh-CN"/>
        </w:rPr>
        <w:t>合同义务全部履行完成后（签发经甲方认可的竣工验收报告或经服务期结束且提供了甲方认可的服务成果），由乙方发起退还申请，经甲方同意后</w:t>
      </w:r>
      <w:r>
        <w:rPr>
          <w:rFonts w:hint="eastAsia"/>
        </w:rPr>
        <w:t>30</w:t>
      </w:r>
      <w:r>
        <w:rPr>
          <w:rFonts w:hint="eastAsia"/>
          <w:lang w:val="en-US" w:eastAsia="zh-CN"/>
        </w:rPr>
        <w:t>个工作</w:t>
      </w:r>
      <w:r>
        <w:rPr>
          <w:rFonts w:hint="eastAsia"/>
        </w:rPr>
        <w:t>日内无息退还。</w:t>
      </w:r>
    </w:p>
    <w:p w14:paraId="26C4AC35">
      <w:pPr>
        <w:pStyle w:val="2"/>
        <w:keepNext w:val="0"/>
        <w:keepLines w:val="0"/>
        <w:pageBreakBefore w:val="0"/>
        <w:widowControl w:val="0"/>
        <w:numPr>
          <w:ilvl w:val="0"/>
          <w:numId w:val="12"/>
        </w:numPr>
        <w:tabs>
          <w:tab w:val="left" w:pos="720"/>
          <w:tab w:val="clear" w:pos="885"/>
        </w:tabs>
        <w:kinsoku/>
        <w:wordWrap w:val="0"/>
        <w:topLinePunct w:val="0"/>
        <w:autoSpaceDE w:val="0"/>
        <w:autoSpaceDN w:val="0"/>
        <w:bidi w:val="0"/>
        <w:adjustRightInd w:val="0"/>
        <w:spacing w:before="0" w:after="0" w:line="360" w:lineRule="auto"/>
        <w:ind w:left="425" w:leftChars="0" w:hanging="425" w:firstLineChars="0"/>
        <w:jc w:val="both"/>
        <w:rPr>
          <w:rFonts w:hint="eastAsia"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项目进度与管理</w:t>
      </w:r>
    </w:p>
    <w:p w14:paraId="2DE91AA2">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乙方应安排充足的人力与技术投入，以保证项目顺利进行，项目工期及项目管理要求详见合同附件</w:t>
      </w:r>
      <w:r>
        <w:rPr>
          <w:rFonts w:hint="eastAsia" w:ascii="宋体" w:hAnsi="宋体"/>
          <w:color w:val="0D0D0D"/>
          <w:szCs w:val="21"/>
          <w:highlight w:val="none"/>
          <w:lang w:val="en-US" w:eastAsia="zh-CN"/>
        </w:rPr>
        <w:t>二</w:t>
      </w:r>
      <w:r>
        <w:rPr>
          <w:rFonts w:hint="eastAsia" w:ascii="宋体" w:hAnsi="宋体"/>
          <w:color w:val="0D0D0D"/>
          <w:szCs w:val="21"/>
          <w:highlight w:val="none"/>
        </w:rPr>
        <w:t>。</w:t>
      </w:r>
    </w:p>
    <w:p w14:paraId="64A9D500">
      <w:pPr>
        <w:pStyle w:val="2"/>
        <w:keepNext w:val="0"/>
        <w:keepLines w:val="0"/>
        <w:pageBreakBefore w:val="0"/>
        <w:widowControl w:val="0"/>
        <w:numPr>
          <w:ilvl w:val="0"/>
          <w:numId w:val="12"/>
        </w:numPr>
        <w:tabs>
          <w:tab w:val="left" w:pos="720"/>
          <w:tab w:val="clear" w:pos="885"/>
        </w:tabs>
        <w:kinsoku/>
        <w:wordWrap w:val="0"/>
        <w:topLinePunct w:val="0"/>
        <w:autoSpaceDE w:val="0"/>
        <w:autoSpaceDN w:val="0"/>
        <w:bidi w:val="0"/>
        <w:adjustRightInd w:val="0"/>
        <w:spacing w:before="0" w:after="0" w:line="360" w:lineRule="auto"/>
        <w:ind w:left="425" w:leftChars="0" w:hanging="425" w:firstLineChars="0"/>
        <w:jc w:val="both"/>
        <w:rPr>
          <w:rFonts w:hint="eastAsia"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项目成果的交付及归属</w:t>
      </w:r>
    </w:p>
    <w:p w14:paraId="3E1B4CD3">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乙方应按照项目进度提交各个阶段的项目成果，具体要求及项目成果验收方式详见合同附件</w:t>
      </w:r>
      <w:r>
        <w:rPr>
          <w:rFonts w:hint="eastAsia" w:ascii="宋体" w:hAnsi="宋体"/>
          <w:color w:val="0D0D0D"/>
          <w:szCs w:val="21"/>
          <w:highlight w:val="none"/>
          <w:lang w:val="en-US" w:eastAsia="zh-CN"/>
        </w:rPr>
        <w:t>二</w:t>
      </w:r>
      <w:r>
        <w:rPr>
          <w:rFonts w:hint="eastAsia" w:ascii="宋体" w:hAnsi="宋体"/>
          <w:color w:val="0D0D0D"/>
          <w:szCs w:val="21"/>
          <w:highlight w:val="none"/>
        </w:rPr>
        <w:t>。乙方应有规范的管理以控制项目成果质量，在成果交付给甲方前，乙方应进行严格审核。对乙方正式提交的项目成果，如经甲方审核认定未符合合同要求的，乙方须按甲方的审核意见及时予以修改直至验收通过，由此引起的所有责任和费用由乙方承担。甲方将在乙方提交项目成果后及时出具书面的验收意见或组织验收。</w:t>
      </w:r>
    </w:p>
    <w:p w14:paraId="7FFC8C18">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乙方提交的所有纸质项目成果文件，均为一式三份，并附有一份电子文件（可编辑、无压缩、不加密、无病毒）。</w:t>
      </w:r>
    </w:p>
    <w:p w14:paraId="10BB2977">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除合同约定外，项目成果的所有权和知识产权由甲方单独享有。未经甲方事先书面同意，乙方不得</w:t>
      </w:r>
      <w:r>
        <w:rPr>
          <w:rFonts w:hint="eastAsia" w:ascii="宋体" w:hAnsi="宋体"/>
          <w:color w:val="0D0D0D"/>
          <w:szCs w:val="21"/>
          <w:highlight w:val="none"/>
          <w:lang w:val="en-US" w:eastAsia="zh-CN"/>
        </w:rPr>
        <w:t>使用或授权第三方使用</w:t>
      </w:r>
      <w:r>
        <w:rPr>
          <w:rFonts w:hint="eastAsia" w:ascii="宋体" w:hAnsi="宋体"/>
          <w:color w:val="0D0D0D"/>
          <w:szCs w:val="21"/>
          <w:highlight w:val="none"/>
        </w:rPr>
        <w:t>项目成果用于任何本项目之外的用途。</w:t>
      </w:r>
    </w:p>
    <w:p w14:paraId="6BD193E7">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ascii="宋体" w:hAnsi="宋体"/>
          <w:color w:val="0D0D0D"/>
          <w:szCs w:val="21"/>
          <w:highlight w:val="none"/>
        </w:rPr>
      </w:pPr>
      <w:r>
        <w:rPr>
          <w:rFonts w:hint="eastAsia" w:ascii="宋体" w:hAnsi="宋体"/>
          <w:color w:val="0D0D0D"/>
          <w:szCs w:val="21"/>
          <w:highlight w:val="none"/>
        </w:rPr>
        <w:t>如项目成果中包含乙方已有的知识产权，则该部分的知识产权不发生任何转移；但甲方有权无限期自由使用，且该使用也无需支付合同约定之外的任何费用。</w:t>
      </w:r>
    </w:p>
    <w:p w14:paraId="610F1A6E">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hint="eastAsia" w:ascii="宋体" w:hAnsi="Courier New"/>
          <w:color w:val="0D0D0D"/>
          <w:szCs w:val="20"/>
          <w:highlight w:val="none"/>
        </w:rPr>
      </w:pPr>
      <w:r>
        <w:rPr>
          <w:rFonts w:ascii="宋体" w:hAnsi="宋体"/>
          <w:color w:val="0D0D0D"/>
          <w:szCs w:val="21"/>
          <w:highlight w:val="none"/>
        </w:rPr>
        <w:t>如项目成果中包含第三人已有的知识产权</w:t>
      </w:r>
      <w:r>
        <w:rPr>
          <w:rFonts w:hint="eastAsia" w:ascii="宋体" w:hAnsi="宋体"/>
          <w:color w:val="0D0D0D"/>
          <w:szCs w:val="21"/>
          <w:highlight w:val="none"/>
        </w:rPr>
        <w:t>，</w:t>
      </w:r>
      <w:r>
        <w:rPr>
          <w:rFonts w:ascii="宋体" w:hAnsi="宋体"/>
          <w:color w:val="0D0D0D"/>
          <w:szCs w:val="21"/>
          <w:highlight w:val="none"/>
        </w:rPr>
        <w:t>则该部分的知识产权不发生任何转移</w:t>
      </w:r>
      <w:r>
        <w:rPr>
          <w:rFonts w:hint="eastAsia" w:ascii="宋体" w:hAnsi="宋体"/>
          <w:color w:val="0D0D0D"/>
          <w:szCs w:val="21"/>
          <w:highlight w:val="none"/>
        </w:rPr>
        <w:t>，</w:t>
      </w:r>
      <w:r>
        <w:rPr>
          <w:rFonts w:ascii="宋体" w:hAnsi="宋体"/>
          <w:color w:val="0D0D0D"/>
          <w:szCs w:val="21"/>
          <w:highlight w:val="none"/>
        </w:rPr>
        <w:t>但</w:t>
      </w:r>
      <w:r>
        <w:rPr>
          <w:rFonts w:hint="eastAsia" w:ascii="宋体" w:hAnsi="宋体"/>
          <w:color w:val="0D0D0D"/>
          <w:szCs w:val="21"/>
          <w:highlight w:val="none"/>
        </w:rPr>
        <w:t>乙方须确保</w:t>
      </w:r>
      <w:r>
        <w:rPr>
          <w:rFonts w:hint="eastAsia" w:ascii="宋体" w:hAnsi="Courier New"/>
          <w:color w:val="0D0D0D"/>
          <w:szCs w:val="20"/>
          <w:highlight w:val="none"/>
        </w:rPr>
        <w:t>甲方有权按照合同约定期限自由使用且</w:t>
      </w:r>
      <w:r>
        <w:rPr>
          <w:rFonts w:hint="eastAsia" w:ascii="宋体" w:hAnsi="宋体"/>
          <w:color w:val="0D0D0D"/>
          <w:szCs w:val="21"/>
          <w:highlight w:val="none"/>
        </w:rPr>
        <w:t>无需支付合同约定之外的任何费用。</w:t>
      </w:r>
    </w:p>
    <w:p w14:paraId="2352AA45">
      <w:pPr>
        <w:pStyle w:val="2"/>
        <w:keepNext w:val="0"/>
        <w:keepLines w:val="0"/>
        <w:pageBreakBefore w:val="0"/>
        <w:widowControl w:val="0"/>
        <w:numPr>
          <w:ilvl w:val="0"/>
          <w:numId w:val="12"/>
        </w:numPr>
        <w:tabs>
          <w:tab w:val="left" w:pos="720"/>
          <w:tab w:val="clear" w:pos="885"/>
        </w:tabs>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项目成果的侵权规定</w:t>
      </w:r>
    </w:p>
    <w:p w14:paraId="47A6B123">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乙方应保证其提交的项目成果和提供的服务不侵犯任何第三人的合法权益。</w:t>
      </w:r>
    </w:p>
    <w:p w14:paraId="00579E54">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hint="eastAsia" w:ascii="宋体" w:hAnsi="宋体"/>
          <w:color w:val="0D0D0D"/>
          <w:highlight w:val="none"/>
        </w:rPr>
      </w:pPr>
      <w:r>
        <w:rPr>
          <w:rFonts w:hint="eastAsia" w:ascii="宋体" w:hAnsi="宋体"/>
          <w:color w:val="0D0D0D"/>
          <w:highlight w:val="none"/>
        </w:rPr>
        <w:t>如任何第三人向甲方提出因使用项目成果或服务而侵犯其合法权益的诉讼或要求时，或向甲方提出任何许可使用费的诉讼或要求时，乙方应承担此类诉讼或要求的所有责任并承担相关费用。</w:t>
      </w:r>
    </w:p>
    <w:p w14:paraId="757043B3">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hint="eastAsia" w:ascii="宋体" w:hAnsi="宋体"/>
          <w:color w:val="0D0D0D"/>
          <w:highlight w:val="none"/>
        </w:rPr>
      </w:pPr>
      <w:r>
        <w:rPr>
          <w:rFonts w:hint="eastAsia" w:ascii="宋体" w:hAnsi="宋体"/>
          <w:color w:val="0D0D0D"/>
          <w:highlight w:val="none"/>
        </w:rPr>
        <w:t>发生此类诉讼或要求时，甲方应及时通知乙方并由乙方在处理此类诉讼或要求的过程中占主导地位，甲方予以积极配合。</w:t>
      </w:r>
    </w:p>
    <w:p w14:paraId="27EDC0B8">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hint="eastAsia" w:ascii="宋体" w:hAnsi="宋体"/>
          <w:color w:val="0D0D0D"/>
          <w:highlight w:val="none"/>
        </w:rPr>
      </w:pPr>
      <w:r>
        <w:rPr>
          <w:rFonts w:hint="eastAsia" w:ascii="宋体" w:hAnsi="宋体"/>
          <w:color w:val="0D0D0D"/>
          <w:highlight w:val="none"/>
        </w:rPr>
        <w:t>发生此类诉讼或要求时，如法院或相关机关认定甲方需承担相应费用的，甲方有权向乙方追偿，乙方需及时予以全额赔偿。</w:t>
      </w:r>
    </w:p>
    <w:p w14:paraId="262B60E8">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hint="eastAsia" w:ascii="宋体" w:hAnsi="宋体"/>
          <w:color w:val="0D0D0D"/>
          <w:highlight w:val="none"/>
        </w:rPr>
      </w:pPr>
      <w:r>
        <w:rPr>
          <w:rFonts w:hint="eastAsia" w:ascii="宋体" w:hAnsi="宋体"/>
          <w:color w:val="0D0D0D"/>
          <w:highlight w:val="none"/>
        </w:rPr>
        <w:t>发生此类诉讼或要求时，如导致甲方产生损失的，乙方应进行全部赔偿。</w:t>
      </w:r>
    </w:p>
    <w:p w14:paraId="27DA3F7B">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hint="eastAsia" w:ascii="宋体" w:hAnsi="宋体"/>
          <w:color w:val="0D0D0D"/>
          <w:highlight w:val="none"/>
        </w:rPr>
      </w:pPr>
      <w:r>
        <w:rPr>
          <w:rFonts w:hint="eastAsia" w:ascii="宋体" w:hAnsi="宋体"/>
          <w:color w:val="0D0D0D"/>
          <w:highlight w:val="none"/>
        </w:rPr>
        <w:t>发生此类诉讼或要求时，甲方应采取积极的措施，以避免损失的扩大。</w:t>
      </w:r>
    </w:p>
    <w:p w14:paraId="5C1905F6">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如项目成果被法院或有权机关确认为侵权，则甲方同意乙方采取以下任一补救措施：</w:t>
      </w:r>
    </w:p>
    <w:p w14:paraId="06E82092">
      <w:pPr>
        <w:keepNext w:val="0"/>
        <w:keepLines w:val="0"/>
        <w:pageBreakBefore w:val="0"/>
        <w:widowControl w:val="0"/>
        <w:numPr>
          <w:ilvl w:val="0"/>
          <w:numId w:val="18"/>
        </w:numPr>
        <w:tabs>
          <w:tab w:val="left" w:pos="1080"/>
        </w:tabs>
        <w:kinsoku/>
        <w:wordWrap w:val="0"/>
        <w:topLinePunct w:val="0"/>
        <w:autoSpaceDE w:val="0"/>
        <w:autoSpaceDN w:val="0"/>
        <w:bidi w:val="0"/>
        <w:adjustRightInd w:val="0"/>
        <w:spacing w:line="360" w:lineRule="auto"/>
        <w:rPr>
          <w:rFonts w:hint="eastAsia" w:ascii="宋体" w:hAnsi="Courier New"/>
          <w:color w:val="0D0D0D"/>
          <w:szCs w:val="20"/>
          <w:highlight w:val="none"/>
        </w:rPr>
      </w:pPr>
      <w:r>
        <w:rPr>
          <w:rFonts w:hint="eastAsia" w:ascii="宋体" w:hAnsi="Courier New"/>
          <w:color w:val="0D0D0D"/>
          <w:szCs w:val="20"/>
          <w:highlight w:val="none"/>
        </w:rPr>
        <w:t>在甲方规定期限内为甲方继续使用该项目成果取得合法授权；</w:t>
      </w:r>
    </w:p>
    <w:p w14:paraId="321EED26">
      <w:pPr>
        <w:keepNext w:val="0"/>
        <w:keepLines w:val="0"/>
        <w:pageBreakBefore w:val="0"/>
        <w:widowControl w:val="0"/>
        <w:numPr>
          <w:ilvl w:val="0"/>
          <w:numId w:val="18"/>
        </w:numPr>
        <w:tabs>
          <w:tab w:val="left" w:pos="1080"/>
        </w:tabs>
        <w:kinsoku/>
        <w:wordWrap w:val="0"/>
        <w:topLinePunct w:val="0"/>
        <w:autoSpaceDE w:val="0"/>
        <w:autoSpaceDN w:val="0"/>
        <w:bidi w:val="0"/>
        <w:adjustRightInd w:val="0"/>
        <w:spacing w:line="360" w:lineRule="auto"/>
        <w:ind w:left="1050" w:hanging="510"/>
        <w:rPr>
          <w:rFonts w:hint="eastAsia" w:ascii="宋体" w:hAnsi="Courier New"/>
          <w:color w:val="0D0D0D"/>
          <w:szCs w:val="20"/>
          <w:highlight w:val="none"/>
        </w:rPr>
      </w:pPr>
      <w:r>
        <w:rPr>
          <w:rFonts w:hint="eastAsia" w:ascii="宋体" w:hAnsi="Courier New"/>
          <w:color w:val="0D0D0D"/>
          <w:szCs w:val="20"/>
          <w:highlight w:val="none"/>
        </w:rPr>
        <w:t>在甲方规定期限内修改该项目成果直至合法合规；</w:t>
      </w:r>
    </w:p>
    <w:p w14:paraId="4D72B2EB">
      <w:pPr>
        <w:keepNext w:val="0"/>
        <w:keepLines w:val="0"/>
        <w:pageBreakBefore w:val="0"/>
        <w:widowControl w:val="0"/>
        <w:numPr>
          <w:ilvl w:val="0"/>
          <w:numId w:val="18"/>
        </w:numPr>
        <w:tabs>
          <w:tab w:val="left" w:pos="1080"/>
        </w:tabs>
        <w:kinsoku/>
        <w:wordWrap w:val="0"/>
        <w:topLinePunct w:val="0"/>
        <w:autoSpaceDE w:val="0"/>
        <w:autoSpaceDN w:val="0"/>
        <w:bidi w:val="0"/>
        <w:adjustRightInd w:val="0"/>
        <w:spacing w:line="360" w:lineRule="auto"/>
        <w:ind w:left="1050" w:hanging="510"/>
        <w:rPr>
          <w:rFonts w:hint="eastAsia" w:ascii="宋体" w:hAnsi="Courier New"/>
          <w:color w:val="0D0D0D"/>
          <w:szCs w:val="20"/>
          <w:highlight w:val="none"/>
        </w:rPr>
      </w:pPr>
      <w:r>
        <w:rPr>
          <w:rFonts w:hint="eastAsia" w:ascii="宋体" w:hAnsi="Courier New"/>
          <w:color w:val="0D0D0D"/>
          <w:szCs w:val="20"/>
          <w:highlight w:val="none"/>
        </w:rPr>
        <w:t>以功能上相等的其他项目成果替换；</w:t>
      </w:r>
    </w:p>
    <w:p w14:paraId="17495699">
      <w:pPr>
        <w:keepNext w:val="0"/>
        <w:keepLines w:val="0"/>
        <w:pageBreakBefore w:val="0"/>
        <w:widowControl w:val="0"/>
        <w:numPr>
          <w:ilvl w:val="0"/>
          <w:numId w:val="18"/>
        </w:numPr>
        <w:tabs>
          <w:tab w:val="left" w:pos="1080"/>
        </w:tabs>
        <w:kinsoku/>
        <w:wordWrap w:val="0"/>
        <w:topLinePunct w:val="0"/>
        <w:autoSpaceDE w:val="0"/>
        <w:autoSpaceDN w:val="0"/>
        <w:bidi w:val="0"/>
        <w:adjustRightInd w:val="0"/>
        <w:spacing w:line="360" w:lineRule="auto"/>
        <w:ind w:left="1050" w:hanging="510"/>
        <w:rPr>
          <w:rFonts w:hint="eastAsia" w:ascii="宋体" w:hAnsi="Courier New"/>
          <w:color w:val="0D0D0D"/>
          <w:szCs w:val="20"/>
          <w:highlight w:val="none"/>
        </w:rPr>
      </w:pPr>
      <w:r>
        <w:rPr>
          <w:rFonts w:hint="eastAsia" w:ascii="宋体" w:hAnsi="Courier New"/>
          <w:color w:val="0D0D0D"/>
          <w:szCs w:val="20"/>
          <w:highlight w:val="none"/>
        </w:rPr>
        <w:t>其他经甲方认可的补救措施。</w:t>
      </w:r>
    </w:p>
    <w:p w14:paraId="180A447A">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hint="eastAsia" w:ascii="宋体" w:hAnsi="宋体"/>
          <w:color w:val="0D0D0D"/>
          <w:szCs w:val="21"/>
          <w:highlight w:val="none"/>
        </w:rPr>
      </w:pPr>
      <w:r>
        <w:rPr>
          <w:rFonts w:hint="eastAsia" w:ascii="宋体" w:hAnsi="Courier New"/>
          <w:color w:val="0D0D0D"/>
          <w:szCs w:val="20"/>
          <w:highlight w:val="none"/>
        </w:rPr>
        <w:t>乙方采取补救措施后产生的项目成果仍需符合合同的约定，且采取补救措施的相关费用由乙方承担。</w:t>
      </w:r>
    </w:p>
    <w:p w14:paraId="05D042CD">
      <w:pPr>
        <w:keepNext w:val="0"/>
        <w:keepLines w:val="0"/>
        <w:pageBreakBefore w:val="0"/>
        <w:widowControl w:val="0"/>
        <w:numPr>
          <w:ilvl w:val="2"/>
          <w:numId w:val="12"/>
        </w:numPr>
        <w:kinsoku/>
        <w:wordWrap w:val="0"/>
        <w:topLinePunct w:val="0"/>
        <w:autoSpaceDE w:val="0"/>
        <w:autoSpaceDN w:val="0"/>
        <w:bidi w:val="0"/>
        <w:adjustRightInd w:val="0"/>
        <w:snapToGrid w:val="0"/>
        <w:spacing w:line="360" w:lineRule="auto"/>
        <w:ind w:left="709" w:leftChars="0" w:hanging="709" w:firstLineChars="0"/>
        <w:rPr>
          <w:rFonts w:hint="eastAsia" w:ascii="宋体" w:hAnsi="宋体"/>
          <w:color w:val="0D0D0D"/>
          <w:szCs w:val="21"/>
          <w:highlight w:val="none"/>
        </w:rPr>
      </w:pPr>
      <w:r>
        <w:rPr>
          <w:rFonts w:hint="eastAsia" w:ascii="宋体" w:hAnsi="Courier New"/>
          <w:color w:val="0D0D0D"/>
          <w:szCs w:val="20"/>
          <w:highlight w:val="none"/>
        </w:rPr>
        <w:t>乙方确认无法在甲方规定的期限内采取任何补救措施时，甲方有权单方解除合同。由此产生的全部损失由乙方承担。</w:t>
      </w:r>
    </w:p>
    <w:p w14:paraId="4062D00D">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甲方权利与义务</w:t>
      </w:r>
    </w:p>
    <w:p w14:paraId="2FA6E6D8">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snapToGrid w:val="0"/>
          <w:color w:val="0D0D0D"/>
          <w:kern w:val="0"/>
          <w:szCs w:val="21"/>
          <w:highlight w:val="none"/>
        </w:rPr>
        <w:t>提供专人与乙方联络，准备所能提供的用于本合同履行的相关数据、文件和信</w:t>
      </w:r>
      <w:r>
        <w:rPr>
          <w:rFonts w:hint="eastAsia" w:ascii="宋体" w:hAnsi="宋体"/>
          <w:color w:val="0D0D0D"/>
          <w:szCs w:val="21"/>
          <w:highlight w:val="none"/>
        </w:rPr>
        <w:t>息。</w:t>
      </w:r>
    </w:p>
    <w:p w14:paraId="41189072">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甲方有责任协调内部相关的各方资源参与本合同的履行。</w:t>
      </w:r>
    </w:p>
    <w:p w14:paraId="6C7D03EC">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snapToGrid w:val="0"/>
          <w:color w:val="0D0D0D"/>
          <w:kern w:val="0"/>
          <w:szCs w:val="21"/>
          <w:highlight w:val="none"/>
        </w:rPr>
      </w:pPr>
      <w:r>
        <w:rPr>
          <w:rFonts w:hint="eastAsia" w:ascii="宋体" w:hAnsi="宋体"/>
          <w:color w:val="0D0D0D"/>
          <w:szCs w:val="21"/>
          <w:highlight w:val="none"/>
        </w:rPr>
        <w:t>甲方应安排熟悉业务的相关内部员工与乙方共组项目实施团队；在项目实施过</w:t>
      </w:r>
      <w:r>
        <w:rPr>
          <w:rFonts w:hint="eastAsia" w:ascii="宋体" w:hAnsi="宋体"/>
          <w:snapToGrid w:val="0"/>
          <w:color w:val="0D0D0D"/>
          <w:kern w:val="0"/>
          <w:szCs w:val="21"/>
          <w:highlight w:val="none"/>
        </w:rPr>
        <w:t xml:space="preserve">程中，乙方的项目参与人员应不遗余力的指导甲方内部员工的相关工作并进行相应的培训。 </w:t>
      </w:r>
    </w:p>
    <w:p w14:paraId="53F0D67A">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对于乙方提交的需甲方做出答复的事宜，甲方应在一个合理时间内做出回应。</w:t>
      </w:r>
    </w:p>
    <w:p w14:paraId="735C8A00">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项目实施过程中，如乙方的意见与甲方有分歧，以甲方的最终意见为准；乙方须无条件予以执行，相关后果由甲方负责；但不影响乙方须按合同约定承担的相关责任。</w:t>
      </w:r>
    </w:p>
    <w:p w14:paraId="23851E0F">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甲方有权对乙方的服务质量进行检查和监督，并有权要求乙方对相关工作进行必要的说明和解释。</w:t>
      </w:r>
    </w:p>
    <w:p w14:paraId="060DF2FD">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及时履行合同约定的付款义务。</w:t>
      </w:r>
    </w:p>
    <w:p w14:paraId="060E8A2B">
      <w:pPr>
        <w:numPr>
          <w:ilvl w:val="1"/>
          <w:numId w:val="12"/>
        </w:numPr>
        <w:wordWrap w:val="0"/>
        <w:autoSpaceDE w:val="0"/>
        <w:autoSpaceDN w:val="0"/>
        <w:adjustRightInd w:val="0"/>
        <w:snapToGrid w:val="0"/>
        <w:spacing w:line="360" w:lineRule="auto"/>
        <w:ind w:hanging="420"/>
        <w:rPr>
          <w:rFonts w:hint="eastAsia" w:ascii="宋体" w:hAnsi="宋体" w:eastAsia="宋体"/>
          <w:color w:val="0D0D0D"/>
          <w:szCs w:val="21"/>
          <w:highlight w:val="none"/>
          <w:lang w:val="en-US" w:eastAsia="zh-CN"/>
        </w:rPr>
      </w:pPr>
      <w:r>
        <w:rPr>
          <w:rFonts w:hint="eastAsia" w:ascii="宋体" w:hAnsi="宋体"/>
          <w:color w:val="0D0D0D"/>
          <w:szCs w:val="21"/>
          <w:highlight w:val="none"/>
          <w:lang w:val="en-US" w:eastAsia="zh-CN"/>
        </w:rPr>
        <w:t>根据实际业务需求，合同执行过程中甲方有权与乙方协商调整部分服务内容的服务周期。</w:t>
      </w:r>
    </w:p>
    <w:p w14:paraId="00E80972">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hint="eastAsia"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乙方权利与义务</w:t>
      </w:r>
    </w:p>
    <w:p w14:paraId="0C43B0CE">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在充分了解项目整体要求的前提下，按合同约定向甲方提供所有服务；并应尽一切努力，高效又经济地按照本合同的要求，使用适当的先进技术、先进管理方法，以合理、谨慎、努力和有效的方式向甲方提供最好的服务。</w:t>
      </w:r>
    </w:p>
    <w:p w14:paraId="106A7B59">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乙方应按照合同要求，按计划、按时、按质、按量为甲方进行本项目总体部署，提交项目完整的项目成果，以合理、专业、谨慎、努力和有效的方式提供约定的服务。</w:t>
      </w:r>
    </w:p>
    <w:p w14:paraId="27E239A1">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必须为项目设立专门的项目小组，以实施其合同项下的义务；乙方设立的项目小组在本合同的有效期内必须接受和服从甲方项目管理机构的监督，同时，乙方有责任对甲方参与本项目的技术人员进行指导及后方支持。</w:t>
      </w:r>
    </w:p>
    <w:p w14:paraId="1F273AD5">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乙方应自备本合同项下必要的办公场地、人员、办公、通讯、交通等设施、设备</w:t>
      </w:r>
      <w:r>
        <w:rPr>
          <w:rFonts w:ascii="宋体" w:hAnsi="宋体"/>
          <w:color w:val="0D0D0D"/>
          <w:szCs w:val="21"/>
          <w:highlight w:val="none"/>
        </w:rPr>
        <w:t>,</w:t>
      </w:r>
      <w:r>
        <w:rPr>
          <w:rFonts w:hint="eastAsia" w:ascii="宋体" w:hAnsi="宋体"/>
          <w:color w:val="0D0D0D"/>
          <w:szCs w:val="21"/>
          <w:highlight w:val="none"/>
        </w:rPr>
        <w:t>以及履行本合同所需的所有特殊仪器、工具，并负担所有有关的费用；合同另有规定除外。</w:t>
      </w:r>
    </w:p>
    <w:p w14:paraId="45FAB205">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在合同约定的期限内，完成本项目的实施，并通知甲方进行验收。</w:t>
      </w:r>
    </w:p>
    <w:p w14:paraId="2C320F4D">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乙方应确保提供的服务及项目成果符合合同约定的要求。</w:t>
      </w:r>
    </w:p>
    <w:p w14:paraId="792E86A9">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乙方有权向甲方提出项目成果验收及合同相应款项支付的申请。</w:t>
      </w:r>
    </w:p>
    <w:p w14:paraId="027BE225">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根据甲方出具的验收意见或其他要求修改项目成果并使其最终符合合同的要求。</w:t>
      </w:r>
    </w:p>
    <w:p w14:paraId="12F3F7AA">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对于甲方提供的资料和信息，若</w:t>
      </w:r>
      <w:r>
        <w:rPr>
          <w:rFonts w:ascii="宋体" w:hAnsi="宋体"/>
          <w:color w:val="0D0D0D"/>
          <w:szCs w:val="21"/>
          <w:highlight w:val="none"/>
        </w:rPr>
        <w:t>乙方</w:t>
      </w:r>
      <w:r>
        <w:rPr>
          <w:rFonts w:hint="eastAsia" w:ascii="宋体" w:hAnsi="宋体"/>
          <w:color w:val="0D0D0D"/>
          <w:szCs w:val="21"/>
          <w:highlight w:val="none"/>
        </w:rPr>
        <w:t>认为存在不准确或不完整情形时，乙方应及时向甲方提出。</w:t>
      </w:r>
    </w:p>
    <w:p w14:paraId="719599C7">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支付本合同尾款之前，按甲方相关部门的要求对合同及项目成果及时进行归档。</w:t>
      </w:r>
    </w:p>
    <w:p w14:paraId="527F23B9">
      <w:pPr>
        <w:keepNext w:val="0"/>
        <w:keepLines w:val="0"/>
        <w:pageBreakBefore w:val="0"/>
        <w:widowControl w:val="0"/>
        <w:numPr>
          <w:ilvl w:val="1"/>
          <w:numId w:val="12"/>
        </w:numPr>
        <w:tabs>
          <w:tab w:val="left" w:pos="851"/>
        </w:tabs>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乙方在履行合同的过程中，可采用其关联公司的相关资源协助其完成本合同项下的相关义务；但该行为需</w:t>
      </w:r>
      <w:r>
        <w:rPr>
          <w:rFonts w:hint="eastAsia" w:ascii="宋体" w:hAnsi="宋体"/>
          <w:color w:val="0D0D0D"/>
          <w:szCs w:val="21"/>
          <w:highlight w:val="none"/>
          <w:lang w:val="en-US" w:eastAsia="zh-CN"/>
        </w:rPr>
        <w:t>提前取得</w:t>
      </w:r>
      <w:r>
        <w:rPr>
          <w:rFonts w:hint="eastAsia" w:ascii="宋体" w:hAnsi="宋体"/>
          <w:color w:val="0D0D0D"/>
          <w:szCs w:val="21"/>
          <w:highlight w:val="none"/>
        </w:rPr>
        <w:t>甲方</w:t>
      </w:r>
      <w:r>
        <w:rPr>
          <w:rFonts w:hint="eastAsia" w:ascii="宋体" w:hAnsi="宋体"/>
          <w:color w:val="0D0D0D"/>
          <w:szCs w:val="21"/>
          <w:highlight w:val="none"/>
          <w:lang w:val="en-US" w:eastAsia="zh-CN"/>
        </w:rPr>
        <w:t>书面同意，</w:t>
      </w:r>
      <w:r>
        <w:rPr>
          <w:rFonts w:hint="eastAsia" w:ascii="宋体" w:hAnsi="宋体"/>
          <w:color w:val="0D0D0D"/>
          <w:szCs w:val="21"/>
          <w:highlight w:val="none"/>
        </w:rPr>
        <w:t>且该行为的一切责任由乙方承担。</w:t>
      </w:r>
    </w:p>
    <w:p w14:paraId="4CD9CF49">
      <w:pPr>
        <w:keepNext w:val="0"/>
        <w:keepLines w:val="0"/>
        <w:pageBreakBefore w:val="0"/>
        <w:widowControl w:val="0"/>
        <w:numPr>
          <w:ilvl w:val="1"/>
          <w:numId w:val="12"/>
        </w:numPr>
        <w:tabs>
          <w:tab w:val="left" w:pos="851"/>
        </w:tabs>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乙方应准确系统地建立项目和服务过程中的文档和记录，其形式和详细程度应符合其专业水平，并允许甲方在项目执行过程中进行检查和复印。</w:t>
      </w:r>
    </w:p>
    <w:p w14:paraId="4EED2960">
      <w:pPr>
        <w:keepNext w:val="0"/>
        <w:keepLines w:val="0"/>
        <w:pageBreakBefore w:val="0"/>
        <w:widowControl w:val="0"/>
        <w:numPr>
          <w:ilvl w:val="0"/>
          <w:numId w:val="12"/>
        </w:numPr>
        <w:tabs>
          <w:tab w:val="left" w:pos="851"/>
        </w:tabs>
        <w:kinsoku/>
        <w:wordWrap w:val="0"/>
        <w:overflowPunct/>
        <w:topLinePunct w:val="0"/>
        <w:autoSpaceDE w:val="0"/>
        <w:autoSpaceDN w:val="0"/>
        <w:bidi w:val="0"/>
        <w:adjustRightInd w:val="0"/>
        <w:snapToGrid w:val="0"/>
        <w:spacing w:line="360" w:lineRule="auto"/>
        <w:ind w:left="425" w:leftChars="0" w:hanging="425" w:firstLineChars="0"/>
        <w:textAlignment w:val="auto"/>
        <w:rPr>
          <w:rFonts w:hint="eastAsia" w:ascii="黑体" w:hAnsi="黑体" w:eastAsia="黑体" w:cs="黑体"/>
          <w:b w:val="0"/>
          <w:bCs w:val="0"/>
          <w:snapToGrid w:val="0"/>
          <w:color w:val="0D0D0D"/>
          <w:kern w:val="0"/>
          <w:szCs w:val="21"/>
          <w:highlight w:val="none"/>
          <w:u w:val="none"/>
        </w:rPr>
      </w:pPr>
      <w:r>
        <w:rPr>
          <w:rFonts w:hint="eastAsia" w:ascii="黑体" w:hAnsi="黑体" w:eastAsia="黑体" w:cs="黑体"/>
          <w:b w:val="0"/>
          <w:bCs w:val="0"/>
          <w:snapToGrid w:val="0"/>
          <w:color w:val="0D0D0D"/>
          <w:kern w:val="0"/>
          <w:szCs w:val="21"/>
          <w:highlight w:val="none"/>
          <w:u w:val="none"/>
          <w:lang w:val="en-US" w:eastAsia="zh-CN"/>
        </w:rPr>
        <w:t>服务评价</w:t>
      </w:r>
    </w:p>
    <w:p w14:paraId="5470F3CF">
      <w:pPr>
        <w:pStyle w:val="32"/>
        <w:keepNext w:val="0"/>
        <w:keepLines w:val="0"/>
        <w:pageBreakBefore w:val="0"/>
        <w:widowControl w:val="0"/>
        <w:kinsoku/>
        <w:wordWrap/>
        <w:overflowPunct/>
        <w:topLinePunct w:val="0"/>
        <w:autoSpaceDE/>
        <w:autoSpaceDN/>
        <w:bidi w:val="0"/>
        <w:adjustRightInd/>
        <w:snapToGrid/>
        <w:spacing w:line="240" w:lineRule="auto"/>
        <w:ind w:left="0" w:firstLine="420" w:firstLineChars="200"/>
        <w:textAlignment w:val="auto"/>
        <w:rPr>
          <w:rFonts w:hint="default" w:ascii="Times New Roman" w:hAnsi="Times New Roman" w:eastAsia="宋体" w:cs="Times New Roman"/>
          <w:i w:val="0"/>
          <w:iCs w:val="0"/>
          <w:kern w:val="2"/>
          <w:sz w:val="21"/>
          <w:lang w:val="en-US" w:eastAsia="zh-CN" w:bidi="ar-SA"/>
        </w:rPr>
      </w:pPr>
      <w:r>
        <w:rPr>
          <w:rFonts w:hint="eastAsia" w:cs="Times New Roman"/>
          <w:i w:val="0"/>
          <w:iCs w:val="0"/>
          <w:kern w:val="2"/>
          <w:sz w:val="21"/>
          <w:lang w:val="en-US" w:eastAsia="zh-CN" w:bidi="ar-SA"/>
        </w:rPr>
        <w:t>服务评价结果将作为合同支付的依据，</w:t>
      </w:r>
      <w:r>
        <w:rPr>
          <w:rFonts w:hint="eastAsia" w:ascii="Times New Roman" w:hAnsi="Times New Roman" w:eastAsia="宋体" w:cs="Times New Roman"/>
          <w:i w:val="0"/>
          <w:iCs w:val="0"/>
          <w:kern w:val="2"/>
          <w:sz w:val="21"/>
          <w:lang w:val="en-US" w:eastAsia="zh-CN" w:bidi="ar-SA"/>
        </w:rPr>
        <w:t>甲方</w:t>
      </w:r>
      <w:r>
        <w:rPr>
          <w:rFonts w:hint="eastAsia" w:cs="Times New Roman"/>
          <w:i w:val="0"/>
          <w:iCs w:val="0"/>
          <w:kern w:val="2"/>
          <w:sz w:val="21"/>
          <w:lang w:val="en-US" w:eastAsia="zh-CN" w:bidi="ar-SA"/>
        </w:rPr>
        <w:t>有权根据</w:t>
      </w:r>
      <w:r>
        <w:rPr>
          <w:rFonts w:hint="eastAsia" w:ascii="Times New Roman" w:hAnsi="Times New Roman" w:eastAsia="宋体" w:cs="Times New Roman"/>
          <w:i w:val="0"/>
          <w:iCs w:val="0"/>
          <w:kern w:val="2"/>
          <w:sz w:val="21"/>
          <w:lang w:val="en-US" w:eastAsia="zh-CN" w:bidi="ar-SA"/>
        </w:rPr>
        <w:t>相关</w:t>
      </w:r>
      <w:r>
        <w:rPr>
          <w:rFonts w:hint="eastAsia" w:cs="Times New Roman"/>
          <w:i w:val="0"/>
          <w:iCs w:val="0"/>
          <w:kern w:val="2"/>
          <w:sz w:val="21"/>
          <w:lang w:val="en-US" w:eastAsia="zh-CN" w:bidi="ar-SA"/>
        </w:rPr>
        <w:t>信息化服务管理考核</w:t>
      </w:r>
      <w:r>
        <w:rPr>
          <w:rFonts w:hint="eastAsia" w:ascii="Times New Roman" w:hAnsi="Times New Roman" w:eastAsia="宋体" w:cs="Times New Roman"/>
          <w:i w:val="0"/>
          <w:iCs w:val="0"/>
          <w:kern w:val="2"/>
          <w:sz w:val="21"/>
          <w:lang w:val="en-US" w:eastAsia="zh-CN" w:bidi="ar-SA"/>
        </w:rPr>
        <w:t>制度对乙方履职尽责情况进行日常监督检查</w:t>
      </w:r>
      <w:r>
        <w:rPr>
          <w:rFonts w:hint="eastAsia" w:cs="Times New Roman"/>
          <w:i w:val="0"/>
          <w:iCs w:val="0"/>
          <w:kern w:val="2"/>
          <w:sz w:val="21"/>
          <w:lang w:val="en-US" w:eastAsia="zh-CN" w:bidi="ar-SA"/>
        </w:rPr>
        <w:t>及奖惩，具体以甲方最新发布的制度为准。</w:t>
      </w:r>
    </w:p>
    <w:p w14:paraId="2B99FDAA">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hint="eastAsia"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项目分包</w:t>
      </w:r>
    </w:p>
    <w:p w14:paraId="76664F9C">
      <w:pPr>
        <w:keepNext w:val="0"/>
        <w:keepLines w:val="0"/>
        <w:pageBreakBefore w:val="0"/>
        <w:widowControl w:val="0"/>
        <w:numPr>
          <w:ilvl w:val="1"/>
          <w:numId w:val="12"/>
        </w:numPr>
        <w:kinsoku/>
        <w:wordWrap w:val="0"/>
        <w:topLinePunct w:val="0"/>
        <w:autoSpaceDE w:val="0"/>
        <w:autoSpaceDN w:val="0"/>
        <w:bidi w:val="0"/>
        <w:adjustRightInd w:val="0"/>
        <w:spacing w:line="360" w:lineRule="auto"/>
        <w:ind w:left="420" w:leftChars="0" w:hanging="420" w:firstLineChars="0"/>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除合同明确约定采购第三人设备或服务外，未经甲方书面同意，乙方不得转让合同中规定的任何义务。</w:t>
      </w:r>
    </w:p>
    <w:p w14:paraId="4B261649">
      <w:pPr>
        <w:keepNext w:val="0"/>
        <w:keepLines w:val="0"/>
        <w:pageBreakBefore w:val="0"/>
        <w:widowControl w:val="0"/>
        <w:numPr>
          <w:ilvl w:val="1"/>
          <w:numId w:val="12"/>
        </w:numPr>
        <w:kinsoku/>
        <w:wordWrap w:val="0"/>
        <w:topLinePunct w:val="0"/>
        <w:autoSpaceDE w:val="0"/>
        <w:autoSpaceDN w:val="0"/>
        <w:bidi w:val="0"/>
        <w:adjustRightInd w:val="0"/>
        <w:spacing w:line="360" w:lineRule="auto"/>
        <w:ind w:left="420" w:leftChars="0" w:hanging="420" w:firstLineChars="0"/>
        <w:rPr>
          <w:rFonts w:hint="eastAsia" w:ascii="宋体" w:hAnsi="宋体"/>
          <w:snapToGrid w:val="0"/>
          <w:color w:val="0D0D0D"/>
          <w:kern w:val="0"/>
          <w:szCs w:val="21"/>
          <w:highlight w:val="none"/>
        </w:rPr>
      </w:pPr>
      <w:r>
        <w:rPr>
          <w:rFonts w:hint="eastAsia" w:ascii="宋体" w:hAnsi="宋体"/>
          <w:snapToGrid w:val="0"/>
          <w:color w:val="0D0D0D"/>
          <w:kern w:val="0"/>
          <w:szCs w:val="21"/>
          <w:highlight w:val="none"/>
        </w:rPr>
        <w:t>本项目禁止转包、禁止分包，否则一切责任由乙方承担。</w:t>
      </w:r>
    </w:p>
    <w:p w14:paraId="2AAC54D3">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人员配置</w:t>
      </w:r>
    </w:p>
    <w:p w14:paraId="070E4717">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乙方应指定有相应资历的、项目经验丰富而且可以信赖的人员来完成项目和提供服务</w:t>
      </w:r>
      <w:r>
        <w:rPr>
          <w:rFonts w:hint="eastAsia" w:ascii="宋体" w:hAnsi="宋体"/>
          <w:color w:val="0D0D0D"/>
          <w:szCs w:val="21"/>
          <w:highlight w:val="none"/>
          <w:lang w:eastAsia="zh-CN"/>
        </w:rPr>
        <w:t>，</w:t>
      </w:r>
      <w:r>
        <w:rPr>
          <w:rFonts w:hint="eastAsia" w:ascii="宋体" w:hAnsi="宋体"/>
          <w:color w:val="0D0D0D"/>
          <w:szCs w:val="21"/>
          <w:highlight w:val="none"/>
          <w:lang w:val="en-US" w:eastAsia="zh-CN"/>
        </w:rPr>
        <w:t>具体详见合同附件三 人员投入清单</w:t>
      </w:r>
      <w:r>
        <w:rPr>
          <w:rFonts w:hint="eastAsia" w:ascii="宋体" w:hAnsi="宋体"/>
          <w:color w:val="0D0D0D"/>
          <w:szCs w:val="21"/>
          <w:highlight w:val="none"/>
        </w:rPr>
        <w:t>。</w:t>
      </w:r>
    </w:p>
    <w:p w14:paraId="02FBEFE7">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乙方参与本项目人员必须为乙方正式员工，如个别服务内容具有特殊性，需非乙方员工参与，乙方必须向甲方提出书面申请，并征得甲方同意；且该同意不视为乙方任何责任或义务的转移，所有后果由乙方承担。</w:t>
      </w:r>
    </w:p>
    <w:p w14:paraId="09F0DCD1">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ascii="宋体" w:hAnsi="宋体"/>
          <w:color w:val="0D0D0D"/>
          <w:szCs w:val="21"/>
          <w:highlight w:val="none"/>
        </w:rPr>
        <w:t>如乙方在合同</w:t>
      </w:r>
      <w:r>
        <w:rPr>
          <w:rFonts w:hint="eastAsia" w:ascii="宋体" w:hAnsi="宋体"/>
          <w:color w:val="0D0D0D"/>
          <w:szCs w:val="21"/>
          <w:highlight w:val="none"/>
        </w:rPr>
        <w:t>履行</w:t>
      </w:r>
      <w:r>
        <w:rPr>
          <w:rFonts w:ascii="宋体" w:hAnsi="宋体"/>
          <w:color w:val="0D0D0D"/>
          <w:szCs w:val="21"/>
          <w:highlight w:val="none"/>
        </w:rPr>
        <w:t>期间提出更换</w:t>
      </w:r>
      <w:r>
        <w:rPr>
          <w:rFonts w:hint="eastAsia" w:ascii="宋体" w:hAnsi="宋体"/>
          <w:color w:val="0D0D0D"/>
          <w:szCs w:val="21"/>
          <w:highlight w:val="none"/>
        </w:rPr>
        <w:t>其项目</w:t>
      </w:r>
      <w:r>
        <w:rPr>
          <w:rFonts w:ascii="宋体" w:hAnsi="宋体"/>
          <w:color w:val="0D0D0D"/>
          <w:szCs w:val="21"/>
          <w:highlight w:val="none"/>
        </w:rPr>
        <w:t>经理，应提前书面向甲方申请，并提交替换人员的资质证明文件，在甲方同意后方可更换。</w:t>
      </w:r>
      <w:r>
        <w:rPr>
          <w:rFonts w:hint="eastAsia" w:ascii="宋体" w:hAnsi="宋体"/>
          <w:color w:val="0D0D0D"/>
          <w:szCs w:val="21"/>
          <w:highlight w:val="none"/>
        </w:rPr>
        <w:t>由于被更换人员患病、离职等不可控制因素而产生的更换无须事先征得甲方同意，但乙方须向甲方出示相关证明文件并获得甲方认可，同时还应提交</w:t>
      </w:r>
      <w:r>
        <w:rPr>
          <w:rFonts w:ascii="宋体" w:hAnsi="宋体"/>
          <w:color w:val="0D0D0D"/>
          <w:szCs w:val="21"/>
          <w:highlight w:val="none"/>
        </w:rPr>
        <w:t>替换人员的资质证明文件</w:t>
      </w:r>
      <w:r>
        <w:rPr>
          <w:rFonts w:hint="eastAsia" w:ascii="宋体" w:hAnsi="宋体"/>
          <w:color w:val="0D0D0D"/>
          <w:szCs w:val="21"/>
          <w:highlight w:val="none"/>
        </w:rPr>
        <w:t>供甲方确认后方能替换人员。乙方提供备选的替换人员数量至少应为被更换人员数量的两倍，替换人员的资质水平不得低于被更换人员的资质水平。</w:t>
      </w:r>
    </w:p>
    <w:p w14:paraId="071CA373">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甲方在有合理依据的情况下有权要求乙方更换任何不称职的人员</w:t>
      </w:r>
      <w:r>
        <w:rPr>
          <w:rFonts w:ascii="宋体" w:hAnsi="宋体"/>
          <w:color w:val="0D0D0D"/>
          <w:szCs w:val="21"/>
          <w:highlight w:val="none"/>
        </w:rPr>
        <w:t>，</w:t>
      </w:r>
      <w:r>
        <w:rPr>
          <w:rFonts w:hint="eastAsia" w:ascii="宋体" w:hAnsi="宋体"/>
          <w:color w:val="0D0D0D"/>
          <w:szCs w:val="21"/>
          <w:highlight w:val="none"/>
        </w:rPr>
        <w:t>乙方</w:t>
      </w:r>
      <w:r>
        <w:rPr>
          <w:rFonts w:ascii="宋体" w:hAnsi="宋体"/>
          <w:color w:val="0D0D0D"/>
          <w:szCs w:val="21"/>
          <w:highlight w:val="none"/>
        </w:rPr>
        <w:t>应予</w:t>
      </w:r>
      <w:r>
        <w:rPr>
          <w:rFonts w:hint="eastAsia" w:ascii="宋体" w:hAnsi="宋体"/>
          <w:color w:val="0D0D0D"/>
          <w:szCs w:val="21"/>
          <w:highlight w:val="none"/>
        </w:rPr>
        <w:t>以</w:t>
      </w:r>
      <w:r>
        <w:rPr>
          <w:rFonts w:ascii="宋体" w:hAnsi="宋体"/>
          <w:color w:val="0D0D0D"/>
          <w:szCs w:val="21"/>
          <w:highlight w:val="none"/>
        </w:rPr>
        <w:t>接受</w:t>
      </w:r>
      <w:r>
        <w:rPr>
          <w:rFonts w:hint="eastAsia" w:ascii="宋体" w:hAnsi="宋体"/>
          <w:color w:val="0D0D0D"/>
          <w:szCs w:val="21"/>
          <w:highlight w:val="none"/>
        </w:rPr>
        <w:t>。</w:t>
      </w:r>
    </w:p>
    <w:p w14:paraId="2E6266FC">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ascii="宋体" w:hAnsi="宋体"/>
          <w:color w:val="0D0D0D"/>
          <w:szCs w:val="21"/>
          <w:highlight w:val="none"/>
        </w:rPr>
      </w:pPr>
      <w:r>
        <w:rPr>
          <w:rFonts w:hint="eastAsia" w:ascii="宋体" w:hAnsi="宋体"/>
          <w:color w:val="0D0D0D"/>
          <w:szCs w:val="21"/>
          <w:highlight w:val="none"/>
        </w:rPr>
        <w:t>无论如何，因为乙方人员更换导致的所有费用和所有责任由乙方承担。</w:t>
      </w:r>
    </w:p>
    <w:p w14:paraId="097D5EE7">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ascii="宋体" w:hAnsi="宋体"/>
          <w:color w:val="0D0D0D"/>
          <w:szCs w:val="21"/>
          <w:highlight w:val="none"/>
        </w:rPr>
        <w:t>乙方对其委派人员的人身及财务安全承担全部责任</w:t>
      </w:r>
      <w:r>
        <w:rPr>
          <w:rFonts w:hint="eastAsia" w:ascii="宋体" w:hAnsi="宋体"/>
          <w:color w:val="0D0D0D"/>
          <w:szCs w:val="21"/>
          <w:highlight w:val="none"/>
        </w:rPr>
        <w:t>。</w:t>
      </w:r>
    </w:p>
    <w:p w14:paraId="1BDA86E6">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保密条款</w:t>
      </w:r>
    </w:p>
    <w:p w14:paraId="741BD749">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保密信息是指一方向另一方透露的书面或介质形式的一切装置、图表、书面资料、系统配置或者其它资料或信息；乙方按照合同约定提交的项目成果不在此列，按合同的其他约定履行。</w:t>
      </w:r>
    </w:p>
    <w:p w14:paraId="0706B665">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对于一方向另一方提供的保密信息，另一方须以合理和合适的方式予以保密；未经提供方书面同意，另一方不得将保密信息通过任何方式透露给任何第三方。</w:t>
      </w:r>
    </w:p>
    <w:p w14:paraId="4E889C55">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甲方向乙方提供的图纸、资料在本合同履行完毕后，乙方须予以归还（包括拷贝资料）。</w:t>
      </w:r>
    </w:p>
    <w:p w14:paraId="5B1284DD">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甲乙双方不得将保密资料用于履行本合同以外的任何目的。</w:t>
      </w:r>
    </w:p>
    <w:p w14:paraId="7FB7CF9D">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一方对另一方提供的保密信息应采取适当的保密措施</w:t>
      </w:r>
      <w:r>
        <w:rPr>
          <w:rFonts w:ascii="宋体" w:hAnsi="宋体"/>
          <w:color w:val="0D0D0D"/>
          <w:szCs w:val="21"/>
          <w:highlight w:val="none"/>
        </w:rPr>
        <w:t>,并将传播</w:t>
      </w:r>
      <w:r>
        <w:rPr>
          <w:rFonts w:hint="eastAsia" w:ascii="宋体" w:hAnsi="宋体"/>
          <w:color w:val="0D0D0D"/>
          <w:szCs w:val="21"/>
          <w:highlight w:val="none"/>
        </w:rPr>
        <w:t>范围</w:t>
      </w:r>
      <w:r>
        <w:rPr>
          <w:rFonts w:ascii="宋体" w:hAnsi="宋体"/>
          <w:color w:val="0D0D0D"/>
          <w:szCs w:val="21"/>
          <w:highlight w:val="none"/>
        </w:rPr>
        <w:t>限制</w:t>
      </w:r>
      <w:r>
        <w:rPr>
          <w:rFonts w:hint="eastAsia" w:ascii="宋体" w:hAnsi="宋体"/>
          <w:color w:val="0D0D0D"/>
          <w:szCs w:val="21"/>
          <w:highlight w:val="none"/>
        </w:rPr>
        <w:t>为履行合同</w:t>
      </w:r>
      <w:r>
        <w:rPr>
          <w:rFonts w:ascii="宋体" w:hAnsi="宋体"/>
          <w:color w:val="0D0D0D"/>
          <w:szCs w:val="21"/>
          <w:highlight w:val="none"/>
        </w:rPr>
        <w:t>目的而需要知晓此保密</w:t>
      </w:r>
      <w:r>
        <w:rPr>
          <w:rFonts w:hint="eastAsia" w:ascii="宋体" w:hAnsi="宋体"/>
          <w:color w:val="0D0D0D"/>
          <w:szCs w:val="21"/>
          <w:highlight w:val="none"/>
        </w:rPr>
        <w:t>信息</w:t>
      </w:r>
      <w:r>
        <w:rPr>
          <w:rFonts w:ascii="宋体" w:hAnsi="宋体"/>
          <w:color w:val="0D0D0D"/>
          <w:szCs w:val="21"/>
          <w:highlight w:val="none"/>
        </w:rPr>
        <w:t>的</w:t>
      </w:r>
      <w:r>
        <w:rPr>
          <w:rFonts w:hint="eastAsia" w:ascii="宋体" w:hAnsi="宋体"/>
          <w:color w:val="0D0D0D"/>
          <w:szCs w:val="21"/>
          <w:highlight w:val="none"/>
        </w:rPr>
        <w:t>相关人员</w:t>
      </w:r>
      <w:r>
        <w:rPr>
          <w:rFonts w:ascii="宋体" w:hAnsi="宋体"/>
          <w:color w:val="0D0D0D"/>
          <w:szCs w:val="21"/>
          <w:highlight w:val="none"/>
        </w:rPr>
        <w:t>，</w:t>
      </w:r>
      <w:r>
        <w:rPr>
          <w:rFonts w:hint="eastAsia" w:ascii="宋体" w:hAnsi="宋体"/>
          <w:color w:val="0D0D0D"/>
          <w:szCs w:val="21"/>
          <w:highlight w:val="none"/>
        </w:rPr>
        <w:t>并仅在履行本合同项下的义务需要时复制该保密信息。</w:t>
      </w:r>
    </w:p>
    <w:p w14:paraId="6FB39A68">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除本合同的明确约定外，对保密信息没有任何其它明示或暗示的许可。</w:t>
      </w:r>
    </w:p>
    <w:p w14:paraId="48DAEEC6">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ascii="宋体" w:hAnsi="宋体"/>
          <w:color w:val="0D0D0D"/>
          <w:szCs w:val="21"/>
          <w:highlight w:val="none"/>
        </w:rPr>
      </w:pPr>
      <w:r>
        <w:rPr>
          <w:rFonts w:hint="eastAsia" w:ascii="宋体" w:hAnsi="宋体"/>
          <w:color w:val="0D0D0D"/>
          <w:szCs w:val="21"/>
          <w:highlight w:val="none"/>
        </w:rPr>
        <w:t>本合同保密信息的保密期限为</w:t>
      </w:r>
      <w:r>
        <w:rPr>
          <w:rFonts w:hint="eastAsia" w:ascii="宋体" w:hAnsi="宋体"/>
          <w:color w:val="0D0D0D"/>
          <w:szCs w:val="21"/>
          <w:highlight w:val="none"/>
          <w:lang w:val="en-US" w:eastAsia="zh-CN"/>
        </w:rPr>
        <w:t>自获悉之日起30年</w:t>
      </w:r>
      <w:r>
        <w:rPr>
          <w:rFonts w:hint="eastAsia" w:ascii="宋体" w:hAnsi="宋体"/>
          <w:color w:val="0D0D0D"/>
          <w:szCs w:val="21"/>
          <w:highlight w:val="none"/>
        </w:rPr>
        <w:t>。保密期限届满后，如相关资料或信息仍符合国家有关法规对“保密”的定义，则一方仍需承担保密义务。</w:t>
      </w:r>
    </w:p>
    <w:p w14:paraId="56F7F016">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ascii="宋体" w:hAnsi="宋体"/>
          <w:color w:val="0D0D0D"/>
          <w:szCs w:val="21"/>
          <w:highlight w:val="none"/>
        </w:rPr>
      </w:pPr>
      <w:r>
        <w:rPr>
          <w:rFonts w:hint="eastAsia" w:ascii="宋体" w:hAnsi="宋体"/>
          <w:color w:val="0D0D0D"/>
          <w:szCs w:val="21"/>
          <w:highlight w:val="none"/>
          <w:lang w:val="en-US" w:eastAsia="zh-CN"/>
        </w:rPr>
        <w:t>一方违反保密义务的，守约方除有权解除合同外，违约方还须按合同总额的10%支付违约金；若因此导致守约方损失，违约金不足以弥补的，违约方须全额赔偿。</w:t>
      </w:r>
    </w:p>
    <w:p w14:paraId="32F82437">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违约条款</w:t>
      </w:r>
    </w:p>
    <w:p w14:paraId="5658E59F">
      <w:pPr>
        <w:keepNext w:val="0"/>
        <w:keepLines w:val="0"/>
        <w:pageBreakBefore w:val="0"/>
        <w:widowControl w:val="0"/>
        <w:numPr>
          <w:ilvl w:val="1"/>
          <w:numId w:val="12"/>
        </w:numPr>
        <w:tabs>
          <w:tab w:val="left" w:pos="540"/>
        </w:tabs>
        <w:kinsoku/>
        <w:wordWrap w:val="0"/>
        <w:topLinePunct w:val="0"/>
        <w:autoSpaceDE w:val="0"/>
        <w:autoSpaceDN w:val="0"/>
        <w:bidi w:val="0"/>
        <w:adjustRightInd w:val="0"/>
        <w:snapToGrid w:val="0"/>
        <w:spacing w:line="360" w:lineRule="auto"/>
        <w:ind w:left="420" w:leftChars="0" w:hanging="420" w:firstLineChars="0"/>
        <w:rPr>
          <w:rFonts w:ascii="宋体" w:hAnsi="宋体"/>
          <w:snapToGrid w:val="0"/>
          <w:color w:val="0D0D0D"/>
          <w:kern w:val="0"/>
          <w:szCs w:val="21"/>
          <w:highlight w:val="none"/>
        </w:rPr>
      </w:pPr>
      <w:r>
        <w:rPr>
          <w:rFonts w:hint="eastAsia" w:ascii="宋体" w:hAnsi="宋体"/>
          <w:snapToGrid w:val="0"/>
          <w:color w:val="0D0D0D"/>
          <w:kern w:val="0"/>
          <w:szCs w:val="21"/>
          <w:highlight w:val="none"/>
        </w:rPr>
        <w:t>甲方的违约情形及违约责任</w:t>
      </w:r>
    </w:p>
    <w:p w14:paraId="1652B4AF">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ascii="宋体" w:hAnsi="宋体"/>
          <w:bCs/>
          <w:snapToGrid w:val="0"/>
          <w:color w:val="0D0D0D"/>
          <w:kern w:val="0"/>
          <w:szCs w:val="21"/>
          <w:highlight w:val="none"/>
        </w:rPr>
      </w:pPr>
      <w:r>
        <w:rPr>
          <w:rFonts w:hint="eastAsia" w:ascii="宋体" w:hAnsi="宋体"/>
          <w:bCs/>
          <w:snapToGrid w:val="0"/>
          <w:color w:val="0D0D0D"/>
          <w:kern w:val="0"/>
          <w:szCs w:val="21"/>
          <w:highlight w:val="none"/>
        </w:rPr>
        <w:t>未按合同约定支付相关款项的，每延期一天应按</w:t>
      </w:r>
      <w:r>
        <w:rPr>
          <w:rFonts w:hint="eastAsia" w:ascii="宋体" w:hAnsi="宋体"/>
          <w:bCs/>
          <w:snapToGrid w:val="0"/>
          <w:color w:val="0D0D0D"/>
          <w:kern w:val="0"/>
          <w:szCs w:val="21"/>
          <w:highlight w:val="none"/>
          <w:lang w:val="en-US" w:eastAsia="zh-CN"/>
        </w:rPr>
        <w:t>欠付金额</w:t>
      </w:r>
      <w:r>
        <w:rPr>
          <w:rFonts w:hint="eastAsia" w:ascii="宋体" w:hAnsi="宋体"/>
          <w:bCs/>
          <w:snapToGrid w:val="0"/>
          <w:color w:val="0D0D0D"/>
          <w:kern w:val="0"/>
          <w:szCs w:val="21"/>
          <w:highlight w:val="none"/>
        </w:rPr>
        <w:t>的</w:t>
      </w:r>
      <w:r>
        <w:rPr>
          <w:rFonts w:hint="eastAsia" w:ascii="宋体" w:hAnsi="宋体"/>
          <w:bCs/>
          <w:snapToGrid w:val="0"/>
          <w:color w:val="0D0D0D"/>
          <w:kern w:val="0"/>
          <w:szCs w:val="21"/>
          <w:highlight w:val="none"/>
          <w:lang w:val="en-US" w:eastAsia="zh-CN"/>
        </w:rPr>
        <w:t>万</w:t>
      </w:r>
      <w:r>
        <w:rPr>
          <w:rFonts w:hint="eastAsia" w:ascii="宋体" w:hAnsi="宋体"/>
          <w:bCs/>
          <w:snapToGrid w:val="0"/>
          <w:color w:val="0D0D0D"/>
          <w:kern w:val="0"/>
          <w:szCs w:val="21"/>
          <w:highlight w:val="none"/>
        </w:rPr>
        <w:t>分之</w:t>
      </w:r>
      <w:r>
        <w:rPr>
          <w:rFonts w:hint="eastAsia" w:ascii="宋体" w:hAnsi="宋体"/>
          <w:bCs/>
          <w:snapToGrid w:val="0"/>
          <w:color w:val="0D0D0D"/>
          <w:kern w:val="0"/>
          <w:szCs w:val="21"/>
          <w:highlight w:val="none"/>
          <w:lang w:val="en-US" w:eastAsia="zh-CN"/>
        </w:rPr>
        <w:t>五</w:t>
      </w:r>
      <w:r>
        <w:rPr>
          <w:rFonts w:hint="eastAsia" w:ascii="宋体" w:hAnsi="宋体"/>
          <w:bCs/>
          <w:snapToGrid w:val="0"/>
          <w:color w:val="0D0D0D"/>
          <w:kern w:val="0"/>
          <w:szCs w:val="21"/>
          <w:highlight w:val="none"/>
        </w:rPr>
        <w:t>支付违约金，延期支付超过30日的，乙方有权单方解除合同。</w:t>
      </w:r>
    </w:p>
    <w:p w14:paraId="5B71970F">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ascii="宋体" w:hAnsi="宋体"/>
          <w:bCs/>
          <w:snapToGrid w:val="0"/>
          <w:color w:val="0D0D0D"/>
          <w:kern w:val="0"/>
          <w:szCs w:val="21"/>
          <w:highlight w:val="none"/>
        </w:rPr>
      </w:pPr>
      <w:r>
        <w:rPr>
          <w:rFonts w:hint="eastAsia" w:ascii="宋体" w:hAnsi="宋体"/>
          <w:bCs/>
          <w:snapToGrid w:val="0"/>
          <w:color w:val="0D0D0D"/>
          <w:kern w:val="0"/>
          <w:szCs w:val="21"/>
          <w:highlight w:val="none"/>
        </w:rPr>
        <w:t>违反合同其他约定且在乙方书面提示之后同一违约行为仍未进行改进的，应按合同总额的千分之五支付违约金；违约金处罚后同一违约行为仍未进行改进的，乙方有权单方解除合同。</w:t>
      </w:r>
    </w:p>
    <w:p w14:paraId="0BC16667">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甲方承担违约责任后，乙方因该违约行为获得的违约金不足以弥补其损失的，甲方还需补偿乙方所有损失。</w:t>
      </w:r>
    </w:p>
    <w:p w14:paraId="4EC9263D">
      <w:pPr>
        <w:keepNext w:val="0"/>
        <w:keepLines w:val="0"/>
        <w:pageBreakBefore w:val="0"/>
        <w:widowControl w:val="0"/>
        <w:numPr>
          <w:ilvl w:val="1"/>
          <w:numId w:val="12"/>
        </w:numPr>
        <w:tabs>
          <w:tab w:val="left" w:pos="540"/>
        </w:tabs>
        <w:kinsoku/>
        <w:wordWrap w:val="0"/>
        <w:topLinePunct w:val="0"/>
        <w:autoSpaceDE w:val="0"/>
        <w:autoSpaceDN w:val="0"/>
        <w:bidi w:val="0"/>
        <w:adjustRightInd w:val="0"/>
        <w:snapToGrid w:val="0"/>
        <w:spacing w:line="360" w:lineRule="auto"/>
        <w:ind w:left="420" w:leftChars="0" w:hanging="420" w:firstLineChars="0"/>
        <w:rPr>
          <w:rFonts w:ascii="宋体" w:hAnsi="宋体"/>
          <w:snapToGrid w:val="0"/>
          <w:color w:val="0D0D0D"/>
          <w:kern w:val="0"/>
          <w:szCs w:val="21"/>
          <w:highlight w:val="none"/>
        </w:rPr>
      </w:pPr>
      <w:r>
        <w:rPr>
          <w:rFonts w:hint="eastAsia" w:ascii="宋体" w:hAnsi="宋体"/>
          <w:snapToGrid w:val="0"/>
          <w:color w:val="0D0D0D"/>
          <w:kern w:val="0"/>
          <w:szCs w:val="21"/>
          <w:highlight w:val="none"/>
        </w:rPr>
        <w:t>乙方的违约情形及违约责任</w:t>
      </w:r>
    </w:p>
    <w:p w14:paraId="7AFB39D6">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未按合同约定时间提交项目成果的，每延期一天应按合同总额的</w:t>
      </w:r>
      <w:r>
        <w:rPr>
          <w:rFonts w:hint="eastAsia" w:ascii="宋体" w:hAnsi="宋体"/>
          <w:bCs/>
          <w:snapToGrid w:val="0"/>
          <w:color w:val="0D0D0D"/>
          <w:kern w:val="0"/>
          <w:szCs w:val="21"/>
          <w:highlight w:val="none"/>
          <w:lang w:val="en-US" w:eastAsia="zh-CN"/>
        </w:rPr>
        <w:t>万</w:t>
      </w:r>
      <w:r>
        <w:rPr>
          <w:rFonts w:hint="eastAsia" w:ascii="宋体" w:hAnsi="宋体"/>
          <w:bCs/>
          <w:snapToGrid w:val="0"/>
          <w:color w:val="0D0D0D"/>
          <w:kern w:val="0"/>
          <w:szCs w:val="21"/>
          <w:highlight w:val="none"/>
        </w:rPr>
        <w:t>分之</w:t>
      </w:r>
      <w:r>
        <w:rPr>
          <w:rFonts w:hint="eastAsia" w:ascii="宋体" w:hAnsi="宋体"/>
          <w:bCs/>
          <w:snapToGrid w:val="0"/>
          <w:color w:val="0D0D0D"/>
          <w:kern w:val="0"/>
          <w:szCs w:val="21"/>
          <w:highlight w:val="none"/>
          <w:lang w:val="en-US" w:eastAsia="zh-CN"/>
        </w:rPr>
        <w:t>五</w:t>
      </w:r>
      <w:r>
        <w:rPr>
          <w:rFonts w:hint="eastAsia" w:ascii="宋体" w:hAnsi="宋体"/>
          <w:bCs/>
          <w:snapToGrid w:val="0"/>
          <w:color w:val="0D0D0D"/>
          <w:kern w:val="0"/>
          <w:szCs w:val="21"/>
          <w:highlight w:val="none"/>
        </w:rPr>
        <w:t>支付违约金，延期提交超过30日的，甲方有权单方解除合同；甲方同意延期的除外。</w:t>
      </w:r>
    </w:p>
    <w:p w14:paraId="0435A851">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相关项目成果</w:t>
      </w:r>
      <w:r>
        <w:rPr>
          <w:rFonts w:hint="default" w:ascii="宋体" w:hAnsi="宋体"/>
          <w:bCs/>
          <w:snapToGrid w:val="0"/>
          <w:color w:val="0D0D0D"/>
          <w:kern w:val="0"/>
          <w:szCs w:val="21"/>
          <w:highlight w:val="none"/>
          <w:lang w:val="en-US"/>
        </w:rPr>
        <w:t>两</w:t>
      </w:r>
      <w:r>
        <w:rPr>
          <w:rFonts w:hint="eastAsia" w:ascii="宋体" w:hAnsi="宋体"/>
          <w:bCs/>
          <w:snapToGrid w:val="0"/>
          <w:color w:val="0D0D0D"/>
          <w:kern w:val="0"/>
          <w:szCs w:val="21"/>
          <w:highlight w:val="none"/>
        </w:rPr>
        <w:t>次未通过验收的，乙方应按</w:t>
      </w:r>
      <w:r>
        <w:rPr>
          <w:rFonts w:hint="eastAsia" w:ascii="宋体" w:hAnsi="宋体"/>
          <w:bCs/>
          <w:snapToGrid w:val="0"/>
          <w:color w:val="0D0D0D"/>
          <w:kern w:val="0"/>
          <w:szCs w:val="21"/>
          <w:highlight w:val="none"/>
          <w:lang w:val="en-US" w:eastAsia="zh-CN"/>
        </w:rPr>
        <w:t>当前阶段应付款</w:t>
      </w:r>
      <w:r>
        <w:rPr>
          <w:rFonts w:hint="eastAsia" w:ascii="宋体" w:hAnsi="宋体"/>
          <w:bCs/>
          <w:snapToGrid w:val="0"/>
          <w:color w:val="0D0D0D"/>
          <w:kern w:val="0"/>
          <w:szCs w:val="21"/>
          <w:highlight w:val="none"/>
        </w:rPr>
        <w:t>总额的百分之</w:t>
      </w:r>
      <w:r>
        <w:rPr>
          <w:rFonts w:hint="eastAsia" w:ascii="宋体" w:hAnsi="宋体"/>
          <w:bCs/>
          <w:snapToGrid w:val="0"/>
          <w:color w:val="0D0D0D"/>
          <w:kern w:val="0"/>
          <w:szCs w:val="21"/>
          <w:highlight w:val="none"/>
          <w:lang w:val="en-US" w:eastAsia="zh-CN"/>
        </w:rPr>
        <w:t>五</w:t>
      </w:r>
      <w:r>
        <w:rPr>
          <w:rFonts w:hint="eastAsia" w:ascii="宋体" w:hAnsi="宋体"/>
          <w:bCs/>
          <w:snapToGrid w:val="0"/>
          <w:color w:val="0D0D0D"/>
          <w:kern w:val="0"/>
          <w:szCs w:val="21"/>
          <w:highlight w:val="none"/>
        </w:rPr>
        <w:t>支付违约金；</w:t>
      </w:r>
      <w:r>
        <w:rPr>
          <w:rFonts w:hint="default" w:ascii="宋体" w:hAnsi="宋体"/>
          <w:bCs/>
          <w:snapToGrid w:val="0"/>
          <w:color w:val="0D0D0D"/>
          <w:kern w:val="0"/>
          <w:szCs w:val="21"/>
          <w:highlight w:val="none"/>
          <w:lang w:val="en-US"/>
        </w:rPr>
        <w:t>三</w:t>
      </w:r>
      <w:r>
        <w:rPr>
          <w:rFonts w:hint="eastAsia" w:ascii="宋体" w:hAnsi="宋体"/>
          <w:bCs/>
          <w:snapToGrid w:val="0"/>
          <w:color w:val="0D0D0D"/>
          <w:kern w:val="0"/>
          <w:szCs w:val="21"/>
          <w:highlight w:val="none"/>
        </w:rPr>
        <w:t>次未通过验收的，甲方有权单方解除合同。</w:t>
      </w:r>
    </w:p>
    <w:p w14:paraId="3636BE9D">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未按合同约定更换项目团队人员的，每一人次按合同总额的千分之五支付违约金；三人次及其以上的，甲方有权单方解除合同。</w:t>
      </w:r>
    </w:p>
    <w:p w14:paraId="3EC635BB">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hint="eastAsia" w:ascii="宋体" w:hAnsi="宋体"/>
          <w:snapToGrid w:val="0"/>
          <w:color w:val="0D0D0D"/>
          <w:kern w:val="0"/>
          <w:szCs w:val="21"/>
          <w:highlight w:val="none"/>
        </w:rPr>
      </w:pPr>
      <w:r>
        <w:rPr>
          <w:rFonts w:hint="eastAsia" w:ascii="宋体" w:hAnsi="宋体"/>
          <w:bCs/>
          <w:snapToGrid w:val="0"/>
          <w:color w:val="0D0D0D"/>
          <w:kern w:val="0"/>
          <w:szCs w:val="21"/>
          <w:highlight w:val="none"/>
        </w:rPr>
        <w:t>违反甲方规章制度或合同其他约定且在甲方书面提示之后同一违约行为仍未进行改进的，应</w:t>
      </w:r>
      <w:r>
        <w:rPr>
          <w:rFonts w:hint="eastAsia" w:ascii="宋体" w:hAnsi="宋体"/>
          <w:snapToGrid w:val="0"/>
          <w:color w:val="0D0D0D"/>
          <w:kern w:val="0"/>
          <w:szCs w:val="21"/>
          <w:highlight w:val="none"/>
        </w:rPr>
        <w:t>按合同总额的千分之五支付违约金；违约金处罚后同一违约行为仍未进行改进的，甲方有权单方解除合同。</w:t>
      </w:r>
    </w:p>
    <w:p w14:paraId="5320C8AF">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违反合同约定进行分包或转包的，甲方有权单方解除合同。</w:t>
      </w:r>
    </w:p>
    <w:p w14:paraId="099D9E75">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因乙方违约造成甲方财产损害或人身损害的，甲方有权单方解除合同。</w:t>
      </w:r>
    </w:p>
    <w:p w14:paraId="3F89FC93">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根本性违约且导致合同不能继续履行的，甲方有权单方解除合同。</w:t>
      </w:r>
    </w:p>
    <w:p w14:paraId="6E424F84">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ascii="宋体" w:hAnsi="宋体"/>
          <w:bCs/>
          <w:snapToGrid w:val="0"/>
          <w:color w:val="0D0D0D"/>
          <w:kern w:val="0"/>
          <w:szCs w:val="21"/>
          <w:highlight w:val="none"/>
        </w:rPr>
      </w:pPr>
      <w:r>
        <w:rPr>
          <w:rFonts w:hint="eastAsia" w:ascii="宋体" w:hAnsi="宋体"/>
          <w:bCs/>
          <w:snapToGrid w:val="0"/>
          <w:color w:val="0D0D0D"/>
          <w:kern w:val="0"/>
          <w:szCs w:val="21"/>
          <w:highlight w:val="none"/>
        </w:rPr>
        <w:t>乙方承担违约责任后，甲方因该违约行为获得的违约金不足以弥补其损失的，乙方还需补偿甲方所有损失。</w:t>
      </w:r>
    </w:p>
    <w:p w14:paraId="1B3B91B5">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rFonts w:ascii="宋体" w:hAnsi="宋体"/>
          <w:bCs/>
          <w:snapToGrid w:val="0"/>
          <w:color w:val="0D0D0D"/>
          <w:kern w:val="0"/>
          <w:szCs w:val="21"/>
          <w:highlight w:val="none"/>
        </w:rPr>
      </w:pPr>
      <w:r>
        <w:rPr>
          <w:rFonts w:hint="eastAsia" w:ascii="宋体" w:hAnsi="宋体"/>
          <w:bCs/>
          <w:snapToGrid w:val="0"/>
          <w:color w:val="0D0D0D"/>
          <w:kern w:val="0"/>
          <w:szCs w:val="21"/>
          <w:highlight w:val="none"/>
        </w:rPr>
        <w:t>乙方应承担的违约金、赔偿金、补偿金等，甲方有权从应向乙方支付的任一款项中直接扣除，不足部分甲方有权向乙方进行追偿</w:t>
      </w:r>
      <w:r>
        <w:rPr>
          <w:rFonts w:hint="eastAsia" w:ascii="宋体" w:hAnsi="宋体"/>
          <w:bCs/>
          <w:snapToGrid w:val="0"/>
          <w:color w:val="0D0D0D"/>
          <w:kern w:val="0"/>
          <w:szCs w:val="21"/>
          <w:highlight w:val="none"/>
          <w:lang w:eastAsia="zh-CN"/>
        </w:rPr>
        <w:t>。</w:t>
      </w:r>
    </w:p>
    <w:p w14:paraId="0B605976">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b/>
          <w:bCs/>
          <w:u w:val="single"/>
        </w:rPr>
      </w:pPr>
      <w:r>
        <w:rPr>
          <w:rFonts w:hint="eastAsia"/>
          <w:b w:val="0"/>
          <w:bCs w:val="0"/>
          <w:u w:val="none"/>
        </w:rPr>
        <w:t>乙方提供的人员资质、技术服务能力不能满足甲方服务要求，且未能按照合同要求提供相应人员的，甲方有权要求乙方按合同总额的</w:t>
      </w:r>
      <w:r>
        <w:rPr>
          <w:rFonts w:hint="eastAsia"/>
          <w:b w:val="0"/>
          <w:bCs w:val="0"/>
          <w:u w:val="none"/>
          <w:lang w:val="en-US" w:eastAsia="zh-CN"/>
        </w:rPr>
        <w:t>百</w:t>
      </w:r>
      <w:r>
        <w:rPr>
          <w:rFonts w:hint="eastAsia"/>
          <w:b w:val="0"/>
          <w:bCs w:val="0"/>
          <w:u w:val="none"/>
        </w:rPr>
        <w:t>分之</w:t>
      </w:r>
      <w:r>
        <w:rPr>
          <w:rFonts w:hint="eastAsia"/>
          <w:b w:val="0"/>
          <w:bCs w:val="0"/>
          <w:u w:val="none"/>
          <w:lang w:val="en-US" w:eastAsia="zh-CN"/>
        </w:rPr>
        <w:t>十每人</w:t>
      </w:r>
      <w:r>
        <w:rPr>
          <w:rFonts w:hint="eastAsia"/>
          <w:b w:val="0"/>
          <w:bCs w:val="0"/>
          <w:u w:val="none"/>
        </w:rPr>
        <w:t>支付违约金</w:t>
      </w:r>
      <w:r>
        <w:rPr>
          <w:rFonts w:hint="eastAsia"/>
          <w:b w:val="0"/>
          <w:bCs w:val="0"/>
          <w:u w:val="none"/>
          <w:lang w:eastAsia="zh-CN"/>
        </w:rPr>
        <w:t>。</w:t>
      </w:r>
    </w:p>
    <w:p w14:paraId="72F10D69">
      <w:pPr>
        <w:keepNext w:val="0"/>
        <w:keepLines w:val="0"/>
        <w:pageBreakBefore w:val="0"/>
        <w:widowControl w:val="0"/>
        <w:numPr>
          <w:ilvl w:val="2"/>
          <w:numId w:val="12"/>
        </w:numPr>
        <w:tabs>
          <w:tab w:val="left" w:pos="851"/>
        </w:tabs>
        <w:kinsoku/>
        <w:wordWrap w:val="0"/>
        <w:topLinePunct w:val="0"/>
        <w:autoSpaceDE w:val="0"/>
        <w:autoSpaceDN w:val="0"/>
        <w:bidi w:val="0"/>
        <w:adjustRightInd w:val="0"/>
        <w:snapToGrid w:val="0"/>
        <w:spacing w:line="360" w:lineRule="auto"/>
        <w:ind w:left="709" w:leftChars="0" w:hanging="709" w:firstLineChars="0"/>
        <w:rPr>
          <w:b w:val="0"/>
          <w:bCs w:val="0"/>
          <w:u w:val="none"/>
        </w:rPr>
      </w:pPr>
      <w:r>
        <w:rPr>
          <w:rFonts w:hint="eastAsia"/>
          <w:b w:val="0"/>
          <w:bCs w:val="0"/>
          <w:u w:val="none"/>
        </w:rPr>
        <w:t>由于乙方原因导致甲方软硬件设备损坏或系统数据丢失的，乙方应承担赔偿责任</w:t>
      </w:r>
      <w:r>
        <w:rPr>
          <w:rFonts w:hint="eastAsia"/>
          <w:b w:val="0"/>
          <w:bCs w:val="0"/>
          <w:u w:val="none"/>
          <w:lang w:eastAsia="zh-CN"/>
        </w:rPr>
        <w:t>。</w:t>
      </w:r>
    </w:p>
    <w:p w14:paraId="5B217DB0">
      <w:pPr>
        <w:keepNext w:val="0"/>
        <w:keepLines w:val="0"/>
        <w:pageBreakBefore w:val="0"/>
        <w:widowControl w:val="0"/>
        <w:numPr>
          <w:ilvl w:val="1"/>
          <w:numId w:val="12"/>
        </w:numPr>
        <w:tabs>
          <w:tab w:val="left" w:pos="851"/>
        </w:tabs>
        <w:kinsoku/>
        <w:wordWrap w:val="0"/>
        <w:topLinePunct w:val="0"/>
        <w:autoSpaceDE w:val="0"/>
        <w:autoSpaceDN w:val="0"/>
        <w:bidi w:val="0"/>
        <w:adjustRightInd w:val="0"/>
        <w:snapToGrid w:val="0"/>
        <w:spacing w:line="360" w:lineRule="auto"/>
        <w:ind w:left="420" w:leftChars="0" w:hanging="420" w:firstLineChars="0"/>
      </w:pPr>
      <w:r>
        <w:rPr>
          <w:rFonts w:hint="eastAsia"/>
        </w:rPr>
        <w:t>任何一方违约造成对方损失的，除应赔偿守约方损失、违约金外，还应承担守约方为维护合法权益所支付的律师费、诉讼费等</w:t>
      </w:r>
      <w:r>
        <w:rPr>
          <w:rFonts w:hint="eastAsia"/>
          <w:lang w:eastAsia="zh-CN"/>
        </w:rPr>
        <w:t>。</w:t>
      </w:r>
    </w:p>
    <w:p w14:paraId="454EA18A">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合同变更、解除及终止</w:t>
      </w:r>
    </w:p>
    <w:p w14:paraId="7FD0D7C7">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在合同执行期内如发生合同变更时，</w:t>
      </w:r>
      <w:r>
        <w:rPr>
          <w:rFonts w:hint="eastAsia" w:ascii="宋体" w:hAnsi="宋体"/>
          <w:bCs/>
          <w:snapToGrid w:val="0"/>
          <w:color w:val="0D0D0D"/>
          <w:kern w:val="0"/>
          <w:szCs w:val="21"/>
          <w:highlight w:val="none"/>
          <w:lang w:val="en-US" w:eastAsia="zh-CN"/>
        </w:rPr>
        <w:t>双方应协商一致并签署补充协议，</w:t>
      </w:r>
      <w:r>
        <w:rPr>
          <w:rFonts w:hint="eastAsia" w:ascii="宋体" w:hAnsi="宋体"/>
          <w:bCs/>
          <w:snapToGrid w:val="0"/>
          <w:color w:val="0D0D0D"/>
          <w:kern w:val="0"/>
          <w:szCs w:val="21"/>
          <w:highlight w:val="none"/>
        </w:rPr>
        <w:t>乙方承诺</w:t>
      </w:r>
      <w:r>
        <w:rPr>
          <w:rFonts w:hint="eastAsia" w:ascii="宋体" w:hAnsi="宋体"/>
          <w:bCs/>
          <w:snapToGrid w:val="0"/>
          <w:color w:val="0D0D0D"/>
          <w:kern w:val="0"/>
          <w:szCs w:val="21"/>
          <w:highlight w:val="none"/>
          <w:lang w:val="en-US" w:eastAsia="zh-CN"/>
        </w:rPr>
        <w:t>变更后的合同</w:t>
      </w:r>
      <w:r>
        <w:rPr>
          <w:rFonts w:hint="eastAsia" w:ascii="宋体" w:hAnsi="宋体"/>
          <w:bCs/>
          <w:snapToGrid w:val="0"/>
          <w:color w:val="0D0D0D"/>
          <w:kern w:val="0"/>
          <w:szCs w:val="21"/>
          <w:highlight w:val="none"/>
        </w:rPr>
        <w:t>费用不高于</w:t>
      </w:r>
      <w:r>
        <w:rPr>
          <w:rFonts w:hint="eastAsia" w:ascii="宋体" w:hAnsi="宋体"/>
          <w:bCs/>
          <w:snapToGrid w:val="0"/>
          <w:color w:val="0D0D0D"/>
          <w:kern w:val="0"/>
          <w:szCs w:val="21"/>
          <w:highlight w:val="none"/>
          <w:lang w:val="en-US" w:eastAsia="zh-CN"/>
        </w:rPr>
        <w:t>本</w:t>
      </w:r>
      <w:r>
        <w:rPr>
          <w:rFonts w:hint="eastAsia" w:ascii="宋体" w:hAnsi="宋体"/>
          <w:bCs/>
          <w:snapToGrid w:val="0"/>
          <w:color w:val="0D0D0D"/>
          <w:kern w:val="0"/>
          <w:szCs w:val="21"/>
          <w:highlight w:val="none"/>
        </w:rPr>
        <w:t>合同单价。</w:t>
      </w:r>
    </w:p>
    <w:p w14:paraId="388675CD">
      <w:pPr>
        <w:keepNext w:val="0"/>
        <w:keepLines w:val="0"/>
        <w:pageBreakBefore w:val="0"/>
        <w:widowControl w:val="0"/>
        <w:numPr>
          <w:ilvl w:val="1"/>
          <w:numId w:val="12"/>
        </w:numPr>
        <w:tabs>
          <w:tab w:val="left" w:pos="851"/>
        </w:tabs>
        <w:kinsoku/>
        <w:wordWrap w:val="0"/>
        <w:topLinePunct w:val="0"/>
        <w:autoSpaceDE w:val="0"/>
        <w:autoSpaceDN w:val="0"/>
        <w:bidi w:val="0"/>
        <w:adjustRightInd w:val="0"/>
        <w:snapToGrid w:val="0"/>
        <w:spacing w:line="360" w:lineRule="auto"/>
        <w:ind w:left="420" w:leftChars="0" w:hanging="420" w:firstLineChars="0"/>
        <w:rPr>
          <w:rFonts w:ascii="宋体" w:hAnsi="宋体"/>
          <w:bCs/>
          <w:snapToGrid w:val="0"/>
          <w:color w:val="0D0D0D"/>
          <w:kern w:val="0"/>
          <w:szCs w:val="21"/>
          <w:highlight w:val="none"/>
        </w:rPr>
      </w:pPr>
      <w:r>
        <w:rPr>
          <w:rFonts w:hint="eastAsia" w:ascii="宋体" w:hAnsi="宋体"/>
          <w:bCs/>
          <w:snapToGrid w:val="0"/>
          <w:color w:val="0D0D0D"/>
          <w:kern w:val="0"/>
          <w:szCs w:val="21"/>
          <w:highlight w:val="none"/>
        </w:rPr>
        <w:t>甲方根据合同约定单方解除合同的，按以下原则处理：</w:t>
      </w:r>
    </w:p>
    <w:p w14:paraId="69B56D75">
      <w:pPr>
        <w:keepNext w:val="0"/>
        <w:keepLines w:val="0"/>
        <w:pageBreakBefore w:val="0"/>
        <w:widowControl w:val="0"/>
        <w:numPr>
          <w:ilvl w:val="0"/>
          <w:numId w:val="19"/>
        </w:numPr>
        <w:tabs>
          <w:tab w:val="left" w:pos="1080"/>
        </w:tabs>
        <w:kinsoku/>
        <w:wordWrap w:val="0"/>
        <w:topLinePunct w:val="0"/>
        <w:autoSpaceDE w:val="0"/>
        <w:autoSpaceDN w:val="0"/>
        <w:bidi w:val="0"/>
        <w:adjustRightInd w:val="0"/>
        <w:spacing w:line="360" w:lineRule="auto"/>
        <w:rPr>
          <w:rFonts w:ascii="宋体" w:hAnsi="Courier New"/>
          <w:color w:val="0D0D0D"/>
          <w:szCs w:val="20"/>
          <w:highlight w:val="none"/>
        </w:rPr>
      </w:pPr>
      <w:r>
        <w:rPr>
          <w:rFonts w:hint="eastAsia" w:ascii="宋体" w:hAnsi="Courier New"/>
          <w:color w:val="0D0D0D"/>
          <w:szCs w:val="20"/>
          <w:highlight w:val="none"/>
        </w:rPr>
        <w:t>扣罚乙方剩余全部履约保证金；</w:t>
      </w:r>
    </w:p>
    <w:p w14:paraId="197087AC">
      <w:pPr>
        <w:keepNext w:val="0"/>
        <w:keepLines w:val="0"/>
        <w:pageBreakBefore w:val="0"/>
        <w:widowControl w:val="0"/>
        <w:numPr>
          <w:ilvl w:val="0"/>
          <w:numId w:val="19"/>
        </w:numPr>
        <w:tabs>
          <w:tab w:val="left" w:pos="1080"/>
        </w:tabs>
        <w:kinsoku/>
        <w:wordWrap w:val="0"/>
        <w:topLinePunct w:val="0"/>
        <w:autoSpaceDE w:val="0"/>
        <w:autoSpaceDN w:val="0"/>
        <w:bidi w:val="0"/>
        <w:adjustRightInd w:val="0"/>
        <w:spacing w:line="360" w:lineRule="auto"/>
        <w:rPr>
          <w:rFonts w:ascii="宋体" w:hAnsi="Courier New"/>
          <w:color w:val="0D0D0D"/>
          <w:szCs w:val="20"/>
          <w:highlight w:val="none"/>
        </w:rPr>
      </w:pPr>
      <w:r>
        <w:rPr>
          <w:rFonts w:hint="eastAsia" w:ascii="宋体" w:hAnsi="Courier New"/>
          <w:color w:val="0D0D0D"/>
          <w:szCs w:val="20"/>
          <w:highlight w:val="none"/>
        </w:rPr>
        <w:t>除合同约定外，</w:t>
      </w:r>
      <w:r>
        <w:rPr>
          <w:rFonts w:hint="eastAsia" w:ascii="宋体" w:hAnsi="Courier New"/>
          <w:color w:val="0D0D0D"/>
          <w:szCs w:val="20"/>
          <w:highlight w:val="none"/>
          <w:lang w:val="en-US" w:eastAsia="zh-CN"/>
        </w:rPr>
        <w:t>乙方须退还甲方已支付的未执行及未验收合格服务部分的合同款项</w:t>
      </w:r>
      <w:r>
        <w:rPr>
          <w:rFonts w:hint="eastAsia" w:ascii="宋体" w:hAnsi="Courier New"/>
          <w:color w:val="0D0D0D"/>
          <w:szCs w:val="20"/>
          <w:highlight w:val="none"/>
        </w:rPr>
        <w:t>；</w:t>
      </w:r>
    </w:p>
    <w:p w14:paraId="48A3417E">
      <w:pPr>
        <w:keepNext w:val="0"/>
        <w:keepLines w:val="0"/>
        <w:pageBreakBefore w:val="0"/>
        <w:widowControl w:val="0"/>
        <w:numPr>
          <w:ilvl w:val="0"/>
          <w:numId w:val="19"/>
        </w:numPr>
        <w:tabs>
          <w:tab w:val="left" w:pos="1080"/>
        </w:tabs>
        <w:kinsoku/>
        <w:wordWrap w:val="0"/>
        <w:topLinePunct w:val="0"/>
        <w:autoSpaceDE w:val="0"/>
        <w:autoSpaceDN w:val="0"/>
        <w:bidi w:val="0"/>
        <w:adjustRightInd w:val="0"/>
        <w:spacing w:line="360" w:lineRule="auto"/>
        <w:rPr>
          <w:rFonts w:ascii="宋体" w:hAnsi="Courier New"/>
          <w:color w:val="0D0D0D"/>
          <w:szCs w:val="20"/>
          <w:highlight w:val="none"/>
        </w:rPr>
      </w:pPr>
      <w:r>
        <w:rPr>
          <w:rFonts w:hint="eastAsia" w:ascii="宋体" w:hAnsi="宋体"/>
          <w:bCs/>
          <w:snapToGrid w:val="0"/>
          <w:color w:val="0D0D0D"/>
          <w:kern w:val="0"/>
          <w:szCs w:val="21"/>
          <w:highlight w:val="none"/>
          <w:lang w:val="en-US" w:eastAsia="zh-CN"/>
        </w:rPr>
        <w:t>乙方已提交的所有项目成果，对于已通过甲方验收接受的部分，项目成果按合同约定标准支付相关费用，合同无相关约定的，双方协商确认；对于未通过甲方验收的部分，全部予以退还且不支付任何费用</w:t>
      </w:r>
      <w:r>
        <w:rPr>
          <w:rFonts w:hint="eastAsia" w:ascii="宋体" w:hAnsi="宋体"/>
          <w:bCs/>
          <w:snapToGrid w:val="0"/>
          <w:color w:val="0D0D0D"/>
          <w:kern w:val="0"/>
          <w:szCs w:val="21"/>
          <w:highlight w:val="none"/>
        </w:rPr>
        <w:t>。</w:t>
      </w:r>
    </w:p>
    <w:p w14:paraId="78DC0327">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bCs/>
          <w:snapToGrid w:val="0"/>
          <w:color w:val="0D0D0D"/>
          <w:kern w:val="0"/>
          <w:szCs w:val="21"/>
          <w:highlight w:val="none"/>
        </w:rPr>
      </w:pPr>
      <w:r>
        <w:rPr>
          <w:rFonts w:hint="eastAsia" w:ascii="宋体" w:hAnsi="宋体"/>
          <w:bCs/>
          <w:snapToGrid w:val="0"/>
          <w:color w:val="0D0D0D"/>
          <w:kern w:val="0"/>
          <w:szCs w:val="21"/>
          <w:highlight w:val="none"/>
        </w:rPr>
        <w:t>乙方根据合同约定单方解除合同的，甲方需赔偿乙方因此遭受的所有直接经济损失。</w:t>
      </w:r>
    </w:p>
    <w:p w14:paraId="40D82273">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ascii="宋体" w:hAnsi="宋体"/>
          <w:bCs/>
          <w:snapToGrid w:val="0"/>
          <w:color w:val="0D0D0D"/>
          <w:kern w:val="0"/>
          <w:szCs w:val="21"/>
          <w:highlight w:val="none"/>
        </w:rPr>
      </w:pPr>
      <w:r>
        <w:rPr>
          <w:rFonts w:hint="eastAsia" w:ascii="宋体" w:hAnsi="宋体"/>
          <w:bCs/>
          <w:snapToGrid w:val="0"/>
          <w:color w:val="0D0D0D"/>
          <w:kern w:val="0"/>
          <w:szCs w:val="21"/>
          <w:highlight w:val="none"/>
        </w:rPr>
        <w:t>合同的解除及终止不影响任何一方依据本合同的约定向另一方提出索赔、追索或其他约定、法定权利。</w:t>
      </w:r>
    </w:p>
    <w:p w14:paraId="7F880BAF">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争议的解决</w:t>
      </w:r>
    </w:p>
    <w:p w14:paraId="57BBFAF7">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在合同履行过程中出现任何争议，双方应协商解决。</w:t>
      </w:r>
    </w:p>
    <w:p w14:paraId="7602D228">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若双方协商不能达成一致的，则任一方有权将争议提交</w:t>
      </w:r>
      <w:r>
        <w:rPr>
          <w:rFonts w:ascii="宋体" w:hAnsi="宋体"/>
          <w:color w:val="0D0D0D"/>
          <w:szCs w:val="21"/>
          <w:highlight w:val="none"/>
        </w:rPr>
        <w:t>至</w:t>
      </w:r>
      <w:r>
        <w:rPr>
          <w:rFonts w:hint="eastAsia" w:ascii="宋体" w:hAnsi="宋体"/>
          <w:color w:val="0D0D0D"/>
          <w:szCs w:val="21"/>
          <w:highlight w:val="none"/>
        </w:rPr>
        <w:t>甲方住所地有管辖权的人民法院诉讼解决。</w:t>
      </w:r>
    </w:p>
    <w:p w14:paraId="09076BCC">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合同生效</w:t>
      </w:r>
    </w:p>
    <w:p w14:paraId="7C55C09B">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合同自双方法定代表人或授权代表签名，并加盖甲方合同专用章、乙方法人公章或合同专用章之日起生效。</w:t>
      </w:r>
    </w:p>
    <w:p w14:paraId="1B3CF6A7">
      <w:pPr>
        <w:pStyle w:val="2"/>
        <w:keepNext w:val="0"/>
        <w:keepLines w:val="0"/>
        <w:pageBreakBefore w:val="0"/>
        <w:widowControl w:val="0"/>
        <w:numPr>
          <w:ilvl w:val="0"/>
          <w:numId w:val="12"/>
        </w:numPr>
        <w:kinsoku/>
        <w:wordWrap w:val="0"/>
        <w:topLinePunct w:val="0"/>
        <w:autoSpaceDE w:val="0"/>
        <w:autoSpaceDN w:val="0"/>
        <w:bidi w:val="0"/>
        <w:adjustRightInd w:val="0"/>
        <w:spacing w:before="0" w:after="0" w:line="360" w:lineRule="auto"/>
        <w:ind w:left="425" w:leftChars="0" w:hanging="425" w:firstLineChars="0"/>
        <w:jc w:val="both"/>
        <w:rPr>
          <w:rFonts w:ascii="宋体" w:hAnsi="宋体"/>
          <w:snapToGrid w:val="0"/>
          <w:color w:val="0D0D0D"/>
          <w:kern w:val="0"/>
          <w:sz w:val="21"/>
          <w:szCs w:val="21"/>
          <w:highlight w:val="none"/>
        </w:rPr>
      </w:pPr>
      <w:r>
        <w:rPr>
          <w:rFonts w:hint="eastAsia" w:ascii="宋体" w:hAnsi="宋体"/>
          <w:snapToGrid w:val="0"/>
          <w:color w:val="0D0D0D"/>
          <w:kern w:val="0"/>
          <w:sz w:val="21"/>
          <w:szCs w:val="21"/>
          <w:highlight w:val="none"/>
        </w:rPr>
        <w:t>其他</w:t>
      </w:r>
    </w:p>
    <w:p w14:paraId="4545309B">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双方往来正式文件和合同文本均以中文为准。</w:t>
      </w:r>
    </w:p>
    <w:p w14:paraId="153200B3">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本合同</w:t>
      </w:r>
      <w:r>
        <w:rPr>
          <w:rFonts w:hint="eastAsia" w:ascii="宋体" w:hAnsi="宋体"/>
          <w:color w:val="0D0D0D"/>
          <w:szCs w:val="21"/>
          <w:highlight w:val="none"/>
          <w:lang w:val="en-US" w:eastAsia="zh-CN"/>
        </w:rPr>
        <w:t>未尽事宜由双方协商一致，并签署补充协议</w:t>
      </w:r>
      <w:r>
        <w:rPr>
          <w:rFonts w:hint="eastAsia" w:ascii="宋体" w:hAnsi="宋体"/>
          <w:color w:val="0D0D0D"/>
          <w:szCs w:val="21"/>
          <w:highlight w:val="none"/>
        </w:rPr>
        <w:t>。</w:t>
      </w:r>
    </w:p>
    <w:p w14:paraId="330AB61A">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本合同两正六副，甲方执正本一份、副本五份；乙方执正本一份、副本一份；正副本内容不一致的，以正本内容为准。</w:t>
      </w:r>
    </w:p>
    <w:p w14:paraId="2530CBEB">
      <w:pPr>
        <w:keepNext w:val="0"/>
        <w:keepLines w:val="0"/>
        <w:pageBreakBefore w:val="0"/>
        <w:widowControl w:val="0"/>
        <w:numPr>
          <w:ilvl w:val="1"/>
          <w:numId w:val="12"/>
        </w:numPr>
        <w:kinsoku/>
        <w:wordWrap w:val="0"/>
        <w:topLinePunct w:val="0"/>
        <w:autoSpaceDE w:val="0"/>
        <w:autoSpaceDN w:val="0"/>
        <w:bidi w:val="0"/>
        <w:adjustRightInd w:val="0"/>
        <w:snapToGrid w:val="0"/>
        <w:spacing w:line="360" w:lineRule="auto"/>
        <w:ind w:left="420" w:leftChars="0" w:hanging="420" w:firstLineChars="0"/>
        <w:rPr>
          <w:rFonts w:hint="eastAsia" w:ascii="宋体" w:hAnsi="宋体"/>
          <w:color w:val="0D0D0D"/>
          <w:szCs w:val="21"/>
          <w:highlight w:val="none"/>
        </w:rPr>
      </w:pPr>
      <w:r>
        <w:rPr>
          <w:rFonts w:hint="eastAsia" w:ascii="宋体" w:hAnsi="宋体"/>
          <w:color w:val="0D0D0D"/>
          <w:szCs w:val="21"/>
          <w:highlight w:val="none"/>
        </w:rPr>
        <w:t>合同附件将作为本合同不可分割的部分</w:t>
      </w:r>
      <w:r>
        <w:rPr>
          <w:rFonts w:hint="eastAsia" w:ascii="宋体" w:hAnsi="宋体"/>
          <w:color w:val="0D0D0D"/>
          <w:szCs w:val="21"/>
          <w:highlight w:val="none"/>
          <w:lang w:eastAsia="zh-CN"/>
        </w:rPr>
        <w:t>，</w:t>
      </w:r>
      <w:r>
        <w:rPr>
          <w:rFonts w:hint="eastAsia" w:ascii="宋体" w:hAnsi="宋体"/>
          <w:color w:val="0D0D0D"/>
          <w:szCs w:val="21"/>
          <w:highlight w:val="none"/>
          <w:lang w:val="en-US" w:eastAsia="zh-CN"/>
        </w:rPr>
        <w:t>与正文具有同等法律效力</w:t>
      </w:r>
      <w:r>
        <w:rPr>
          <w:rFonts w:hint="eastAsia" w:ascii="宋体" w:hAnsi="宋体"/>
          <w:color w:val="0D0D0D"/>
          <w:szCs w:val="21"/>
          <w:highlight w:val="none"/>
        </w:rPr>
        <w:t>：</w:t>
      </w:r>
    </w:p>
    <w:p w14:paraId="4174F43C">
      <w:pPr>
        <w:keepNext w:val="0"/>
        <w:keepLines w:val="0"/>
        <w:pageBreakBefore w:val="0"/>
        <w:widowControl w:val="0"/>
        <w:kinsoku/>
        <w:wordWrap w:val="0"/>
        <w:topLinePunct w:val="0"/>
        <w:autoSpaceDE w:val="0"/>
        <w:autoSpaceDN w:val="0"/>
        <w:bidi w:val="0"/>
        <w:adjustRightInd w:val="0"/>
        <w:spacing w:line="360" w:lineRule="auto"/>
        <w:ind w:firstLine="840" w:firstLineChars="400"/>
        <w:rPr>
          <w:rFonts w:hint="eastAsia" w:ascii="宋体" w:hAnsi="宋体"/>
          <w:color w:val="0D0D0D"/>
          <w:highlight w:val="none"/>
        </w:rPr>
      </w:pPr>
      <w:r>
        <w:rPr>
          <w:rFonts w:hint="eastAsia" w:ascii="宋体" w:hAnsi="宋体"/>
          <w:snapToGrid w:val="0"/>
          <w:color w:val="0D0D0D"/>
          <w:highlight w:val="none"/>
        </w:rPr>
        <w:t>合同附件一  合同</w:t>
      </w:r>
      <w:r>
        <w:rPr>
          <w:rFonts w:hint="eastAsia" w:ascii="宋体" w:hAnsi="宋体"/>
          <w:snapToGrid w:val="0"/>
          <w:color w:val="0D0D0D"/>
          <w:highlight w:val="none"/>
          <w:lang w:val="en-US" w:eastAsia="zh-CN"/>
        </w:rPr>
        <w:t>价格</w:t>
      </w:r>
      <w:r>
        <w:rPr>
          <w:rFonts w:hint="eastAsia" w:ascii="宋体" w:hAnsi="宋体"/>
          <w:snapToGrid w:val="0"/>
          <w:color w:val="0D0D0D"/>
          <w:highlight w:val="none"/>
        </w:rPr>
        <w:t>构成清单</w:t>
      </w:r>
    </w:p>
    <w:p w14:paraId="483CD5E3">
      <w:pPr>
        <w:keepNext w:val="0"/>
        <w:keepLines w:val="0"/>
        <w:pageBreakBefore w:val="0"/>
        <w:widowControl w:val="0"/>
        <w:kinsoku/>
        <w:wordWrap w:val="0"/>
        <w:topLinePunct w:val="0"/>
        <w:autoSpaceDE w:val="0"/>
        <w:autoSpaceDN w:val="0"/>
        <w:bidi w:val="0"/>
        <w:adjustRightInd w:val="0"/>
        <w:spacing w:line="360" w:lineRule="auto"/>
        <w:ind w:firstLine="840" w:firstLineChars="400"/>
        <w:rPr>
          <w:rFonts w:hint="eastAsia" w:ascii="宋体" w:hAnsi="宋体"/>
          <w:color w:val="0D0D0D"/>
          <w:highlight w:val="none"/>
        </w:rPr>
      </w:pPr>
      <w:r>
        <w:rPr>
          <w:rFonts w:hint="eastAsia" w:ascii="宋体" w:hAnsi="宋体"/>
          <w:snapToGrid w:val="0"/>
          <w:color w:val="0D0D0D"/>
          <w:highlight w:val="none"/>
        </w:rPr>
        <w:t>合同附件二  用户需求书</w:t>
      </w:r>
    </w:p>
    <w:p w14:paraId="1D818517">
      <w:pPr>
        <w:keepNext w:val="0"/>
        <w:keepLines w:val="0"/>
        <w:pageBreakBefore w:val="0"/>
        <w:widowControl w:val="0"/>
        <w:kinsoku/>
        <w:wordWrap w:val="0"/>
        <w:topLinePunct w:val="0"/>
        <w:autoSpaceDE w:val="0"/>
        <w:autoSpaceDN w:val="0"/>
        <w:bidi w:val="0"/>
        <w:adjustRightInd w:val="0"/>
        <w:spacing w:line="360" w:lineRule="auto"/>
        <w:ind w:firstLine="840" w:firstLineChars="400"/>
        <w:rPr>
          <w:rFonts w:hint="default" w:ascii="宋体" w:hAnsi="宋体" w:eastAsia="宋体"/>
          <w:snapToGrid w:val="0"/>
          <w:color w:val="0D0D0D"/>
          <w:highlight w:val="none"/>
          <w:lang w:val="en-US" w:eastAsia="zh-CN"/>
        </w:rPr>
      </w:pPr>
      <w:r>
        <w:rPr>
          <w:rFonts w:hint="eastAsia" w:ascii="宋体" w:hAnsi="宋体"/>
          <w:snapToGrid w:val="0"/>
          <w:color w:val="0D0D0D"/>
          <w:highlight w:val="none"/>
        </w:rPr>
        <w:t xml:space="preserve">合同附件三 </w:t>
      </w:r>
      <w:r>
        <w:rPr>
          <w:rFonts w:ascii="宋体" w:hAnsi="宋体"/>
          <w:snapToGrid w:val="0"/>
          <w:color w:val="0D0D0D"/>
          <w:highlight w:val="none"/>
        </w:rPr>
        <w:t xml:space="preserve"> </w:t>
      </w:r>
      <w:r>
        <w:rPr>
          <w:rFonts w:hint="eastAsia" w:ascii="宋体" w:hAnsi="宋体"/>
          <w:snapToGrid w:val="0"/>
          <w:color w:val="0D0D0D"/>
          <w:highlight w:val="none"/>
          <w:lang w:val="en-US" w:eastAsia="zh-CN"/>
        </w:rPr>
        <w:t>人员投入清单</w:t>
      </w:r>
    </w:p>
    <w:p w14:paraId="35438872">
      <w:pPr>
        <w:keepNext w:val="0"/>
        <w:keepLines w:val="0"/>
        <w:pageBreakBefore w:val="0"/>
        <w:widowControl w:val="0"/>
        <w:kinsoku/>
        <w:wordWrap w:val="0"/>
        <w:topLinePunct w:val="0"/>
        <w:autoSpaceDE w:val="0"/>
        <w:autoSpaceDN w:val="0"/>
        <w:bidi w:val="0"/>
        <w:adjustRightInd w:val="0"/>
        <w:spacing w:line="360" w:lineRule="auto"/>
        <w:ind w:firstLine="840" w:firstLineChars="400"/>
        <w:rPr>
          <w:rFonts w:hint="eastAsia" w:ascii="宋体" w:hAnsi="宋体"/>
          <w:snapToGrid w:val="0"/>
          <w:color w:val="0D0D0D"/>
          <w:highlight w:val="none"/>
        </w:rPr>
      </w:pPr>
      <w:r>
        <w:rPr>
          <w:rFonts w:hint="eastAsia" w:ascii="宋体" w:hAnsi="宋体"/>
          <w:snapToGrid w:val="0"/>
          <w:color w:val="0D0D0D"/>
          <w:highlight w:val="none"/>
        </w:rPr>
        <w:t>合同附件</w:t>
      </w:r>
      <w:r>
        <w:rPr>
          <w:rFonts w:hint="eastAsia" w:ascii="宋体" w:hAnsi="宋体"/>
          <w:snapToGrid w:val="0"/>
          <w:color w:val="0D0D0D"/>
          <w:highlight w:val="none"/>
          <w:lang w:val="en-US" w:eastAsia="zh-CN"/>
        </w:rPr>
        <w:t>四</w:t>
      </w:r>
      <w:r>
        <w:rPr>
          <w:rFonts w:hint="eastAsia" w:ascii="宋体" w:hAnsi="宋体"/>
          <w:snapToGrid w:val="0"/>
          <w:color w:val="0D0D0D"/>
          <w:highlight w:val="none"/>
        </w:rPr>
        <w:t xml:space="preserve"> </w:t>
      </w:r>
      <w:r>
        <w:rPr>
          <w:rFonts w:ascii="宋体" w:hAnsi="宋体"/>
          <w:snapToGrid w:val="0"/>
          <w:color w:val="0D0D0D"/>
          <w:highlight w:val="none"/>
        </w:rPr>
        <w:t xml:space="preserve"> </w:t>
      </w:r>
      <w:r>
        <w:rPr>
          <w:rFonts w:hint="eastAsia" w:ascii="宋体" w:hAnsi="宋体"/>
          <w:snapToGrid w:val="0"/>
          <w:color w:val="0D0D0D"/>
          <w:highlight w:val="none"/>
        </w:rPr>
        <w:t>廉洁协议</w:t>
      </w:r>
    </w:p>
    <w:p w14:paraId="3F6D14E5">
      <w:pPr>
        <w:pStyle w:val="32"/>
        <w:rPr>
          <w:rFonts w:hint="eastAsia"/>
        </w:rPr>
      </w:pPr>
    </w:p>
    <w:p w14:paraId="65F11676">
      <w:pPr>
        <w:keepNext w:val="0"/>
        <w:keepLines w:val="0"/>
        <w:pageBreakBefore w:val="0"/>
        <w:widowControl w:val="0"/>
        <w:kinsoku/>
        <w:wordWrap w:val="0"/>
        <w:topLinePunct w:val="0"/>
        <w:autoSpaceDE w:val="0"/>
        <w:autoSpaceDN w:val="0"/>
        <w:bidi w:val="0"/>
        <w:rPr>
          <w:rFonts w:hint="eastAsia" w:ascii="宋体" w:hAnsi="宋体"/>
          <w:snapToGrid w:val="0"/>
          <w:color w:val="0D0D0D"/>
          <w:highlight w:val="none"/>
        </w:rPr>
      </w:pPr>
    </w:p>
    <w:p w14:paraId="743C1EB0">
      <w:pPr>
        <w:keepNext w:val="0"/>
        <w:keepLines w:val="0"/>
        <w:pageBreakBefore w:val="0"/>
        <w:widowControl w:val="0"/>
        <w:kinsoku/>
        <w:wordWrap w:val="0"/>
        <w:topLinePunct w:val="0"/>
        <w:autoSpaceDE w:val="0"/>
        <w:autoSpaceDN w:val="0"/>
        <w:bidi w:val="0"/>
        <w:spacing w:line="360" w:lineRule="auto"/>
        <w:rPr>
          <w:rFonts w:hint="eastAsia" w:ascii="宋体" w:hAnsi="宋体"/>
          <w:snapToGrid w:val="0"/>
          <w:color w:val="0D0D0D"/>
          <w:highlight w:val="none"/>
          <w:lang w:val="en-US" w:eastAsia="zh-CN"/>
        </w:rPr>
      </w:pPr>
      <w:r>
        <w:rPr>
          <w:rFonts w:hint="eastAsia" w:ascii="宋体" w:hAnsi="宋体"/>
          <w:snapToGrid w:val="0"/>
          <w:color w:val="0D0D0D"/>
          <w:highlight w:val="none"/>
          <w:lang w:eastAsia="zh-CN"/>
        </w:rPr>
        <w:t>（</w:t>
      </w:r>
      <w:r>
        <w:rPr>
          <w:rFonts w:hint="eastAsia" w:ascii="宋体" w:hAnsi="宋体"/>
          <w:snapToGrid w:val="0"/>
          <w:color w:val="0D0D0D"/>
          <w:highlight w:val="none"/>
          <w:lang w:val="en-US" w:eastAsia="zh-CN"/>
        </w:rPr>
        <w:t>以下无正文）</w:t>
      </w:r>
    </w:p>
    <w:p w14:paraId="27317322">
      <w:pPr>
        <w:keepNext w:val="0"/>
        <w:keepLines w:val="0"/>
        <w:pageBreakBefore w:val="0"/>
        <w:widowControl w:val="0"/>
        <w:kinsoku/>
        <w:wordWrap w:val="0"/>
        <w:topLinePunct w:val="0"/>
        <w:autoSpaceDE w:val="0"/>
        <w:autoSpaceDN w:val="0"/>
        <w:bidi w:val="0"/>
        <w:spacing w:line="360" w:lineRule="auto"/>
        <w:rPr>
          <w:rFonts w:hint="eastAsia" w:ascii="宋体" w:hAnsi="宋体"/>
          <w:snapToGrid w:val="0"/>
          <w:color w:val="0D0D0D"/>
          <w:highlight w:val="none"/>
        </w:rPr>
      </w:pPr>
    </w:p>
    <w:p w14:paraId="1A055779">
      <w:pPr>
        <w:keepNext w:val="0"/>
        <w:keepLines w:val="0"/>
        <w:pageBreakBefore w:val="0"/>
        <w:widowControl w:val="0"/>
        <w:kinsoku/>
        <w:wordWrap w:val="0"/>
        <w:topLinePunct w:val="0"/>
        <w:autoSpaceDE w:val="0"/>
        <w:autoSpaceDN w:val="0"/>
        <w:bidi w:val="0"/>
        <w:spacing w:line="360" w:lineRule="auto"/>
        <w:rPr>
          <w:rFonts w:hint="eastAsia" w:ascii="宋体" w:hAnsi="宋体"/>
          <w:snapToGrid w:val="0"/>
          <w:color w:val="0D0D0D"/>
          <w:highlight w:val="none"/>
        </w:rPr>
      </w:pPr>
    </w:p>
    <w:p w14:paraId="5916C735">
      <w:pPr>
        <w:keepNext w:val="0"/>
        <w:keepLines w:val="0"/>
        <w:pageBreakBefore w:val="0"/>
        <w:widowControl w:val="0"/>
        <w:kinsoku/>
        <w:wordWrap w:val="0"/>
        <w:topLinePunct w:val="0"/>
        <w:autoSpaceDE w:val="0"/>
        <w:autoSpaceDN w:val="0"/>
        <w:bidi w:val="0"/>
        <w:spacing w:line="360" w:lineRule="auto"/>
        <w:rPr>
          <w:rFonts w:hint="eastAsia" w:ascii="宋体" w:hAnsi="宋体"/>
          <w:snapToGrid w:val="0"/>
          <w:color w:val="0D0D0D"/>
          <w:highlight w:val="none"/>
        </w:rPr>
      </w:pPr>
    </w:p>
    <w:p w14:paraId="6B89C02F">
      <w:pPr>
        <w:keepNext w:val="0"/>
        <w:keepLines w:val="0"/>
        <w:pageBreakBefore w:val="0"/>
        <w:widowControl w:val="0"/>
        <w:kinsoku/>
        <w:wordWrap w:val="0"/>
        <w:topLinePunct w:val="0"/>
        <w:autoSpaceDE w:val="0"/>
        <w:autoSpaceDN w:val="0"/>
        <w:bidi w:val="0"/>
        <w:spacing w:line="360" w:lineRule="auto"/>
        <w:rPr>
          <w:rFonts w:hint="default" w:ascii="宋体" w:hAnsi="宋体"/>
          <w:snapToGrid w:val="0"/>
          <w:color w:val="0D0D0D"/>
          <w:highlight w:val="none"/>
          <w:lang w:val="en-US"/>
        </w:rPr>
      </w:pPr>
      <w:r>
        <w:rPr>
          <w:rFonts w:hint="eastAsia" w:ascii="宋体" w:hAnsi="宋体"/>
          <w:snapToGrid w:val="0"/>
          <w:color w:val="0D0D0D"/>
          <w:highlight w:val="none"/>
        </w:rPr>
        <w:t xml:space="preserve">甲方：长沙穗城轨道交通有限公司       </w:t>
      </w:r>
      <w:r>
        <w:rPr>
          <w:rFonts w:ascii="宋体" w:hAnsi="宋体"/>
          <w:snapToGrid w:val="0"/>
          <w:color w:val="0D0D0D"/>
          <w:highlight w:val="none"/>
        </w:rPr>
        <w:t xml:space="preserve">     </w:t>
      </w:r>
      <w:r>
        <w:rPr>
          <w:rFonts w:hint="eastAsia" w:ascii="宋体" w:hAnsi="宋体"/>
          <w:snapToGrid w:val="0"/>
          <w:color w:val="0D0D0D"/>
          <w:highlight w:val="none"/>
        </w:rPr>
        <w:t>乙方：</w:t>
      </w:r>
      <w:r>
        <w:rPr>
          <w:rFonts w:hint="eastAsia" w:ascii="宋体" w:hAnsi="宋体"/>
          <w:snapToGrid w:val="0"/>
          <w:color w:val="0D0D0D"/>
          <w:highlight w:val="none"/>
          <w:lang w:val="en-US" w:eastAsia="zh-CN"/>
        </w:rPr>
        <w:t xml:space="preserve">                         </w:t>
      </w:r>
    </w:p>
    <w:p w14:paraId="4C99BFAB">
      <w:pPr>
        <w:keepNext w:val="0"/>
        <w:keepLines w:val="0"/>
        <w:pageBreakBefore w:val="0"/>
        <w:widowControl w:val="0"/>
        <w:kinsoku/>
        <w:wordWrap w:val="0"/>
        <w:topLinePunct w:val="0"/>
        <w:autoSpaceDE w:val="0"/>
        <w:autoSpaceDN w:val="0"/>
        <w:bidi w:val="0"/>
        <w:spacing w:line="360" w:lineRule="auto"/>
        <w:ind w:firstLine="1260" w:firstLineChars="600"/>
        <w:rPr>
          <w:rFonts w:hint="eastAsia" w:ascii="宋体" w:hAnsi="宋体"/>
          <w:snapToGrid w:val="0"/>
          <w:color w:val="0D0D0D"/>
          <w:highlight w:val="none"/>
        </w:rPr>
      </w:pPr>
      <w:r>
        <w:rPr>
          <w:rFonts w:hint="eastAsia" w:ascii="宋体" w:hAnsi="宋体"/>
          <w:snapToGrid w:val="0"/>
          <w:color w:val="0D0D0D"/>
          <w:highlight w:val="none"/>
        </w:rPr>
        <w:t xml:space="preserve"> （盖章）                     </w:t>
      </w:r>
      <w:r>
        <w:rPr>
          <w:rFonts w:ascii="宋体" w:hAnsi="宋体"/>
          <w:snapToGrid w:val="0"/>
          <w:color w:val="0D0D0D"/>
          <w:highlight w:val="none"/>
        </w:rPr>
        <w:t xml:space="preserve">         </w:t>
      </w:r>
      <w:r>
        <w:rPr>
          <w:rFonts w:hint="eastAsia" w:ascii="宋体" w:hAnsi="宋体"/>
          <w:snapToGrid w:val="0"/>
          <w:color w:val="0D0D0D"/>
          <w:highlight w:val="none"/>
        </w:rPr>
        <w:t>（盖章）</w:t>
      </w:r>
    </w:p>
    <w:p w14:paraId="13C85788">
      <w:pPr>
        <w:keepNext w:val="0"/>
        <w:keepLines w:val="0"/>
        <w:pageBreakBefore w:val="0"/>
        <w:widowControl w:val="0"/>
        <w:kinsoku/>
        <w:wordWrap w:val="0"/>
        <w:topLinePunct w:val="0"/>
        <w:autoSpaceDE w:val="0"/>
        <w:autoSpaceDN w:val="0"/>
        <w:bidi w:val="0"/>
        <w:spacing w:line="360" w:lineRule="auto"/>
        <w:jc w:val="left"/>
        <w:rPr>
          <w:rFonts w:ascii="宋体" w:hAnsi="宋体"/>
          <w:snapToGrid w:val="0"/>
          <w:color w:val="0D0D0D"/>
          <w:highlight w:val="none"/>
        </w:rPr>
      </w:pPr>
      <w:r>
        <w:rPr>
          <w:rFonts w:hint="eastAsia" w:ascii="宋体" w:hAnsi="宋体"/>
          <w:snapToGrid w:val="0"/>
          <w:color w:val="0D0D0D"/>
          <w:highlight w:val="none"/>
        </w:rPr>
        <w:t xml:space="preserve">法定代表人或授权代表签名：        </w:t>
      </w:r>
      <w:r>
        <w:rPr>
          <w:rFonts w:ascii="宋体" w:hAnsi="宋体"/>
          <w:snapToGrid w:val="0"/>
          <w:color w:val="0D0D0D"/>
          <w:highlight w:val="none"/>
        </w:rPr>
        <w:t xml:space="preserve">        </w:t>
      </w:r>
      <w:r>
        <w:rPr>
          <w:rFonts w:hint="eastAsia" w:ascii="宋体" w:hAnsi="宋体"/>
          <w:snapToGrid w:val="0"/>
          <w:color w:val="0D0D0D"/>
          <w:highlight w:val="none"/>
        </w:rPr>
        <w:t xml:space="preserve">法定代表人或授权代表签名：                         </w:t>
      </w:r>
    </w:p>
    <w:p w14:paraId="5F28320C">
      <w:pPr>
        <w:keepNext w:val="0"/>
        <w:keepLines w:val="0"/>
        <w:pageBreakBefore w:val="0"/>
        <w:widowControl w:val="0"/>
        <w:kinsoku/>
        <w:wordWrap w:val="0"/>
        <w:topLinePunct w:val="0"/>
        <w:autoSpaceDE w:val="0"/>
        <w:autoSpaceDN w:val="0"/>
        <w:bidi w:val="0"/>
        <w:spacing w:line="360" w:lineRule="auto"/>
        <w:jc w:val="left"/>
        <w:rPr>
          <w:rFonts w:ascii="宋体" w:hAnsi="宋体"/>
          <w:snapToGrid w:val="0"/>
          <w:color w:val="0D0D0D"/>
          <w:highlight w:val="none"/>
        </w:rPr>
      </w:pPr>
    </w:p>
    <w:p w14:paraId="2DACC806">
      <w:pPr>
        <w:keepNext w:val="0"/>
        <w:keepLines w:val="0"/>
        <w:pageBreakBefore w:val="0"/>
        <w:widowControl w:val="0"/>
        <w:kinsoku/>
        <w:wordWrap w:val="0"/>
        <w:topLinePunct w:val="0"/>
        <w:autoSpaceDE w:val="0"/>
        <w:autoSpaceDN w:val="0"/>
        <w:bidi w:val="0"/>
        <w:rPr>
          <w:rFonts w:ascii="宋体" w:hAnsi="宋体"/>
          <w:snapToGrid w:val="0"/>
          <w:color w:val="0D0D0D"/>
          <w:highlight w:val="none"/>
        </w:rPr>
      </w:pPr>
      <w:r>
        <w:rPr>
          <w:rFonts w:hint="eastAsia" w:ascii="宋体" w:hAnsi="宋体"/>
          <w:snapToGrid w:val="0"/>
          <w:color w:val="0D0D0D"/>
          <w:highlight w:val="none"/>
        </w:rPr>
        <w:t xml:space="preserve">时间： </w:t>
      </w:r>
      <w:r>
        <w:rPr>
          <w:rFonts w:ascii="宋体" w:hAnsi="宋体"/>
          <w:snapToGrid w:val="0"/>
          <w:color w:val="0D0D0D"/>
          <w:highlight w:val="none"/>
        </w:rPr>
        <w:t xml:space="preserve">     年</w:t>
      </w:r>
      <w:r>
        <w:rPr>
          <w:rFonts w:hint="eastAsia" w:ascii="宋体" w:hAnsi="宋体"/>
          <w:snapToGrid w:val="0"/>
          <w:color w:val="0D0D0D"/>
          <w:highlight w:val="none"/>
        </w:rPr>
        <w:t xml:space="preserve"> </w:t>
      </w:r>
      <w:r>
        <w:rPr>
          <w:rFonts w:ascii="宋体" w:hAnsi="宋体"/>
          <w:snapToGrid w:val="0"/>
          <w:color w:val="0D0D0D"/>
          <w:highlight w:val="none"/>
        </w:rPr>
        <w:t xml:space="preserve"> </w:t>
      </w:r>
      <w:r>
        <w:rPr>
          <w:rFonts w:hint="eastAsia" w:ascii="宋体" w:hAnsi="宋体"/>
          <w:snapToGrid w:val="0"/>
          <w:color w:val="0D0D0D"/>
          <w:highlight w:val="none"/>
        </w:rPr>
        <w:t xml:space="preserve"> </w:t>
      </w:r>
      <w:r>
        <w:rPr>
          <w:rFonts w:ascii="宋体" w:hAnsi="宋体"/>
          <w:snapToGrid w:val="0"/>
          <w:color w:val="0D0D0D"/>
          <w:highlight w:val="none"/>
        </w:rPr>
        <w:t xml:space="preserve"> 月</w:t>
      </w:r>
      <w:r>
        <w:rPr>
          <w:rFonts w:hint="eastAsia" w:ascii="宋体" w:hAnsi="宋体"/>
          <w:snapToGrid w:val="0"/>
          <w:color w:val="0D0D0D"/>
          <w:highlight w:val="none"/>
        </w:rPr>
        <w:t xml:space="preserve"> </w:t>
      </w:r>
      <w:r>
        <w:rPr>
          <w:rFonts w:ascii="宋体" w:hAnsi="宋体"/>
          <w:snapToGrid w:val="0"/>
          <w:color w:val="0D0D0D"/>
          <w:highlight w:val="none"/>
        </w:rPr>
        <w:t xml:space="preserve"> </w:t>
      </w:r>
      <w:r>
        <w:rPr>
          <w:rFonts w:hint="eastAsia" w:ascii="宋体" w:hAnsi="宋体"/>
          <w:snapToGrid w:val="0"/>
          <w:color w:val="0D0D0D"/>
          <w:highlight w:val="none"/>
        </w:rPr>
        <w:t xml:space="preserve"> </w:t>
      </w:r>
      <w:r>
        <w:rPr>
          <w:rFonts w:ascii="宋体" w:hAnsi="宋体"/>
          <w:snapToGrid w:val="0"/>
          <w:color w:val="0D0D0D"/>
          <w:highlight w:val="none"/>
        </w:rPr>
        <w:t xml:space="preserve"> 日</w:t>
      </w:r>
      <w:r>
        <w:rPr>
          <w:rFonts w:hint="eastAsia" w:ascii="宋体" w:hAnsi="宋体"/>
          <w:snapToGrid w:val="0"/>
          <w:color w:val="0D0D0D"/>
          <w:highlight w:val="none"/>
        </w:rPr>
        <w:t xml:space="preserve">                时间： </w:t>
      </w:r>
      <w:r>
        <w:rPr>
          <w:rFonts w:ascii="宋体" w:hAnsi="宋体"/>
          <w:snapToGrid w:val="0"/>
          <w:color w:val="0D0D0D"/>
          <w:highlight w:val="none"/>
        </w:rPr>
        <w:t xml:space="preserve">     年</w:t>
      </w:r>
      <w:r>
        <w:rPr>
          <w:rFonts w:hint="eastAsia" w:ascii="宋体" w:hAnsi="宋体"/>
          <w:snapToGrid w:val="0"/>
          <w:color w:val="0D0D0D"/>
          <w:highlight w:val="none"/>
        </w:rPr>
        <w:t xml:space="preserve"> </w:t>
      </w:r>
      <w:r>
        <w:rPr>
          <w:rFonts w:ascii="宋体" w:hAnsi="宋体"/>
          <w:snapToGrid w:val="0"/>
          <w:color w:val="0D0D0D"/>
          <w:highlight w:val="none"/>
        </w:rPr>
        <w:t xml:space="preserve">  月</w:t>
      </w:r>
      <w:r>
        <w:rPr>
          <w:rFonts w:hint="eastAsia" w:ascii="宋体" w:hAnsi="宋体"/>
          <w:snapToGrid w:val="0"/>
          <w:color w:val="0D0D0D"/>
          <w:highlight w:val="none"/>
        </w:rPr>
        <w:t xml:space="preserve"> </w:t>
      </w:r>
      <w:r>
        <w:rPr>
          <w:rFonts w:ascii="宋体" w:hAnsi="宋体"/>
          <w:snapToGrid w:val="0"/>
          <w:color w:val="0D0D0D"/>
          <w:highlight w:val="none"/>
        </w:rPr>
        <w:t xml:space="preserve">   日</w:t>
      </w:r>
    </w:p>
    <w:p w14:paraId="22117C66">
      <w:pPr>
        <w:keepNext w:val="0"/>
        <w:keepLines w:val="0"/>
        <w:pageBreakBefore w:val="0"/>
        <w:widowControl w:val="0"/>
        <w:kinsoku/>
        <w:wordWrap w:val="0"/>
        <w:topLinePunct w:val="0"/>
        <w:autoSpaceDE w:val="0"/>
        <w:autoSpaceDN w:val="0"/>
        <w:bidi w:val="0"/>
        <w:rPr>
          <w:rFonts w:ascii="宋体" w:hAnsi="宋体"/>
          <w:snapToGrid w:val="0"/>
          <w:color w:val="0D0D0D"/>
          <w:highlight w:val="none"/>
        </w:rPr>
      </w:pPr>
    </w:p>
    <w:p w14:paraId="65272066">
      <w:pPr>
        <w:keepNext w:val="0"/>
        <w:keepLines w:val="0"/>
        <w:pageBreakBefore w:val="0"/>
        <w:widowControl/>
        <w:kinsoku/>
        <w:wordWrap/>
        <w:topLinePunct w:val="0"/>
        <w:autoSpaceDE/>
        <w:autoSpaceDN/>
        <w:bidi w:val="0"/>
        <w:rPr>
          <w:rFonts w:ascii="宋体" w:hAnsi="宋体"/>
          <w:snapToGrid w:val="0"/>
          <w:color w:val="0D0D0D"/>
          <w:highlight w:val="none"/>
        </w:rPr>
      </w:pPr>
      <w:r>
        <w:rPr>
          <w:rFonts w:ascii="宋体" w:hAnsi="宋体"/>
          <w:snapToGrid w:val="0"/>
          <w:color w:val="0D0D0D"/>
          <w:highlight w:val="none"/>
        </w:rPr>
        <w:br w:type="page"/>
      </w:r>
    </w:p>
    <w:p w14:paraId="2D1B009A">
      <w:pPr>
        <w:keepNext w:val="0"/>
        <w:keepLines w:val="0"/>
        <w:pageBreakBefore w:val="0"/>
        <w:widowControl w:val="0"/>
        <w:kinsoku/>
        <w:wordWrap w:val="0"/>
        <w:topLinePunct w:val="0"/>
        <w:autoSpaceDE w:val="0"/>
        <w:autoSpaceDN w:val="0"/>
        <w:bidi w:val="0"/>
        <w:rPr>
          <w:rFonts w:hint="eastAsia" w:ascii="宋体" w:hAnsi="宋体"/>
          <w:snapToGrid w:val="0"/>
          <w:color w:val="0D0D0D"/>
          <w:highlight w:val="none"/>
        </w:rPr>
      </w:pPr>
      <w:r>
        <w:rPr>
          <w:rFonts w:hint="eastAsia" w:ascii="宋体" w:hAnsi="宋体"/>
          <w:snapToGrid w:val="0"/>
          <w:color w:val="0D0D0D"/>
          <w:highlight w:val="none"/>
          <w:lang w:val="en-US" w:eastAsia="zh-CN"/>
        </w:rPr>
        <w:t xml:space="preserve">附件一 </w:t>
      </w:r>
      <w:r>
        <w:rPr>
          <w:rFonts w:hint="eastAsia" w:ascii="宋体" w:hAnsi="宋体"/>
          <w:snapToGrid w:val="0"/>
          <w:color w:val="0D0D0D"/>
          <w:highlight w:val="none"/>
        </w:rPr>
        <w:t>合同</w:t>
      </w:r>
      <w:r>
        <w:rPr>
          <w:rFonts w:hint="eastAsia" w:ascii="宋体" w:hAnsi="宋体"/>
          <w:snapToGrid w:val="0"/>
          <w:color w:val="0D0D0D"/>
          <w:highlight w:val="none"/>
          <w:lang w:val="en-US" w:eastAsia="zh-CN"/>
        </w:rPr>
        <w:t>价格</w:t>
      </w:r>
      <w:r>
        <w:rPr>
          <w:rFonts w:hint="eastAsia" w:ascii="宋体" w:hAnsi="宋体"/>
          <w:snapToGrid w:val="0"/>
          <w:color w:val="0D0D0D"/>
          <w:highlight w:val="none"/>
        </w:rPr>
        <w:t>构成清单</w:t>
      </w:r>
    </w:p>
    <w:p w14:paraId="4ED4BCA6">
      <w:pPr>
        <w:keepNext w:val="0"/>
        <w:keepLines w:val="0"/>
        <w:pageBreakBefore w:val="0"/>
        <w:widowControl w:val="0"/>
        <w:kinsoku/>
        <w:wordWrap w:val="0"/>
        <w:topLinePunct w:val="0"/>
        <w:autoSpaceDE w:val="0"/>
        <w:autoSpaceDN w:val="0"/>
        <w:bidi w:val="0"/>
        <w:rPr>
          <w:rFonts w:hint="eastAsia" w:ascii="宋体" w:hAnsi="宋体"/>
          <w:snapToGrid w:val="0"/>
          <w:color w:val="0D0D0D"/>
          <w:highlight w:val="none"/>
        </w:rPr>
      </w:pPr>
    </w:p>
    <w:p w14:paraId="69698835">
      <w:pPr>
        <w:keepNext w:val="0"/>
        <w:keepLines w:val="0"/>
        <w:pageBreakBefore w:val="0"/>
        <w:widowControl w:val="0"/>
        <w:kinsoku/>
        <w:wordWrap w:val="0"/>
        <w:topLinePunct w:val="0"/>
        <w:autoSpaceDE w:val="0"/>
        <w:autoSpaceDN w:val="0"/>
        <w:bidi w:val="0"/>
        <w:rPr>
          <w:rFonts w:hint="eastAsia" w:ascii="宋体" w:hAnsi="宋体"/>
          <w:snapToGrid w:val="0"/>
          <w:color w:val="0D0D0D"/>
          <w:highlight w:val="none"/>
        </w:rPr>
      </w:pPr>
    </w:p>
    <w:p w14:paraId="35E1634F">
      <w:pPr>
        <w:keepNext w:val="0"/>
        <w:keepLines w:val="0"/>
        <w:pageBreakBefore w:val="0"/>
        <w:widowControl/>
        <w:kinsoku/>
        <w:wordWrap/>
        <w:topLinePunct w:val="0"/>
        <w:autoSpaceDE/>
        <w:autoSpaceDN/>
        <w:bidi w:val="0"/>
        <w:rPr>
          <w:rFonts w:ascii="宋体" w:hAnsi="宋体"/>
          <w:snapToGrid w:val="0"/>
          <w:color w:val="0D0D0D"/>
          <w:highlight w:val="none"/>
        </w:rPr>
      </w:pPr>
      <w:r>
        <w:rPr>
          <w:rFonts w:ascii="宋体" w:hAnsi="宋体"/>
          <w:snapToGrid w:val="0"/>
          <w:color w:val="0D0D0D"/>
          <w:highlight w:val="none"/>
        </w:rPr>
        <w:br w:type="page"/>
      </w:r>
    </w:p>
    <w:p w14:paraId="5C6481E8">
      <w:pPr>
        <w:keepNext w:val="0"/>
        <w:keepLines w:val="0"/>
        <w:pageBreakBefore w:val="0"/>
        <w:widowControl w:val="0"/>
        <w:kinsoku/>
        <w:wordWrap w:val="0"/>
        <w:topLinePunct w:val="0"/>
        <w:autoSpaceDE w:val="0"/>
        <w:autoSpaceDN w:val="0"/>
        <w:bidi w:val="0"/>
        <w:rPr>
          <w:rFonts w:hint="eastAsia" w:ascii="宋体" w:hAnsi="宋体"/>
          <w:snapToGrid w:val="0"/>
          <w:color w:val="0D0D0D"/>
          <w:highlight w:val="none"/>
          <w:lang w:val="en-US" w:eastAsia="zh-CN"/>
        </w:rPr>
      </w:pPr>
      <w:r>
        <w:rPr>
          <w:rFonts w:hint="eastAsia" w:ascii="宋体" w:hAnsi="宋体"/>
          <w:snapToGrid w:val="0"/>
          <w:color w:val="0D0D0D"/>
          <w:highlight w:val="none"/>
          <w:lang w:val="en-US" w:eastAsia="zh-CN"/>
        </w:rPr>
        <w:t>附件二 用户需求书</w:t>
      </w:r>
    </w:p>
    <w:p w14:paraId="4C7DA69B">
      <w:pPr>
        <w:keepNext w:val="0"/>
        <w:keepLines w:val="0"/>
        <w:pageBreakBefore w:val="0"/>
        <w:widowControl/>
        <w:kinsoku/>
        <w:wordWrap/>
        <w:topLinePunct w:val="0"/>
        <w:autoSpaceDE/>
        <w:autoSpaceDN/>
        <w:bidi w:val="0"/>
        <w:rPr>
          <w:rFonts w:ascii="宋体" w:hAnsi="宋体"/>
          <w:snapToGrid w:val="0"/>
          <w:color w:val="0D0D0D"/>
          <w:highlight w:val="none"/>
        </w:rPr>
      </w:pPr>
      <w:r>
        <w:rPr>
          <w:rFonts w:ascii="宋体" w:hAnsi="宋体"/>
          <w:snapToGrid w:val="0"/>
          <w:color w:val="0D0D0D"/>
          <w:highlight w:val="none"/>
        </w:rPr>
        <w:br w:type="page"/>
      </w:r>
    </w:p>
    <w:p w14:paraId="16DC70D6">
      <w:pPr>
        <w:keepNext w:val="0"/>
        <w:keepLines w:val="0"/>
        <w:pageBreakBefore w:val="0"/>
        <w:widowControl w:val="0"/>
        <w:kinsoku/>
        <w:wordWrap w:val="0"/>
        <w:topLinePunct w:val="0"/>
        <w:autoSpaceDE w:val="0"/>
        <w:autoSpaceDN w:val="0"/>
        <w:bidi w:val="0"/>
        <w:rPr>
          <w:rFonts w:hint="eastAsia" w:ascii="宋体" w:hAnsi="宋体"/>
          <w:snapToGrid w:val="0"/>
          <w:color w:val="0D0D0D"/>
          <w:highlight w:val="none"/>
          <w:lang w:val="en-US" w:eastAsia="zh-CN"/>
        </w:rPr>
      </w:pPr>
      <w:r>
        <w:rPr>
          <w:rFonts w:hint="eastAsia" w:ascii="宋体" w:hAnsi="宋体"/>
          <w:snapToGrid w:val="0"/>
          <w:color w:val="0D0D0D"/>
          <w:highlight w:val="none"/>
          <w:lang w:val="en-US" w:eastAsia="zh-CN"/>
        </w:rPr>
        <w:t>附件三 人员投入清单</w:t>
      </w:r>
    </w:p>
    <w:p w14:paraId="13D1FCA7">
      <w:pPr>
        <w:keepNext w:val="0"/>
        <w:keepLines w:val="0"/>
        <w:pageBreakBefore w:val="0"/>
        <w:widowControl w:val="0"/>
        <w:kinsoku/>
        <w:wordWrap w:val="0"/>
        <w:topLinePunct w:val="0"/>
        <w:autoSpaceDE w:val="0"/>
        <w:autoSpaceDN w:val="0"/>
        <w:bidi w:val="0"/>
        <w:rPr>
          <w:rFonts w:hint="eastAsia" w:ascii="宋体" w:hAnsi="宋体"/>
          <w:snapToGrid w:val="0"/>
          <w:color w:val="0D0D0D"/>
          <w:highlight w:val="none"/>
          <w:lang w:val="en-US" w:eastAsia="zh-CN"/>
        </w:rPr>
      </w:pPr>
    </w:p>
    <w:p w14:paraId="645B2037">
      <w:pPr>
        <w:keepNext w:val="0"/>
        <w:keepLines w:val="0"/>
        <w:pageBreakBefore w:val="0"/>
        <w:widowControl w:val="0"/>
        <w:kinsoku/>
        <w:wordWrap w:val="0"/>
        <w:topLinePunct w:val="0"/>
        <w:autoSpaceDE w:val="0"/>
        <w:autoSpaceDN w:val="0"/>
        <w:bidi w:val="0"/>
        <w:rPr>
          <w:rFonts w:ascii="宋体" w:hAnsi="宋体"/>
          <w:snapToGrid w:val="0"/>
          <w:color w:val="0D0D0D"/>
          <w:highlight w:val="none"/>
        </w:rPr>
      </w:pPr>
      <w:r>
        <w:rPr>
          <w:rFonts w:ascii="宋体" w:hAnsi="宋体"/>
          <w:snapToGrid w:val="0"/>
          <w:color w:val="0D0D0D"/>
          <w:highlight w:val="none"/>
        </w:rPr>
        <w:br w:type="page"/>
      </w:r>
    </w:p>
    <w:p w14:paraId="122315EB">
      <w:pPr>
        <w:keepNext w:val="0"/>
        <w:keepLines w:val="0"/>
        <w:pageBreakBefore w:val="0"/>
        <w:widowControl w:val="0"/>
        <w:numPr>
          <w:ilvl w:val="-1"/>
          <w:numId w:val="0"/>
        </w:numPr>
        <w:kinsoku/>
        <w:wordWrap w:val="0"/>
        <w:topLinePunct w:val="0"/>
        <w:autoSpaceDE w:val="0"/>
        <w:autoSpaceDN w:val="0"/>
        <w:bidi w:val="0"/>
        <w:adjustRightInd/>
        <w:snapToGrid/>
        <w:spacing w:before="0" w:after="0" w:line="240" w:lineRule="auto"/>
        <w:jc w:val="left"/>
        <w:outlineLvl w:val="9"/>
        <w:rPr>
          <w:rFonts w:ascii="Times New Roman" w:hAnsi="Times New Roman" w:eastAsia="宋体" w:cs="Times New Roman"/>
          <w:b w:val="0"/>
          <w:snapToGrid/>
          <w:color w:val="auto"/>
          <w:kern w:val="2"/>
          <w:sz w:val="21"/>
          <w:szCs w:val="20"/>
          <w:highlight w:val="none"/>
          <w:lang w:val="en-US" w:eastAsia="zh-CN" w:bidi="ar-SA"/>
        </w:rPr>
      </w:pPr>
      <w:r>
        <w:rPr>
          <w:rFonts w:hint="default" w:ascii="Times New Roman" w:hAnsi="Times New Roman" w:cs="Times New Roman"/>
          <w:b w:val="0"/>
          <w:snapToGrid/>
          <w:color w:val="auto"/>
          <w:kern w:val="2"/>
          <w:sz w:val="21"/>
          <w:szCs w:val="20"/>
          <w:highlight w:val="none"/>
          <w:lang w:val="en-US" w:eastAsia="zh-CN" w:bidi="ar-SA"/>
        </w:rPr>
        <w:t>附件</w:t>
      </w:r>
      <w:r>
        <w:rPr>
          <w:rFonts w:hint="eastAsia" w:ascii="Times New Roman" w:hAnsi="Times New Roman" w:cs="Times New Roman"/>
          <w:b w:val="0"/>
          <w:snapToGrid/>
          <w:color w:val="auto"/>
          <w:kern w:val="2"/>
          <w:sz w:val="21"/>
          <w:szCs w:val="20"/>
          <w:highlight w:val="none"/>
          <w:lang w:val="en-US" w:eastAsia="zh-CN" w:bidi="ar-SA"/>
        </w:rPr>
        <w:t xml:space="preserve">四 </w:t>
      </w:r>
      <w:r>
        <w:rPr>
          <w:rFonts w:hint="default" w:ascii="Times New Roman" w:hAnsi="Times New Roman" w:eastAsia="宋体" w:cs="Times New Roman"/>
          <w:b w:val="0"/>
          <w:snapToGrid/>
          <w:color w:val="auto"/>
          <w:kern w:val="2"/>
          <w:sz w:val="21"/>
          <w:szCs w:val="20"/>
          <w:highlight w:val="none"/>
          <w:lang w:val="en-US" w:eastAsia="zh-CN" w:bidi="ar-SA"/>
        </w:rPr>
        <w:t>廉洁协议</w:t>
      </w:r>
    </w:p>
    <w:p w14:paraId="4B7D9252">
      <w:pPr>
        <w:keepNext w:val="0"/>
        <w:keepLines w:val="0"/>
        <w:pageBreakBefore w:val="0"/>
        <w:widowControl w:val="0"/>
        <w:kinsoku/>
        <w:wordWrap w:val="0"/>
        <w:topLinePunct w:val="0"/>
        <w:autoSpaceDE w:val="0"/>
        <w:autoSpaceDN w:val="0"/>
        <w:bidi w:val="0"/>
        <w:spacing w:line="360" w:lineRule="auto"/>
        <w:ind w:firstLine="562" w:firstLineChars="200"/>
        <w:jc w:val="center"/>
        <w:rPr>
          <w:rFonts w:ascii="宋体" w:hAnsi="宋体" w:cs="Times New Roman"/>
          <w:b/>
          <w:bCs/>
          <w:color w:val="auto"/>
          <w:sz w:val="28"/>
          <w:szCs w:val="28"/>
          <w:highlight w:val="none"/>
        </w:rPr>
      </w:pPr>
      <w:r>
        <w:rPr>
          <w:rFonts w:hint="eastAsia" w:ascii="宋体" w:hAnsi="宋体" w:cs="Times New Roman"/>
          <w:b/>
          <w:bCs/>
          <w:color w:val="auto"/>
          <w:sz w:val="28"/>
          <w:szCs w:val="28"/>
          <w:highlight w:val="none"/>
        </w:rPr>
        <w:t>廉 洁 协 议</w:t>
      </w:r>
    </w:p>
    <w:p w14:paraId="701B2110">
      <w:pPr>
        <w:keepNext w:val="0"/>
        <w:keepLines w:val="0"/>
        <w:pageBreakBefore w:val="0"/>
        <w:widowControl w:val="0"/>
        <w:kinsoku/>
        <w:wordWrap w:val="0"/>
        <w:topLinePunct w:val="0"/>
        <w:autoSpaceDE w:val="0"/>
        <w:autoSpaceDN w:val="0"/>
        <w:bidi w:val="0"/>
        <w:spacing w:line="360" w:lineRule="auto"/>
        <w:ind w:firstLine="482" w:firstLineChars="200"/>
        <w:jc w:val="center"/>
        <w:rPr>
          <w:rFonts w:ascii="宋体" w:hAnsi="宋体" w:cs="Times New Roman"/>
          <w:b/>
          <w:bCs/>
          <w:color w:val="auto"/>
          <w:sz w:val="24"/>
          <w:szCs w:val="24"/>
          <w:highlight w:val="none"/>
        </w:rPr>
      </w:pPr>
    </w:p>
    <w:p w14:paraId="3A9A7A9D">
      <w:pPr>
        <w:keepNext w:val="0"/>
        <w:keepLines w:val="0"/>
        <w:pageBreakBefore w:val="0"/>
        <w:widowControl w:val="0"/>
        <w:kinsoku/>
        <w:wordWrap w:val="0"/>
        <w:topLinePunct w:val="0"/>
        <w:autoSpaceDE w:val="0"/>
        <w:autoSpaceDN w:val="0"/>
        <w:bidi w:val="0"/>
        <w:spacing w:line="360" w:lineRule="auto"/>
        <w:ind w:firstLine="472" w:firstLineChars="225"/>
        <w:jc w:val="left"/>
        <w:rPr>
          <w:rFonts w:ascii="Calibri" w:hAnsi="Calibri" w:cs="Times New Roman"/>
          <w:color w:val="auto"/>
          <w:szCs w:val="22"/>
          <w:highlight w:val="none"/>
        </w:rPr>
      </w:pPr>
      <w:r>
        <w:rPr>
          <w:rFonts w:hint="eastAsia" w:ascii="Calibri" w:hAnsi="Calibri" w:cs="Times New Roman"/>
          <w:color w:val="auto"/>
          <w:szCs w:val="22"/>
          <w:highlight w:val="none"/>
        </w:rPr>
        <w:t>甲方：</w:t>
      </w:r>
      <w:r>
        <w:rPr>
          <w:rFonts w:hint="eastAsia" w:ascii="Calibri" w:hAnsi="Calibri" w:cs="Times New Roman"/>
          <w:color w:val="auto"/>
          <w:szCs w:val="22"/>
          <w:highlight w:val="none"/>
          <w:u w:val="single"/>
        </w:rPr>
        <w:t>长沙穗城轨道交通有限公司</w:t>
      </w:r>
    </w:p>
    <w:p w14:paraId="286041FA">
      <w:pPr>
        <w:keepNext w:val="0"/>
        <w:keepLines w:val="0"/>
        <w:pageBreakBefore w:val="0"/>
        <w:widowControl w:val="0"/>
        <w:kinsoku/>
        <w:wordWrap w:val="0"/>
        <w:topLinePunct w:val="0"/>
        <w:autoSpaceDE w:val="0"/>
        <w:autoSpaceDN w:val="0"/>
        <w:bidi w:val="0"/>
        <w:spacing w:line="360" w:lineRule="auto"/>
        <w:ind w:firstLine="472" w:firstLineChars="225"/>
        <w:jc w:val="left"/>
        <w:rPr>
          <w:rFonts w:hint="default" w:ascii="Calibri" w:hAnsi="Calibri" w:eastAsia="宋体" w:cs="Times New Roman"/>
          <w:color w:val="auto"/>
          <w:szCs w:val="22"/>
          <w:highlight w:val="none"/>
          <w:u w:val="single"/>
          <w:lang w:val="en-US" w:eastAsia="zh-CN"/>
        </w:rPr>
      </w:pPr>
      <w:r>
        <w:rPr>
          <w:rFonts w:hint="eastAsia" w:ascii="Calibri" w:hAnsi="Calibri" w:cs="Times New Roman"/>
          <w:color w:val="auto"/>
          <w:szCs w:val="22"/>
          <w:highlight w:val="none"/>
        </w:rPr>
        <w:t>乙方：</w:t>
      </w:r>
      <w:r>
        <w:rPr>
          <w:rFonts w:hint="eastAsia" w:ascii="Calibri" w:hAnsi="Calibri" w:cs="Times New Roman"/>
          <w:color w:val="auto"/>
          <w:szCs w:val="22"/>
          <w:highlight w:val="none"/>
          <w:u w:val="single"/>
          <w:lang w:val="en-US" w:eastAsia="zh-CN"/>
        </w:rPr>
        <w:t xml:space="preserve">                        </w:t>
      </w:r>
    </w:p>
    <w:p w14:paraId="186480C9">
      <w:pPr>
        <w:keepNext w:val="0"/>
        <w:keepLines w:val="0"/>
        <w:pageBreakBefore w:val="0"/>
        <w:widowControl w:val="0"/>
        <w:kinsoku/>
        <w:wordWrap w:val="0"/>
        <w:topLinePunct w:val="0"/>
        <w:autoSpaceDE w:val="0"/>
        <w:autoSpaceDN w:val="0"/>
        <w:bidi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根据国家法律、法规以及有关廉政建设的规定，为做好合同执行过程中党风廉政建设，保证建设及运营资金的安全和有效使用及投资效益，甲、乙双方特订立如下廉政协议：</w:t>
      </w:r>
    </w:p>
    <w:p w14:paraId="16ECE80C">
      <w:pPr>
        <w:keepNext w:val="0"/>
        <w:keepLines w:val="0"/>
        <w:pageBreakBefore w:val="0"/>
        <w:widowControl w:val="0"/>
        <w:kinsoku/>
        <w:wordWrap w:val="0"/>
        <w:topLinePunct w:val="0"/>
        <w:autoSpaceDE w:val="0"/>
        <w:autoSpaceDN w:val="0"/>
        <w:bidi w:val="0"/>
        <w:spacing w:line="360" w:lineRule="auto"/>
        <w:ind w:firstLine="422" w:firstLineChars="200"/>
        <w:rPr>
          <w:rFonts w:ascii="Calibri" w:hAnsi="Calibri" w:cs="Times New Roman"/>
          <w:color w:val="auto"/>
          <w:szCs w:val="22"/>
          <w:highlight w:val="none"/>
        </w:rPr>
      </w:pPr>
      <w:r>
        <w:rPr>
          <w:rFonts w:hint="eastAsia" w:ascii="Calibri" w:hAnsi="Calibri" w:cs="Times New Roman"/>
          <w:b/>
          <w:bCs/>
          <w:color w:val="auto"/>
          <w:szCs w:val="22"/>
          <w:highlight w:val="none"/>
        </w:rPr>
        <w:t>第一条 共同责任</w:t>
      </w:r>
    </w:p>
    <w:p w14:paraId="24BA4A04">
      <w:pPr>
        <w:keepNext w:val="0"/>
        <w:keepLines w:val="0"/>
        <w:pageBreakBefore w:val="0"/>
        <w:widowControl w:val="0"/>
        <w:kinsoku/>
        <w:wordWrap w:val="0"/>
        <w:topLinePunct w:val="0"/>
        <w:autoSpaceDE w:val="0"/>
        <w:autoSpaceDN w:val="0"/>
        <w:bidi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（一）严格遵守党和国家有关法律法规及湖南省、长沙市的相关规定。</w:t>
      </w:r>
    </w:p>
    <w:p w14:paraId="7B97BBAA">
      <w:pPr>
        <w:keepNext w:val="0"/>
        <w:keepLines w:val="0"/>
        <w:pageBreakBefore w:val="0"/>
        <w:widowControl w:val="0"/>
        <w:kinsoku/>
        <w:wordWrap w:val="0"/>
        <w:topLinePunct w:val="0"/>
        <w:autoSpaceDE w:val="0"/>
        <w:autoSpaceDN w:val="0"/>
        <w:bidi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（二）严格执行《</w:t>
      </w:r>
      <w:r>
        <w:rPr>
          <w:rFonts w:hint="eastAsia" w:ascii="宋体" w:hAnsi="宋体" w:cs="宋体"/>
          <w:snapToGrid w:val="0"/>
          <w:color w:val="0D0D0D" w:themeColor="text1" w:themeTint="F2"/>
          <w:kern w:val="0"/>
          <w:szCs w:val="21"/>
          <w:highlight w:val="none"/>
          <w:u w:val="single"/>
          <w:lang w:val="en-US" w:eastAsia="zh-CN"/>
          <w14:textFill>
            <w14:solidFill>
              <w14:schemeClr w14:val="tx1">
                <w14:lumMod w14:val="95000"/>
                <w14:lumOff w14:val="5000"/>
              </w14:schemeClr>
            </w14:solidFill>
          </w14:textFill>
        </w:rPr>
        <w:t>2025-2028年网络安全服务项目</w:t>
      </w:r>
      <w:r>
        <w:rPr>
          <w:rFonts w:hint="eastAsia" w:ascii="Calibri" w:hAnsi="Calibri" w:cs="Times New Roman"/>
          <w:color w:val="auto"/>
          <w:szCs w:val="22"/>
          <w:highlight w:val="none"/>
          <w:lang w:val="en-US" w:eastAsia="zh-CN"/>
        </w:rPr>
        <w:t>合同</w:t>
      </w:r>
      <w:r>
        <w:rPr>
          <w:rFonts w:hint="eastAsia" w:ascii="Calibri" w:hAnsi="Calibri" w:cs="Times New Roman"/>
          <w:color w:val="auto"/>
          <w:szCs w:val="22"/>
          <w:highlight w:val="none"/>
        </w:rPr>
        <w:t>》（以下简称主合同）的合同文件，自觉履行合同约定的相关义务。</w:t>
      </w:r>
    </w:p>
    <w:p w14:paraId="108CD606">
      <w:pPr>
        <w:keepNext w:val="0"/>
        <w:keepLines w:val="0"/>
        <w:pageBreakBefore w:val="0"/>
        <w:widowControl w:val="0"/>
        <w:kinsoku/>
        <w:wordWrap w:val="0"/>
        <w:topLinePunct w:val="0"/>
        <w:autoSpaceDE w:val="0"/>
        <w:autoSpaceDN w:val="0"/>
        <w:bidi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（三）双方的业务活动坚持公开、公正、诚信、透明的原则（除法律认定的商业秘密和合同文件另有规定外），不得损害国家和集体利益，违反工程建设规章制度。</w:t>
      </w:r>
    </w:p>
    <w:p w14:paraId="6DD371BB">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（四）建立健全廉政制度，开展廉政教育，设立廉政告示牌，公布举报电话，监督并认真查处违法违纪行为。</w:t>
      </w:r>
    </w:p>
    <w:p w14:paraId="1F782040">
      <w:pPr>
        <w:keepNext w:val="0"/>
        <w:keepLines w:val="0"/>
        <w:pageBreakBefore w:val="0"/>
        <w:widowControl w:val="0"/>
        <w:kinsoku/>
        <w:wordWrap w:val="0"/>
        <w:topLinePunct w:val="0"/>
        <w:autoSpaceDE w:val="0"/>
        <w:autoSpaceDN w:val="0"/>
        <w:bidi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（五）发现对方在业务活动中有违反廉政规定的行为，有及时提醒对方纠正的权利和义务。</w:t>
      </w:r>
    </w:p>
    <w:p w14:paraId="3D2D11C6">
      <w:pPr>
        <w:keepNext w:val="0"/>
        <w:keepLines w:val="0"/>
        <w:pageBreakBefore w:val="0"/>
        <w:widowControl w:val="0"/>
        <w:kinsoku/>
        <w:wordWrap w:val="0"/>
        <w:topLinePunct w:val="0"/>
        <w:autoSpaceDE w:val="0"/>
        <w:autoSpaceDN w:val="0"/>
        <w:bidi w:val="0"/>
        <w:spacing w:line="360" w:lineRule="auto"/>
        <w:ind w:firstLine="422" w:firstLineChars="200"/>
        <w:rPr>
          <w:rFonts w:ascii="Calibri" w:hAnsi="Calibri" w:cs="Times New Roman"/>
          <w:color w:val="auto"/>
          <w:szCs w:val="22"/>
          <w:highlight w:val="none"/>
        </w:rPr>
      </w:pPr>
      <w:r>
        <w:rPr>
          <w:rFonts w:hint="eastAsia" w:ascii="Calibri" w:hAnsi="Calibri" w:cs="Times New Roman"/>
          <w:b/>
          <w:bCs/>
          <w:color w:val="auto"/>
          <w:szCs w:val="22"/>
          <w:highlight w:val="none"/>
        </w:rPr>
        <w:t>第二条 共同权利</w:t>
      </w:r>
    </w:p>
    <w:p w14:paraId="05140A82">
      <w:pPr>
        <w:keepNext w:val="0"/>
        <w:keepLines w:val="0"/>
        <w:pageBreakBefore w:val="0"/>
        <w:widowControl w:val="0"/>
        <w:kinsoku/>
        <w:wordWrap w:val="0"/>
        <w:topLinePunct w:val="0"/>
        <w:autoSpaceDE w:val="0"/>
        <w:autoSpaceDN w:val="0"/>
        <w:bidi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发现对方严重违反本协议义务条款的行为，有向其上级有关部门举报、建议给予处理并有权要求告知处理结果的权利。</w:t>
      </w:r>
    </w:p>
    <w:p w14:paraId="0AE36515">
      <w:pPr>
        <w:keepNext w:val="0"/>
        <w:keepLines w:val="0"/>
        <w:pageBreakBefore w:val="0"/>
        <w:widowControl w:val="0"/>
        <w:kinsoku/>
        <w:wordWrap w:val="0"/>
        <w:topLinePunct w:val="0"/>
        <w:autoSpaceDE w:val="0"/>
        <w:autoSpaceDN w:val="0"/>
        <w:bidi w:val="0"/>
        <w:spacing w:line="360" w:lineRule="auto"/>
        <w:ind w:firstLine="422" w:firstLineChars="200"/>
        <w:rPr>
          <w:rFonts w:ascii="Calibri" w:hAnsi="Calibri" w:cs="Times New Roman"/>
          <w:color w:val="auto"/>
          <w:szCs w:val="22"/>
          <w:highlight w:val="none"/>
        </w:rPr>
      </w:pPr>
      <w:r>
        <w:rPr>
          <w:rFonts w:hint="eastAsia" w:ascii="Calibri" w:hAnsi="Calibri" w:cs="Times New Roman"/>
          <w:b/>
          <w:bCs/>
          <w:color w:val="auto"/>
          <w:szCs w:val="22"/>
          <w:highlight w:val="none"/>
        </w:rPr>
        <w:t>第三条 甲方的义务</w:t>
      </w:r>
    </w:p>
    <w:p w14:paraId="4BFA4C06">
      <w:pPr>
        <w:keepNext w:val="0"/>
        <w:keepLines w:val="0"/>
        <w:pageBreakBefore w:val="0"/>
        <w:widowControl w:val="0"/>
        <w:kinsoku/>
        <w:wordWrap w:val="0"/>
        <w:topLinePunct w:val="0"/>
        <w:autoSpaceDE w:val="0"/>
        <w:autoSpaceDN w:val="0"/>
        <w:bidi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（一）甲方及其工作人员不得索要或接受乙方的礼金、有价证券和贵重物品。</w:t>
      </w:r>
    </w:p>
    <w:p w14:paraId="13B4778A">
      <w:pPr>
        <w:keepNext w:val="0"/>
        <w:keepLines w:val="0"/>
        <w:pageBreakBefore w:val="0"/>
        <w:widowControl w:val="0"/>
        <w:kinsoku/>
        <w:wordWrap w:val="0"/>
        <w:topLinePunct w:val="0"/>
        <w:autoSpaceDE w:val="0"/>
        <w:autoSpaceDN w:val="0"/>
        <w:bidi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（二）甲方及其工作人员不得在乙方报销任何应由甲方或个人支付的费用等。</w:t>
      </w:r>
    </w:p>
    <w:p w14:paraId="7DA26B05">
      <w:pPr>
        <w:keepNext w:val="0"/>
        <w:keepLines w:val="0"/>
        <w:pageBreakBefore w:val="0"/>
        <w:widowControl w:val="0"/>
        <w:kinsoku/>
        <w:wordWrap w:val="0"/>
        <w:topLinePunct w:val="0"/>
        <w:autoSpaceDE w:val="0"/>
        <w:autoSpaceDN w:val="0"/>
        <w:bidi w:val="0"/>
        <w:spacing w:line="360" w:lineRule="auto"/>
        <w:ind w:left="15" w:leftChars="7"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（三）甲方及其工作人员不得参加乙方安排的超标准宴请和娱乐活动。</w:t>
      </w:r>
    </w:p>
    <w:p w14:paraId="6A6AE3C5">
      <w:pPr>
        <w:keepNext w:val="0"/>
        <w:keepLines w:val="0"/>
        <w:pageBreakBefore w:val="0"/>
        <w:widowControl w:val="0"/>
        <w:kinsoku/>
        <w:wordWrap w:val="0"/>
        <w:topLinePunct w:val="0"/>
        <w:autoSpaceDE w:val="0"/>
        <w:autoSpaceDN w:val="0"/>
        <w:bidi w:val="0"/>
        <w:spacing w:line="360" w:lineRule="auto"/>
        <w:ind w:left="15" w:leftChars="7"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（四）甲方及其工作人员不得接受乙方提供的通讯工具、交通工具和高档办公用品等。</w:t>
      </w:r>
    </w:p>
    <w:p w14:paraId="0A8F3110">
      <w:pPr>
        <w:keepNext w:val="0"/>
        <w:keepLines w:val="0"/>
        <w:pageBreakBefore w:val="0"/>
        <w:widowControl w:val="0"/>
        <w:kinsoku/>
        <w:wordWrap w:val="0"/>
        <w:topLinePunct w:val="0"/>
        <w:autoSpaceDE w:val="0"/>
        <w:autoSpaceDN w:val="0"/>
        <w:bidi w:val="0"/>
        <w:spacing w:line="360" w:lineRule="auto"/>
        <w:ind w:left="15" w:leftChars="7"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（五）甲方及其工作人员不得要求或者接受乙方为其住房装修、婚丧嫁娶活动、配偶子女的工作安排以及出国出境、旅游等提供方便等。</w:t>
      </w:r>
    </w:p>
    <w:p w14:paraId="1108A5FB">
      <w:pPr>
        <w:keepNext w:val="0"/>
        <w:keepLines w:val="0"/>
        <w:pageBreakBefore w:val="0"/>
        <w:widowControl w:val="0"/>
        <w:kinsoku/>
        <w:wordWrap w:val="0"/>
        <w:topLinePunct w:val="0"/>
        <w:autoSpaceDE w:val="0"/>
        <w:autoSpaceDN w:val="0"/>
        <w:bidi w:val="0"/>
        <w:spacing w:line="360" w:lineRule="auto"/>
        <w:ind w:left="15" w:leftChars="7"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（六）甲方及其工作人员不得有违反法律、法规、廉洁从业规定的其他行为。</w:t>
      </w:r>
    </w:p>
    <w:p w14:paraId="6E976E6A">
      <w:pPr>
        <w:keepNext w:val="0"/>
        <w:keepLines w:val="0"/>
        <w:pageBreakBefore w:val="0"/>
        <w:widowControl w:val="0"/>
        <w:kinsoku/>
        <w:wordWrap w:val="0"/>
        <w:topLinePunct w:val="0"/>
        <w:autoSpaceDE w:val="0"/>
        <w:autoSpaceDN w:val="0"/>
        <w:bidi w:val="0"/>
        <w:spacing w:line="360" w:lineRule="auto"/>
        <w:ind w:firstLine="422" w:firstLineChars="200"/>
        <w:rPr>
          <w:rFonts w:ascii="Calibri" w:hAnsi="Calibri" w:cs="Times New Roman"/>
          <w:color w:val="auto"/>
          <w:szCs w:val="22"/>
          <w:highlight w:val="none"/>
        </w:rPr>
      </w:pPr>
      <w:r>
        <w:rPr>
          <w:rFonts w:hint="eastAsia" w:ascii="Calibri" w:hAnsi="Calibri" w:cs="Times New Roman"/>
          <w:b/>
          <w:bCs/>
          <w:color w:val="auto"/>
          <w:szCs w:val="22"/>
          <w:highlight w:val="none"/>
        </w:rPr>
        <w:t>第四条 乙方的义务</w:t>
      </w:r>
    </w:p>
    <w:p w14:paraId="08E6C45C">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（一）乙方不得以任何理由向甲方及其工作人员行贿或馈赠礼金、有价证券、贵重礼品。</w:t>
      </w:r>
    </w:p>
    <w:p w14:paraId="13858B8B">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（二）乙方不得以任何名义为甲方及其工作人员报销应由甲方单位或个人支付的任何费用。</w:t>
      </w:r>
    </w:p>
    <w:p w14:paraId="18B6DAB4">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（三）乙方不得以任何理由安排甲方工作人员参加超标准宴请、健身及娱乐活动。</w:t>
      </w:r>
    </w:p>
    <w:p w14:paraId="230C67DF">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（四）</w:t>
      </w:r>
      <w:r>
        <w:rPr>
          <w:rFonts w:ascii="Calibri" w:hAnsi="Calibri" w:cs="Times New Roman"/>
          <w:color w:val="auto"/>
          <w:szCs w:val="22"/>
          <w:highlight w:val="none"/>
        </w:rPr>
        <w:t>乙方不得为甲方及其工作人员购置或提供通讯工具</w:t>
      </w:r>
      <w:r>
        <w:rPr>
          <w:rFonts w:hint="eastAsia" w:ascii="Calibri" w:hAnsi="Calibri" w:cs="Times New Roman"/>
          <w:color w:val="auto"/>
          <w:szCs w:val="22"/>
          <w:highlight w:val="none"/>
        </w:rPr>
        <w:t>、</w:t>
      </w:r>
      <w:r>
        <w:rPr>
          <w:rFonts w:ascii="Calibri" w:hAnsi="Calibri" w:cs="Times New Roman"/>
          <w:color w:val="auto"/>
          <w:szCs w:val="22"/>
          <w:highlight w:val="none"/>
        </w:rPr>
        <w:t>交通工具和高档办公用品等</w:t>
      </w:r>
      <w:r>
        <w:rPr>
          <w:rFonts w:hint="eastAsia" w:ascii="Calibri" w:hAnsi="Calibri" w:cs="Times New Roman"/>
          <w:color w:val="auto"/>
          <w:szCs w:val="22"/>
          <w:highlight w:val="none"/>
        </w:rPr>
        <w:t>。</w:t>
      </w:r>
    </w:p>
    <w:p w14:paraId="3D477601">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（五）乙方不得为甲方及其工作人员住房装修、婚丧嫁娶活动、配偶子女的工作安排以及出国出境、旅游等提供方便等。</w:t>
      </w:r>
    </w:p>
    <w:p w14:paraId="065AE23B">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（六）乙方不得有违反法律、法规、廉洁从业规定的其他行为。</w:t>
      </w:r>
    </w:p>
    <w:p w14:paraId="38D08995">
      <w:pPr>
        <w:keepNext w:val="0"/>
        <w:keepLines w:val="0"/>
        <w:pageBreakBefore w:val="0"/>
        <w:widowControl w:val="0"/>
        <w:kinsoku/>
        <w:wordWrap w:val="0"/>
        <w:topLinePunct w:val="0"/>
        <w:autoSpaceDE w:val="0"/>
        <w:autoSpaceDN w:val="0"/>
        <w:bidi w:val="0"/>
        <w:spacing w:line="360" w:lineRule="auto"/>
        <w:ind w:firstLine="422" w:firstLineChars="200"/>
        <w:rPr>
          <w:rFonts w:ascii="Calibri" w:hAnsi="Calibri" w:cs="Times New Roman"/>
          <w:color w:val="auto"/>
          <w:szCs w:val="22"/>
          <w:highlight w:val="none"/>
        </w:rPr>
      </w:pPr>
      <w:r>
        <w:rPr>
          <w:rFonts w:hint="eastAsia" w:ascii="Calibri" w:hAnsi="Calibri" w:cs="Times New Roman"/>
          <w:b/>
          <w:bCs/>
          <w:color w:val="auto"/>
          <w:szCs w:val="22"/>
          <w:highlight w:val="none"/>
        </w:rPr>
        <w:t>第五条 违约责任</w:t>
      </w:r>
    </w:p>
    <w:p w14:paraId="59B0FE5B">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（一）甲方及其工作人员违反本协议，视情节轻重按管理权限，依据有关规定给予党纪、政纪或组织处理，调离其工作岗位；涉嫌犯罪的，移交司法机关追究刑事责任；给乙方造成经济损失的，应予以赔偿。</w:t>
      </w:r>
    </w:p>
    <w:p w14:paraId="5982F0C2">
      <w:pPr>
        <w:keepNext w:val="0"/>
        <w:keepLines w:val="0"/>
        <w:pageBreakBefore w:val="0"/>
        <w:widowControl w:val="0"/>
        <w:kinsoku/>
        <w:wordWrap w:val="0"/>
        <w:topLinePunct w:val="0"/>
        <w:autoSpaceDE w:val="0"/>
        <w:autoSpaceDN w:val="0"/>
        <w:bidi w:val="0"/>
        <w:snapToGrid w:val="0"/>
        <w:spacing w:line="360" w:lineRule="auto"/>
        <w:ind w:firstLine="420" w:firstLineChars="200"/>
        <w:rPr>
          <w:rFonts w:ascii="Calibri" w:hAnsi="Calibri" w:cs="Times New Roman"/>
          <w:color w:val="auto"/>
          <w:szCs w:val="22"/>
          <w:highlight w:val="none"/>
        </w:rPr>
      </w:pPr>
      <w:r>
        <w:rPr>
          <w:rFonts w:hint="eastAsia" w:ascii="Calibri" w:hAnsi="Calibri" w:cs="Times New Roman"/>
          <w:color w:val="auto"/>
          <w:szCs w:val="22"/>
          <w:highlight w:val="none"/>
        </w:rPr>
        <w:t>（二）乙方及其工作人员违反本协议，视情节轻重按管理权限，依据有关规定，给予党纪、政纪或组织处理；给甲方单位造成经济损失的，应予以赔偿；情节严重的，甲方可以单方面解除与乙方的合同，并给予乙方两年内不得对甲方组织的项目进行投标的处罚。</w:t>
      </w:r>
    </w:p>
    <w:p w14:paraId="2F0E06CA">
      <w:pPr>
        <w:keepNext w:val="0"/>
        <w:keepLines w:val="0"/>
        <w:pageBreakBefore w:val="0"/>
        <w:widowControl w:val="0"/>
        <w:kinsoku/>
        <w:wordWrap w:val="0"/>
        <w:topLinePunct w:val="0"/>
        <w:autoSpaceDE w:val="0"/>
        <w:autoSpaceDN w:val="0"/>
        <w:bidi w:val="0"/>
        <w:spacing w:line="360" w:lineRule="auto"/>
        <w:ind w:firstLine="422" w:firstLineChars="200"/>
        <w:rPr>
          <w:rFonts w:ascii="Calibri" w:hAnsi="Calibri" w:cs="Times New Roman"/>
          <w:color w:val="auto"/>
          <w:szCs w:val="22"/>
          <w:highlight w:val="none"/>
        </w:rPr>
      </w:pPr>
      <w:r>
        <w:rPr>
          <w:rFonts w:hint="eastAsia" w:ascii="Calibri" w:hAnsi="Calibri" w:cs="Times New Roman"/>
          <w:b/>
          <w:bCs/>
          <w:color w:val="auto"/>
          <w:szCs w:val="22"/>
          <w:highlight w:val="none"/>
        </w:rPr>
        <w:t>第六条</w:t>
      </w:r>
      <w:r>
        <w:rPr>
          <w:rFonts w:ascii="Calibri" w:hAnsi="Calibri" w:cs="Times New Roman"/>
          <w:b/>
          <w:bCs/>
          <w:color w:val="auto"/>
          <w:szCs w:val="22"/>
          <w:highlight w:val="none"/>
        </w:rPr>
        <w:t xml:space="preserve"> </w:t>
      </w:r>
      <w:r>
        <w:rPr>
          <w:rFonts w:hint="eastAsia" w:ascii="Calibri" w:hAnsi="Calibri" w:cs="Times New Roman"/>
          <w:color w:val="auto"/>
          <w:szCs w:val="22"/>
          <w:highlight w:val="none"/>
        </w:rPr>
        <w:t>双方约定：本合同由双方或双方上级单位的纪检监察机关负责监督执行。由甲方或甲方上级单位的纪检监察机关约请乙方或乙方上级单位纪检监察机关对本合同执行情况进行检查；提出在本合同约定范围内的裁定意见。</w:t>
      </w:r>
    </w:p>
    <w:p w14:paraId="7106194D">
      <w:pPr>
        <w:keepNext w:val="0"/>
        <w:keepLines w:val="0"/>
        <w:pageBreakBefore w:val="0"/>
        <w:widowControl w:val="0"/>
        <w:kinsoku/>
        <w:wordWrap w:val="0"/>
        <w:topLinePunct w:val="0"/>
        <w:autoSpaceDE w:val="0"/>
        <w:autoSpaceDN w:val="0"/>
        <w:bidi w:val="0"/>
        <w:spacing w:line="360" w:lineRule="auto"/>
        <w:ind w:firstLine="413" w:firstLineChars="196"/>
        <w:rPr>
          <w:rFonts w:ascii="Calibri" w:hAnsi="Calibri" w:cs="Times New Roman"/>
          <w:color w:val="auto"/>
          <w:szCs w:val="22"/>
          <w:highlight w:val="none"/>
        </w:rPr>
      </w:pPr>
      <w:r>
        <w:rPr>
          <w:rFonts w:hint="eastAsia" w:ascii="Calibri" w:hAnsi="Calibri" w:cs="Times New Roman"/>
          <w:b/>
          <w:bCs/>
          <w:color w:val="auto"/>
          <w:szCs w:val="22"/>
          <w:highlight w:val="none"/>
        </w:rPr>
        <w:t>第七条</w:t>
      </w:r>
      <w:r>
        <w:rPr>
          <w:rFonts w:hint="eastAsia" w:ascii="Calibri" w:hAnsi="Calibri" w:cs="Times New Roman"/>
          <w:color w:val="auto"/>
          <w:szCs w:val="22"/>
          <w:highlight w:val="none"/>
        </w:rPr>
        <w:t xml:space="preserve"> 本协议有效期为甲乙双方签署之日起至主合同完全履行完毕之日止。  </w:t>
      </w:r>
    </w:p>
    <w:p w14:paraId="2D43917E">
      <w:pPr>
        <w:keepNext w:val="0"/>
        <w:keepLines w:val="0"/>
        <w:pageBreakBefore w:val="0"/>
        <w:widowControl w:val="0"/>
        <w:kinsoku/>
        <w:wordWrap w:val="0"/>
        <w:topLinePunct w:val="0"/>
        <w:autoSpaceDE w:val="0"/>
        <w:autoSpaceDN w:val="0"/>
        <w:bidi w:val="0"/>
        <w:jc w:val="left"/>
        <w:rPr>
          <w:rFonts w:hint="eastAsia" w:ascii="Calibri" w:hAnsi="Calibri" w:cs="Times New Roman"/>
          <w:color w:val="auto"/>
          <w:szCs w:val="22"/>
          <w:highlight w:val="none"/>
        </w:rPr>
      </w:pPr>
      <w:r>
        <w:rPr>
          <w:rFonts w:hint="eastAsia" w:ascii="Calibri" w:hAnsi="Calibri" w:cs="Times New Roman"/>
          <w:b/>
          <w:bCs/>
          <w:color w:val="auto"/>
          <w:szCs w:val="22"/>
          <w:highlight w:val="none"/>
        </w:rPr>
        <w:t>第八条</w:t>
      </w:r>
      <w:r>
        <w:rPr>
          <w:rFonts w:hint="eastAsia" w:ascii="Calibri" w:hAnsi="Calibri" w:cs="Times New Roman"/>
          <w:color w:val="auto"/>
          <w:szCs w:val="22"/>
          <w:highlight w:val="none"/>
        </w:rPr>
        <w:t xml:space="preserve"> 本协议作为主合同的附件，与主合同具有同等的法律效力，经合同双方签署立即生效。</w:t>
      </w:r>
      <w:bookmarkEnd w:id="6"/>
      <w:bookmarkEnd w:id="7"/>
    </w:p>
    <w:p w14:paraId="29DA5585">
      <w:pPr>
        <w:overflowPunct w:val="0"/>
        <w:autoSpaceDE w:val="0"/>
        <w:autoSpaceDN w:val="0"/>
        <w:adjustRightInd w:val="0"/>
        <w:snapToGrid w:val="0"/>
        <w:spacing w:line="560" w:lineRule="exact"/>
        <w:ind w:firstLine="480" w:firstLineChars="200"/>
        <w:jc w:val="center"/>
        <w:rPr>
          <w:rFonts w:hint="eastAsia" w:ascii="黑体" w:hAnsi="黑体" w:eastAsia="黑体"/>
          <w:snapToGrid w:val="0"/>
          <w:color w:val="auto"/>
          <w:kern w:val="0"/>
          <w:sz w:val="24"/>
          <w:szCs w:val="24"/>
          <w:highlight w:val="none"/>
          <w:lang w:eastAsia="zh-CN"/>
        </w:rPr>
      </w:pPr>
    </w:p>
    <w:p w14:paraId="3872D3E9">
      <w:pPr>
        <w:spacing w:line="360" w:lineRule="auto"/>
        <w:ind w:firstLine="411" w:firstLineChars="196"/>
        <w:rPr>
          <w:color w:val="auto"/>
          <w:highlight w:val="none"/>
          <w:u w:val="single"/>
        </w:rPr>
      </w:pPr>
    </w:p>
    <w:p w14:paraId="2838662A">
      <w:pPr>
        <w:spacing w:line="360" w:lineRule="auto"/>
        <w:ind w:firstLine="411" w:firstLineChars="196"/>
        <w:rPr>
          <w:color w:val="auto"/>
          <w:highlight w:val="none"/>
          <w:u w:val="single"/>
        </w:rPr>
      </w:pPr>
    </w:p>
    <w:p w14:paraId="16B42EE7">
      <w:pPr>
        <w:pStyle w:val="9"/>
        <w:rPr>
          <w:color w:val="auto"/>
          <w:highlight w:val="none"/>
        </w:rPr>
        <w:sectPr>
          <w:footerReference r:id="rId3" w:type="default"/>
          <w:pgSz w:w="11906" w:h="16838"/>
          <w:pgMar w:top="1440" w:right="1080" w:bottom="1440" w:left="1080" w:header="567" w:footer="567" w:gutter="0"/>
          <w:pgBorders>
            <w:top w:val="none" w:sz="0" w:space="0"/>
            <w:left w:val="none" w:sz="0" w:space="0"/>
            <w:bottom w:val="none" w:sz="0" w:space="0"/>
            <w:right w:val="none" w:sz="0" w:space="0"/>
          </w:pgBorders>
          <w:pgNumType w:fmt="decimal" w:start="1"/>
          <w:cols w:space="0" w:num="1"/>
          <w:docGrid w:type="lines" w:linePitch="312" w:charSpace="0"/>
        </w:sectPr>
      </w:pPr>
    </w:p>
    <w:bookmarkEnd w:id="8"/>
    <w:p w14:paraId="19781F00">
      <w:pPr>
        <w:pStyle w:val="2"/>
        <w:spacing w:line="360" w:lineRule="auto"/>
        <w:ind w:left="0" w:firstLine="0"/>
        <w:jc w:val="center"/>
        <w:rPr>
          <w:rFonts w:hint="eastAsia" w:hAnsi="黑体"/>
          <w:color w:val="auto"/>
          <w:sz w:val="44"/>
          <w:szCs w:val="44"/>
          <w:highlight w:val="none"/>
        </w:rPr>
      </w:pPr>
      <w:bookmarkStart w:id="11" w:name="_Toc1347"/>
      <w:r>
        <w:rPr>
          <w:rFonts w:hint="eastAsia" w:hAnsi="黑体"/>
          <w:color w:val="auto"/>
          <w:sz w:val="44"/>
          <w:szCs w:val="44"/>
          <w:highlight w:val="none"/>
        </w:rPr>
        <w:t>第五章 用户需求书</w:t>
      </w:r>
      <w:bookmarkEnd w:id="11"/>
    </w:p>
    <w:p w14:paraId="55FB7CEA">
      <w:pPr>
        <w:ind w:left="0" w:leftChars="0" w:firstLine="0" w:firstLineChars="0"/>
        <w:jc w:val="center"/>
        <w:rPr>
          <w:rFonts w:hint="eastAsia"/>
          <w:sz w:val="28"/>
          <w:szCs w:val="28"/>
        </w:rPr>
      </w:pPr>
      <w:bookmarkStart w:id="12" w:name="_Toc3831"/>
      <w:bookmarkStart w:id="13" w:name="_Toc87866924"/>
      <w:r>
        <w:rPr>
          <w:rFonts w:hint="eastAsia" w:ascii="方正小标宋简体" w:hAnsi="方正小标宋简体" w:eastAsia="方正小标宋简体" w:cs="方正小标宋简体"/>
          <w:sz w:val="32"/>
          <w:szCs w:val="32"/>
        </w:rPr>
        <w:t>网络安全服务</w:t>
      </w:r>
      <w:r>
        <w:rPr>
          <w:rFonts w:hint="eastAsia" w:ascii="方正小标宋简体" w:hAnsi="方正小标宋简体" w:eastAsia="方正小标宋简体" w:cs="方正小标宋简体"/>
          <w:sz w:val="32"/>
          <w:szCs w:val="32"/>
          <w:lang w:val="en-US" w:eastAsia="zh-CN"/>
        </w:rPr>
        <w:t>采购</w:t>
      </w:r>
      <w:r>
        <w:rPr>
          <w:rFonts w:hint="eastAsia" w:ascii="方正小标宋简体" w:hAnsi="方正小标宋简体" w:eastAsia="方正小标宋简体" w:cs="方正小标宋简体"/>
          <w:sz w:val="32"/>
          <w:szCs w:val="32"/>
        </w:rPr>
        <w:t>项目用户需求书</w:t>
      </w:r>
    </w:p>
    <w:p w14:paraId="7E5216AD">
      <w:pPr>
        <w:pStyle w:val="138"/>
        <w:keepNext w:val="0"/>
        <w:keepLines w:val="0"/>
        <w:pageBreakBefore w:val="0"/>
        <w:kinsoku/>
        <w:wordWrap w:val="0"/>
        <w:topLinePunct w:val="0"/>
        <w:autoSpaceDE w:val="0"/>
        <w:autoSpaceDN w:val="0"/>
        <w:bidi w:val="0"/>
        <w:adjustRightInd/>
        <w:snapToGrid/>
        <w:spacing w:line="360" w:lineRule="auto"/>
        <w:ind w:right="339"/>
        <w:jc w:val="left"/>
        <w:textAlignment w:val="auto"/>
        <w:rPr>
          <w:rFonts w:hint="eastAsia" w:ascii="Calibri" w:cs="宋体"/>
          <w:color w:val="auto"/>
          <w:sz w:val="28"/>
          <w:szCs w:val="28"/>
          <w:highlight w:val="none"/>
          <w:lang w:val="en-US" w:eastAsia="zh-CN"/>
        </w:rPr>
      </w:pPr>
      <w:r>
        <w:rPr>
          <w:rFonts w:hint="eastAsia" w:ascii="Calibri" w:cs="宋体"/>
          <w:color w:val="auto"/>
          <w:sz w:val="28"/>
          <w:szCs w:val="28"/>
          <w:highlight w:val="none"/>
          <w:lang w:val="en-US" w:eastAsia="zh-CN"/>
        </w:rPr>
        <w:t>一、项目概述</w:t>
      </w:r>
    </w:p>
    <w:p w14:paraId="23ACD70A">
      <w:pPr>
        <w:keepNext w:val="0"/>
        <w:keepLines w:val="0"/>
        <w:pageBreakBefore w:val="0"/>
        <w:widowControl/>
        <w:numPr>
          <w:ilvl w:val="-1"/>
          <w:numId w:val="0"/>
        </w:numPr>
        <w:kinsoku/>
        <w:wordWrap/>
        <w:overflowPunct/>
        <w:topLinePunct w:val="0"/>
        <w:autoSpaceDE/>
        <w:autoSpaceDN/>
        <w:bidi w:val="0"/>
        <w:adjustRightInd/>
        <w:snapToGrid/>
        <w:spacing w:line="360" w:lineRule="auto"/>
        <w:ind w:leftChars="0" w:firstLine="480" w:firstLineChars="0"/>
        <w:jc w:val="left"/>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近年来，网络攻击手段日益复杂多样且呈现出高度组织化、规模化的趋势。境外敌对势力频繁发动网络间谍活动，试图窃取我国核心政治、经济、军事等领域的敏感信息，企业面临重大的网络安全风险，城市轨道交通行业存在关键信息基础设施，属于重点保护范畴，需从日常巡查及网络攻击方面加强网络安全防护。</w:t>
      </w:r>
    </w:p>
    <w:p w14:paraId="705B248B">
      <w:pPr>
        <w:pStyle w:val="138"/>
        <w:keepNext w:val="0"/>
        <w:keepLines w:val="0"/>
        <w:pageBreakBefore w:val="0"/>
        <w:kinsoku/>
        <w:wordWrap w:val="0"/>
        <w:topLinePunct w:val="0"/>
        <w:autoSpaceDE w:val="0"/>
        <w:autoSpaceDN w:val="0"/>
        <w:bidi w:val="0"/>
        <w:adjustRightInd/>
        <w:snapToGrid/>
        <w:spacing w:line="360" w:lineRule="auto"/>
        <w:ind w:right="339"/>
        <w:jc w:val="left"/>
        <w:textAlignment w:val="auto"/>
        <w:rPr>
          <w:rFonts w:hint="eastAsia" w:ascii="Calibri" w:cs="宋体"/>
          <w:color w:val="auto"/>
          <w:sz w:val="28"/>
          <w:szCs w:val="28"/>
          <w:highlight w:val="none"/>
        </w:rPr>
      </w:pPr>
      <w:r>
        <w:rPr>
          <w:rFonts w:hint="eastAsia" w:ascii="Calibri" w:cs="宋体"/>
          <w:color w:val="auto"/>
          <w:sz w:val="28"/>
          <w:szCs w:val="28"/>
          <w:highlight w:val="none"/>
          <w:lang w:val="en-US" w:eastAsia="zh-CN"/>
        </w:rPr>
        <w:t>二、项目内容</w:t>
      </w:r>
    </w:p>
    <w:p w14:paraId="377A506F">
      <w:pPr>
        <w:pStyle w:val="4"/>
        <w:keepNext w:val="0"/>
        <w:keepLines w:val="0"/>
        <w:pageBreakBefore w:val="0"/>
        <w:widowControl/>
        <w:kinsoku/>
        <w:wordWrap/>
        <w:overflowPunct/>
        <w:topLinePunct w:val="0"/>
        <w:autoSpaceDE w:val="0"/>
        <w:autoSpaceDN w:val="0"/>
        <w:bidi w:val="0"/>
        <w:adjustRightInd/>
        <w:snapToGrid/>
        <w:ind w:left="0" w:leftChars="0" w:firstLine="562" w:firstLineChars="200"/>
        <w:jc w:val="both"/>
        <w:textAlignment w:val="auto"/>
        <w:rPr>
          <w:rFonts w:hint="eastAsia"/>
          <w:sz w:val="28"/>
          <w:szCs w:val="28"/>
        </w:rPr>
      </w:pPr>
      <w:r>
        <w:rPr>
          <w:rFonts w:hint="eastAsia"/>
          <w:sz w:val="28"/>
          <w:szCs w:val="28"/>
          <w:lang w:eastAsia="zh-CN"/>
        </w:rPr>
        <w:t>（</w:t>
      </w:r>
      <w:r>
        <w:rPr>
          <w:rFonts w:hint="eastAsia"/>
          <w:sz w:val="28"/>
          <w:szCs w:val="28"/>
          <w:lang w:val="en-US" w:eastAsia="zh-CN"/>
        </w:rPr>
        <w:t>一</w:t>
      </w:r>
      <w:r>
        <w:rPr>
          <w:rFonts w:hint="eastAsia"/>
          <w:sz w:val="28"/>
          <w:szCs w:val="28"/>
          <w:lang w:eastAsia="zh-CN"/>
        </w:rPr>
        <w:t>）</w:t>
      </w:r>
      <w:r>
        <w:rPr>
          <w:rFonts w:hint="eastAsia"/>
          <w:sz w:val="28"/>
          <w:szCs w:val="28"/>
        </w:rPr>
        <w:t>安全监控服务</w:t>
      </w:r>
    </w:p>
    <w:p w14:paraId="68B50B84">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安全监控服务主要包括现场驻场人员服务及网络防护安全服务，具求如下：</w:t>
      </w:r>
    </w:p>
    <w:p w14:paraId="1A2CDA75">
      <w:pPr>
        <w:pStyle w:val="5"/>
        <w:keepNext w:val="0"/>
        <w:keepLines w:val="0"/>
        <w:pageBreakBefore w:val="0"/>
        <w:widowControl w:val="0"/>
        <w:numPr>
          <w:ilvl w:val="-1"/>
          <w:numId w:val="0"/>
        </w:numPr>
        <w:tabs>
          <w:tab w:val="left" w:pos="312"/>
        </w:tabs>
        <w:kinsoku/>
        <w:wordWrap/>
        <w:overflowPunct w:val="0"/>
        <w:topLinePunct w:val="0"/>
        <w:autoSpaceDE w:val="0"/>
        <w:autoSpaceDN w:val="0"/>
        <w:bidi w:val="0"/>
        <w:adjustRightInd/>
        <w:snapToGrid/>
        <w:ind w:left="420" w:leftChars="200" w:firstLine="0" w:firstLineChars="0"/>
        <w:jc w:val="both"/>
        <w:textAlignment w:val="auto"/>
        <w:rPr>
          <w:rFonts w:hint="eastAsia"/>
          <w:sz w:val="28"/>
          <w:szCs w:val="28"/>
        </w:rPr>
      </w:pPr>
      <w:r>
        <w:rPr>
          <w:rFonts w:hint="eastAsia" w:ascii="Calibri" w:hAnsi="宋体" w:cs="宋体"/>
          <w:b/>
          <w:snapToGrid w:val="0"/>
          <w:color w:val="auto"/>
          <w:kern w:val="0"/>
          <w:sz w:val="28"/>
          <w:szCs w:val="28"/>
          <w:highlight w:val="none"/>
        </w:rPr>
        <w:t>★</w:t>
      </w:r>
      <w:r>
        <w:rPr>
          <w:rFonts w:hint="eastAsia"/>
          <w:sz w:val="28"/>
          <w:szCs w:val="28"/>
          <w:lang w:val="en-US" w:eastAsia="zh-CN"/>
        </w:rPr>
        <w:t>1.</w:t>
      </w:r>
      <w:r>
        <w:rPr>
          <w:rFonts w:hint="eastAsia"/>
          <w:sz w:val="28"/>
          <w:szCs w:val="28"/>
        </w:rPr>
        <w:t>现场驻场人员服务</w:t>
      </w:r>
    </w:p>
    <w:p w14:paraId="63ABDBB7">
      <w:pPr>
        <w:pStyle w:val="6"/>
        <w:keepNext w:val="0"/>
        <w:keepLines w:val="0"/>
        <w:pageBreakBefore w:val="0"/>
        <w:widowControl w:val="0"/>
        <w:kinsoku/>
        <w:wordWrap/>
        <w:overflowPunct w:val="0"/>
        <w:topLinePunct w:val="0"/>
        <w:autoSpaceDE w:val="0"/>
        <w:autoSpaceDN w:val="0"/>
        <w:bidi w:val="0"/>
        <w:adjustRightInd/>
        <w:snapToGrid/>
        <w:ind w:left="0" w:leftChars="0" w:firstLine="560" w:firstLineChars="200"/>
        <w:jc w:val="both"/>
        <w:textAlignment w:val="auto"/>
        <w:rPr>
          <w:rFonts w:hint="eastAsia"/>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）人员</w:t>
      </w:r>
      <w:r>
        <w:rPr>
          <w:rFonts w:hint="eastAsia"/>
          <w:sz w:val="28"/>
          <w:szCs w:val="28"/>
        </w:rPr>
        <w:t>要求</w:t>
      </w:r>
    </w:p>
    <w:p w14:paraId="2BDD5B41">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须提供1名网络安全专业人员的现场驻场服务且该人员须为</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正式员工；驻场人员具有CISP或CISSP</w:t>
      </w:r>
      <w:r>
        <w:rPr>
          <w:rFonts w:hint="eastAsia" w:ascii="宋体" w:hAnsi="宋体" w:cs="宋体"/>
          <w:color w:val="auto"/>
          <w:sz w:val="21"/>
          <w:szCs w:val="21"/>
          <w:highlight w:val="none"/>
          <w:lang w:val="en-US" w:eastAsia="zh-CN"/>
        </w:rPr>
        <w:t>或CCSS-R</w:t>
      </w:r>
      <w:r>
        <w:rPr>
          <w:rFonts w:hint="eastAsia" w:ascii="宋体" w:hAnsi="宋体" w:cs="宋体"/>
          <w:color w:val="auto"/>
          <w:sz w:val="21"/>
          <w:szCs w:val="21"/>
          <w:highlight w:val="none"/>
        </w:rPr>
        <w:t>证书。</w:t>
      </w:r>
    </w:p>
    <w:p w14:paraId="041106C9">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该人员须掌握</w:t>
      </w:r>
      <w:r>
        <w:rPr>
          <w:rFonts w:hint="eastAsia" w:ascii="宋体" w:hAnsi="宋体" w:cs="宋体"/>
          <w:color w:val="auto"/>
          <w:sz w:val="21"/>
          <w:szCs w:val="21"/>
          <w:highlight w:val="none"/>
          <w:lang w:val="en-US" w:eastAsia="zh-CN"/>
        </w:rPr>
        <w:t>网络故障排查、硬件维护</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主流操作系统</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具备具备网络安全监控、威胁发现与分析、数据备份与恢复等能力，能够处理安全事件并优化安全策略</w:t>
      </w:r>
      <w:r>
        <w:rPr>
          <w:rFonts w:hint="eastAsia" w:ascii="宋体" w:hAnsi="宋体" w:cs="宋体"/>
          <w:color w:val="auto"/>
          <w:sz w:val="21"/>
          <w:szCs w:val="21"/>
          <w:highlight w:val="none"/>
        </w:rPr>
        <w:t>；熟悉</w:t>
      </w:r>
      <w:r>
        <w:rPr>
          <w:rFonts w:hint="eastAsia" w:ascii="宋体" w:hAnsi="宋体" w:cs="宋体"/>
          <w:color w:val="auto"/>
          <w:sz w:val="21"/>
          <w:szCs w:val="21"/>
          <w:highlight w:val="none"/>
          <w:lang w:val="en-US" w:eastAsia="zh-CN"/>
        </w:rPr>
        <w:t>网络安全设备（如</w:t>
      </w:r>
      <w:r>
        <w:rPr>
          <w:rFonts w:hint="eastAsia" w:ascii="宋体" w:hAnsi="宋体" w:cs="宋体"/>
          <w:color w:val="auto"/>
          <w:sz w:val="21"/>
          <w:szCs w:val="21"/>
          <w:highlight w:val="none"/>
        </w:rPr>
        <w:t>防火墙、入侵检测</w:t>
      </w:r>
      <w:r>
        <w:rPr>
          <w:rFonts w:hint="eastAsia" w:ascii="宋体" w:hAnsi="宋体" w:cs="宋体"/>
          <w:color w:val="auto"/>
          <w:sz w:val="21"/>
          <w:szCs w:val="21"/>
          <w:highlight w:val="none"/>
          <w:lang w:val="en-US" w:eastAsia="zh-CN"/>
        </w:rPr>
        <w:t>系统）</w:t>
      </w:r>
      <w:r>
        <w:rPr>
          <w:rFonts w:hint="eastAsia" w:ascii="宋体" w:hAnsi="宋体" w:cs="宋体"/>
          <w:color w:val="auto"/>
          <w:sz w:val="21"/>
          <w:szCs w:val="21"/>
          <w:highlight w:val="none"/>
        </w:rPr>
        <w:t>的配置和维护；能熟练运用相关的安全扫描工具，并能对扫描结果进行有效的分析。</w:t>
      </w:r>
    </w:p>
    <w:p w14:paraId="071F2239">
      <w:pPr>
        <w:pStyle w:val="6"/>
        <w:keepNext w:val="0"/>
        <w:keepLines w:val="0"/>
        <w:pageBreakBefore w:val="0"/>
        <w:widowControl w:val="0"/>
        <w:kinsoku/>
        <w:wordWrap/>
        <w:overflowPunct w:val="0"/>
        <w:topLinePunct w:val="0"/>
        <w:autoSpaceDE w:val="0"/>
        <w:autoSpaceDN w:val="0"/>
        <w:bidi w:val="0"/>
        <w:adjustRightInd/>
        <w:snapToGrid/>
        <w:ind w:left="0" w:leftChars="0" w:firstLine="560" w:firstLineChars="200"/>
        <w:jc w:val="both"/>
        <w:textAlignment w:val="auto"/>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rFonts w:hint="eastAsia"/>
          <w:sz w:val="28"/>
          <w:szCs w:val="28"/>
        </w:rPr>
        <w:t>服务要求</w:t>
      </w:r>
    </w:p>
    <w:p w14:paraId="2F900991">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驻场期间的工作时间以</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的要求为准。</w:t>
      </w:r>
    </w:p>
    <w:p w14:paraId="74E9D935">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3</w:t>
      </w:r>
      <w:r>
        <w:rPr>
          <w:rFonts w:hint="eastAsia"/>
          <w:sz w:val="28"/>
          <w:szCs w:val="28"/>
          <w:lang w:eastAsia="zh-CN"/>
        </w:rPr>
        <w:t>）</w:t>
      </w:r>
      <w:r>
        <w:rPr>
          <w:rFonts w:hint="eastAsia"/>
          <w:sz w:val="28"/>
          <w:szCs w:val="28"/>
        </w:rPr>
        <w:t>服务内容</w:t>
      </w:r>
    </w:p>
    <w:p w14:paraId="5CD4E14E">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①安全巡检监控工作：对</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办公网以及云上系统安全设备的运行状态、策略生效情况、防护日志情况、安全设备系统升级情况等进行巡查记录，并对网络安全状况和云上系统安全状况进行监控及汇总分析，发现异常及时上报并协助处理。</w:t>
      </w:r>
    </w:p>
    <w:p w14:paraId="6F6834A6">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②策略</w:t>
      </w:r>
      <w:r>
        <w:rPr>
          <w:rFonts w:hint="eastAsia" w:ascii="宋体" w:hAnsi="宋体" w:cs="宋体"/>
          <w:color w:val="auto"/>
          <w:sz w:val="21"/>
          <w:szCs w:val="21"/>
          <w:highlight w:val="none"/>
          <w:lang w:val="en-US" w:eastAsia="zh-CN"/>
        </w:rPr>
        <w:t>梳理</w:t>
      </w:r>
      <w:r>
        <w:rPr>
          <w:rFonts w:hint="eastAsia" w:ascii="宋体" w:hAnsi="宋体" w:cs="宋体"/>
          <w:color w:val="auto"/>
          <w:sz w:val="21"/>
          <w:szCs w:val="21"/>
          <w:highlight w:val="none"/>
        </w:rPr>
        <w:t>优化工作：根据</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网络及系统运行情况，对安全策略进行</w:t>
      </w:r>
      <w:r>
        <w:rPr>
          <w:rFonts w:hint="eastAsia" w:ascii="宋体" w:hAnsi="宋体" w:cs="宋体"/>
          <w:color w:val="auto"/>
          <w:sz w:val="21"/>
          <w:szCs w:val="21"/>
          <w:highlight w:val="none"/>
          <w:lang w:val="en-US" w:eastAsia="zh-CN"/>
        </w:rPr>
        <w:t>梳理以及</w:t>
      </w:r>
      <w:r>
        <w:rPr>
          <w:rFonts w:hint="eastAsia" w:ascii="宋体" w:hAnsi="宋体" w:cs="宋体"/>
          <w:color w:val="auto"/>
          <w:sz w:val="21"/>
          <w:szCs w:val="21"/>
          <w:highlight w:val="none"/>
        </w:rPr>
        <w:t>优化。</w:t>
      </w:r>
    </w:p>
    <w:p w14:paraId="5C7BAF7F">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③</w:t>
      </w:r>
      <w:r>
        <w:rPr>
          <w:rFonts w:hint="eastAsia" w:ascii="宋体" w:hAnsi="宋体" w:cs="宋体"/>
          <w:color w:val="auto"/>
          <w:sz w:val="21"/>
          <w:szCs w:val="21"/>
          <w:highlight w:val="none"/>
        </w:rPr>
        <w:t>办公终端安全巡查：对员工办公终端进行安全巡查，检查是否存在病毒、木马远控等风险，并协助溯源分析及整改以及终端故障处理。</w:t>
      </w:r>
    </w:p>
    <w:p w14:paraId="6231395E">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④</w:t>
      </w:r>
      <w:r>
        <w:rPr>
          <w:rFonts w:hint="eastAsia" w:ascii="宋体" w:hAnsi="宋体" w:cs="宋体"/>
          <w:color w:val="auto"/>
          <w:sz w:val="21"/>
          <w:szCs w:val="21"/>
          <w:highlight w:val="none"/>
        </w:rPr>
        <w:t>安全事件处置工作：参与处理</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日常运维工作、紧急故障处理；对突发网络安全事件，现场协助进行先期处理。</w:t>
      </w:r>
    </w:p>
    <w:p w14:paraId="48891B82">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⑤</w:t>
      </w:r>
      <w:r>
        <w:rPr>
          <w:rFonts w:hint="eastAsia" w:ascii="宋体" w:hAnsi="宋体" w:cs="宋体"/>
          <w:color w:val="auto"/>
          <w:sz w:val="21"/>
          <w:szCs w:val="21"/>
          <w:highlight w:val="none"/>
        </w:rPr>
        <w:t>整改加固工作：根据安全检查结果及加固建议，协助</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开展整改加固工作，如补丁修复、修改安全配置、增加安全机制等；安全加固包括技术与管理层面的安全加固。</w:t>
      </w:r>
    </w:p>
    <w:p w14:paraId="7A4155B0">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⑥</w:t>
      </w:r>
      <w:r>
        <w:rPr>
          <w:rFonts w:hint="eastAsia" w:ascii="宋体" w:hAnsi="宋体" w:cs="宋体"/>
          <w:color w:val="auto"/>
          <w:sz w:val="21"/>
          <w:szCs w:val="21"/>
          <w:highlight w:val="none"/>
        </w:rPr>
        <w:t>安全情报收集与预警：对网络安全趋势、新漏洞（包括操作系统、中间件、应用软件、硬件设施等）、新技术等情报进行收集并通知</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，对重要风险提供预警服务。</w:t>
      </w:r>
    </w:p>
    <w:p w14:paraId="2695CEA0">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⑦</w:t>
      </w:r>
      <w:r>
        <w:rPr>
          <w:rFonts w:hint="eastAsia" w:ascii="宋体" w:hAnsi="宋体" w:cs="宋体"/>
          <w:color w:val="auto"/>
          <w:sz w:val="21"/>
          <w:szCs w:val="21"/>
          <w:highlight w:val="none"/>
        </w:rPr>
        <w:t>对工作开展的过程作好管理和记录，对相关文档进行整理</w:t>
      </w:r>
      <w:r>
        <w:rPr>
          <w:rFonts w:hint="eastAsia" w:ascii="宋体" w:hAnsi="宋体" w:cs="宋体"/>
          <w:color w:val="auto"/>
          <w:sz w:val="21"/>
          <w:szCs w:val="21"/>
          <w:highlight w:val="none"/>
          <w:lang w:val="en-US" w:eastAsia="zh-CN"/>
        </w:rPr>
        <w:t>归档</w:t>
      </w:r>
      <w:r>
        <w:rPr>
          <w:rFonts w:hint="eastAsia" w:ascii="宋体" w:hAnsi="宋体" w:cs="宋体"/>
          <w:color w:val="auto"/>
          <w:sz w:val="21"/>
          <w:szCs w:val="21"/>
          <w:highlight w:val="none"/>
        </w:rPr>
        <w:t>和备份；对存在的问题及时向</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汇报并提出切实有效的建议和解决方案。</w:t>
      </w:r>
    </w:p>
    <w:p w14:paraId="1FA57596">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⑧</w:t>
      </w:r>
      <w:r>
        <w:rPr>
          <w:rFonts w:hint="eastAsia" w:ascii="宋体" w:hAnsi="宋体" w:cs="宋体"/>
          <w:color w:val="auto"/>
          <w:sz w:val="21"/>
          <w:szCs w:val="21"/>
          <w:highlight w:val="none"/>
        </w:rPr>
        <w:t>完成</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交办的其他事务。</w:t>
      </w:r>
    </w:p>
    <w:p w14:paraId="498784F0">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4</w:t>
      </w:r>
      <w:r>
        <w:rPr>
          <w:rFonts w:hint="eastAsia"/>
          <w:sz w:val="28"/>
          <w:szCs w:val="28"/>
          <w:lang w:eastAsia="zh-CN"/>
        </w:rPr>
        <w:t>）</w:t>
      </w:r>
      <w:r>
        <w:rPr>
          <w:rFonts w:hint="eastAsia"/>
          <w:sz w:val="28"/>
          <w:szCs w:val="28"/>
        </w:rPr>
        <w:t>服务交付成果</w:t>
      </w:r>
    </w:p>
    <w:p w14:paraId="4545FEAC">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Chars="0"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安全服务总结报告：包括月报、半年报、年报。对本周期内的工作进行总结，</w:t>
      </w:r>
      <w:r>
        <w:rPr>
          <w:rFonts w:hint="eastAsia" w:ascii="宋体" w:hAnsi="宋体" w:cs="宋体"/>
          <w:color w:val="auto"/>
          <w:sz w:val="21"/>
          <w:szCs w:val="21"/>
          <w:highlight w:val="none"/>
          <w:lang w:val="en-US" w:eastAsia="zh-CN"/>
        </w:rPr>
        <w:t>针对巡检、策略梳理、安全加固、预警等工作中发现的问题</w:t>
      </w:r>
      <w:r>
        <w:rPr>
          <w:rFonts w:hint="eastAsia" w:ascii="宋体" w:hAnsi="宋体" w:cs="宋体"/>
          <w:color w:val="auto"/>
          <w:sz w:val="21"/>
          <w:szCs w:val="21"/>
          <w:highlight w:val="none"/>
        </w:rPr>
        <w:t>提出相关安全建议，并制定下一步工作计划。</w:t>
      </w:r>
    </w:p>
    <w:p w14:paraId="5B2A289F">
      <w:pPr>
        <w:pStyle w:val="5"/>
        <w:keepNext w:val="0"/>
        <w:keepLines w:val="0"/>
        <w:widowControl w:val="0"/>
        <w:numPr>
          <w:ilvl w:val="-1"/>
          <w:numId w:val="0"/>
        </w:numPr>
        <w:tabs>
          <w:tab w:val="left" w:pos="312"/>
        </w:tabs>
        <w:overflowPunct w:val="0"/>
        <w:autoSpaceDE w:val="0"/>
        <w:autoSpaceDN w:val="0"/>
        <w:bidi w:val="0"/>
        <w:ind w:leftChars="200" w:firstLine="0" w:firstLineChars="0"/>
        <w:jc w:val="both"/>
        <w:rPr>
          <w:rFonts w:hint="eastAsia"/>
          <w:sz w:val="28"/>
          <w:szCs w:val="28"/>
        </w:rPr>
      </w:pPr>
      <w:r>
        <w:rPr>
          <w:rFonts w:hint="eastAsia" w:ascii="Calibri" w:hAnsi="宋体" w:cs="宋体"/>
          <w:b/>
          <w:snapToGrid w:val="0"/>
          <w:color w:val="auto"/>
          <w:kern w:val="0"/>
          <w:sz w:val="28"/>
          <w:szCs w:val="28"/>
          <w:highlight w:val="none"/>
        </w:rPr>
        <w:t>★</w:t>
      </w:r>
      <w:r>
        <w:rPr>
          <w:rFonts w:hint="eastAsia"/>
          <w:sz w:val="28"/>
          <w:szCs w:val="28"/>
          <w:lang w:val="en-US" w:eastAsia="zh-CN"/>
        </w:rPr>
        <w:t>2.</w:t>
      </w:r>
      <w:r>
        <w:rPr>
          <w:rFonts w:hint="eastAsia"/>
          <w:sz w:val="28"/>
          <w:szCs w:val="28"/>
        </w:rPr>
        <w:t>网络防护安全服务</w:t>
      </w:r>
    </w:p>
    <w:p w14:paraId="585BCD98">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rFonts w:hint="eastAsia"/>
          <w:sz w:val="28"/>
          <w:szCs w:val="28"/>
        </w:rPr>
        <w:t>服务要求</w:t>
      </w:r>
    </w:p>
    <w:p w14:paraId="3C0BD0DE">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须提供</w:t>
      </w:r>
      <w:r>
        <w:rPr>
          <w:rFonts w:hint="eastAsia" w:ascii="宋体" w:hAnsi="宋体" w:cs="宋体"/>
          <w:color w:val="auto"/>
          <w:sz w:val="21"/>
          <w:szCs w:val="21"/>
          <w:highlight w:val="none"/>
          <w:lang w:val="en-US" w:eastAsia="zh-CN"/>
        </w:rPr>
        <w:t>与服务期限一致的</w:t>
      </w:r>
      <w:r>
        <w:rPr>
          <w:rFonts w:hint="eastAsia" w:ascii="宋体" w:hAnsi="宋体" w:cs="宋体"/>
          <w:color w:val="auto"/>
          <w:sz w:val="21"/>
          <w:szCs w:val="21"/>
          <w:highlight w:val="none"/>
        </w:rPr>
        <w:t>网络防护安全产品使用权，提供的产品满足安全认证合格和安全检测符合要求。</w:t>
      </w:r>
    </w:p>
    <w:p w14:paraId="7C24E99B">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rFonts w:hint="eastAsia"/>
          <w:sz w:val="28"/>
          <w:szCs w:val="28"/>
        </w:rPr>
        <w:t>服务内容</w:t>
      </w:r>
    </w:p>
    <w:tbl>
      <w:tblPr>
        <w:tblStyle w:val="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621"/>
        <w:gridCol w:w="4838"/>
        <w:gridCol w:w="2680"/>
      </w:tblGrid>
      <w:tr w14:paraId="2AA3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413" w:type="pct"/>
            <w:shd w:val="clear" w:color="auto" w:fill="auto"/>
            <w:vAlign w:val="center"/>
          </w:tcPr>
          <w:p w14:paraId="1924D762">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序号</w:t>
            </w:r>
          </w:p>
        </w:tc>
        <w:tc>
          <w:tcPr>
            <w:tcW w:w="813" w:type="pct"/>
            <w:shd w:val="clear" w:color="auto" w:fill="auto"/>
            <w:vAlign w:val="center"/>
          </w:tcPr>
          <w:p w14:paraId="23AE0468">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lang w:val="en-US" w:eastAsia="zh-CN"/>
              </w:rPr>
              <w:t>产品</w:t>
            </w:r>
            <w:r>
              <w:rPr>
                <w:rFonts w:hint="eastAsia" w:ascii="黑体" w:hAnsi="黑体" w:eastAsia="黑体" w:cs="黑体"/>
                <w:b w:val="0"/>
                <w:bCs/>
                <w:sz w:val="24"/>
                <w:szCs w:val="24"/>
              </w:rPr>
              <w:t>类型</w:t>
            </w:r>
          </w:p>
        </w:tc>
        <w:tc>
          <w:tcPr>
            <w:tcW w:w="2427" w:type="pct"/>
            <w:shd w:val="clear" w:color="auto" w:fill="auto"/>
            <w:vAlign w:val="center"/>
          </w:tcPr>
          <w:p w14:paraId="3AC23FEB">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lang w:val="en-US" w:eastAsia="zh-CN"/>
              </w:rPr>
              <w:t>功能</w:t>
            </w:r>
            <w:r>
              <w:rPr>
                <w:rFonts w:hint="eastAsia" w:ascii="黑体" w:hAnsi="黑体" w:eastAsia="黑体" w:cs="黑体"/>
                <w:b w:val="0"/>
                <w:bCs/>
                <w:sz w:val="24"/>
                <w:szCs w:val="24"/>
              </w:rPr>
              <w:t>要求</w:t>
            </w:r>
          </w:p>
        </w:tc>
        <w:tc>
          <w:tcPr>
            <w:tcW w:w="1344" w:type="pct"/>
            <w:shd w:val="clear" w:color="auto" w:fill="auto"/>
            <w:vAlign w:val="center"/>
          </w:tcPr>
          <w:p w14:paraId="00208964">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备注</w:t>
            </w:r>
          </w:p>
        </w:tc>
      </w:tr>
      <w:tr w14:paraId="394A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13" w:type="pct"/>
            <w:shd w:val="clear" w:color="auto" w:fill="auto"/>
            <w:vAlign w:val="center"/>
          </w:tcPr>
          <w:p w14:paraId="5A1691B9">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813" w:type="pct"/>
            <w:shd w:val="clear" w:color="auto" w:fill="auto"/>
            <w:vAlign w:val="center"/>
          </w:tcPr>
          <w:p w14:paraId="1183605F">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lang w:eastAsia="zh-CN"/>
              </w:rPr>
            </w:pPr>
            <w:r>
              <w:rPr>
                <w:rFonts w:hint="eastAsia" w:ascii="宋体" w:hAnsi="宋体" w:cs="宋体"/>
                <w:sz w:val="21"/>
                <w:szCs w:val="21"/>
                <w:lang w:val="en-US" w:eastAsia="zh-CN"/>
              </w:rPr>
              <w:t>web</w:t>
            </w:r>
            <w:r>
              <w:rPr>
                <w:rFonts w:hint="eastAsia" w:ascii="宋体" w:hAnsi="宋体" w:eastAsia="宋体" w:cs="宋体"/>
                <w:sz w:val="21"/>
                <w:szCs w:val="21"/>
                <w:lang w:val="en-US" w:eastAsia="zh-CN"/>
              </w:rPr>
              <w:t>防火墙</w:t>
            </w:r>
          </w:p>
        </w:tc>
        <w:tc>
          <w:tcPr>
            <w:tcW w:w="2427" w:type="pct"/>
            <w:shd w:val="clear" w:color="auto" w:fill="auto"/>
            <w:vAlign w:val="center"/>
          </w:tcPr>
          <w:p w14:paraId="74E32CDD">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lang w:val="en-US" w:eastAsia="zh-CN"/>
              </w:rPr>
              <w:t>web应用防火墙（WAF）</w:t>
            </w:r>
          </w:p>
          <w:p w14:paraId="25318D0B">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2.支持流量监控与分析、攻击检测与分析</w:t>
            </w:r>
            <w:r>
              <w:rPr>
                <w:rFonts w:hint="eastAsia" w:ascii="宋体" w:hAnsi="宋体" w:cs="宋体"/>
                <w:kern w:val="2"/>
                <w:sz w:val="21"/>
                <w:szCs w:val="21"/>
                <w:lang w:val="en-US" w:eastAsia="zh-CN" w:bidi="ar-SA"/>
              </w:rPr>
              <w:t>、</w:t>
            </w:r>
            <w:r>
              <w:rPr>
                <w:rFonts w:hint="eastAsia" w:ascii="宋体" w:hAnsi="宋体" w:eastAsia="宋体" w:cs="宋体"/>
                <w:kern w:val="2"/>
                <w:sz w:val="21"/>
                <w:szCs w:val="21"/>
                <w:lang w:val="en-US" w:eastAsia="zh-CN" w:bidi="ar-SA"/>
              </w:rPr>
              <w:t>访问控制、会话管理、数据泄漏防护、日志与报告、规则与策略管理等功能</w:t>
            </w:r>
          </w:p>
          <w:p w14:paraId="1C1FDFE1">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lang w:val="en-US" w:eastAsia="zh-CN"/>
              </w:rPr>
              <w:t>支持虚拟化部署</w:t>
            </w:r>
          </w:p>
        </w:tc>
        <w:tc>
          <w:tcPr>
            <w:tcW w:w="1344" w:type="pct"/>
            <w:shd w:val="clear" w:color="auto" w:fill="auto"/>
            <w:vAlign w:val="center"/>
          </w:tcPr>
          <w:p w14:paraId="1FFA58C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需支持监测本地办公网信息系统以及云上信息系统</w:t>
            </w:r>
          </w:p>
        </w:tc>
      </w:tr>
      <w:tr w14:paraId="6AA2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13" w:type="pct"/>
            <w:shd w:val="clear" w:color="auto" w:fill="auto"/>
            <w:vAlign w:val="center"/>
          </w:tcPr>
          <w:p w14:paraId="04582124">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813" w:type="pct"/>
            <w:shd w:val="clear" w:color="auto" w:fill="auto"/>
            <w:vAlign w:val="center"/>
          </w:tcPr>
          <w:p w14:paraId="5730A257">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终端安全监测产品</w:t>
            </w:r>
          </w:p>
        </w:tc>
        <w:tc>
          <w:tcPr>
            <w:tcW w:w="2427" w:type="pct"/>
            <w:shd w:val="clear" w:color="auto" w:fill="auto"/>
            <w:vAlign w:val="center"/>
          </w:tcPr>
          <w:p w14:paraId="116C8911">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主机型入侵检测产品</w:t>
            </w:r>
          </w:p>
          <w:p w14:paraId="387E83BA">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SA"/>
              </w:rPr>
              <w:t>2.支持终端资产管理、漏洞管理、恶意软件防护、入侵检测与防护、数据保护、访问控制、日志与报告、策略管理等功能</w:t>
            </w:r>
          </w:p>
          <w:p w14:paraId="5DE8A08C">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lang w:val="en-US" w:eastAsia="zh-CN"/>
              </w:rPr>
              <w:t>支持虚拟化部署</w:t>
            </w:r>
          </w:p>
        </w:tc>
        <w:tc>
          <w:tcPr>
            <w:tcW w:w="1344" w:type="pct"/>
            <w:shd w:val="clear" w:color="auto" w:fill="auto"/>
            <w:vAlign w:val="center"/>
          </w:tcPr>
          <w:p w14:paraId="798D6C8B">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需支持监测本地办公网信息系统以及云上信息系统</w:t>
            </w:r>
          </w:p>
        </w:tc>
      </w:tr>
      <w:tr w14:paraId="3F0AF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13" w:type="pct"/>
            <w:shd w:val="clear" w:color="auto" w:fill="auto"/>
            <w:vAlign w:val="center"/>
          </w:tcPr>
          <w:p w14:paraId="21DC8121">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813" w:type="pct"/>
            <w:shd w:val="clear" w:color="auto" w:fill="auto"/>
            <w:vAlign w:val="center"/>
          </w:tcPr>
          <w:p w14:paraId="6293DD7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网络安全态势感知产品</w:t>
            </w:r>
          </w:p>
        </w:tc>
        <w:tc>
          <w:tcPr>
            <w:tcW w:w="2427" w:type="pct"/>
            <w:shd w:val="clear" w:color="auto" w:fill="auto"/>
            <w:vAlign w:val="center"/>
          </w:tcPr>
          <w:p w14:paraId="1E2E97B6">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lang w:val="en-US" w:eastAsia="zh-CN"/>
              </w:rPr>
              <w:t>支持本地与异地数据采集与整合</w:t>
            </w:r>
          </w:p>
          <w:p w14:paraId="1869C7DA">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lang w:val="en-US" w:eastAsia="zh-CN"/>
              </w:rPr>
              <w:t>具备数据处理与分析、威胁情报管理、事件响应与管理、风险评估与管理等功能</w:t>
            </w:r>
          </w:p>
          <w:p w14:paraId="0BD0FD6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3.支持虚拟化部署</w:t>
            </w:r>
          </w:p>
        </w:tc>
        <w:tc>
          <w:tcPr>
            <w:tcW w:w="1344" w:type="pct"/>
            <w:shd w:val="clear" w:color="auto" w:fill="auto"/>
            <w:vAlign w:val="center"/>
          </w:tcPr>
          <w:p w14:paraId="5661CCC4">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rPr>
            </w:pPr>
            <w:r>
              <w:rPr>
                <w:rFonts w:hint="eastAsia" w:ascii="宋体" w:hAnsi="宋体" w:cs="宋体"/>
                <w:sz w:val="21"/>
                <w:szCs w:val="21"/>
                <w:lang w:val="en-US" w:eastAsia="zh-CN"/>
              </w:rPr>
              <w:t>根据甲方需求进行部署</w:t>
            </w:r>
          </w:p>
        </w:tc>
      </w:tr>
      <w:tr w14:paraId="0BC4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413" w:type="pct"/>
            <w:shd w:val="clear" w:color="auto" w:fill="auto"/>
            <w:vAlign w:val="center"/>
          </w:tcPr>
          <w:p w14:paraId="063E6337">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813" w:type="pct"/>
            <w:shd w:val="clear" w:color="auto" w:fill="auto"/>
            <w:vAlign w:val="center"/>
          </w:tcPr>
          <w:p w14:paraId="50C43A27">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蜜罐系统</w:t>
            </w:r>
          </w:p>
        </w:tc>
        <w:tc>
          <w:tcPr>
            <w:tcW w:w="2427" w:type="pct"/>
            <w:shd w:val="clear" w:color="auto" w:fill="auto"/>
            <w:vAlign w:val="center"/>
          </w:tcPr>
          <w:p w14:paraId="75B466AF">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lang w:val="en-US" w:eastAsia="zh-CN"/>
              </w:rPr>
              <w:t>具备数据捕获、数据控制、数据分析与行为分析、网络欺骗、隐蔽监控与日志记录、流量重定向与隔离等功能</w:t>
            </w:r>
          </w:p>
          <w:p w14:paraId="6F568251">
            <w:pPr>
              <w:keepNext w:val="0"/>
              <w:keepLines w:val="0"/>
              <w:pageBreakBefore w:val="0"/>
              <w:widowControl w:val="0"/>
              <w:numPr>
                <w:ilvl w:val="0"/>
                <w:numId w:val="0"/>
              </w:numPr>
              <w:kinsoku/>
              <w:wordWrap/>
              <w:overflowPunct w:val="0"/>
              <w:topLinePunct w:val="0"/>
              <w:autoSpaceDE w:val="0"/>
              <w:autoSpaceDN w:val="0"/>
              <w:bidi w:val="0"/>
              <w:adjustRightInd/>
              <w:snapToGrid/>
              <w:spacing w:line="240" w:lineRule="auto"/>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2.支持虚拟化部署</w:t>
            </w:r>
          </w:p>
        </w:tc>
        <w:tc>
          <w:tcPr>
            <w:tcW w:w="1344" w:type="pct"/>
            <w:shd w:val="clear" w:color="auto" w:fill="auto"/>
            <w:vAlign w:val="center"/>
          </w:tcPr>
          <w:p w14:paraId="048208DB">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根据甲方需求进行部署</w:t>
            </w:r>
          </w:p>
        </w:tc>
      </w:tr>
    </w:tbl>
    <w:p w14:paraId="7004D365">
      <w:pPr>
        <w:pStyle w:val="4"/>
        <w:keepNext w:val="0"/>
        <w:keepLines w:val="0"/>
        <w:autoSpaceDE w:val="0"/>
        <w:autoSpaceDN w:val="0"/>
        <w:bidi w:val="0"/>
        <w:ind w:firstLine="562" w:firstLineChars="200"/>
        <w:jc w:val="both"/>
        <w:rPr>
          <w:rFonts w:hint="eastAsia"/>
          <w:sz w:val="28"/>
          <w:szCs w:val="28"/>
        </w:rPr>
      </w:pPr>
      <w:r>
        <w:rPr>
          <w:rFonts w:hint="eastAsia" w:ascii="Calibri" w:hAnsi="宋体" w:cs="宋体"/>
          <w:b/>
          <w:snapToGrid w:val="0"/>
          <w:color w:val="auto"/>
          <w:kern w:val="0"/>
          <w:sz w:val="28"/>
          <w:szCs w:val="28"/>
          <w:highlight w:val="none"/>
        </w:rPr>
        <w:t>★</w:t>
      </w:r>
      <w:r>
        <w:rPr>
          <w:rFonts w:hint="eastAsia"/>
          <w:sz w:val="28"/>
          <w:szCs w:val="28"/>
          <w:lang w:eastAsia="zh-CN"/>
        </w:rPr>
        <w:t>（</w:t>
      </w:r>
      <w:r>
        <w:rPr>
          <w:rFonts w:hint="eastAsia"/>
          <w:sz w:val="28"/>
          <w:szCs w:val="28"/>
          <w:lang w:val="en-US" w:eastAsia="zh-CN"/>
        </w:rPr>
        <w:t>二</w:t>
      </w:r>
      <w:r>
        <w:rPr>
          <w:rFonts w:hint="eastAsia"/>
          <w:sz w:val="28"/>
          <w:szCs w:val="28"/>
          <w:lang w:eastAsia="zh-CN"/>
        </w:rPr>
        <w:t>）</w:t>
      </w:r>
      <w:r>
        <w:rPr>
          <w:rFonts w:hint="eastAsia"/>
          <w:sz w:val="28"/>
          <w:szCs w:val="28"/>
        </w:rPr>
        <w:t>系统安全测评服务</w:t>
      </w:r>
    </w:p>
    <w:p w14:paraId="6B2AC706">
      <w:pPr>
        <w:keepNext w:val="0"/>
        <w:keepLines w:val="0"/>
        <w:pageBreakBefore w:val="0"/>
        <w:widowControl/>
        <w:numPr>
          <w:ilvl w:val="0"/>
          <w:numId w:val="0"/>
        </w:numPr>
        <w:kinsoku/>
        <w:wordWrap/>
        <w:topLinePunct w:val="0"/>
        <w:autoSpaceDE/>
        <w:autoSpaceDN/>
        <w:bidi w:val="0"/>
        <w:adjustRightInd/>
        <w:snapToGrid/>
        <w:spacing w:line="360" w:lineRule="auto"/>
        <w:ind w:right="105" w:firstLine="480"/>
        <w:textAlignment w:val="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系统安全测评服务包括安全检查和安全评估，具体如下：</w:t>
      </w:r>
    </w:p>
    <w:p w14:paraId="76491E6D">
      <w:pPr>
        <w:pStyle w:val="5"/>
        <w:keepNext w:val="0"/>
        <w:keepLines w:val="0"/>
        <w:widowControl w:val="0"/>
        <w:numPr>
          <w:ilvl w:val="-1"/>
          <w:numId w:val="0"/>
        </w:numPr>
        <w:tabs>
          <w:tab w:val="left" w:pos="312"/>
        </w:tabs>
        <w:overflowPunct w:val="0"/>
        <w:autoSpaceDE w:val="0"/>
        <w:autoSpaceDN w:val="0"/>
        <w:bidi w:val="0"/>
        <w:ind w:leftChars="200"/>
        <w:jc w:val="both"/>
        <w:rPr>
          <w:rFonts w:hint="eastAsia"/>
          <w:sz w:val="28"/>
          <w:szCs w:val="28"/>
        </w:rPr>
      </w:pPr>
      <w:r>
        <w:rPr>
          <w:rFonts w:hint="eastAsia"/>
          <w:sz w:val="28"/>
          <w:szCs w:val="28"/>
          <w:lang w:val="en-US" w:eastAsia="zh-CN"/>
        </w:rPr>
        <w:t>1.</w:t>
      </w:r>
      <w:r>
        <w:rPr>
          <w:rFonts w:hint="eastAsia"/>
          <w:sz w:val="28"/>
          <w:szCs w:val="28"/>
        </w:rPr>
        <w:t>生产系统安全检查和安全评估</w:t>
      </w:r>
    </w:p>
    <w:p w14:paraId="7E767A13">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rFonts w:hint="eastAsia"/>
          <w:sz w:val="28"/>
          <w:szCs w:val="28"/>
        </w:rPr>
        <w:t>服务内容</w:t>
      </w:r>
    </w:p>
    <w:p w14:paraId="5E9E332E">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对生产系统开展安全检查和安全评估，并出具安全测评报告，用以指导网络安全整改工作。在系统整改完成后进行复测，以确认是否整改完成。具体测评要求如下：</w:t>
      </w:r>
    </w:p>
    <w:tbl>
      <w:tblPr>
        <w:tblStyle w:val="64"/>
        <w:tblW w:w="48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7"/>
        <w:gridCol w:w="4768"/>
        <w:gridCol w:w="3670"/>
      </w:tblGrid>
      <w:tr w14:paraId="62273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jc w:val="center"/>
        </w:trPr>
        <w:tc>
          <w:tcPr>
            <w:tcW w:w="666" w:type="pct"/>
            <w:shd w:val="clear" w:color="auto" w:fill="auto"/>
            <w:vAlign w:val="center"/>
          </w:tcPr>
          <w:p w14:paraId="6B78965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测评类型</w:t>
            </w:r>
          </w:p>
        </w:tc>
        <w:tc>
          <w:tcPr>
            <w:tcW w:w="2448" w:type="pct"/>
            <w:shd w:val="clear" w:color="auto" w:fill="auto"/>
            <w:vAlign w:val="center"/>
          </w:tcPr>
          <w:p w14:paraId="35610147">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测评要求</w:t>
            </w:r>
          </w:p>
        </w:tc>
        <w:tc>
          <w:tcPr>
            <w:tcW w:w="1884" w:type="pct"/>
            <w:shd w:val="clear" w:color="auto" w:fill="auto"/>
            <w:vAlign w:val="center"/>
          </w:tcPr>
          <w:p w14:paraId="6EBD1A6E">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备注</w:t>
            </w:r>
          </w:p>
        </w:tc>
      </w:tr>
      <w:tr w14:paraId="228B9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666" w:type="pct"/>
            <w:shd w:val="clear" w:color="auto" w:fill="auto"/>
            <w:vAlign w:val="center"/>
          </w:tcPr>
          <w:p w14:paraId="6E478B7E">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rPr>
            </w:pPr>
            <w:r>
              <w:rPr>
                <w:rFonts w:hint="eastAsia" w:ascii="宋体" w:hAnsi="宋体" w:cs="宋体"/>
                <w:sz w:val="21"/>
                <w:szCs w:val="21"/>
                <w:lang w:val="en-US" w:eastAsia="zh-CN"/>
              </w:rPr>
              <w:t>安全</w:t>
            </w:r>
            <w:r>
              <w:rPr>
                <w:rFonts w:hint="eastAsia" w:ascii="宋体" w:hAnsi="宋体" w:eastAsia="宋体" w:cs="宋体"/>
                <w:sz w:val="21"/>
                <w:szCs w:val="21"/>
              </w:rPr>
              <w:t>测评</w:t>
            </w:r>
          </w:p>
        </w:tc>
        <w:tc>
          <w:tcPr>
            <w:tcW w:w="2448" w:type="pct"/>
            <w:shd w:val="clear" w:color="auto" w:fill="auto"/>
            <w:vAlign w:val="center"/>
          </w:tcPr>
          <w:p w14:paraId="52F5E40F">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1.对核心重要系统需每月开展一次安全测评，其他系统每季度开展一次安全检测评。</w:t>
            </w:r>
          </w:p>
          <w:p w14:paraId="5DB06D98">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2.测评内容包括但不限于弱口令检查、基线合规性检查、敏感信息收集、安全日志审计、安全风险评估等；每次测评须包含上述一项或多项内容，但12个月内须完成上述所有内容测评。</w:t>
            </w:r>
          </w:p>
          <w:p w14:paraId="66C26C2D">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3.测评对象包括但不限于主机操作系统、数据库、网络设备、中间件、web应用等。</w:t>
            </w:r>
          </w:p>
          <w:p w14:paraId="347FD8CB">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p>
        </w:tc>
        <w:tc>
          <w:tcPr>
            <w:tcW w:w="1884" w:type="pct"/>
            <w:shd w:val="clear" w:color="auto" w:fill="auto"/>
            <w:vAlign w:val="center"/>
          </w:tcPr>
          <w:p w14:paraId="0DA38E24">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1.定期测评侧重于人工手动检查。</w:t>
            </w:r>
          </w:p>
          <w:p w14:paraId="3DF4326C">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2.系统数7个，具体以</w:t>
            </w:r>
            <w:r>
              <w:rPr>
                <w:rFonts w:hint="eastAsia" w:ascii="宋体" w:hAnsi="宋体" w:cs="宋体"/>
                <w:sz w:val="21"/>
                <w:szCs w:val="21"/>
                <w:lang w:eastAsia="zh-CN"/>
              </w:rPr>
              <w:t>招标人</w:t>
            </w:r>
            <w:r>
              <w:rPr>
                <w:rFonts w:hint="eastAsia" w:ascii="宋体" w:hAnsi="宋体" w:eastAsia="宋体" w:cs="宋体"/>
                <w:sz w:val="21"/>
                <w:szCs w:val="21"/>
              </w:rPr>
              <w:t>要求为准。</w:t>
            </w:r>
          </w:p>
          <w:p w14:paraId="29860A62">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3.核心重要系统3个，具体以</w:t>
            </w:r>
            <w:r>
              <w:rPr>
                <w:rFonts w:hint="eastAsia" w:ascii="宋体" w:hAnsi="宋体" w:cs="宋体"/>
                <w:sz w:val="21"/>
                <w:szCs w:val="21"/>
                <w:lang w:eastAsia="zh-CN"/>
              </w:rPr>
              <w:t>招标人</w:t>
            </w:r>
            <w:r>
              <w:rPr>
                <w:rFonts w:hint="eastAsia" w:ascii="宋体" w:hAnsi="宋体" w:eastAsia="宋体" w:cs="宋体"/>
                <w:sz w:val="21"/>
                <w:szCs w:val="21"/>
              </w:rPr>
              <w:t>要求为准。</w:t>
            </w:r>
          </w:p>
          <w:p w14:paraId="3BEDF53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4.主机数量300台，具体以</w:t>
            </w:r>
            <w:r>
              <w:rPr>
                <w:rFonts w:hint="eastAsia" w:ascii="宋体" w:hAnsi="宋体" w:cs="宋体"/>
                <w:sz w:val="21"/>
                <w:szCs w:val="21"/>
                <w:lang w:eastAsia="zh-CN"/>
              </w:rPr>
              <w:t>招标人</w:t>
            </w:r>
            <w:r>
              <w:rPr>
                <w:rFonts w:hint="eastAsia" w:ascii="宋体" w:hAnsi="宋体" w:eastAsia="宋体" w:cs="宋体"/>
                <w:sz w:val="21"/>
                <w:szCs w:val="21"/>
              </w:rPr>
              <w:t>要求为准。</w:t>
            </w:r>
          </w:p>
        </w:tc>
      </w:tr>
    </w:tbl>
    <w:p w14:paraId="5DCF5C17">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rFonts w:hint="eastAsia"/>
          <w:sz w:val="28"/>
          <w:szCs w:val="28"/>
        </w:rPr>
        <w:t>服务交付成果</w:t>
      </w:r>
    </w:p>
    <w:p w14:paraId="2AE4D083">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测评报告：内容包括测评时间、测评人员、测评目标、测评内容、测评采用的工具、测评整体结果概述、具体测评项描述及测评结果描述、建议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复测结果</w:t>
      </w:r>
      <w:r>
        <w:rPr>
          <w:rFonts w:hint="eastAsia" w:ascii="宋体" w:hAnsi="宋体" w:eastAsia="宋体" w:cs="宋体"/>
          <w:color w:val="auto"/>
          <w:sz w:val="21"/>
          <w:szCs w:val="21"/>
          <w:highlight w:val="none"/>
        </w:rPr>
        <w:t>等。</w:t>
      </w:r>
    </w:p>
    <w:p w14:paraId="6C7A7849">
      <w:pPr>
        <w:pStyle w:val="5"/>
        <w:keepNext w:val="0"/>
        <w:keepLines w:val="0"/>
        <w:widowControl w:val="0"/>
        <w:numPr>
          <w:ilvl w:val="0"/>
          <w:numId w:val="0"/>
        </w:numPr>
        <w:tabs>
          <w:tab w:val="left" w:pos="312"/>
        </w:tabs>
        <w:overflowPunct w:val="0"/>
        <w:autoSpaceDE w:val="0"/>
        <w:autoSpaceDN w:val="0"/>
        <w:bidi w:val="0"/>
        <w:ind w:leftChars="200"/>
        <w:jc w:val="both"/>
        <w:rPr>
          <w:rFonts w:hint="eastAsia"/>
          <w:sz w:val="28"/>
          <w:szCs w:val="28"/>
        </w:rPr>
      </w:pPr>
      <w:r>
        <w:rPr>
          <w:rFonts w:hint="eastAsia"/>
          <w:sz w:val="28"/>
          <w:szCs w:val="28"/>
          <w:lang w:val="en-US" w:eastAsia="zh-CN"/>
        </w:rPr>
        <w:t>2.</w:t>
      </w:r>
      <w:r>
        <w:rPr>
          <w:rFonts w:hint="eastAsia"/>
          <w:sz w:val="28"/>
          <w:szCs w:val="28"/>
        </w:rPr>
        <w:t>办公系统安全检查和安全评估</w:t>
      </w:r>
    </w:p>
    <w:p w14:paraId="72E4E1A4">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rFonts w:hint="eastAsia"/>
          <w:sz w:val="28"/>
          <w:szCs w:val="28"/>
        </w:rPr>
        <w:t>服务内容</w:t>
      </w:r>
    </w:p>
    <w:p w14:paraId="228F61AA">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对</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所有办公系统开展安全测评，并出具安全测评报告，用以指导网络安全整改工作。在系统整改完成后进行复测，以确认是否整改完成。测评对象包括但不限于主机操作系统、数据库、网络设备、中间件、web应用等。具体测评要求如下：</w:t>
      </w:r>
    </w:p>
    <w:tbl>
      <w:tblPr>
        <w:tblStyle w:val="64"/>
        <w:tblW w:w="48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302"/>
        <w:gridCol w:w="4718"/>
        <w:gridCol w:w="3007"/>
      </w:tblGrid>
      <w:tr w14:paraId="0AA93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361" w:type="pct"/>
            <w:shd w:val="clear" w:color="auto" w:fill="auto"/>
            <w:vAlign w:val="center"/>
          </w:tcPr>
          <w:p w14:paraId="603787AE">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序号</w:t>
            </w:r>
          </w:p>
        </w:tc>
        <w:tc>
          <w:tcPr>
            <w:tcW w:w="669" w:type="pct"/>
            <w:shd w:val="clear" w:color="auto" w:fill="auto"/>
            <w:vAlign w:val="center"/>
          </w:tcPr>
          <w:p w14:paraId="6CE7745C">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测评类型</w:t>
            </w:r>
          </w:p>
        </w:tc>
        <w:tc>
          <w:tcPr>
            <w:tcW w:w="2424" w:type="pct"/>
            <w:shd w:val="clear" w:color="auto" w:fill="auto"/>
            <w:vAlign w:val="center"/>
          </w:tcPr>
          <w:p w14:paraId="2F905323">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测评要求</w:t>
            </w:r>
          </w:p>
        </w:tc>
        <w:tc>
          <w:tcPr>
            <w:tcW w:w="1545" w:type="pct"/>
            <w:shd w:val="clear" w:color="auto" w:fill="auto"/>
            <w:vAlign w:val="center"/>
          </w:tcPr>
          <w:p w14:paraId="43FEFEB1">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黑体" w:hAnsi="黑体" w:eastAsia="黑体" w:cs="黑体"/>
                <w:b w:val="0"/>
                <w:bCs/>
                <w:sz w:val="24"/>
                <w:szCs w:val="24"/>
              </w:rPr>
            </w:pPr>
            <w:r>
              <w:rPr>
                <w:rFonts w:hint="eastAsia" w:ascii="黑体" w:hAnsi="黑体" w:eastAsia="黑体" w:cs="黑体"/>
                <w:b w:val="0"/>
                <w:bCs/>
                <w:sz w:val="24"/>
                <w:szCs w:val="24"/>
              </w:rPr>
              <w:t>备注</w:t>
            </w:r>
          </w:p>
        </w:tc>
      </w:tr>
      <w:tr w14:paraId="41AEE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361" w:type="pct"/>
            <w:shd w:val="clear" w:color="auto" w:fill="auto"/>
            <w:vAlign w:val="center"/>
          </w:tcPr>
          <w:p w14:paraId="7BB75AF9">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lang w:eastAsia="zh-CN"/>
              </w:rPr>
            </w:pPr>
            <w:r>
              <w:rPr>
                <w:rFonts w:hint="eastAsia" w:ascii="宋体" w:hAnsi="宋体" w:cs="宋体"/>
                <w:sz w:val="21"/>
                <w:szCs w:val="21"/>
                <w:lang w:val="en-US" w:eastAsia="zh-CN"/>
              </w:rPr>
              <w:t>1</w:t>
            </w:r>
          </w:p>
        </w:tc>
        <w:tc>
          <w:tcPr>
            <w:tcW w:w="669" w:type="pct"/>
            <w:shd w:val="clear" w:color="auto" w:fill="auto"/>
            <w:vAlign w:val="center"/>
          </w:tcPr>
          <w:p w14:paraId="59625F10">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cs="宋体"/>
                <w:sz w:val="21"/>
                <w:szCs w:val="21"/>
                <w:lang w:val="en-US" w:eastAsia="zh-CN"/>
              </w:rPr>
              <w:t>安全</w:t>
            </w:r>
            <w:r>
              <w:rPr>
                <w:rFonts w:hint="eastAsia" w:ascii="宋体" w:hAnsi="宋体" w:eastAsia="宋体" w:cs="宋体"/>
                <w:sz w:val="21"/>
                <w:szCs w:val="21"/>
              </w:rPr>
              <w:t>测评</w:t>
            </w:r>
          </w:p>
        </w:tc>
        <w:tc>
          <w:tcPr>
            <w:tcW w:w="2424" w:type="pct"/>
            <w:shd w:val="clear" w:color="auto" w:fill="auto"/>
            <w:vAlign w:val="center"/>
          </w:tcPr>
          <w:p w14:paraId="557A76AB">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1.对核心重要系统需每月开展一次安全测评，其他系统每季度开展一次安全检测评。</w:t>
            </w:r>
          </w:p>
          <w:p w14:paraId="6C26229F">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2.测评内容包括但不限于基线合规性检查、漏洞扫描（含web应用）、弱口令扫描、渗透测试、安全日志审计等；每次测评须包含上述一项或多项内容，但12个月内须完成上述所有内容测评。</w:t>
            </w:r>
          </w:p>
        </w:tc>
        <w:tc>
          <w:tcPr>
            <w:tcW w:w="1545" w:type="pct"/>
            <w:shd w:val="clear" w:color="auto" w:fill="auto"/>
            <w:vAlign w:val="center"/>
          </w:tcPr>
          <w:p w14:paraId="0967970B">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1.系统数暂按25个计算，具体以</w:t>
            </w:r>
            <w:r>
              <w:rPr>
                <w:rFonts w:hint="eastAsia" w:ascii="宋体" w:hAnsi="宋体" w:cs="宋体"/>
                <w:sz w:val="21"/>
                <w:szCs w:val="21"/>
                <w:lang w:eastAsia="zh-CN"/>
              </w:rPr>
              <w:t>招标人</w:t>
            </w:r>
            <w:r>
              <w:rPr>
                <w:rFonts w:hint="eastAsia" w:ascii="宋体" w:hAnsi="宋体" w:eastAsia="宋体" w:cs="宋体"/>
                <w:sz w:val="21"/>
                <w:szCs w:val="21"/>
              </w:rPr>
              <w:t>要求为准。</w:t>
            </w:r>
          </w:p>
          <w:p w14:paraId="3DB71087">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2.核心重要系统以</w:t>
            </w:r>
            <w:r>
              <w:rPr>
                <w:rFonts w:hint="eastAsia" w:ascii="宋体" w:hAnsi="宋体" w:cs="宋体"/>
                <w:sz w:val="21"/>
                <w:szCs w:val="21"/>
                <w:lang w:eastAsia="zh-CN"/>
              </w:rPr>
              <w:t>招标人</w:t>
            </w:r>
            <w:r>
              <w:rPr>
                <w:rFonts w:hint="eastAsia" w:ascii="宋体" w:hAnsi="宋体" w:eastAsia="宋体" w:cs="宋体"/>
                <w:sz w:val="21"/>
                <w:szCs w:val="21"/>
              </w:rPr>
              <w:t>要求为准。</w:t>
            </w:r>
          </w:p>
          <w:p w14:paraId="645B341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3.主机数量暂按</w:t>
            </w:r>
            <w:r>
              <w:rPr>
                <w:rFonts w:hint="eastAsia" w:ascii="宋体" w:hAnsi="宋体" w:eastAsia="宋体" w:cs="宋体"/>
                <w:sz w:val="21"/>
                <w:szCs w:val="21"/>
                <w:lang w:val="en-US" w:eastAsia="zh-CN"/>
              </w:rPr>
              <w:t>1</w:t>
            </w:r>
            <w:r>
              <w:rPr>
                <w:rFonts w:hint="eastAsia" w:ascii="宋体" w:hAnsi="宋体" w:eastAsia="宋体" w:cs="宋体"/>
                <w:sz w:val="21"/>
                <w:szCs w:val="21"/>
              </w:rPr>
              <w:t>00台计算，具体以</w:t>
            </w:r>
            <w:r>
              <w:rPr>
                <w:rFonts w:hint="eastAsia" w:ascii="宋体" w:hAnsi="宋体" w:cs="宋体"/>
                <w:sz w:val="21"/>
                <w:szCs w:val="21"/>
                <w:lang w:eastAsia="zh-CN"/>
              </w:rPr>
              <w:t>招标人</w:t>
            </w:r>
            <w:r>
              <w:rPr>
                <w:rFonts w:hint="eastAsia" w:ascii="宋体" w:hAnsi="宋体" w:eastAsia="宋体" w:cs="宋体"/>
                <w:sz w:val="21"/>
                <w:szCs w:val="21"/>
              </w:rPr>
              <w:t>要求为准。</w:t>
            </w:r>
          </w:p>
        </w:tc>
      </w:tr>
      <w:tr w14:paraId="10CA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361" w:type="pct"/>
            <w:shd w:val="clear" w:color="auto" w:fill="auto"/>
            <w:vAlign w:val="center"/>
          </w:tcPr>
          <w:p w14:paraId="53CBEDC9">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center"/>
              <w:textAlignment w:val="auto"/>
              <w:rPr>
                <w:rFonts w:hint="eastAsia" w:ascii="宋体" w:hAnsi="宋体" w:eastAsia="宋体" w:cs="宋体"/>
                <w:sz w:val="21"/>
                <w:szCs w:val="21"/>
                <w:lang w:eastAsia="zh-CN"/>
              </w:rPr>
            </w:pPr>
            <w:r>
              <w:rPr>
                <w:rFonts w:hint="eastAsia" w:ascii="宋体" w:hAnsi="宋体" w:cs="宋体"/>
                <w:sz w:val="21"/>
                <w:szCs w:val="21"/>
                <w:lang w:val="en-US" w:eastAsia="zh-CN"/>
              </w:rPr>
              <w:t>2</w:t>
            </w:r>
          </w:p>
        </w:tc>
        <w:tc>
          <w:tcPr>
            <w:tcW w:w="669" w:type="pct"/>
            <w:shd w:val="clear" w:color="auto" w:fill="auto"/>
            <w:vAlign w:val="center"/>
          </w:tcPr>
          <w:p w14:paraId="74EC2EE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临时测评</w:t>
            </w:r>
          </w:p>
        </w:tc>
        <w:tc>
          <w:tcPr>
            <w:tcW w:w="2424" w:type="pct"/>
            <w:shd w:val="clear" w:color="auto" w:fill="auto"/>
            <w:vAlign w:val="center"/>
          </w:tcPr>
          <w:p w14:paraId="3FB07FF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对各大网络安全厂家发布的高危新漏洞预警，组织对</w:t>
            </w:r>
            <w:r>
              <w:rPr>
                <w:rFonts w:hint="eastAsia" w:ascii="宋体" w:hAnsi="宋体" w:cs="宋体"/>
                <w:sz w:val="21"/>
                <w:szCs w:val="21"/>
                <w:lang w:eastAsia="zh-CN"/>
              </w:rPr>
              <w:t>招标人</w:t>
            </w:r>
            <w:r>
              <w:rPr>
                <w:rFonts w:hint="eastAsia" w:ascii="宋体" w:hAnsi="宋体" w:eastAsia="宋体" w:cs="宋体"/>
                <w:sz w:val="21"/>
                <w:szCs w:val="21"/>
              </w:rPr>
              <w:t>网络系统开展新漏洞专线比对检查</w:t>
            </w:r>
          </w:p>
        </w:tc>
        <w:tc>
          <w:tcPr>
            <w:tcW w:w="1545" w:type="pct"/>
            <w:shd w:val="clear" w:color="auto" w:fill="auto"/>
            <w:vAlign w:val="center"/>
          </w:tcPr>
          <w:p w14:paraId="77AAF616">
            <w:pPr>
              <w:keepNext w:val="0"/>
              <w:keepLines w:val="0"/>
              <w:pageBreakBefore w:val="0"/>
              <w:widowControl w:val="0"/>
              <w:kinsoku/>
              <w:wordWrap/>
              <w:overflowPunct w:val="0"/>
              <w:topLinePunct w:val="0"/>
              <w:autoSpaceDE w:val="0"/>
              <w:autoSpaceDN w:val="0"/>
              <w:bidi w:val="0"/>
              <w:adjustRightInd/>
              <w:snapToGrid/>
              <w:spacing w:line="240" w:lineRule="auto"/>
              <w:ind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rPr>
              <w:t>以实际预警要求为准，据实执行。</w:t>
            </w:r>
          </w:p>
        </w:tc>
      </w:tr>
    </w:tbl>
    <w:p w14:paraId="39AFA186">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rFonts w:hint="eastAsia"/>
          <w:sz w:val="28"/>
          <w:szCs w:val="28"/>
        </w:rPr>
        <w:t>服务交付成果</w:t>
      </w:r>
    </w:p>
    <w:p w14:paraId="32E46011">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安全测评报告：内容包括测评时间、测评人员、测评目标、测评内容、测评采用的工具、测评整体结果概述、具体测评项描述及测评结果描述、建议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复测结果</w:t>
      </w:r>
      <w:r>
        <w:rPr>
          <w:rFonts w:hint="eastAsia" w:ascii="宋体" w:hAnsi="宋体" w:eastAsia="宋体" w:cs="宋体"/>
          <w:color w:val="auto"/>
          <w:sz w:val="21"/>
          <w:szCs w:val="21"/>
          <w:highlight w:val="none"/>
        </w:rPr>
        <w:t>等。</w:t>
      </w:r>
    </w:p>
    <w:p w14:paraId="61B7BCFC">
      <w:pPr>
        <w:pStyle w:val="4"/>
        <w:keepNext w:val="0"/>
        <w:keepLines w:val="0"/>
        <w:autoSpaceDE w:val="0"/>
        <w:autoSpaceDN w:val="0"/>
        <w:bidi w:val="0"/>
        <w:ind w:firstLine="562" w:firstLineChars="200"/>
        <w:jc w:val="both"/>
        <w:rPr>
          <w:rFonts w:hint="eastAsia"/>
          <w:sz w:val="28"/>
          <w:szCs w:val="28"/>
        </w:rPr>
      </w:pPr>
      <w:r>
        <w:rPr>
          <w:rFonts w:hint="eastAsia" w:ascii="Calibri" w:hAnsi="宋体" w:cs="宋体"/>
          <w:b/>
          <w:snapToGrid w:val="0"/>
          <w:color w:val="auto"/>
          <w:kern w:val="0"/>
          <w:sz w:val="28"/>
          <w:szCs w:val="28"/>
          <w:highlight w:val="none"/>
        </w:rPr>
        <w:t>★</w:t>
      </w:r>
      <w:r>
        <w:rPr>
          <w:rFonts w:hint="eastAsia"/>
          <w:sz w:val="28"/>
          <w:szCs w:val="28"/>
          <w:lang w:eastAsia="zh-CN"/>
        </w:rPr>
        <w:t>（</w:t>
      </w:r>
      <w:r>
        <w:rPr>
          <w:rFonts w:hint="eastAsia"/>
          <w:sz w:val="28"/>
          <w:szCs w:val="28"/>
          <w:lang w:val="en-US" w:eastAsia="zh-CN"/>
        </w:rPr>
        <w:t>三</w:t>
      </w:r>
      <w:r>
        <w:rPr>
          <w:rFonts w:hint="eastAsia"/>
          <w:sz w:val="28"/>
          <w:szCs w:val="28"/>
          <w:lang w:eastAsia="zh-CN"/>
        </w:rPr>
        <w:t>）</w:t>
      </w:r>
      <w:r>
        <w:rPr>
          <w:rFonts w:hint="eastAsia"/>
          <w:sz w:val="28"/>
          <w:szCs w:val="28"/>
        </w:rPr>
        <w:t>网络安全保障</w:t>
      </w:r>
    </w:p>
    <w:p w14:paraId="68B474B0">
      <w:pPr>
        <w:pStyle w:val="5"/>
        <w:keepNext w:val="0"/>
        <w:keepLines w:val="0"/>
        <w:widowControl w:val="0"/>
        <w:numPr>
          <w:ilvl w:val="0"/>
          <w:numId w:val="0"/>
        </w:numPr>
        <w:tabs>
          <w:tab w:val="left" w:pos="312"/>
        </w:tabs>
        <w:overflowPunct w:val="0"/>
        <w:autoSpaceDE w:val="0"/>
        <w:autoSpaceDN w:val="0"/>
        <w:bidi w:val="0"/>
        <w:ind w:leftChars="200"/>
        <w:jc w:val="both"/>
        <w:rPr>
          <w:rFonts w:hint="eastAsia"/>
          <w:sz w:val="28"/>
          <w:szCs w:val="28"/>
        </w:rPr>
      </w:pPr>
      <w:r>
        <w:rPr>
          <w:rFonts w:hint="eastAsia"/>
          <w:sz w:val="28"/>
          <w:szCs w:val="28"/>
          <w:lang w:val="en-US" w:eastAsia="zh-CN"/>
        </w:rPr>
        <w:t>1.</w:t>
      </w:r>
      <w:r>
        <w:rPr>
          <w:rFonts w:hint="eastAsia"/>
          <w:sz w:val="28"/>
          <w:szCs w:val="28"/>
        </w:rPr>
        <w:t>网络安全保障服务</w:t>
      </w:r>
    </w:p>
    <w:p w14:paraId="412D4B76">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rFonts w:hint="eastAsia"/>
          <w:sz w:val="28"/>
          <w:szCs w:val="28"/>
        </w:rPr>
        <w:t>服务内容</w:t>
      </w:r>
    </w:p>
    <w:p w14:paraId="17EC7CF3">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须保障服务范围内所有生产系统及办公系统的日常网络安全，除此外</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还需提供以下服务：</w:t>
      </w:r>
    </w:p>
    <w:p w14:paraId="667DD224">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0"/>
        <w:jc w:val="left"/>
        <w:textAlignment w:val="auto"/>
        <w:rPr>
          <w:rFonts w:hint="default" w:ascii="宋体" w:hAnsi="宋体" w:cs="宋体"/>
          <w:color w:val="auto"/>
          <w:sz w:val="21"/>
          <w:szCs w:val="21"/>
          <w:highlight w:val="none"/>
        </w:rPr>
      </w:pPr>
      <w:r>
        <w:rPr>
          <w:rFonts w:hint="eastAsia" w:ascii="宋体" w:hAnsi="宋体" w:eastAsia="宋体" w:cs="宋体"/>
          <w:color w:val="auto"/>
          <w:sz w:val="21"/>
          <w:szCs w:val="21"/>
          <w:highlight w:val="none"/>
        </w:rPr>
        <w:t>①</w:t>
      </w:r>
      <w:r>
        <w:rPr>
          <w:rFonts w:hint="default" w:ascii="宋体" w:hAnsi="宋体" w:cs="宋体"/>
          <w:color w:val="auto"/>
          <w:sz w:val="21"/>
          <w:szCs w:val="21"/>
          <w:highlight w:val="none"/>
        </w:rPr>
        <w:t>节假日常规保障服务</w:t>
      </w:r>
    </w:p>
    <w:p w14:paraId="4F95CAD8">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default" w:ascii="宋体" w:hAnsi="宋体" w:cs="宋体"/>
          <w:color w:val="auto"/>
          <w:sz w:val="21"/>
          <w:szCs w:val="21"/>
          <w:highlight w:val="none"/>
        </w:rPr>
      </w:pPr>
      <w:r>
        <w:rPr>
          <w:rFonts w:hint="default" w:ascii="宋体" w:hAnsi="宋体" w:cs="宋体"/>
          <w:color w:val="auto"/>
          <w:sz w:val="21"/>
          <w:szCs w:val="21"/>
          <w:highlight w:val="none"/>
        </w:rPr>
        <w:t>国家法定节假日前提供常规的网络安全自查保障服务，包括技术安全检测、管理落实情况检查等；具体以</w:t>
      </w:r>
      <w:r>
        <w:rPr>
          <w:rFonts w:hint="default" w:ascii="宋体" w:hAnsi="宋体" w:cs="宋体"/>
          <w:color w:val="auto"/>
          <w:sz w:val="21"/>
          <w:szCs w:val="21"/>
          <w:highlight w:val="none"/>
          <w:lang w:eastAsia="zh-CN"/>
        </w:rPr>
        <w:t>招标人</w:t>
      </w:r>
      <w:r>
        <w:rPr>
          <w:rFonts w:hint="default" w:ascii="宋体" w:hAnsi="宋体" w:cs="宋体"/>
          <w:color w:val="auto"/>
          <w:sz w:val="21"/>
          <w:szCs w:val="21"/>
          <w:highlight w:val="none"/>
        </w:rPr>
        <w:t>要求为准。</w:t>
      </w:r>
    </w:p>
    <w:p w14:paraId="28176A01">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②重大活动期间安全保障服务</w:t>
      </w:r>
    </w:p>
    <w:p w14:paraId="4149AE42">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A、重大活动包括但不限于</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参与的国家网络安全主管部门组织的网络</w:t>
      </w:r>
      <w:r>
        <w:rPr>
          <w:rFonts w:hint="eastAsia" w:ascii="宋体" w:hAnsi="宋体" w:cs="宋体"/>
          <w:color w:val="auto"/>
          <w:sz w:val="21"/>
          <w:szCs w:val="21"/>
          <w:highlight w:val="none"/>
          <w:lang w:val="en-US" w:eastAsia="zh-CN"/>
        </w:rPr>
        <w:t>安全</w:t>
      </w:r>
      <w:r>
        <w:rPr>
          <w:rFonts w:hint="eastAsia" w:ascii="宋体" w:hAnsi="宋体" w:cs="宋体"/>
          <w:color w:val="auto"/>
          <w:sz w:val="21"/>
          <w:szCs w:val="21"/>
          <w:highlight w:val="none"/>
        </w:rPr>
        <w:t>演练、全国性或国家网络安全主管部门明确提出的重要活动或重要会议等。</w:t>
      </w:r>
    </w:p>
    <w:p w14:paraId="739020F7">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B、服务内容包括重大活动前的全面资产梳理、重要系统渗透测试服务、漏洞问题整改</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现场值守</w:t>
      </w:r>
      <w:r>
        <w:rPr>
          <w:rFonts w:hint="eastAsia" w:ascii="宋体" w:hAnsi="宋体" w:cs="宋体"/>
          <w:color w:val="auto"/>
          <w:sz w:val="21"/>
          <w:szCs w:val="21"/>
          <w:highlight w:val="none"/>
        </w:rPr>
        <w:t>等服务。</w:t>
      </w:r>
    </w:p>
    <w:p w14:paraId="0A947B66">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C、保障服务期间须额外提供</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名专业安全技术服务人员进行驻场并提供相关辅助工具；该额外人员须具备不少于3次的重保服务经验；相关辅助工具包括但不限于预警监测、行为分析、安全审计、</w:t>
      </w:r>
      <w:r>
        <w:rPr>
          <w:rFonts w:hint="eastAsia" w:ascii="宋体" w:hAnsi="宋体" w:cs="宋体"/>
          <w:color w:val="auto"/>
          <w:sz w:val="21"/>
          <w:szCs w:val="21"/>
          <w:highlight w:val="none"/>
          <w:lang w:val="en-US" w:eastAsia="zh-CN"/>
        </w:rPr>
        <w:t>攻击反制、</w:t>
      </w:r>
      <w:r>
        <w:rPr>
          <w:rFonts w:hint="eastAsia" w:ascii="宋体" w:hAnsi="宋体" w:cs="宋体"/>
          <w:color w:val="auto"/>
          <w:sz w:val="21"/>
          <w:szCs w:val="21"/>
          <w:highlight w:val="none"/>
        </w:rPr>
        <w:t>事件溯源等。</w:t>
      </w:r>
    </w:p>
    <w:p w14:paraId="7BCEABD3">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D、保障服务期间成立专门的后台应急响应工作团队并提供7×24小时的技术支持，以提高应急响应速度及应急处置时效性，并最大限度保障重大活动期间</w:t>
      </w:r>
      <w:r>
        <w:rPr>
          <w:rFonts w:hint="eastAsia" w:ascii="宋体" w:hAnsi="宋体" w:cs="宋体"/>
          <w:color w:val="auto"/>
          <w:sz w:val="21"/>
          <w:szCs w:val="21"/>
          <w:highlight w:val="none"/>
          <w:lang w:eastAsia="zh-CN"/>
        </w:rPr>
        <w:t>招标人</w:t>
      </w:r>
      <w:r>
        <w:rPr>
          <w:rFonts w:hint="eastAsia" w:ascii="宋体" w:hAnsi="宋体" w:cs="宋体"/>
          <w:color w:val="auto"/>
          <w:sz w:val="21"/>
          <w:szCs w:val="21"/>
          <w:highlight w:val="none"/>
        </w:rPr>
        <w:t>的网络与信息安全。</w:t>
      </w:r>
    </w:p>
    <w:p w14:paraId="5516B10C">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E、保障期间须对异常网络行为进行分析溯源，并编制分析报告；保障服务结束后需根据服务成果逐一出具重大活动期间网络安全保障服务结果报告，并协助开展整改工作。</w:t>
      </w:r>
    </w:p>
    <w:p w14:paraId="52200518">
      <w:pPr>
        <w:pStyle w:val="6"/>
        <w:keepNext w:val="0"/>
        <w:keepLines w:val="0"/>
        <w:widowControl w:val="0"/>
        <w:overflowPunct w:val="0"/>
        <w:autoSpaceDE w:val="0"/>
        <w:autoSpaceDN w:val="0"/>
        <w:bidi w:val="0"/>
        <w:ind w:firstLine="560" w:firstLineChars="200"/>
        <w:jc w:val="both"/>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rFonts w:hint="eastAsia"/>
          <w:sz w:val="28"/>
          <w:szCs w:val="28"/>
        </w:rPr>
        <w:t>服务交付成果</w:t>
      </w:r>
    </w:p>
    <w:p w14:paraId="50806087">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①国家法定节假日前网络安全自查报告：内容包括自查时间、自查人员、自查内容、自查结果、自查建议、已采取措施等。</w:t>
      </w:r>
    </w:p>
    <w:p w14:paraId="5FD3C8E9">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②重大活动期间安全保障服务方案：内容包括重保目标、投入资源安排等、重保各阶段及各阶段工作内容描述、各阶段及整体预期目标等。</w:t>
      </w:r>
    </w:p>
    <w:p w14:paraId="42CCECE4">
      <w:pPr>
        <w:keepNext w:val="0"/>
        <w:keepLines w:val="0"/>
        <w:pageBreakBefore w:val="0"/>
        <w:widowControl/>
        <w:numPr>
          <w:ilvl w:val="0"/>
          <w:numId w:val="0"/>
        </w:numPr>
        <w:kinsoku/>
        <w:wordWrap/>
        <w:overflowPunct w:val="0"/>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③重大活动期间安全保障服务报告：内容包括整体结果概述、重保工作内容描述、防守成果汇总、问题分析、问题处置建议，下一步工作建议等。</w:t>
      </w:r>
    </w:p>
    <w:p w14:paraId="37B4A4D7">
      <w:pPr>
        <w:pStyle w:val="5"/>
        <w:keepNext w:val="0"/>
        <w:keepLines w:val="0"/>
        <w:widowControl w:val="0"/>
        <w:numPr>
          <w:ilvl w:val="0"/>
          <w:numId w:val="0"/>
        </w:numPr>
        <w:tabs>
          <w:tab w:val="left" w:pos="312"/>
        </w:tabs>
        <w:overflowPunct w:val="0"/>
        <w:autoSpaceDE w:val="0"/>
        <w:autoSpaceDN w:val="0"/>
        <w:bidi w:val="0"/>
        <w:ind w:leftChars="200"/>
        <w:jc w:val="both"/>
        <w:rPr>
          <w:rFonts w:hint="eastAsia"/>
          <w:sz w:val="28"/>
          <w:szCs w:val="28"/>
        </w:rPr>
      </w:pPr>
      <w:r>
        <w:rPr>
          <w:rFonts w:hint="eastAsia"/>
          <w:sz w:val="28"/>
          <w:szCs w:val="28"/>
          <w:lang w:val="en-US" w:eastAsia="zh-CN"/>
        </w:rPr>
        <w:t>2.</w:t>
      </w:r>
      <w:r>
        <w:rPr>
          <w:rFonts w:hint="eastAsia"/>
          <w:sz w:val="28"/>
          <w:szCs w:val="28"/>
        </w:rPr>
        <w:t>网络安全应急响应服务</w:t>
      </w:r>
    </w:p>
    <w:p w14:paraId="323B598A">
      <w:pPr>
        <w:pStyle w:val="6"/>
        <w:keepNext w:val="0"/>
        <w:keepLines w:val="0"/>
        <w:pageBreakBefore w:val="0"/>
        <w:widowControl w:val="0"/>
        <w:kinsoku/>
        <w:wordWrap/>
        <w:overflowPunct w:val="0"/>
        <w:topLinePunct w:val="0"/>
        <w:autoSpaceDE w:val="0"/>
        <w:autoSpaceDN w:val="0"/>
        <w:bidi w:val="0"/>
        <w:adjustRightInd/>
        <w:snapToGrid/>
        <w:ind w:left="0" w:leftChars="0" w:firstLine="560" w:firstLineChars="200"/>
        <w:jc w:val="both"/>
        <w:textAlignment w:val="auto"/>
        <w:rPr>
          <w:rFonts w:hint="eastAsia"/>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rFonts w:hint="eastAsia"/>
          <w:sz w:val="28"/>
          <w:szCs w:val="28"/>
        </w:rPr>
        <w:t>服务工作内容</w:t>
      </w:r>
    </w:p>
    <w:p w14:paraId="7A89B1AB">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default" w:ascii="宋体" w:hAnsi="宋体" w:cs="宋体"/>
          <w:color w:val="auto"/>
          <w:sz w:val="21"/>
          <w:szCs w:val="21"/>
          <w:highlight w:val="none"/>
        </w:rPr>
      </w:pPr>
      <w:r>
        <w:rPr>
          <w:rFonts w:hint="default" w:ascii="宋体" w:hAnsi="宋体" w:cs="宋体"/>
          <w:color w:val="auto"/>
          <w:sz w:val="21"/>
          <w:szCs w:val="21"/>
          <w:highlight w:val="none"/>
        </w:rPr>
        <w:t>突发信息安全事件时，</w:t>
      </w:r>
      <w:r>
        <w:rPr>
          <w:rFonts w:hint="default" w:ascii="宋体" w:hAnsi="宋体" w:cs="宋体"/>
          <w:color w:val="auto"/>
          <w:sz w:val="21"/>
          <w:szCs w:val="21"/>
          <w:highlight w:val="none"/>
          <w:lang w:eastAsia="zh-CN"/>
        </w:rPr>
        <w:t>投标人</w:t>
      </w:r>
      <w:r>
        <w:rPr>
          <w:rFonts w:hint="default" w:ascii="宋体" w:hAnsi="宋体" w:cs="宋体"/>
          <w:color w:val="auto"/>
          <w:sz w:val="21"/>
          <w:szCs w:val="21"/>
          <w:highlight w:val="none"/>
        </w:rPr>
        <w:t>须在半小时内予以响应，2小时内到达</w:t>
      </w:r>
      <w:r>
        <w:rPr>
          <w:rFonts w:hint="default" w:ascii="宋体" w:hAnsi="宋体" w:cs="宋体"/>
          <w:color w:val="auto"/>
          <w:sz w:val="21"/>
          <w:szCs w:val="21"/>
          <w:highlight w:val="none"/>
          <w:lang w:eastAsia="zh-CN"/>
        </w:rPr>
        <w:t>招标人</w:t>
      </w:r>
      <w:r>
        <w:rPr>
          <w:rFonts w:hint="default" w:ascii="宋体" w:hAnsi="宋体" w:cs="宋体"/>
          <w:color w:val="auto"/>
          <w:sz w:val="21"/>
          <w:szCs w:val="21"/>
          <w:highlight w:val="none"/>
        </w:rPr>
        <w:t>要求的现场；并提供现场安全处置、协助服务恢复、分析评估、事件溯源、协助调查取证等应急支撑服务，提供应急响应报告和安全改进建议。</w:t>
      </w:r>
    </w:p>
    <w:p w14:paraId="001ABA42">
      <w:pPr>
        <w:pStyle w:val="6"/>
        <w:keepNext w:val="0"/>
        <w:keepLines w:val="0"/>
        <w:pageBreakBefore w:val="0"/>
        <w:widowControl w:val="0"/>
        <w:kinsoku/>
        <w:wordWrap/>
        <w:overflowPunct w:val="0"/>
        <w:topLinePunct w:val="0"/>
        <w:autoSpaceDE w:val="0"/>
        <w:autoSpaceDN w:val="0"/>
        <w:bidi w:val="0"/>
        <w:adjustRightInd/>
        <w:snapToGrid/>
        <w:ind w:left="0" w:leftChars="0" w:firstLine="560" w:firstLineChars="200"/>
        <w:jc w:val="both"/>
        <w:textAlignment w:val="auto"/>
        <w:rPr>
          <w:rFonts w:hint="eastAsia"/>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rFonts w:hint="eastAsia"/>
          <w:sz w:val="28"/>
          <w:szCs w:val="28"/>
        </w:rPr>
        <w:t>服务交付成果</w:t>
      </w:r>
    </w:p>
    <w:p w14:paraId="6E53A8DD">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default" w:ascii="宋体" w:hAnsi="宋体" w:cs="宋体"/>
          <w:color w:val="auto"/>
          <w:sz w:val="21"/>
          <w:szCs w:val="21"/>
          <w:highlight w:val="none"/>
        </w:rPr>
      </w:pPr>
      <w:r>
        <w:rPr>
          <w:rFonts w:hint="default" w:ascii="宋体" w:hAnsi="宋体" w:cs="宋体"/>
          <w:color w:val="auto"/>
          <w:sz w:val="21"/>
          <w:szCs w:val="21"/>
          <w:highlight w:val="none"/>
        </w:rPr>
        <w:t>应急响应处置报告：内容包括应急事件发生时间、响应时间、应急处置人员、处置方式、处置过程描述、处置结果、总结建议等。</w:t>
      </w:r>
    </w:p>
    <w:p w14:paraId="0AF032F4">
      <w:pPr>
        <w:pStyle w:val="4"/>
        <w:keepNext w:val="0"/>
        <w:keepLines w:val="0"/>
        <w:pageBreakBefore w:val="0"/>
        <w:widowControl/>
        <w:kinsoku/>
        <w:wordWrap/>
        <w:overflowPunct/>
        <w:topLinePunct w:val="0"/>
        <w:autoSpaceDE w:val="0"/>
        <w:autoSpaceDN w:val="0"/>
        <w:bidi w:val="0"/>
        <w:adjustRightInd/>
        <w:snapToGrid/>
        <w:ind w:left="0" w:leftChars="0" w:firstLine="562" w:firstLineChars="200"/>
        <w:jc w:val="both"/>
        <w:textAlignment w:val="auto"/>
        <w:rPr>
          <w:rFonts w:hint="eastAsia"/>
          <w:sz w:val="28"/>
          <w:szCs w:val="28"/>
        </w:rPr>
      </w:pPr>
      <w:r>
        <w:rPr>
          <w:rFonts w:hint="eastAsia" w:ascii="Calibri" w:hAnsi="宋体" w:cs="宋体"/>
          <w:b/>
          <w:snapToGrid w:val="0"/>
          <w:color w:val="auto"/>
          <w:kern w:val="0"/>
          <w:sz w:val="28"/>
          <w:szCs w:val="28"/>
          <w:highlight w:val="none"/>
        </w:rPr>
        <w:t>★</w:t>
      </w:r>
      <w:r>
        <w:rPr>
          <w:rFonts w:hint="eastAsia"/>
          <w:sz w:val="28"/>
          <w:szCs w:val="28"/>
          <w:lang w:eastAsia="zh-CN"/>
        </w:rPr>
        <w:t>（</w:t>
      </w:r>
      <w:r>
        <w:rPr>
          <w:rFonts w:hint="eastAsia"/>
          <w:sz w:val="28"/>
          <w:szCs w:val="28"/>
          <w:lang w:val="en-US" w:eastAsia="zh-CN"/>
        </w:rPr>
        <w:t>四</w:t>
      </w:r>
      <w:r>
        <w:rPr>
          <w:rFonts w:hint="eastAsia"/>
          <w:sz w:val="28"/>
          <w:szCs w:val="28"/>
          <w:lang w:eastAsia="zh-CN"/>
        </w:rPr>
        <w:t>）</w:t>
      </w:r>
      <w:r>
        <w:rPr>
          <w:rFonts w:hint="eastAsia"/>
          <w:sz w:val="28"/>
          <w:szCs w:val="28"/>
        </w:rPr>
        <w:t>安全培训服务</w:t>
      </w:r>
    </w:p>
    <w:p w14:paraId="6C26CEA1">
      <w:pPr>
        <w:pStyle w:val="5"/>
        <w:keepNext w:val="0"/>
        <w:keepLines w:val="0"/>
        <w:pageBreakBefore w:val="0"/>
        <w:widowControl w:val="0"/>
        <w:numPr>
          <w:ilvl w:val="0"/>
          <w:numId w:val="0"/>
        </w:numPr>
        <w:tabs>
          <w:tab w:val="left" w:pos="312"/>
        </w:tabs>
        <w:kinsoku/>
        <w:wordWrap/>
        <w:overflowPunct w:val="0"/>
        <w:topLinePunct w:val="0"/>
        <w:autoSpaceDE w:val="0"/>
        <w:autoSpaceDN w:val="0"/>
        <w:bidi w:val="0"/>
        <w:adjustRightInd/>
        <w:snapToGrid/>
        <w:ind w:left="420" w:leftChars="200" w:firstLine="0" w:firstLineChars="0"/>
        <w:jc w:val="both"/>
        <w:textAlignment w:val="auto"/>
        <w:rPr>
          <w:rFonts w:hint="eastAsia"/>
          <w:sz w:val="28"/>
          <w:szCs w:val="28"/>
        </w:rPr>
      </w:pPr>
      <w:r>
        <w:rPr>
          <w:rFonts w:hint="eastAsia"/>
          <w:sz w:val="28"/>
          <w:szCs w:val="28"/>
          <w:lang w:val="en-US" w:eastAsia="zh-CN"/>
        </w:rPr>
        <w:t>1.</w:t>
      </w:r>
      <w:r>
        <w:rPr>
          <w:rFonts w:hint="eastAsia"/>
          <w:sz w:val="28"/>
          <w:szCs w:val="28"/>
        </w:rPr>
        <w:t>服务工作内容</w:t>
      </w:r>
    </w:p>
    <w:p w14:paraId="61D4E6C3">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default" w:ascii="宋体" w:hAnsi="宋体" w:cs="宋体"/>
          <w:color w:val="auto"/>
          <w:sz w:val="21"/>
          <w:szCs w:val="21"/>
          <w:highlight w:val="none"/>
        </w:rPr>
      </w:pPr>
      <w:r>
        <w:rPr>
          <w:rFonts w:hint="default" w:ascii="宋体" w:hAnsi="宋体" w:cs="宋体"/>
          <w:color w:val="auto"/>
          <w:sz w:val="21"/>
          <w:szCs w:val="21"/>
          <w:highlight w:val="none"/>
        </w:rPr>
        <w:t>安排</w:t>
      </w:r>
      <w:r>
        <w:rPr>
          <w:rFonts w:hint="default" w:ascii="宋体" w:hAnsi="宋体" w:cs="宋体"/>
          <w:color w:val="auto"/>
          <w:sz w:val="21"/>
          <w:szCs w:val="21"/>
          <w:highlight w:val="none"/>
          <w:lang w:val="en-US" w:eastAsia="zh-CN"/>
        </w:rPr>
        <w:t>网络安全相关</w:t>
      </w:r>
      <w:r>
        <w:rPr>
          <w:rFonts w:hint="default" w:ascii="宋体" w:hAnsi="宋体" w:cs="宋体"/>
          <w:color w:val="auto"/>
          <w:sz w:val="21"/>
          <w:szCs w:val="21"/>
          <w:highlight w:val="none"/>
        </w:rPr>
        <w:t>培训，培训</w:t>
      </w:r>
      <w:r>
        <w:rPr>
          <w:rFonts w:hint="default" w:ascii="宋体" w:hAnsi="宋体" w:cs="宋体"/>
          <w:color w:val="auto"/>
          <w:sz w:val="21"/>
          <w:szCs w:val="21"/>
          <w:highlight w:val="none"/>
          <w:lang w:val="en-US" w:eastAsia="zh-CN"/>
        </w:rPr>
        <w:t>形式包括但不限于本地课程培训、本地实操培训等</w:t>
      </w:r>
      <w:r>
        <w:rPr>
          <w:rFonts w:hint="default" w:ascii="宋体" w:hAnsi="宋体" w:cs="宋体"/>
          <w:color w:val="auto"/>
          <w:sz w:val="21"/>
          <w:szCs w:val="21"/>
          <w:highlight w:val="none"/>
        </w:rPr>
        <w:t>。每年不少于</w:t>
      </w:r>
      <w:r>
        <w:rPr>
          <w:rFonts w:hint="default" w:ascii="宋体" w:hAnsi="宋体" w:cs="宋体"/>
          <w:color w:val="auto"/>
          <w:sz w:val="21"/>
          <w:szCs w:val="21"/>
          <w:highlight w:val="none"/>
          <w:lang w:val="en-US" w:eastAsia="zh-CN"/>
        </w:rPr>
        <w:t>两</w:t>
      </w:r>
      <w:r>
        <w:rPr>
          <w:rFonts w:hint="default" w:ascii="宋体" w:hAnsi="宋体" w:cs="宋体"/>
          <w:color w:val="auto"/>
          <w:sz w:val="21"/>
          <w:szCs w:val="21"/>
          <w:highlight w:val="none"/>
        </w:rPr>
        <w:t>次</w:t>
      </w:r>
      <w:r>
        <w:rPr>
          <w:rFonts w:hint="default" w:ascii="宋体" w:hAnsi="宋体" w:cs="宋体"/>
          <w:color w:val="auto"/>
          <w:sz w:val="21"/>
          <w:szCs w:val="21"/>
          <w:highlight w:val="none"/>
          <w:lang w:val="en-US" w:eastAsia="zh-CN"/>
        </w:rPr>
        <w:t>培训</w:t>
      </w:r>
      <w:r>
        <w:rPr>
          <w:rFonts w:hint="default" w:ascii="宋体" w:hAnsi="宋体" w:cs="宋体"/>
          <w:color w:val="auto"/>
          <w:sz w:val="21"/>
          <w:szCs w:val="21"/>
          <w:highlight w:val="none"/>
        </w:rPr>
        <w:t>，并在国家网络安全宣传周中组织一次专场培训及宣贯活动，提供网络安全宣贯视频、宣贯课件、宣贯方案等。</w:t>
      </w:r>
    </w:p>
    <w:p w14:paraId="7C652651">
      <w:pPr>
        <w:pStyle w:val="5"/>
        <w:keepNext w:val="0"/>
        <w:keepLines w:val="0"/>
        <w:pageBreakBefore w:val="0"/>
        <w:widowControl w:val="0"/>
        <w:numPr>
          <w:ilvl w:val="0"/>
          <w:numId w:val="0"/>
        </w:numPr>
        <w:tabs>
          <w:tab w:val="left" w:pos="312"/>
        </w:tabs>
        <w:kinsoku/>
        <w:wordWrap/>
        <w:overflowPunct w:val="0"/>
        <w:topLinePunct w:val="0"/>
        <w:autoSpaceDE w:val="0"/>
        <w:autoSpaceDN w:val="0"/>
        <w:bidi w:val="0"/>
        <w:adjustRightInd/>
        <w:snapToGrid/>
        <w:ind w:left="420" w:leftChars="200" w:firstLine="0" w:firstLineChars="0"/>
        <w:jc w:val="both"/>
        <w:textAlignment w:val="auto"/>
        <w:rPr>
          <w:rFonts w:hint="eastAsia"/>
          <w:sz w:val="28"/>
          <w:szCs w:val="28"/>
        </w:rPr>
      </w:pPr>
      <w:r>
        <w:rPr>
          <w:rFonts w:hint="eastAsia"/>
          <w:sz w:val="28"/>
          <w:szCs w:val="28"/>
          <w:lang w:val="en-US" w:eastAsia="zh-CN"/>
        </w:rPr>
        <w:t>2.</w:t>
      </w:r>
      <w:r>
        <w:rPr>
          <w:rFonts w:hint="eastAsia"/>
          <w:sz w:val="28"/>
          <w:szCs w:val="28"/>
        </w:rPr>
        <w:t>培训交付成果</w:t>
      </w:r>
    </w:p>
    <w:p w14:paraId="6F5B5F5C">
      <w:pPr>
        <w:keepNext w:val="0"/>
        <w:keepLines w:val="0"/>
        <w:pageBreakBefore w:val="0"/>
        <w:widowControl/>
        <w:numPr>
          <w:ilvl w:val="0"/>
          <w:numId w:val="0"/>
        </w:numPr>
        <w:kinsoku/>
        <w:wordWrap/>
        <w:topLinePunct w:val="0"/>
        <w:autoSpaceDE/>
        <w:autoSpaceDN/>
        <w:bidi w:val="0"/>
        <w:adjustRightInd/>
        <w:snapToGrid/>
        <w:spacing w:line="360" w:lineRule="auto"/>
        <w:ind w:firstLine="480"/>
        <w:jc w:val="left"/>
        <w:textAlignment w:val="auto"/>
        <w:rPr>
          <w:rFonts w:hint="default" w:ascii="宋体" w:hAnsi="宋体" w:cs="宋体"/>
          <w:color w:val="auto"/>
          <w:sz w:val="21"/>
          <w:szCs w:val="21"/>
          <w:highlight w:val="none"/>
        </w:rPr>
      </w:pPr>
      <w:r>
        <w:rPr>
          <w:rFonts w:hint="default" w:ascii="宋体" w:hAnsi="宋体" w:cs="宋体"/>
          <w:color w:val="auto"/>
          <w:sz w:val="21"/>
          <w:szCs w:val="21"/>
          <w:highlight w:val="none"/>
          <w:lang w:val="en-US" w:eastAsia="zh-CN"/>
        </w:rPr>
        <w:t>培训完成后提交书面</w:t>
      </w:r>
      <w:r>
        <w:rPr>
          <w:rFonts w:hint="default" w:ascii="宋体" w:hAnsi="宋体" w:cs="宋体"/>
          <w:color w:val="auto"/>
          <w:sz w:val="21"/>
          <w:szCs w:val="21"/>
          <w:highlight w:val="none"/>
        </w:rPr>
        <w:t>培训</w:t>
      </w:r>
      <w:r>
        <w:rPr>
          <w:rFonts w:hint="default" w:ascii="宋体" w:hAnsi="宋体" w:cs="宋体"/>
          <w:color w:val="auto"/>
          <w:sz w:val="21"/>
          <w:szCs w:val="21"/>
          <w:highlight w:val="none"/>
          <w:lang w:val="en-US" w:eastAsia="zh-CN"/>
        </w:rPr>
        <w:t>总结</w:t>
      </w:r>
    </w:p>
    <w:p w14:paraId="7BC28830">
      <w:pPr>
        <w:pStyle w:val="4"/>
        <w:keepNext w:val="0"/>
        <w:keepLines w:val="0"/>
        <w:pageBreakBefore w:val="0"/>
        <w:widowControl/>
        <w:kinsoku/>
        <w:wordWrap/>
        <w:overflowPunct/>
        <w:topLinePunct w:val="0"/>
        <w:autoSpaceDE w:val="0"/>
        <w:autoSpaceDN w:val="0"/>
        <w:bidi w:val="0"/>
        <w:adjustRightInd/>
        <w:snapToGrid/>
        <w:ind w:left="0" w:leftChars="0" w:firstLine="562" w:firstLineChars="200"/>
        <w:jc w:val="both"/>
        <w:textAlignment w:val="auto"/>
        <w:rPr>
          <w:rFonts w:hint="eastAsia"/>
          <w:sz w:val="28"/>
          <w:szCs w:val="28"/>
        </w:rPr>
      </w:pPr>
      <w:r>
        <w:rPr>
          <w:rFonts w:hint="eastAsia" w:ascii="Calibri" w:hAnsi="宋体" w:cs="宋体"/>
          <w:b/>
          <w:snapToGrid w:val="0"/>
          <w:color w:val="auto"/>
          <w:kern w:val="0"/>
          <w:sz w:val="28"/>
          <w:szCs w:val="28"/>
          <w:highlight w:val="none"/>
        </w:rPr>
        <w:t>★</w:t>
      </w:r>
      <w:r>
        <w:rPr>
          <w:rFonts w:hint="eastAsia"/>
          <w:sz w:val="28"/>
          <w:szCs w:val="28"/>
          <w:lang w:eastAsia="zh-CN"/>
        </w:rPr>
        <w:t>（</w:t>
      </w:r>
      <w:r>
        <w:rPr>
          <w:rFonts w:hint="eastAsia"/>
          <w:sz w:val="28"/>
          <w:szCs w:val="28"/>
          <w:lang w:val="en-US" w:eastAsia="zh-CN"/>
        </w:rPr>
        <w:t>五</w:t>
      </w:r>
      <w:r>
        <w:rPr>
          <w:rFonts w:hint="eastAsia"/>
          <w:sz w:val="28"/>
          <w:szCs w:val="28"/>
          <w:lang w:eastAsia="zh-CN"/>
        </w:rPr>
        <w:t>）</w:t>
      </w:r>
      <w:r>
        <w:rPr>
          <w:rFonts w:hint="eastAsia"/>
          <w:sz w:val="28"/>
          <w:szCs w:val="28"/>
        </w:rPr>
        <w:t>网络安全支持服务</w:t>
      </w:r>
    </w:p>
    <w:p w14:paraId="4E6415F6">
      <w:pPr>
        <w:keepNext w:val="0"/>
        <w:keepLines w:val="0"/>
        <w:pageBreakBefore w:val="0"/>
        <w:widowControl/>
        <w:numPr>
          <w:ilvl w:val="0"/>
          <w:numId w:val="0"/>
        </w:numPr>
        <w:kinsoku/>
        <w:wordWrap/>
        <w:topLinePunct w:val="0"/>
        <w:autoSpaceDE/>
        <w:autoSpaceDN/>
        <w:bidi w:val="0"/>
        <w:adjustRightInd/>
        <w:snapToGrid/>
        <w:spacing w:line="360" w:lineRule="auto"/>
        <w:ind w:firstLine="480" w:firstLineChars="0"/>
        <w:jc w:val="left"/>
        <w:textAlignment w:val="auto"/>
        <w:rPr>
          <w:rFonts w:hint="default" w:ascii="宋体" w:hAnsi="宋体" w:cs="宋体"/>
          <w:color w:val="auto"/>
          <w:sz w:val="21"/>
          <w:szCs w:val="21"/>
          <w:highlight w:val="none"/>
        </w:rPr>
      </w:pPr>
      <w:r>
        <w:rPr>
          <w:rFonts w:hint="default" w:ascii="宋体" w:hAnsi="宋体" w:cs="宋体"/>
          <w:color w:val="auto"/>
          <w:sz w:val="21"/>
          <w:szCs w:val="21"/>
          <w:highlight w:val="none"/>
        </w:rPr>
        <w:t>依据</w:t>
      </w:r>
      <w:r>
        <w:rPr>
          <w:rFonts w:hint="default" w:ascii="宋体" w:hAnsi="宋体" w:cs="宋体"/>
          <w:color w:val="auto"/>
          <w:sz w:val="21"/>
          <w:szCs w:val="21"/>
          <w:highlight w:val="none"/>
          <w:lang w:eastAsia="zh-CN"/>
        </w:rPr>
        <w:t>招标人</w:t>
      </w:r>
      <w:r>
        <w:rPr>
          <w:rFonts w:hint="default" w:ascii="宋体" w:hAnsi="宋体" w:cs="宋体"/>
          <w:color w:val="auto"/>
          <w:sz w:val="21"/>
          <w:szCs w:val="21"/>
          <w:highlight w:val="none"/>
        </w:rPr>
        <w:t>管理现状，合同执行期间</w:t>
      </w:r>
      <w:r>
        <w:rPr>
          <w:rFonts w:hint="default" w:ascii="宋体" w:hAnsi="宋体" w:cs="宋体"/>
          <w:color w:val="auto"/>
          <w:sz w:val="21"/>
          <w:szCs w:val="21"/>
          <w:highlight w:val="none"/>
          <w:lang w:eastAsia="zh-CN"/>
        </w:rPr>
        <w:t>投标人</w:t>
      </w:r>
      <w:r>
        <w:rPr>
          <w:rFonts w:hint="default" w:ascii="宋体" w:hAnsi="宋体" w:cs="宋体"/>
          <w:color w:val="auto"/>
          <w:sz w:val="21"/>
          <w:szCs w:val="21"/>
          <w:highlight w:val="none"/>
        </w:rPr>
        <w:t>须开展信息网络安全支持服务，提出优化建议措施，协助完善信息安全管理相关制度并交付信息网络安全相关优化建议报告。</w:t>
      </w:r>
    </w:p>
    <w:p w14:paraId="56324BFC">
      <w:pPr>
        <w:pStyle w:val="138"/>
        <w:keepNext w:val="0"/>
        <w:keepLines w:val="0"/>
        <w:pageBreakBefore w:val="0"/>
        <w:widowControl w:val="0"/>
        <w:kinsoku/>
        <w:wordWrap w:val="0"/>
        <w:overflowPunct w:val="0"/>
        <w:topLinePunct w:val="0"/>
        <w:autoSpaceDE w:val="0"/>
        <w:autoSpaceDN w:val="0"/>
        <w:bidi w:val="0"/>
        <w:adjustRightInd/>
        <w:snapToGrid/>
        <w:spacing w:line="360" w:lineRule="auto"/>
        <w:ind w:left="0" w:leftChars="0" w:right="339" w:firstLineChars="200"/>
        <w:jc w:val="left"/>
        <w:textAlignment w:val="auto"/>
        <w:rPr>
          <w:rFonts w:hint="eastAsia" w:ascii="Calibri" w:cs="宋体"/>
          <w:color w:val="auto"/>
          <w:sz w:val="28"/>
          <w:szCs w:val="28"/>
          <w:highlight w:val="none"/>
          <w:lang w:val="en-US" w:eastAsia="zh-CN"/>
        </w:rPr>
      </w:pPr>
      <w:r>
        <w:rPr>
          <w:rFonts w:hint="eastAsia" w:ascii="Calibri" w:cs="宋体"/>
          <w:color w:val="auto"/>
          <w:sz w:val="28"/>
          <w:szCs w:val="28"/>
          <w:highlight w:val="none"/>
          <w:lang w:val="en-US" w:eastAsia="zh-CN"/>
        </w:rPr>
        <w:t>三、服务期限</w:t>
      </w:r>
    </w:p>
    <w:p w14:paraId="12FB7DF5">
      <w:pPr>
        <w:keepNext w:val="0"/>
        <w:widowControl/>
        <w:numPr>
          <w:ilvl w:val="0"/>
          <w:numId w:val="0"/>
        </w:numPr>
        <w:spacing w:line="360" w:lineRule="auto"/>
        <w:ind w:left="420" w:leftChars="200" w:firstLine="480" w:firstLineChars="0"/>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本项目服务期为3年，自招标人书面通知之日起算。</w:t>
      </w:r>
    </w:p>
    <w:p w14:paraId="21703C03">
      <w:pPr>
        <w:widowControl/>
        <w:jc w:val="center"/>
        <w:rPr>
          <w:rFonts w:hint="eastAsia" w:ascii="黑体" w:hAnsi="黑体" w:eastAsia="黑体"/>
          <w:b/>
          <w:color w:val="auto"/>
          <w:sz w:val="44"/>
          <w:szCs w:val="44"/>
          <w:highlight w:val="none"/>
        </w:rPr>
      </w:pPr>
    </w:p>
    <w:p w14:paraId="7554FC63">
      <w:pPr>
        <w:widowControl/>
        <w:jc w:val="center"/>
        <w:rPr>
          <w:rFonts w:hint="eastAsia" w:ascii="黑体" w:hAnsi="黑体" w:eastAsia="黑体"/>
          <w:b/>
          <w:color w:val="auto"/>
          <w:sz w:val="44"/>
          <w:szCs w:val="44"/>
          <w:highlight w:val="none"/>
        </w:rPr>
      </w:pPr>
      <w:r>
        <w:rPr>
          <w:rFonts w:ascii="黑体" w:hAnsi="黑体" w:eastAsia="黑体"/>
          <w:b/>
          <w:color w:val="auto"/>
          <w:sz w:val="44"/>
          <w:szCs w:val="44"/>
          <w:highlight w:val="none"/>
        </w:rPr>
        <w:br w:type="page"/>
      </w:r>
    </w:p>
    <w:p w14:paraId="58634D30">
      <w:pPr>
        <w:pStyle w:val="2"/>
        <w:wordWrap w:val="0"/>
        <w:spacing w:line="360" w:lineRule="auto"/>
        <w:ind w:left="0" w:firstLine="0"/>
        <w:jc w:val="center"/>
        <w:rPr>
          <w:rFonts w:hint="eastAsia" w:hAnsi="黑体"/>
          <w:color w:val="auto"/>
          <w:sz w:val="44"/>
          <w:szCs w:val="44"/>
          <w:highlight w:val="none"/>
        </w:rPr>
      </w:pPr>
      <w:bookmarkStart w:id="14" w:name="_Toc28542"/>
      <w:r>
        <w:rPr>
          <w:rFonts w:hAnsi="黑体"/>
          <w:color w:val="auto"/>
          <w:sz w:val="44"/>
          <w:szCs w:val="44"/>
          <w:highlight w:val="none"/>
        </w:rPr>
        <w:t>第六章</w:t>
      </w:r>
      <w:r>
        <w:rPr>
          <w:rFonts w:hint="eastAsia" w:hAnsi="黑体"/>
          <w:color w:val="auto"/>
          <w:sz w:val="44"/>
          <w:szCs w:val="44"/>
          <w:highlight w:val="none"/>
        </w:rPr>
        <w:t xml:space="preserve"> </w:t>
      </w:r>
      <w:r>
        <w:rPr>
          <w:rFonts w:hAnsi="黑体"/>
          <w:color w:val="auto"/>
          <w:sz w:val="44"/>
          <w:szCs w:val="44"/>
          <w:highlight w:val="none"/>
        </w:rPr>
        <w:t>投标文件格式</w:t>
      </w:r>
      <w:bookmarkEnd w:id="12"/>
      <w:bookmarkEnd w:id="13"/>
      <w:bookmarkEnd w:id="14"/>
    </w:p>
    <w:p w14:paraId="74950194">
      <w:pPr>
        <w:rPr>
          <w:rFonts w:hint="eastAsia" w:hAnsi="宋体"/>
          <w:color w:val="auto"/>
          <w:szCs w:val="24"/>
          <w:highlight w:val="none"/>
        </w:rPr>
      </w:pPr>
    </w:p>
    <w:p w14:paraId="136A6E20">
      <w:pPr>
        <w:jc w:val="center"/>
        <w:rPr>
          <w:rFonts w:hint="eastAsia" w:hAnsi="宋体"/>
          <w:color w:val="auto"/>
          <w:szCs w:val="24"/>
          <w:highlight w:val="none"/>
        </w:rPr>
      </w:pPr>
    </w:p>
    <w:p w14:paraId="750F6FB4">
      <w:pPr>
        <w:jc w:val="center"/>
        <w:rPr>
          <w:rFonts w:hint="eastAsia" w:hAnsi="宋体"/>
          <w:color w:val="auto"/>
          <w:szCs w:val="24"/>
          <w:highlight w:val="none"/>
        </w:rPr>
      </w:pPr>
    </w:p>
    <w:p w14:paraId="6C3D416D">
      <w:pPr>
        <w:jc w:val="center"/>
        <w:rPr>
          <w:rFonts w:hint="eastAsia" w:hAnsi="宋体"/>
          <w:color w:val="auto"/>
          <w:szCs w:val="24"/>
          <w:highlight w:val="none"/>
        </w:rPr>
      </w:pPr>
    </w:p>
    <w:p w14:paraId="0503E850">
      <w:pPr>
        <w:jc w:val="center"/>
        <w:rPr>
          <w:rFonts w:hint="eastAsia" w:hAnsi="宋体"/>
          <w:color w:val="auto"/>
          <w:szCs w:val="24"/>
          <w:highlight w:val="none"/>
        </w:rPr>
      </w:pPr>
    </w:p>
    <w:p w14:paraId="01F40654">
      <w:pPr>
        <w:jc w:val="center"/>
        <w:rPr>
          <w:rFonts w:hint="eastAsia" w:ascii="宋体" w:hAnsi="宋体" w:cs="宋体"/>
          <w:b/>
          <w:bCs/>
          <w:color w:val="auto"/>
          <w:sz w:val="84"/>
          <w:szCs w:val="84"/>
          <w:highlight w:val="none"/>
        </w:rPr>
      </w:pPr>
    </w:p>
    <w:p w14:paraId="09A38003">
      <w:pPr>
        <w:jc w:val="center"/>
        <w:rPr>
          <w:rFonts w:hint="eastAsia" w:hAnsi="宋体"/>
          <w:color w:val="auto"/>
          <w:szCs w:val="24"/>
          <w:highlight w:val="none"/>
        </w:rPr>
      </w:pPr>
      <w:r>
        <w:rPr>
          <w:rFonts w:ascii="宋体" w:hAnsi="宋体" w:cs="宋体"/>
          <w:b/>
          <w:bCs/>
          <w:color w:val="auto"/>
          <w:sz w:val="84"/>
          <w:szCs w:val="84"/>
          <w:highlight w:val="none"/>
        </w:rPr>
        <w:t>投标文件</w:t>
      </w:r>
    </w:p>
    <w:p w14:paraId="6072AF1C">
      <w:pPr>
        <w:wordWrap w:val="0"/>
        <w:spacing w:line="360" w:lineRule="auto"/>
        <w:rPr>
          <w:color w:val="auto"/>
          <w:highlight w:val="none"/>
        </w:rPr>
      </w:pPr>
    </w:p>
    <w:p w14:paraId="2AB4A29A">
      <w:pPr>
        <w:wordWrap w:val="0"/>
        <w:spacing w:line="360" w:lineRule="auto"/>
        <w:rPr>
          <w:color w:val="auto"/>
          <w:highlight w:val="none"/>
        </w:rPr>
      </w:pPr>
    </w:p>
    <w:p w14:paraId="6ECEA58A">
      <w:pPr>
        <w:wordWrap w:val="0"/>
        <w:spacing w:line="360" w:lineRule="auto"/>
        <w:rPr>
          <w:color w:val="auto"/>
          <w:highlight w:val="none"/>
        </w:rPr>
      </w:pPr>
    </w:p>
    <w:p w14:paraId="08B196CC">
      <w:pPr>
        <w:wordWrap w:val="0"/>
        <w:spacing w:line="360" w:lineRule="auto"/>
        <w:rPr>
          <w:color w:val="auto"/>
          <w:highlight w:val="none"/>
        </w:rPr>
      </w:pPr>
    </w:p>
    <w:p w14:paraId="1FF2C6BC">
      <w:pPr>
        <w:wordWrap w:val="0"/>
        <w:spacing w:line="360" w:lineRule="auto"/>
        <w:rPr>
          <w:color w:val="auto"/>
          <w:highlight w:val="none"/>
        </w:rPr>
      </w:pPr>
    </w:p>
    <w:p w14:paraId="3FBEDDBC">
      <w:pPr>
        <w:wordWrap w:val="0"/>
        <w:spacing w:line="360" w:lineRule="auto"/>
        <w:rPr>
          <w:color w:val="auto"/>
          <w:highlight w:val="none"/>
        </w:rPr>
      </w:pPr>
    </w:p>
    <w:p w14:paraId="184D3B0F">
      <w:pPr>
        <w:wordWrap w:val="0"/>
        <w:adjustRightInd w:val="0"/>
        <w:snapToGrid w:val="0"/>
        <w:spacing w:line="360" w:lineRule="auto"/>
        <w:ind w:firstLine="321" w:firstLineChars="100"/>
        <w:rPr>
          <w:rFonts w:hint="eastAsia" w:hAnsi="宋体" w:cs="宋体"/>
          <w:b/>
          <w:color w:val="auto"/>
          <w:sz w:val="32"/>
          <w:szCs w:val="32"/>
          <w:highlight w:val="none"/>
        </w:rPr>
      </w:pPr>
      <w:r>
        <w:rPr>
          <w:rFonts w:hint="eastAsia" w:hAnsi="宋体" w:cs="宋体"/>
          <w:b/>
          <w:color w:val="auto"/>
          <w:sz w:val="32"/>
          <w:szCs w:val="32"/>
          <w:highlight w:val="none"/>
        </w:rPr>
        <w:t>项目名称：</w:t>
      </w:r>
      <w:r>
        <w:rPr>
          <w:rFonts w:hint="eastAsia" w:hAnsi="宋体" w:cs="宋体"/>
          <w:color w:val="auto"/>
          <w:sz w:val="32"/>
          <w:szCs w:val="32"/>
          <w:highlight w:val="none"/>
          <w:u w:val="single"/>
        </w:rPr>
        <w:t xml:space="preserve">                               </w:t>
      </w:r>
      <w:r>
        <w:rPr>
          <w:rFonts w:hint="eastAsia" w:hAnsi="宋体" w:cs="宋体"/>
          <w:b/>
          <w:color w:val="auto"/>
          <w:sz w:val="32"/>
          <w:szCs w:val="32"/>
          <w:highlight w:val="none"/>
        </w:rPr>
        <w:t xml:space="preserve"> </w:t>
      </w:r>
    </w:p>
    <w:p w14:paraId="65DF660B">
      <w:pPr>
        <w:wordWrap w:val="0"/>
        <w:adjustRightInd w:val="0"/>
        <w:snapToGrid w:val="0"/>
        <w:spacing w:line="360" w:lineRule="auto"/>
        <w:ind w:firstLine="321" w:firstLineChars="100"/>
        <w:rPr>
          <w:rFonts w:hint="eastAsia" w:hAnsi="宋体" w:cs="宋体"/>
          <w:color w:val="auto"/>
          <w:sz w:val="32"/>
          <w:szCs w:val="32"/>
          <w:highlight w:val="none"/>
        </w:rPr>
      </w:pPr>
      <w:r>
        <w:rPr>
          <w:rFonts w:hint="eastAsia" w:hAnsi="宋体" w:cs="宋体"/>
          <w:b/>
          <w:color w:val="auto"/>
          <w:sz w:val="32"/>
          <w:szCs w:val="32"/>
          <w:highlight w:val="none"/>
        </w:rPr>
        <w:t>招标编号：</w:t>
      </w:r>
      <w:r>
        <w:rPr>
          <w:rFonts w:hint="eastAsia" w:hAnsi="宋体" w:cs="宋体"/>
          <w:bCs/>
          <w:color w:val="auto"/>
          <w:sz w:val="32"/>
          <w:szCs w:val="32"/>
          <w:highlight w:val="none"/>
          <w:u w:val="single"/>
        </w:rPr>
        <w:t xml:space="preserve">                                       </w:t>
      </w:r>
      <w:r>
        <w:rPr>
          <w:rFonts w:hint="eastAsia" w:hAnsi="宋体" w:cs="宋体"/>
          <w:bCs/>
          <w:color w:val="auto"/>
          <w:sz w:val="32"/>
          <w:szCs w:val="32"/>
          <w:highlight w:val="none"/>
        </w:rPr>
        <w:t xml:space="preserve"> </w:t>
      </w:r>
    </w:p>
    <w:p w14:paraId="465AABA8">
      <w:pPr>
        <w:wordWrap w:val="0"/>
        <w:adjustRightInd w:val="0"/>
        <w:snapToGrid w:val="0"/>
        <w:spacing w:line="360" w:lineRule="auto"/>
        <w:ind w:firstLine="321" w:firstLineChars="100"/>
        <w:rPr>
          <w:rFonts w:hint="eastAsia" w:hAnsi="宋体" w:cs="宋体"/>
          <w:color w:val="auto"/>
          <w:sz w:val="32"/>
          <w:szCs w:val="32"/>
          <w:highlight w:val="none"/>
        </w:rPr>
      </w:pPr>
      <w:r>
        <w:rPr>
          <w:rFonts w:hint="eastAsia" w:hAnsi="宋体" w:cs="宋体"/>
          <w:b/>
          <w:color w:val="auto"/>
          <w:sz w:val="32"/>
          <w:szCs w:val="32"/>
          <w:highlight w:val="none"/>
        </w:rPr>
        <w:t>投 标 人（盖单位公章）：</w:t>
      </w:r>
      <w:r>
        <w:rPr>
          <w:rFonts w:hint="eastAsia" w:hAnsi="宋体" w:cs="宋体"/>
          <w:color w:val="auto"/>
          <w:sz w:val="32"/>
          <w:szCs w:val="32"/>
          <w:highlight w:val="none"/>
          <w:u w:val="single"/>
        </w:rPr>
        <w:t xml:space="preserve">          </w:t>
      </w:r>
      <w:r>
        <w:rPr>
          <w:rFonts w:hAnsi="宋体" w:cs="宋体"/>
          <w:color w:val="auto"/>
          <w:sz w:val="32"/>
          <w:szCs w:val="32"/>
          <w:highlight w:val="none"/>
          <w:u w:val="single"/>
        </w:rPr>
        <w:t xml:space="preserve">               </w:t>
      </w:r>
    </w:p>
    <w:p w14:paraId="1F7828F2">
      <w:pPr>
        <w:wordWrap w:val="0"/>
        <w:spacing w:line="360" w:lineRule="auto"/>
        <w:ind w:firstLine="321" w:firstLineChars="100"/>
        <w:rPr>
          <w:b/>
          <w:color w:val="auto"/>
          <w:sz w:val="32"/>
          <w:szCs w:val="32"/>
          <w:highlight w:val="none"/>
        </w:rPr>
      </w:pPr>
      <w:r>
        <w:rPr>
          <w:rFonts w:hint="eastAsia"/>
          <w:b/>
          <w:color w:val="auto"/>
          <w:sz w:val="32"/>
          <w:szCs w:val="32"/>
          <w:highlight w:val="none"/>
        </w:rPr>
        <w:t xml:space="preserve">日    期： </w:t>
      </w:r>
      <w:r>
        <w:rPr>
          <w:rFonts w:hint="eastAsia"/>
          <w:color w:val="auto"/>
          <w:sz w:val="32"/>
          <w:szCs w:val="32"/>
          <w:highlight w:val="none"/>
          <w:u w:val="single"/>
        </w:rPr>
        <w:t xml:space="preserve">    </w:t>
      </w:r>
      <w:r>
        <w:rPr>
          <w:rFonts w:hint="eastAsia"/>
          <w:b/>
          <w:color w:val="auto"/>
          <w:sz w:val="32"/>
          <w:szCs w:val="32"/>
          <w:highlight w:val="none"/>
        </w:rPr>
        <w:t>年</w:t>
      </w:r>
      <w:r>
        <w:rPr>
          <w:rFonts w:hint="eastAsia"/>
          <w:color w:val="auto"/>
          <w:sz w:val="32"/>
          <w:szCs w:val="32"/>
          <w:highlight w:val="none"/>
          <w:u w:val="single"/>
        </w:rPr>
        <w:t xml:space="preserve">    </w:t>
      </w:r>
      <w:r>
        <w:rPr>
          <w:rFonts w:hint="eastAsia"/>
          <w:b/>
          <w:color w:val="auto"/>
          <w:sz w:val="32"/>
          <w:szCs w:val="32"/>
          <w:highlight w:val="none"/>
        </w:rPr>
        <w:t>月</w:t>
      </w:r>
      <w:r>
        <w:rPr>
          <w:rFonts w:hint="eastAsia"/>
          <w:color w:val="auto"/>
          <w:sz w:val="32"/>
          <w:szCs w:val="32"/>
          <w:highlight w:val="none"/>
          <w:u w:val="single"/>
        </w:rPr>
        <w:t xml:space="preserve">    </w:t>
      </w:r>
      <w:r>
        <w:rPr>
          <w:rFonts w:hint="eastAsia"/>
          <w:b/>
          <w:color w:val="auto"/>
          <w:sz w:val="32"/>
          <w:szCs w:val="32"/>
          <w:highlight w:val="none"/>
        </w:rPr>
        <w:t>日</w:t>
      </w:r>
    </w:p>
    <w:p w14:paraId="5FC78861">
      <w:pPr>
        <w:widowControl/>
        <w:jc w:val="left"/>
        <w:rPr>
          <w:rFonts w:hint="eastAsia" w:ascii="宋体" w:hAnsi="宋体"/>
          <w:b/>
          <w:color w:val="auto"/>
          <w:sz w:val="44"/>
          <w:szCs w:val="44"/>
          <w:highlight w:val="none"/>
        </w:rPr>
      </w:pPr>
      <w:r>
        <w:rPr>
          <w:rFonts w:ascii="宋体" w:hAnsi="宋体"/>
          <w:b/>
          <w:color w:val="auto"/>
          <w:sz w:val="44"/>
          <w:szCs w:val="44"/>
          <w:highlight w:val="none"/>
        </w:rPr>
        <w:br w:type="page"/>
      </w:r>
    </w:p>
    <w:p w14:paraId="04C7E17C">
      <w:pPr>
        <w:widowControl/>
        <w:wordWrap w:val="0"/>
        <w:spacing w:line="360" w:lineRule="auto"/>
        <w:jc w:val="center"/>
        <w:rPr>
          <w:rFonts w:hint="eastAsia" w:ascii="宋体" w:hAnsi="宋体"/>
          <w:b/>
          <w:color w:val="auto"/>
          <w:sz w:val="44"/>
          <w:szCs w:val="44"/>
          <w:highlight w:val="none"/>
        </w:rPr>
      </w:pPr>
    </w:p>
    <w:p w14:paraId="03220946">
      <w:pPr>
        <w:widowControl/>
        <w:wordWrap w:val="0"/>
        <w:spacing w:line="360" w:lineRule="auto"/>
        <w:jc w:val="center"/>
        <w:rPr>
          <w:rFonts w:hint="eastAsia" w:hAnsi="宋体" w:cs="宋体"/>
          <w:b/>
          <w:bCs/>
          <w:color w:val="auto"/>
          <w:sz w:val="32"/>
          <w:szCs w:val="32"/>
          <w:highlight w:val="none"/>
        </w:rPr>
      </w:pPr>
      <w:r>
        <w:rPr>
          <w:rFonts w:hint="eastAsia" w:ascii="宋体" w:hAnsi="宋体"/>
          <w:b/>
          <w:color w:val="auto"/>
          <w:sz w:val="44"/>
          <w:szCs w:val="44"/>
          <w:highlight w:val="none"/>
        </w:rPr>
        <w:t>目 录</w:t>
      </w:r>
    </w:p>
    <w:p w14:paraId="4BCA70E3">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一、投标函</w:t>
      </w:r>
    </w:p>
    <w:p w14:paraId="30597F9F">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二、开标一览表</w:t>
      </w:r>
    </w:p>
    <w:p w14:paraId="7481C85B">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三、投标报价表</w:t>
      </w:r>
    </w:p>
    <w:p w14:paraId="31F043D8">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四、法定代表人身份证明</w:t>
      </w:r>
    </w:p>
    <w:p w14:paraId="696787D0">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五、授权委托书</w:t>
      </w:r>
      <w:r>
        <w:rPr>
          <w:rFonts w:hint="eastAsia" w:hAnsi="宋体"/>
          <w:color w:val="auto"/>
          <w:szCs w:val="24"/>
          <w:highlight w:val="none"/>
          <w:lang w:eastAsia="zh-CN"/>
        </w:rPr>
        <w:t>（</w:t>
      </w:r>
      <w:r>
        <w:rPr>
          <w:rFonts w:hint="eastAsia" w:hAnsi="宋体"/>
          <w:color w:val="auto"/>
          <w:szCs w:val="24"/>
          <w:highlight w:val="none"/>
        </w:rPr>
        <w:t>如有）</w:t>
      </w:r>
    </w:p>
    <w:p w14:paraId="706107D5">
      <w:pPr>
        <w:pStyle w:val="273"/>
        <w:wordWrap w:val="0"/>
        <w:ind w:left="420" w:leftChars="200" w:firstLineChars="200"/>
        <w:rPr>
          <w:rFonts w:hint="eastAsia" w:hAnsi="宋体"/>
          <w:color w:val="auto"/>
          <w:szCs w:val="24"/>
          <w:highlight w:val="none"/>
        </w:rPr>
      </w:pPr>
      <w:r>
        <w:rPr>
          <w:rFonts w:hint="eastAsia" w:hAnsi="宋体"/>
          <w:color w:val="auto"/>
          <w:szCs w:val="24"/>
          <w:highlight w:val="none"/>
          <w:lang w:val="en-US" w:eastAsia="zh-CN"/>
        </w:rPr>
        <w:t>六</w:t>
      </w:r>
      <w:r>
        <w:rPr>
          <w:rFonts w:hint="eastAsia" w:hAnsi="宋体"/>
          <w:color w:val="auto"/>
          <w:szCs w:val="24"/>
          <w:highlight w:val="none"/>
        </w:rPr>
        <w:t>、投标人具备投标资格的证明文件</w:t>
      </w:r>
    </w:p>
    <w:p w14:paraId="55766BDE">
      <w:pPr>
        <w:pStyle w:val="273"/>
        <w:wordWrap w:val="0"/>
        <w:ind w:left="420" w:leftChars="200" w:firstLineChars="200"/>
        <w:rPr>
          <w:rFonts w:hint="eastAsia" w:hAnsi="宋体"/>
          <w:color w:val="auto"/>
          <w:szCs w:val="24"/>
          <w:highlight w:val="none"/>
        </w:rPr>
      </w:pPr>
      <w:r>
        <w:rPr>
          <w:rFonts w:hint="eastAsia" w:hAnsi="宋体"/>
          <w:color w:val="auto"/>
          <w:szCs w:val="24"/>
          <w:highlight w:val="none"/>
          <w:lang w:val="en-US" w:eastAsia="zh-CN"/>
        </w:rPr>
        <w:t>七</w:t>
      </w:r>
      <w:r>
        <w:rPr>
          <w:rFonts w:hint="eastAsia" w:hAnsi="宋体"/>
          <w:color w:val="auto"/>
          <w:szCs w:val="24"/>
          <w:highlight w:val="none"/>
        </w:rPr>
        <w:t>、投标保证金</w:t>
      </w:r>
    </w:p>
    <w:p w14:paraId="3B14F64C">
      <w:pPr>
        <w:pStyle w:val="273"/>
        <w:wordWrap w:val="0"/>
        <w:ind w:left="420" w:leftChars="200" w:firstLineChars="200"/>
        <w:rPr>
          <w:rFonts w:hint="eastAsia" w:hAnsi="宋体"/>
          <w:color w:val="auto"/>
          <w:szCs w:val="24"/>
          <w:highlight w:val="none"/>
        </w:rPr>
      </w:pPr>
      <w:r>
        <w:rPr>
          <w:rFonts w:hint="eastAsia" w:hAnsi="宋体"/>
          <w:color w:val="auto"/>
          <w:szCs w:val="24"/>
          <w:highlight w:val="none"/>
          <w:lang w:val="en-US" w:eastAsia="zh-CN"/>
        </w:rPr>
        <w:t>八</w:t>
      </w:r>
      <w:r>
        <w:rPr>
          <w:rFonts w:hint="eastAsia" w:hAnsi="宋体"/>
          <w:color w:val="auto"/>
          <w:szCs w:val="24"/>
          <w:highlight w:val="none"/>
        </w:rPr>
        <w:t>、投标人承诺函</w:t>
      </w:r>
    </w:p>
    <w:p w14:paraId="2E398280">
      <w:pPr>
        <w:pStyle w:val="273"/>
        <w:wordWrap w:val="0"/>
        <w:ind w:left="420" w:leftChars="200" w:firstLineChars="200"/>
        <w:rPr>
          <w:rFonts w:hint="eastAsia" w:hAnsi="宋体"/>
          <w:color w:val="auto"/>
          <w:szCs w:val="24"/>
          <w:highlight w:val="none"/>
        </w:rPr>
      </w:pPr>
      <w:r>
        <w:rPr>
          <w:rFonts w:hint="eastAsia" w:hAnsi="宋体"/>
          <w:color w:val="auto"/>
          <w:szCs w:val="24"/>
          <w:highlight w:val="none"/>
          <w:lang w:val="en-US" w:eastAsia="zh-CN"/>
        </w:rPr>
        <w:t>九</w:t>
      </w:r>
      <w:r>
        <w:rPr>
          <w:rFonts w:hint="eastAsia" w:hAnsi="宋体"/>
          <w:color w:val="auto"/>
          <w:szCs w:val="24"/>
          <w:highlight w:val="none"/>
        </w:rPr>
        <w:t>、实质性条款（标注“★”符号）响应表</w:t>
      </w:r>
    </w:p>
    <w:p w14:paraId="6F502783">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十、商务和技术偏差表</w:t>
      </w:r>
    </w:p>
    <w:p w14:paraId="7108C393">
      <w:pPr>
        <w:pStyle w:val="273"/>
        <w:wordWrap w:val="0"/>
        <w:ind w:left="420" w:leftChars="200" w:firstLineChars="200"/>
        <w:rPr>
          <w:rFonts w:hint="eastAsia" w:hAnsi="宋体" w:eastAsia="宋体"/>
          <w:color w:val="auto"/>
          <w:szCs w:val="24"/>
          <w:highlight w:val="none"/>
          <w:lang w:eastAsia="zh-CN"/>
        </w:rPr>
      </w:pPr>
      <w:r>
        <w:rPr>
          <w:rFonts w:hint="eastAsia" w:hAnsi="宋体"/>
          <w:color w:val="auto"/>
          <w:szCs w:val="24"/>
          <w:highlight w:val="none"/>
          <w:lang w:eastAsia="zh-CN"/>
        </w:rPr>
        <w:t>十</w:t>
      </w:r>
      <w:r>
        <w:rPr>
          <w:rFonts w:hint="eastAsia" w:hAnsi="宋体"/>
          <w:color w:val="auto"/>
          <w:szCs w:val="24"/>
          <w:highlight w:val="none"/>
          <w:lang w:val="en-US" w:eastAsia="zh-CN"/>
        </w:rPr>
        <w:t>一</w:t>
      </w:r>
      <w:r>
        <w:rPr>
          <w:rFonts w:hint="eastAsia" w:hAnsi="宋体"/>
          <w:color w:val="auto"/>
          <w:szCs w:val="24"/>
          <w:highlight w:val="none"/>
          <w:lang w:eastAsia="zh-CN"/>
        </w:rPr>
        <w:t>、项目主要管理人员</w:t>
      </w:r>
    </w:p>
    <w:p w14:paraId="5B8F56C8">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w:t>
      </w:r>
      <w:r>
        <w:rPr>
          <w:rFonts w:hint="eastAsia" w:hAnsi="宋体"/>
          <w:color w:val="auto"/>
          <w:szCs w:val="24"/>
          <w:highlight w:val="none"/>
          <w:lang w:val="en-US" w:eastAsia="zh-CN"/>
        </w:rPr>
        <w:t>二</w:t>
      </w:r>
      <w:r>
        <w:rPr>
          <w:rFonts w:hint="eastAsia" w:hAnsi="宋体"/>
          <w:color w:val="auto"/>
          <w:szCs w:val="24"/>
          <w:highlight w:val="none"/>
        </w:rPr>
        <w:t>、</w:t>
      </w:r>
      <w:r>
        <w:rPr>
          <w:rFonts w:hint="eastAsia" w:hAnsi="宋体"/>
          <w:color w:val="auto"/>
          <w:szCs w:val="24"/>
          <w:highlight w:val="none"/>
          <w:lang w:val="en-US" w:eastAsia="zh-CN"/>
        </w:rPr>
        <w:t>类似</w:t>
      </w:r>
      <w:r>
        <w:rPr>
          <w:rFonts w:hint="eastAsia" w:hAnsi="宋体"/>
          <w:color w:val="auto"/>
          <w:szCs w:val="24"/>
          <w:highlight w:val="none"/>
        </w:rPr>
        <w:t>业绩</w:t>
      </w:r>
    </w:p>
    <w:p w14:paraId="38CAFCCE">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w:t>
      </w:r>
      <w:r>
        <w:rPr>
          <w:rFonts w:hint="eastAsia" w:hAnsi="宋体"/>
          <w:color w:val="auto"/>
          <w:szCs w:val="24"/>
          <w:highlight w:val="none"/>
          <w:lang w:val="en-US" w:eastAsia="zh-CN"/>
        </w:rPr>
        <w:t>三</w:t>
      </w:r>
      <w:r>
        <w:rPr>
          <w:rFonts w:hint="eastAsia" w:hAnsi="宋体"/>
          <w:color w:val="auto"/>
          <w:szCs w:val="24"/>
          <w:highlight w:val="none"/>
        </w:rPr>
        <w:t>、投标人认为需提供的</w:t>
      </w:r>
      <w:r>
        <w:rPr>
          <w:rFonts w:hint="eastAsia" w:hAnsi="宋体"/>
          <w:color w:val="auto"/>
          <w:szCs w:val="24"/>
          <w:highlight w:val="none"/>
          <w:lang w:eastAsia="zh-CN"/>
        </w:rPr>
        <w:t>其他</w:t>
      </w:r>
      <w:r>
        <w:rPr>
          <w:rFonts w:hint="eastAsia" w:hAnsi="宋体"/>
          <w:color w:val="auto"/>
          <w:szCs w:val="24"/>
          <w:highlight w:val="none"/>
        </w:rPr>
        <w:t>商务评审资料</w:t>
      </w:r>
    </w:p>
    <w:p w14:paraId="5E51358A">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w:t>
      </w:r>
      <w:r>
        <w:rPr>
          <w:rFonts w:hint="eastAsia" w:hAnsi="宋体"/>
          <w:color w:val="auto"/>
          <w:szCs w:val="24"/>
          <w:highlight w:val="none"/>
          <w:lang w:val="en-US" w:eastAsia="zh-CN"/>
        </w:rPr>
        <w:t>四</w:t>
      </w:r>
      <w:r>
        <w:rPr>
          <w:rFonts w:hint="eastAsia" w:hAnsi="宋体"/>
          <w:color w:val="auto"/>
          <w:szCs w:val="24"/>
          <w:highlight w:val="none"/>
        </w:rPr>
        <w:t>、项目实施方案</w:t>
      </w:r>
    </w:p>
    <w:p w14:paraId="6C7FCCA4">
      <w:pPr>
        <w:pStyle w:val="273"/>
        <w:wordWrap w:val="0"/>
        <w:ind w:left="420" w:leftChars="200" w:firstLineChars="200"/>
        <w:rPr>
          <w:rFonts w:hint="eastAsia" w:hAnsi="宋体"/>
          <w:color w:val="auto"/>
          <w:szCs w:val="24"/>
          <w:highlight w:val="none"/>
        </w:rPr>
      </w:pPr>
      <w:r>
        <w:rPr>
          <w:rFonts w:hint="eastAsia" w:hAnsi="宋体"/>
          <w:color w:val="auto"/>
          <w:szCs w:val="24"/>
          <w:highlight w:val="none"/>
        </w:rPr>
        <w:t>十</w:t>
      </w:r>
      <w:r>
        <w:rPr>
          <w:rFonts w:hint="eastAsia" w:hAnsi="宋体"/>
          <w:color w:val="auto"/>
          <w:szCs w:val="24"/>
          <w:highlight w:val="none"/>
          <w:lang w:val="en-US" w:eastAsia="zh-CN"/>
        </w:rPr>
        <w:t>五</w:t>
      </w:r>
      <w:r>
        <w:rPr>
          <w:rFonts w:hint="eastAsia" w:hAnsi="宋体"/>
          <w:color w:val="auto"/>
          <w:szCs w:val="24"/>
          <w:highlight w:val="none"/>
        </w:rPr>
        <w:t>、投标人认为需提供的</w:t>
      </w:r>
      <w:r>
        <w:rPr>
          <w:rFonts w:hint="eastAsia" w:hAnsi="宋体"/>
          <w:color w:val="auto"/>
          <w:szCs w:val="24"/>
          <w:highlight w:val="none"/>
          <w:lang w:eastAsia="zh-CN"/>
        </w:rPr>
        <w:t>其他</w:t>
      </w:r>
      <w:r>
        <w:rPr>
          <w:rFonts w:hint="eastAsia" w:hAnsi="宋体"/>
          <w:color w:val="auto"/>
          <w:szCs w:val="24"/>
          <w:highlight w:val="none"/>
        </w:rPr>
        <w:t>技术评审资料</w:t>
      </w:r>
    </w:p>
    <w:p w14:paraId="7DDAA3CA">
      <w:pPr>
        <w:wordWrap w:val="0"/>
        <w:spacing w:line="360" w:lineRule="auto"/>
        <w:ind w:firstLine="321" w:firstLineChars="100"/>
        <w:rPr>
          <w:rFonts w:hint="eastAsia" w:hAnsi="宋体" w:cs="宋体"/>
          <w:b/>
          <w:color w:val="auto"/>
          <w:sz w:val="32"/>
          <w:szCs w:val="32"/>
          <w:highlight w:val="none"/>
        </w:rPr>
      </w:pPr>
    </w:p>
    <w:p w14:paraId="47CA7218">
      <w:pPr>
        <w:spacing w:line="360" w:lineRule="auto"/>
        <w:jc w:val="center"/>
        <w:outlineLvl w:val="1"/>
        <w:rPr>
          <w:rFonts w:ascii="Calibri" w:cs="宋体"/>
          <w:b/>
          <w:color w:val="auto"/>
          <w:sz w:val="28"/>
          <w:szCs w:val="28"/>
          <w:highlight w:val="none"/>
        </w:rPr>
      </w:pPr>
      <w:r>
        <w:rPr>
          <w:rFonts w:ascii="Calibri" w:cs="宋体"/>
          <w:color w:val="auto"/>
          <w:szCs w:val="28"/>
          <w:highlight w:val="none"/>
        </w:rPr>
        <w:br w:type="page"/>
      </w:r>
      <w:r>
        <w:rPr>
          <w:rFonts w:ascii="Calibri" w:cs="宋体"/>
          <w:b/>
          <w:color w:val="auto"/>
          <w:sz w:val="28"/>
          <w:szCs w:val="28"/>
          <w:highlight w:val="none"/>
        </w:rPr>
        <w:t>一、投标函</w:t>
      </w:r>
    </w:p>
    <w:p w14:paraId="3C87EA58">
      <w:pPr>
        <w:pStyle w:val="3"/>
        <w:wordWrap w:val="0"/>
        <w:spacing w:line="360" w:lineRule="auto"/>
        <w:rPr>
          <w:rFonts w:hint="eastAsia" w:ascii="宋体" w:hAnsi="宋体"/>
          <w:b/>
          <w:color w:val="auto"/>
          <w:szCs w:val="21"/>
          <w:highlight w:val="none"/>
        </w:rPr>
      </w:pPr>
    </w:p>
    <w:p w14:paraId="453613D3">
      <w:pPr>
        <w:pStyle w:val="3"/>
        <w:tabs>
          <w:tab w:val="left" w:pos="1991"/>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46A36808">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1、我方已仔细研究了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（项目名称）招标文件的全部内容，愿意以人民币（大写）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）的投标总报价提供本项目招标文件要求的所有内容及要求，并按合同约定履行义务。</w:t>
      </w:r>
    </w:p>
    <w:p w14:paraId="05DAE7B5">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2、我方的投标文件包括下列内容：</w:t>
      </w:r>
    </w:p>
    <w:p w14:paraId="39F7B457">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一、投标函</w:t>
      </w:r>
    </w:p>
    <w:p w14:paraId="6ECE402D">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二、开标一览表</w:t>
      </w:r>
    </w:p>
    <w:p w14:paraId="7980DEA1">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三、投标报价表</w:t>
      </w:r>
    </w:p>
    <w:p w14:paraId="5FE9B010">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四、法定代表人身份证明</w:t>
      </w:r>
    </w:p>
    <w:p w14:paraId="23142D1B">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五、授权委托书</w:t>
      </w:r>
      <w:r>
        <w:rPr>
          <w:rFonts w:hint="eastAsia" w:hAnsi="宋体"/>
          <w:color w:val="auto"/>
          <w:sz w:val="21"/>
          <w:szCs w:val="21"/>
          <w:highlight w:val="none"/>
          <w:lang w:eastAsia="zh-CN"/>
        </w:rPr>
        <w:t>（</w:t>
      </w:r>
      <w:r>
        <w:rPr>
          <w:rFonts w:hint="eastAsia" w:hAnsi="宋体"/>
          <w:color w:val="auto"/>
          <w:sz w:val="21"/>
          <w:szCs w:val="21"/>
          <w:highlight w:val="none"/>
        </w:rPr>
        <w:t>如有）</w:t>
      </w:r>
    </w:p>
    <w:p w14:paraId="731B31B6">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lang w:val="en-US" w:eastAsia="zh-CN"/>
        </w:rPr>
        <w:t>六</w:t>
      </w:r>
      <w:r>
        <w:rPr>
          <w:rFonts w:hint="eastAsia" w:hAnsi="宋体"/>
          <w:color w:val="auto"/>
          <w:sz w:val="21"/>
          <w:szCs w:val="21"/>
          <w:highlight w:val="none"/>
        </w:rPr>
        <w:t>、投标人具备投标资格的证明文件</w:t>
      </w:r>
    </w:p>
    <w:p w14:paraId="754EFAF7">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lang w:val="en-US" w:eastAsia="zh-CN"/>
        </w:rPr>
        <w:t>七</w:t>
      </w:r>
      <w:r>
        <w:rPr>
          <w:rFonts w:hint="eastAsia" w:hAnsi="宋体"/>
          <w:color w:val="auto"/>
          <w:sz w:val="21"/>
          <w:szCs w:val="21"/>
          <w:highlight w:val="none"/>
        </w:rPr>
        <w:t>、投标保证金</w:t>
      </w:r>
    </w:p>
    <w:p w14:paraId="71FECCA4">
      <w:pPr>
        <w:tabs>
          <w:tab w:val="left" w:pos="4014"/>
          <w:tab w:val="center" w:pos="4933"/>
        </w:tabs>
        <w:wordWrap w:val="0"/>
        <w:spacing w:line="360" w:lineRule="auto"/>
        <w:ind w:left="420" w:leftChars="200"/>
        <w:jc w:val="left"/>
        <w:rPr>
          <w:rFonts w:hint="eastAsia" w:ascii="宋体" w:hAnsi="宋体"/>
          <w:color w:val="auto"/>
          <w:szCs w:val="21"/>
          <w:highlight w:val="none"/>
        </w:rPr>
      </w:pPr>
      <w:r>
        <w:rPr>
          <w:rFonts w:hint="eastAsia" w:ascii="宋体" w:hAnsi="宋体"/>
          <w:color w:val="auto"/>
          <w:szCs w:val="21"/>
          <w:highlight w:val="none"/>
          <w:lang w:val="en-US" w:eastAsia="zh-CN"/>
        </w:rPr>
        <w:t>八</w:t>
      </w:r>
      <w:r>
        <w:rPr>
          <w:rFonts w:hint="eastAsia" w:ascii="宋体" w:hAnsi="宋体"/>
          <w:color w:val="auto"/>
          <w:szCs w:val="21"/>
          <w:highlight w:val="none"/>
        </w:rPr>
        <w:t>、投标人承诺函</w:t>
      </w:r>
    </w:p>
    <w:p w14:paraId="56FD939B">
      <w:pPr>
        <w:tabs>
          <w:tab w:val="left" w:pos="4014"/>
          <w:tab w:val="center" w:pos="4933"/>
        </w:tabs>
        <w:wordWrap w:val="0"/>
        <w:spacing w:line="360" w:lineRule="auto"/>
        <w:ind w:left="420" w:leftChars="200"/>
        <w:jc w:val="left"/>
        <w:rPr>
          <w:rFonts w:hint="eastAsia" w:ascii="宋体" w:hAnsi="宋体"/>
          <w:color w:val="auto"/>
          <w:szCs w:val="21"/>
          <w:highlight w:val="none"/>
        </w:rPr>
      </w:pPr>
      <w:r>
        <w:rPr>
          <w:rFonts w:hint="eastAsia" w:ascii="宋体" w:hAnsi="宋体"/>
          <w:color w:val="auto"/>
          <w:szCs w:val="21"/>
          <w:highlight w:val="none"/>
          <w:lang w:val="en-US" w:eastAsia="zh-CN"/>
        </w:rPr>
        <w:t>九</w:t>
      </w:r>
      <w:r>
        <w:rPr>
          <w:rFonts w:hint="eastAsia" w:ascii="宋体" w:hAnsi="宋体"/>
          <w:color w:val="auto"/>
          <w:szCs w:val="21"/>
          <w:highlight w:val="none"/>
        </w:rPr>
        <w:t>、实质性条款（标注“★”符号）响应表</w:t>
      </w:r>
    </w:p>
    <w:p w14:paraId="59148E07">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十、商务和技术偏差表</w:t>
      </w:r>
    </w:p>
    <w:p w14:paraId="049991E4">
      <w:pPr>
        <w:pStyle w:val="273"/>
        <w:wordWrap w:val="0"/>
        <w:ind w:left="420" w:leftChars="200" w:firstLine="0"/>
        <w:rPr>
          <w:rFonts w:hint="eastAsia" w:hAnsi="宋体" w:eastAsia="宋体"/>
          <w:color w:val="auto"/>
          <w:sz w:val="21"/>
          <w:szCs w:val="21"/>
          <w:highlight w:val="none"/>
          <w:lang w:eastAsia="zh-CN"/>
        </w:rPr>
      </w:pPr>
      <w:r>
        <w:rPr>
          <w:rFonts w:hint="eastAsia" w:hAnsi="宋体"/>
          <w:color w:val="auto"/>
          <w:sz w:val="21"/>
          <w:szCs w:val="21"/>
          <w:highlight w:val="none"/>
          <w:lang w:eastAsia="zh-CN"/>
        </w:rPr>
        <w:t>十</w:t>
      </w:r>
      <w:r>
        <w:rPr>
          <w:rFonts w:hint="eastAsia" w:hAnsi="宋体"/>
          <w:color w:val="auto"/>
          <w:sz w:val="21"/>
          <w:szCs w:val="21"/>
          <w:highlight w:val="none"/>
          <w:lang w:val="en-US" w:eastAsia="zh-CN"/>
        </w:rPr>
        <w:t>一</w:t>
      </w:r>
      <w:r>
        <w:rPr>
          <w:rFonts w:hint="eastAsia" w:hAnsi="宋体"/>
          <w:color w:val="auto"/>
          <w:sz w:val="21"/>
          <w:szCs w:val="21"/>
          <w:highlight w:val="none"/>
          <w:lang w:eastAsia="zh-CN"/>
        </w:rPr>
        <w:t>、项目主要管理人员</w:t>
      </w:r>
    </w:p>
    <w:p w14:paraId="127E8829">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w:t>
      </w:r>
      <w:r>
        <w:rPr>
          <w:rFonts w:hint="eastAsia" w:hAnsi="宋体"/>
          <w:color w:val="auto"/>
          <w:sz w:val="21"/>
          <w:szCs w:val="21"/>
          <w:highlight w:val="none"/>
          <w:lang w:val="en-US" w:eastAsia="zh-CN"/>
        </w:rPr>
        <w:t>二</w:t>
      </w:r>
      <w:r>
        <w:rPr>
          <w:rFonts w:hint="eastAsia" w:hAnsi="宋体"/>
          <w:color w:val="auto"/>
          <w:sz w:val="21"/>
          <w:szCs w:val="21"/>
          <w:highlight w:val="none"/>
        </w:rPr>
        <w:t>、</w:t>
      </w:r>
      <w:r>
        <w:rPr>
          <w:rFonts w:hint="eastAsia" w:hAnsi="宋体"/>
          <w:color w:val="auto"/>
          <w:sz w:val="21"/>
          <w:szCs w:val="21"/>
          <w:highlight w:val="none"/>
          <w:lang w:val="en-US" w:eastAsia="zh-CN"/>
        </w:rPr>
        <w:t>类似</w:t>
      </w:r>
      <w:r>
        <w:rPr>
          <w:rFonts w:hint="eastAsia" w:hAnsi="宋体"/>
          <w:color w:val="auto"/>
          <w:sz w:val="21"/>
          <w:szCs w:val="21"/>
          <w:highlight w:val="none"/>
        </w:rPr>
        <w:t>业绩</w:t>
      </w:r>
    </w:p>
    <w:p w14:paraId="25AD23B6">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w:t>
      </w:r>
      <w:r>
        <w:rPr>
          <w:rFonts w:hint="eastAsia" w:hAnsi="宋体"/>
          <w:color w:val="auto"/>
          <w:sz w:val="21"/>
          <w:szCs w:val="21"/>
          <w:highlight w:val="none"/>
          <w:lang w:val="en-US" w:eastAsia="zh-CN"/>
        </w:rPr>
        <w:t>三</w:t>
      </w:r>
      <w:r>
        <w:rPr>
          <w:rFonts w:hint="eastAsia" w:hAnsi="宋体"/>
          <w:color w:val="auto"/>
          <w:sz w:val="21"/>
          <w:szCs w:val="21"/>
          <w:highlight w:val="none"/>
        </w:rPr>
        <w:t>、投标人认为需提供的</w:t>
      </w:r>
      <w:r>
        <w:rPr>
          <w:rFonts w:hint="eastAsia" w:hAnsi="宋体"/>
          <w:color w:val="auto"/>
          <w:sz w:val="21"/>
          <w:szCs w:val="21"/>
          <w:highlight w:val="none"/>
          <w:lang w:eastAsia="zh-CN"/>
        </w:rPr>
        <w:t>其他</w:t>
      </w:r>
      <w:r>
        <w:rPr>
          <w:rFonts w:hint="eastAsia" w:hAnsi="宋体"/>
          <w:color w:val="auto"/>
          <w:sz w:val="21"/>
          <w:szCs w:val="21"/>
          <w:highlight w:val="none"/>
        </w:rPr>
        <w:t>商务评审资料</w:t>
      </w:r>
    </w:p>
    <w:p w14:paraId="7E3FBB9B">
      <w:pPr>
        <w:pStyle w:val="273"/>
        <w:wordWrap w:val="0"/>
        <w:ind w:left="420" w:leftChars="200" w:firstLine="0"/>
        <w:rPr>
          <w:rFonts w:hint="eastAsia" w:hAnsi="宋体"/>
          <w:color w:val="auto"/>
          <w:sz w:val="21"/>
          <w:szCs w:val="21"/>
          <w:highlight w:val="none"/>
        </w:rPr>
      </w:pPr>
      <w:r>
        <w:rPr>
          <w:rFonts w:hint="eastAsia" w:hAnsi="宋体"/>
          <w:color w:val="auto"/>
          <w:sz w:val="21"/>
          <w:szCs w:val="21"/>
          <w:highlight w:val="none"/>
        </w:rPr>
        <w:t>十</w:t>
      </w:r>
      <w:r>
        <w:rPr>
          <w:rFonts w:hint="eastAsia" w:hAnsi="宋体"/>
          <w:color w:val="auto"/>
          <w:sz w:val="21"/>
          <w:szCs w:val="21"/>
          <w:highlight w:val="none"/>
          <w:lang w:val="en-US" w:eastAsia="zh-CN"/>
        </w:rPr>
        <w:t>四</w:t>
      </w:r>
      <w:r>
        <w:rPr>
          <w:rFonts w:hint="eastAsia" w:hAnsi="宋体"/>
          <w:color w:val="auto"/>
          <w:sz w:val="21"/>
          <w:szCs w:val="21"/>
          <w:highlight w:val="none"/>
        </w:rPr>
        <w:t>、项目实施方案</w:t>
      </w:r>
    </w:p>
    <w:p w14:paraId="070D3A39">
      <w:pPr>
        <w:pStyle w:val="273"/>
        <w:wordWrap w:val="0"/>
        <w:ind w:left="420" w:leftChars="200" w:firstLine="0"/>
        <w:rPr>
          <w:rFonts w:hint="eastAsia" w:hAnsi="宋体"/>
          <w:color w:val="auto"/>
          <w:szCs w:val="21"/>
          <w:highlight w:val="none"/>
        </w:rPr>
      </w:pPr>
      <w:r>
        <w:rPr>
          <w:rFonts w:hint="eastAsia" w:hAnsi="宋体"/>
          <w:color w:val="auto"/>
          <w:sz w:val="21"/>
          <w:szCs w:val="21"/>
          <w:highlight w:val="none"/>
        </w:rPr>
        <w:t>十</w:t>
      </w:r>
      <w:r>
        <w:rPr>
          <w:rFonts w:hint="eastAsia" w:hAnsi="宋体"/>
          <w:color w:val="auto"/>
          <w:sz w:val="21"/>
          <w:szCs w:val="21"/>
          <w:highlight w:val="none"/>
          <w:lang w:val="en-US" w:eastAsia="zh-CN"/>
        </w:rPr>
        <w:t>五</w:t>
      </w:r>
      <w:r>
        <w:rPr>
          <w:rFonts w:hint="eastAsia" w:hAnsi="宋体"/>
          <w:color w:val="auto"/>
          <w:sz w:val="21"/>
          <w:szCs w:val="21"/>
          <w:highlight w:val="none"/>
        </w:rPr>
        <w:t>、投标人认为需提供的</w:t>
      </w:r>
      <w:r>
        <w:rPr>
          <w:rFonts w:hint="eastAsia" w:hAnsi="宋体"/>
          <w:color w:val="auto"/>
          <w:sz w:val="21"/>
          <w:szCs w:val="21"/>
          <w:highlight w:val="none"/>
          <w:lang w:eastAsia="zh-CN"/>
        </w:rPr>
        <w:t>其他</w:t>
      </w:r>
      <w:r>
        <w:rPr>
          <w:rFonts w:hint="eastAsia" w:hAnsi="宋体"/>
          <w:color w:val="auto"/>
          <w:sz w:val="21"/>
          <w:szCs w:val="21"/>
          <w:highlight w:val="none"/>
        </w:rPr>
        <w:t>技术评审资料</w:t>
      </w:r>
    </w:p>
    <w:p w14:paraId="217F5C53">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3、按本项目招标公告规定交纳投标保证金，其金额为（大写）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，交纳方式为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E0597CC">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4、除《商务和技术偏差表》中列出的偏差外，我方承诺完全响应或优于招标文件的全部要求。</w:t>
      </w:r>
    </w:p>
    <w:p w14:paraId="279D3711">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5、本投标有效期为自招标文件规定的提交投标文件截止之日起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个日历天，我方承诺在招标文件规定的投标有效期内不撤销投标文件。</w:t>
      </w:r>
    </w:p>
    <w:p w14:paraId="5556455E">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6、如我方中标，我方承诺：</w:t>
      </w:r>
    </w:p>
    <w:p w14:paraId="69AFF7D8">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（1）在收到中标通知书后，在中标通知书规定的期限内与贵方签订合同；</w:t>
      </w:r>
    </w:p>
    <w:p w14:paraId="1EC40B5D">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（2）在签订合同时不向贵方提出附加条件；</w:t>
      </w:r>
    </w:p>
    <w:p w14:paraId="61F4A5DB">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（3）按照招标文件要求提交履约保证金；</w:t>
      </w:r>
    </w:p>
    <w:p w14:paraId="018BAFCF">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（4）在合同约定的期限内完成合同规定的全部义务。</w:t>
      </w:r>
    </w:p>
    <w:p w14:paraId="66E4453B">
      <w:pPr>
        <w:wordWrap w:val="0"/>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7、我方在此声明，所递交的投标文件及有关资料内容完整、真实和准确，且</w:t>
      </w:r>
      <w:r>
        <w:rPr>
          <w:rFonts w:hint="eastAsia" w:ascii="宋体" w:hAnsi="宋体" w:cs="宋体"/>
          <w:bCs/>
          <w:color w:val="auto"/>
          <w:szCs w:val="21"/>
          <w:highlight w:val="none"/>
        </w:rPr>
        <w:t>不存在第二章“投标人须知”第1.4.</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项规定的任何一种情形；且没有发生“</w:t>
      </w:r>
      <w:r>
        <w:rPr>
          <w:rFonts w:hint="eastAsia" w:ascii="宋体" w:hAnsi="宋体" w:cs="宋体"/>
          <w:bCs/>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bCs/>
          <w:color w:val="auto"/>
          <w:szCs w:val="21"/>
          <w:highlight w:val="none"/>
        </w:rPr>
        <w:t>”此规定的情形。</w:t>
      </w:r>
    </w:p>
    <w:p w14:paraId="5E40C8A4">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8、我方已详细审核了全部招标文件，包括招标文件的修改、补充通知（如果有的话）。我方知道必须放弃对上述文件中所有条款提出存有含糊不清或不理解之问题的权利。</w:t>
      </w:r>
    </w:p>
    <w:p w14:paraId="765E2992">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9、投标总报价已包含了招标文件要求的所有内容及要求。投标报价表中未具体列明的，但在合同执行阶段可能发生的一切费用已经包含在投标报价中。</w:t>
      </w:r>
    </w:p>
    <w:p w14:paraId="156DB8C2">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10、如果我方在开标后规定的投标有效期内撤回投标，我方的投标保证金可被贵方没收。如果贵方有要求，我方愿意进一步提供与本投标有关的任何证据或资料。</w:t>
      </w:r>
    </w:p>
    <w:p w14:paraId="2D55A18D">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11、我方自愿承诺和遵守长沙穗城轨道交通有限公司的相关规定和要求，如有违反，我司自愿承担因我方违反相关规定所引起的一切后果。</w:t>
      </w:r>
    </w:p>
    <w:p w14:paraId="4923651B">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（其他补充说明）。</w:t>
      </w:r>
    </w:p>
    <w:p w14:paraId="6DEA9034">
      <w:pPr>
        <w:pStyle w:val="3"/>
        <w:tabs>
          <w:tab w:val="left" w:pos="3880"/>
        </w:tabs>
        <w:wordWrap w:val="0"/>
        <w:spacing w:after="0" w:line="360" w:lineRule="auto"/>
        <w:ind w:firstLine="2205" w:firstLineChars="1050"/>
        <w:rPr>
          <w:rFonts w:hint="eastAsia" w:ascii="宋体" w:hAnsi="宋体" w:cs="宋体"/>
          <w:color w:val="auto"/>
          <w:szCs w:val="21"/>
          <w:highlight w:val="none"/>
        </w:rPr>
      </w:pPr>
    </w:p>
    <w:p w14:paraId="5AAAFB19">
      <w:pPr>
        <w:pStyle w:val="3"/>
        <w:tabs>
          <w:tab w:val="left" w:pos="3880"/>
        </w:tabs>
        <w:wordWrap w:val="0"/>
        <w:spacing w:after="0" w:line="360" w:lineRule="auto"/>
        <w:rPr>
          <w:rFonts w:hint="eastAsia" w:ascii="宋体" w:hAnsi="宋体" w:cs="宋体"/>
          <w:color w:val="auto"/>
          <w:szCs w:val="21"/>
          <w:highlight w:val="none"/>
        </w:rPr>
      </w:pPr>
    </w:p>
    <w:p w14:paraId="6C6FD09C">
      <w:pPr>
        <w:pStyle w:val="3"/>
        <w:tabs>
          <w:tab w:val="left" w:pos="3880"/>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14:paraId="6E1AE46A">
      <w:pPr>
        <w:pStyle w:val="3"/>
        <w:tabs>
          <w:tab w:val="left" w:pos="3232"/>
          <w:tab w:val="left" w:pos="8529"/>
        </w:tabs>
        <w:wordWrap w:val="0"/>
        <w:spacing w:line="360" w:lineRule="auto"/>
        <w:rPr>
          <w:rFonts w:hint="eastAsia" w:ascii="宋体" w:hAnsi="宋体" w:cs="宋体"/>
          <w:color w:val="auto"/>
          <w:szCs w:val="21"/>
          <w:highlight w:val="none"/>
        </w:rPr>
      </w:pPr>
      <w:r>
        <w:rPr>
          <w:rFonts w:hint="eastAsia" w:ascii="宋体" w:hAnsi="宋体" w:cs="宋体"/>
          <w:iCs/>
          <w:color w:val="auto"/>
          <w:szCs w:val="21"/>
          <w:highlight w:val="none"/>
        </w:rPr>
        <w:t>法定代表人或其委托代理人</w:t>
      </w:r>
      <w:r>
        <w:rPr>
          <w:rFonts w:hint="eastAsia" w:ascii="宋体" w:hAnsi="宋体" w:cs="宋体"/>
          <w:iCs/>
          <w:color w:val="auto"/>
          <w:szCs w:val="21"/>
          <w:highlight w:val="none"/>
          <w:lang w:eastAsia="zh-CN"/>
        </w:rPr>
        <w:t>（</w:t>
      </w:r>
      <w:r>
        <w:rPr>
          <w:rFonts w:hint="eastAsia" w:ascii="宋体" w:hAnsi="宋体" w:cs="宋体"/>
          <w:iCs/>
          <w:color w:val="auto"/>
          <w:szCs w:val="21"/>
          <w:highlight w:val="none"/>
        </w:rPr>
        <w:t>签字或盖章</w:t>
      </w:r>
      <w:r>
        <w:rPr>
          <w:rFonts w:hint="eastAsia" w:ascii="宋体" w:hAnsi="宋体" w:cs="宋体"/>
          <w:iCs/>
          <w:color w:val="auto"/>
          <w:szCs w:val="21"/>
          <w:highlight w:val="none"/>
          <w:lang w:eastAsia="zh-CN"/>
        </w:rPr>
        <w:t>）</w:t>
      </w:r>
      <w:r>
        <w:rPr>
          <w:rFonts w:hint="eastAsia" w:ascii="宋体" w:hAnsi="宋体" w:cs="宋体"/>
          <w:iCs/>
          <w:color w:val="auto"/>
          <w:szCs w:val="21"/>
          <w:highlight w:val="none"/>
        </w:rPr>
        <w:t>：</w:t>
      </w:r>
      <w:r>
        <w:rPr>
          <w:rFonts w:hint="eastAsia" w:ascii="宋体" w:hAnsi="宋体" w:cs="宋体"/>
          <w:iCs/>
          <w:color w:val="auto"/>
          <w:szCs w:val="21"/>
          <w:highlight w:val="none"/>
          <w:u w:val="single"/>
        </w:rPr>
        <w:t xml:space="preserve">                </w:t>
      </w:r>
    </w:p>
    <w:p w14:paraId="18A2EB68">
      <w:pPr>
        <w:pStyle w:val="3"/>
        <w:tabs>
          <w:tab w:val="left" w:pos="3232"/>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p>
    <w:p w14:paraId="3D2DBCA3">
      <w:pPr>
        <w:pStyle w:val="3"/>
        <w:tabs>
          <w:tab w:val="left" w:pos="3232"/>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网    址：</w:t>
      </w:r>
      <w:r>
        <w:rPr>
          <w:rFonts w:hint="eastAsia" w:ascii="宋体" w:hAnsi="宋体" w:cs="宋体"/>
          <w:color w:val="auto"/>
          <w:szCs w:val="21"/>
          <w:highlight w:val="none"/>
          <w:u w:val="single"/>
        </w:rPr>
        <w:t xml:space="preserve">                                              </w:t>
      </w:r>
    </w:p>
    <w:p w14:paraId="1EAA9A79">
      <w:pPr>
        <w:pStyle w:val="3"/>
        <w:tabs>
          <w:tab w:val="left" w:pos="3232"/>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p>
    <w:p w14:paraId="11F4E4F5">
      <w:pPr>
        <w:pStyle w:val="3"/>
        <w:tabs>
          <w:tab w:val="left" w:pos="3232"/>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p>
    <w:p w14:paraId="7B004C0A">
      <w:pPr>
        <w:pStyle w:val="3"/>
        <w:tabs>
          <w:tab w:val="left" w:pos="8529"/>
        </w:tabs>
        <w:wordWrap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p>
    <w:p w14:paraId="55720EF2">
      <w:pPr>
        <w:pStyle w:val="3"/>
        <w:tabs>
          <w:tab w:val="left" w:pos="631"/>
          <w:tab w:val="left" w:pos="1471"/>
          <w:tab w:val="left" w:pos="2311"/>
        </w:tabs>
        <w:wordWrap w:val="0"/>
        <w:spacing w:after="0" w:line="360" w:lineRule="auto"/>
        <w:jc w:val="right"/>
        <w:rPr>
          <w:rFonts w:hint="eastAsia" w:ascii="宋体" w:hAnsi="宋体"/>
          <w:color w:val="auto"/>
          <w:szCs w:val="21"/>
          <w:highlight w:val="none"/>
          <w:u w:val="single"/>
        </w:rPr>
      </w:pPr>
    </w:p>
    <w:p w14:paraId="13B448BC">
      <w:pPr>
        <w:pStyle w:val="3"/>
        <w:tabs>
          <w:tab w:val="left" w:pos="631"/>
          <w:tab w:val="left" w:pos="1471"/>
          <w:tab w:val="left" w:pos="2311"/>
        </w:tabs>
        <w:wordWrap/>
        <w:spacing w:after="0" w:line="360" w:lineRule="auto"/>
        <w:jc w:val="left"/>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06572094">
      <w:pPr>
        <w:rPr>
          <w:rFonts w:hint="eastAsia" w:ascii="宋体" w:hAnsi="宋体"/>
          <w:color w:val="auto"/>
          <w:szCs w:val="21"/>
          <w:highlight w:val="none"/>
        </w:rPr>
      </w:pPr>
      <w:r>
        <w:rPr>
          <w:rFonts w:ascii="宋体" w:hAnsi="宋体"/>
          <w:color w:val="auto"/>
          <w:szCs w:val="21"/>
          <w:highlight w:val="none"/>
        </w:rPr>
        <w:br w:type="page"/>
      </w:r>
    </w:p>
    <w:p w14:paraId="57897DCB">
      <w:pPr>
        <w:pStyle w:val="138"/>
        <w:tabs>
          <w:tab w:val="left" w:pos="4538"/>
          <w:tab w:val="left" w:pos="5484"/>
          <w:tab w:val="left" w:pos="6427"/>
        </w:tabs>
        <w:wordWrap w:val="0"/>
        <w:spacing w:after="240" w:line="360" w:lineRule="auto"/>
        <w:ind w:left="220" w:right="339"/>
        <w:jc w:val="center"/>
        <w:rPr>
          <w:rFonts w:hint="eastAsia" w:ascii="Calibri" w:cs="宋体"/>
          <w:color w:val="auto"/>
          <w:szCs w:val="28"/>
          <w:highlight w:val="none"/>
        </w:rPr>
      </w:pPr>
      <w:bookmarkStart w:id="15" w:name="_bookmark148"/>
      <w:bookmarkEnd w:id="15"/>
      <w:r>
        <w:rPr>
          <w:rFonts w:hint="eastAsia" w:ascii="Calibri" w:cs="宋体"/>
          <w:color w:val="auto"/>
          <w:szCs w:val="28"/>
          <w:highlight w:val="none"/>
        </w:rPr>
        <w:t>二、</w:t>
      </w:r>
      <w:r>
        <w:rPr>
          <w:rFonts w:ascii="Calibri" w:cs="宋体"/>
          <w:color w:val="auto"/>
          <w:szCs w:val="28"/>
          <w:highlight w:val="none"/>
        </w:rPr>
        <w:t>开标一览</w:t>
      </w:r>
      <w:r>
        <w:rPr>
          <w:rFonts w:hint="eastAsia" w:ascii="Calibri" w:cs="宋体"/>
          <w:color w:val="auto"/>
          <w:szCs w:val="28"/>
          <w:highlight w:val="none"/>
        </w:rPr>
        <w:t>表</w:t>
      </w:r>
    </w:p>
    <w:p w14:paraId="50ABBF25">
      <w:pPr>
        <w:tabs>
          <w:tab w:val="left" w:pos="8364"/>
        </w:tabs>
        <w:wordWrap w:val="0"/>
        <w:snapToGrid w:val="0"/>
        <w:spacing w:before="156" w:beforeLines="50" w:line="360" w:lineRule="auto"/>
        <w:jc w:val="right"/>
        <w:rPr>
          <w:rFonts w:hint="eastAsia" w:ascii="宋体" w:hAnsi="宋体" w:cs="宋体"/>
          <w:bCs/>
          <w:color w:val="auto"/>
          <w:szCs w:val="21"/>
          <w:highlight w:val="none"/>
        </w:rPr>
      </w:pPr>
      <w:r>
        <w:rPr>
          <w:rFonts w:hint="eastAsia" w:ascii="宋体" w:hAnsi="宋体" w:cs="宋体"/>
          <w:bCs/>
          <w:color w:val="auto"/>
          <w:szCs w:val="21"/>
          <w:highlight w:val="none"/>
        </w:rPr>
        <w:t>（单位：人民币元）</w:t>
      </w:r>
    </w:p>
    <w:tbl>
      <w:tblPr>
        <w:tblStyle w:val="64"/>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01"/>
        <w:gridCol w:w="2835"/>
        <w:gridCol w:w="6426"/>
      </w:tblGrid>
      <w:tr w14:paraId="4F38C8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675" w:hRule="atLeast"/>
          <w:jc w:val="center"/>
        </w:trPr>
        <w:tc>
          <w:tcPr>
            <w:tcW w:w="5000" w:type="pct"/>
            <w:gridSpan w:val="3"/>
            <w:tcBorders>
              <w:tl2br w:val="nil"/>
              <w:tr2bl w:val="nil"/>
            </w:tcBorders>
            <w:vAlign w:val="center"/>
          </w:tcPr>
          <w:p w14:paraId="67D0C595">
            <w:pPr>
              <w:wordWrap w:val="0"/>
              <w:jc w:val="center"/>
              <w:rPr>
                <w:rFonts w:hint="eastAsia" w:ascii="宋体" w:hAnsi="宋体" w:eastAsia="宋体" w:cs="宋体"/>
                <w:color w:val="auto"/>
                <w:szCs w:val="21"/>
                <w:highlight w:val="none"/>
                <w:u w:val="single"/>
                <w:lang w:eastAsia="zh-CN"/>
              </w:rPr>
            </w:pPr>
            <w:r>
              <w:rPr>
                <w:rFonts w:hint="eastAsia" w:ascii="宋体" w:hAnsi="宋体" w:cs="宋体"/>
                <w:color w:val="0D0D0D" w:themeColor="text1" w:themeTint="F2"/>
                <w:szCs w:val="21"/>
                <w:highlight w:val="none"/>
                <w:lang w:eastAsia="zh-CN"/>
                <w14:textFill>
                  <w14:solidFill>
                    <w14:schemeClr w14:val="tx1">
                      <w14:lumMod w14:val="95000"/>
                      <w14:lumOff w14:val="5000"/>
                    </w14:schemeClr>
                  </w14:solidFill>
                </w14:textFill>
              </w:rPr>
              <w:t>长沙穗城轨道交通有限公司</w:t>
            </w:r>
            <w:r>
              <w:rPr>
                <w:rFonts w:hint="eastAsia" w:ascii="宋体" w:hAnsi="宋体" w:cs="宋体"/>
                <w:snapToGrid w:val="0"/>
                <w:color w:val="0D0D0D" w:themeColor="text1" w:themeTint="F2"/>
                <w:kern w:val="0"/>
                <w:szCs w:val="21"/>
                <w:highlight w:val="none"/>
                <w:lang w:val="en-US" w:eastAsia="zh-CN"/>
                <w14:textFill>
                  <w14:solidFill>
                    <w14:schemeClr w14:val="tx1">
                      <w14:lumMod w14:val="95000"/>
                      <w14:lumOff w14:val="5000"/>
                    </w14:schemeClr>
                  </w14:solidFill>
                </w14:textFill>
              </w:rPr>
              <w:t>2025-2028年网络安全服务项目</w:t>
            </w:r>
          </w:p>
        </w:tc>
      </w:tr>
      <w:tr w14:paraId="1070F1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2" w:type="pct"/>
            <w:tcBorders>
              <w:tl2br w:val="nil"/>
              <w:tr2bl w:val="nil"/>
            </w:tcBorders>
            <w:vAlign w:val="center"/>
          </w:tcPr>
          <w:p w14:paraId="50701157">
            <w:pPr>
              <w:widowControl/>
              <w:wordWrap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423" w:type="pct"/>
            <w:tcBorders>
              <w:tl2br w:val="nil"/>
              <w:tr2bl w:val="nil"/>
            </w:tcBorders>
            <w:vAlign w:val="center"/>
          </w:tcPr>
          <w:p w14:paraId="76561DB4">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投标总报价</w:t>
            </w:r>
          </w:p>
          <w:p w14:paraId="60BE8032">
            <w:pPr>
              <w:wordWrap w:val="0"/>
              <w:jc w:val="center"/>
              <w:rPr>
                <w:rFonts w:hint="eastAsia" w:ascii="宋体" w:hAnsi="宋体" w:cs="宋体"/>
                <w:color w:val="auto"/>
                <w:szCs w:val="21"/>
                <w:highlight w:val="none"/>
              </w:rPr>
            </w:pPr>
            <w:r>
              <w:rPr>
                <w:rFonts w:hint="eastAsia" w:ascii="宋体" w:hAnsi="宋体" w:cs="宋体"/>
                <w:b/>
                <w:color w:val="auto"/>
                <w:szCs w:val="21"/>
                <w:highlight w:val="none"/>
              </w:rPr>
              <w:t>（含税）</w:t>
            </w:r>
          </w:p>
        </w:tc>
        <w:tc>
          <w:tcPr>
            <w:tcW w:w="3223" w:type="pct"/>
            <w:tcBorders>
              <w:tl2br w:val="nil"/>
              <w:tr2bl w:val="nil"/>
            </w:tcBorders>
            <w:vAlign w:val="center"/>
          </w:tcPr>
          <w:p w14:paraId="0748D71C">
            <w:pPr>
              <w:widowControl/>
              <w:ind w:firstLine="0" w:firstLineChars="0"/>
              <w:jc w:val="both"/>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大写：                           ； </w:t>
            </w:r>
            <w:r>
              <w:rPr>
                <w:rFonts w:hint="eastAsia" w:ascii="宋体" w:hAnsi="宋体" w:cs="宋体"/>
                <w:b/>
                <w:color w:val="auto"/>
                <w:szCs w:val="21"/>
                <w:highlight w:val="none"/>
              </w:rPr>
              <w:t>小写：</w:t>
            </w:r>
            <w:r>
              <w:rPr>
                <w:rFonts w:hint="eastAsia" w:ascii="宋体" w:hAnsi="宋体" w:cs="宋体"/>
                <w:b/>
                <w:color w:val="auto"/>
                <w:szCs w:val="21"/>
                <w:highlight w:val="none"/>
                <w:lang w:val="en-US" w:eastAsia="zh-CN"/>
              </w:rPr>
              <w:t>¥            元</w:t>
            </w:r>
          </w:p>
        </w:tc>
      </w:tr>
      <w:tr w14:paraId="474F87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2" w:type="pct"/>
            <w:tcBorders>
              <w:tl2br w:val="nil"/>
              <w:tr2bl w:val="nil"/>
            </w:tcBorders>
            <w:vAlign w:val="center"/>
          </w:tcPr>
          <w:p w14:paraId="57F0EBF8">
            <w:pPr>
              <w:widowControl/>
              <w:wordWrap w:val="0"/>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423" w:type="pct"/>
            <w:tcBorders>
              <w:tl2br w:val="nil"/>
              <w:tr2bl w:val="nil"/>
            </w:tcBorders>
            <w:vAlign w:val="center"/>
          </w:tcPr>
          <w:p w14:paraId="50997930">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增值税税金</w:t>
            </w:r>
          </w:p>
        </w:tc>
        <w:tc>
          <w:tcPr>
            <w:tcW w:w="3223" w:type="pct"/>
            <w:tcBorders>
              <w:tl2br w:val="nil"/>
              <w:tr2bl w:val="nil"/>
            </w:tcBorders>
            <w:vAlign w:val="center"/>
          </w:tcPr>
          <w:p w14:paraId="2ACAF617">
            <w:pPr>
              <w:widowControl/>
              <w:wordWrap w:val="0"/>
              <w:ind w:firstLine="0" w:firstLineChars="0"/>
              <w:jc w:val="left"/>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大写：                           ； </w:t>
            </w:r>
            <w:r>
              <w:rPr>
                <w:rFonts w:hint="eastAsia" w:ascii="宋体" w:hAnsi="宋体" w:cs="宋体"/>
                <w:b/>
                <w:color w:val="auto"/>
                <w:szCs w:val="21"/>
                <w:highlight w:val="none"/>
              </w:rPr>
              <w:t>小写：</w:t>
            </w:r>
            <w:r>
              <w:rPr>
                <w:rFonts w:hint="eastAsia" w:ascii="宋体" w:hAnsi="宋体" w:cs="宋体"/>
                <w:b/>
                <w:color w:val="auto"/>
                <w:szCs w:val="21"/>
                <w:highlight w:val="none"/>
                <w:lang w:val="en-US" w:eastAsia="zh-CN"/>
              </w:rPr>
              <w:t>¥            元</w:t>
            </w:r>
          </w:p>
        </w:tc>
      </w:tr>
      <w:tr w14:paraId="1FBCAA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2" w:type="pct"/>
            <w:tcBorders>
              <w:tl2br w:val="nil"/>
              <w:tr2bl w:val="nil"/>
            </w:tcBorders>
            <w:vAlign w:val="center"/>
          </w:tcPr>
          <w:p w14:paraId="50FCEE7D">
            <w:pPr>
              <w:widowControl/>
              <w:wordWrap w:val="0"/>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423" w:type="pct"/>
            <w:tcBorders>
              <w:tl2br w:val="nil"/>
              <w:tr2bl w:val="nil"/>
            </w:tcBorders>
            <w:vAlign w:val="center"/>
          </w:tcPr>
          <w:p w14:paraId="1256196A">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投标报价</w:t>
            </w:r>
          </w:p>
          <w:p w14:paraId="0C19AF7C">
            <w:pPr>
              <w:wordWrap w:val="0"/>
              <w:jc w:val="center"/>
              <w:rPr>
                <w:rFonts w:hint="eastAsia" w:ascii="宋体" w:hAnsi="宋体" w:cs="宋体"/>
                <w:b/>
                <w:color w:val="auto"/>
                <w:szCs w:val="21"/>
                <w:highlight w:val="none"/>
              </w:rPr>
            </w:pPr>
            <w:r>
              <w:rPr>
                <w:rFonts w:hint="eastAsia" w:ascii="宋体" w:hAnsi="宋体" w:cs="宋体"/>
                <w:b/>
                <w:color w:val="auto"/>
                <w:szCs w:val="21"/>
                <w:highlight w:val="none"/>
              </w:rPr>
              <w:t>（不含税）</w:t>
            </w:r>
          </w:p>
        </w:tc>
        <w:tc>
          <w:tcPr>
            <w:tcW w:w="3223" w:type="pct"/>
            <w:tcBorders>
              <w:tl2br w:val="nil"/>
              <w:tr2bl w:val="nil"/>
            </w:tcBorders>
            <w:vAlign w:val="center"/>
          </w:tcPr>
          <w:p w14:paraId="506DCF75">
            <w:pPr>
              <w:widowControl/>
              <w:wordWrap w:val="0"/>
              <w:ind w:firstLine="0" w:firstLineChars="0"/>
              <w:jc w:val="left"/>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大写：                           ； </w:t>
            </w:r>
            <w:r>
              <w:rPr>
                <w:rFonts w:hint="eastAsia" w:ascii="宋体" w:hAnsi="宋体" w:cs="宋体"/>
                <w:b/>
                <w:color w:val="auto"/>
                <w:szCs w:val="21"/>
                <w:highlight w:val="none"/>
              </w:rPr>
              <w:t>小写：</w:t>
            </w:r>
            <w:r>
              <w:rPr>
                <w:rFonts w:hint="eastAsia" w:ascii="宋体" w:hAnsi="宋体" w:cs="宋体"/>
                <w:b/>
                <w:color w:val="auto"/>
                <w:szCs w:val="21"/>
                <w:highlight w:val="none"/>
                <w:lang w:val="en-US" w:eastAsia="zh-CN"/>
              </w:rPr>
              <w:t>¥            元</w:t>
            </w:r>
          </w:p>
        </w:tc>
      </w:tr>
      <w:tr w14:paraId="330A84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2" w:type="pct"/>
            <w:tcBorders>
              <w:tl2br w:val="nil"/>
              <w:tr2bl w:val="nil"/>
            </w:tcBorders>
            <w:vAlign w:val="center"/>
          </w:tcPr>
          <w:p w14:paraId="23D93EB1">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423" w:type="pct"/>
            <w:tcBorders>
              <w:tl2br w:val="nil"/>
              <w:tr2bl w:val="nil"/>
            </w:tcBorders>
            <w:vAlign w:val="center"/>
          </w:tcPr>
          <w:p w14:paraId="6046C492">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项目工期（服务期限）</w:t>
            </w:r>
          </w:p>
        </w:tc>
        <w:tc>
          <w:tcPr>
            <w:tcW w:w="3223" w:type="pct"/>
            <w:tcBorders>
              <w:tl2br w:val="nil"/>
              <w:tr2bl w:val="nil"/>
            </w:tcBorders>
            <w:vAlign w:val="center"/>
          </w:tcPr>
          <w:p w14:paraId="15EFFEB1">
            <w:pPr>
              <w:wordWrap w:val="0"/>
              <w:jc w:val="center"/>
              <w:rPr>
                <w:rFonts w:hint="eastAsia" w:ascii="宋体" w:hAnsi="宋体" w:cs="宋体"/>
                <w:color w:val="auto"/>
                <w:szCs w:val="21"/>
                <w:highlight w:val="none"/>
              </w:rPr>
            </w:pPr>
          </w:p>
        </w:tc>
      </w:tr>
    </w:tbl>
    <w:p w14:paraId="357B7F77">
      <w:pPr>
        <w:wordWrap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备注：</w:t>
      </w:r>
    </w:p>
    <w:p w14:paraId="5DD5C8C7">
      <w:pPr>
        <w:numPr>
          <w:ilvl w:val="0"/>
          <w:numId w:val="20"/>
        </w:numPr>
        <w:wordWrap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本表中“投标总报价”为含税总价（即不含税投标报价与增值税之和）。投标人在填写投标报价时应当注意区分“投标报价（不含税）</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增值税</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投标总报价（含税）”。</w:t>
      </w:r>
    </w:p>
    <w:p w14:paraId="6D845E3F">
      <w:pPr>
        <w:wordWrap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2、本项目投标总报价、综合单价</w:t>
      </w:r>
      <w:r>
        <w:rPr>
          <w:rFonts w:hint="eastAsia" w:ascii="宋体" w:hAnsi="宋体" w:cs="宋体"/>
          <w:b/>
          <w:bCs/>
          <w:color w:val="auto"/>
          <w:szCs w:val="24"/>
          <w:highlight w:val="none"/>
        </w:rPr>
        <w:t>（如有）</w:t>
      </w:r>
      <w:r>
        <w:rPr>
          <w:rFonts w:hint="eastAsia" w:ascii="宋体" w:hAnsi="宋体" w:cs="宋体"/>
          <w:b/>
          <w:color w:val="auto"/>
          <w:szCs w:val="21"/>
          <w:highlight w:val="none"/>
        </w:rPr>
        <w:t>均不能高于招标人公布的最高投标限价，超过最高投标限价的投标报价为无效报价，按废标情形处理。</w:t>
      </w:r>
    </w:p>
    <w:p w14:paraId="0A207C91">
      <w:pPr>
        <w:wordWrap w:val="0"/>
        <w:spacing w:line="360" w:lineRule="auto"/>
        <w:ind w:left="-424" w:leftChars="-202"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3、所有投标报价相关表格保留小数点后两位，小数点后第三位“四舍五入”。</w:t>
      </w:r>
    </w:p>
    <w:p w14:paraId="1B578CE3">
      <w:pPr>
        <w:wordWrap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4、投标总报价已包含了招标文件要求的所有内容及要求；任何投标报价相关表格中未具体列明的，但在合同执行阶段可能发生的一切税费及费用等均已包含在投标总报价中。投标总报价视为已充分考虑本项目实施过程中有可能出现的所有市场风险，包括但不限于人力成本的增加、物价上涨、国家宏观调控、经济环境变化等因素。</w:t>
      </w:r>
    </w:p>
    <w:p w14:paraId="08C49B83">
      <w:pPr>
        <w:wordWrap w:val="0"/>
        <w:spacing w:line="360" w:lineRule="auto"/>
        <w:ind w:left="-424" w:leftChars="-202"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5、如果不提供详细投标报价清单将视为没有实质性响应招标文件。</w:t>
      </w:r>
    </w:p>
    <w:p w14:paraId="798EA928">
      <w:pPr>
        <w:wordWrap w:val="0"/>
        <w:spacing w:line="360" w:lineRule="auto"/>
        <w:ind w:left="-424" w:leftChars="-202"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6、本表中的“投标总报价（含税）”的金额应与《投标报价表》中的相应金额一致。</w:t>
      </w:r>
    </w:p>
    <w:p w14:paraId="70FC690D">
      <w:pPr>
        <w:wordWrap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7、任何关于投标报价不一致的情形，报价评审环节均以投标文件“开标一览表”中的含税总报价</w:t>
      </w:r>
      <w:r>
        <w:rPr>
          <w:rFonts w:hint="eastAsia" w:ascii="宋体" w:hAnsi="宋体" w:cs="宋体"/>
          <w:b/>
          <w:bCs/>
          <w:color w:val="auto"/>
          <w:szCs w:val="21"/>
          <w:highlight w:val="none"/>
          <w:lang w:val="en-US" w:eastAsia="zh-CN"/>
        </w:rPr>
        <w:t>大写金额</w:t>
      </w:r>
      <w:r>
        <w:rPr>
          <w:rFonts w:hint="eastAsia" w:ascii="宋体" w:hAnsi="宋体" w:cs="宋体"/>
          <w:b/>
          <w:bCs/>
          <w:color w:val="auto"/>
          <w:szCs w:val="21"/>
          <w:highlight w:val="none"/>
        </w:rPr>
        <w:t>为准，合同签订阶段，按照招标文件相关要求执行。</w:t>
      </w:r>
    </w:p>
    <w:p w14:paraId="1E570BF0">
      <w:pPr>
        <w:wordWrap w:val="0"/>
        <w:spacing w:line="360" w:lineRule="auto"/>
        <w:rPr>
          <w:rFonts w:hint="eastAsia" w:ascii="宋体" w:hAnsi="宋体" w:cs="宋体"/>
          <w:color w:val="auto"/>
          <w:szCs w:val="21"/>
          <w:highlight w:val="none"/>
        </w:rPr>
      </w:pPr>
    </w:p>
    <w:p w14:paraId="0C71C58A">
      <w:pPr>
        <w:wordWrap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14:paraId="03B40053">
      <w:pPr>
        <w:wordWrap w:val="0"/>
        <w:adjustRightInd w:val="0"/>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2B7D24AE">
      <w:pPr>
        <w:wordWrap w:val="0"/>
        <w:adjustRightInd w:val="0"/>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7AF4E759">
      <w:pPr>
        <w:pStyle w:val="138"/>
        <w:numPr>
          <w:ilvl w:val="0"/>
          <w:numId w:val="21"/>
        </w:numPr>
        <w:tabs>
          <w:tab w:val="left" w:pos="4538"/>
          <w:tab w:val="left" w:pos="5484"/>
          <w:tab w:val="left" w:pos="6427"/>
        </w:tabs>
        <w:spacing w:before="0" w:line="360" w:lineRule="auto"/>
        <w:jc w:val="center"/>
        <w:rPr>
          <w:rFonts w:hint="eastAsia" w:ascii="Calibri" w:cs="宋体"/>
          <w:color w:val="auto"/>
          <w:szCs w:val="28"/>
          <w:highlight w:val="none"/>
        </w:rPr>
      </w:pPr>
      <w:r>
        <w:rPr>
          <w:rFonts w:hint="eastAsia" w:cs="宋体"/>
          <w:color w:val="auto"/>
          <w:szCs w:val="21"/>
          <w:highlight w:val="none"/>
        </w:rPr>
        <w:br w:type="page"/>
      </w:r>
      <w:r>
        <w:rPr>
          <w:rFonts w:hint="eastAsia" w:ascii="Calibri" w:cs="宋体"/>
          <w:color w:val="auto"/>
          <w:szCs w:val="28"/>
          <w:highlight w:val="none"/>
        </w:rPr>
        <w:t>投标报价表</w:t>
      </w:r>
    </w:p>
    <w:p w14:paraId="566E7D37">
      <w:pPr>
        <w:pStyle w:val="33"/>
        <w:ind w:left="0" w:firstLineChars="200"/>
        <w:rPr>
          <w:rFonts w:hint="default"/>
          <w:color w:val="auto"/>
          <w:highlight w:val="none"/>
        </w:rPr>
      </w:pPr>
      <w:r>
        <w:rPr>
          <w:rFonts w:hint="eastAsia" w:ascii="宋体" w:hAnsi="宋体" w:cs="宋体"/>
          <w:bCs/>
          <w:color w:val="auto"/>
          <w:szCs w:val="21"/>
          <w:highlight w:val="none"/>
          <w:lang w:val="en-US" w:eastAsia="zh-CN"/>
        </w:rPr>
        <w:t xml:space="preserve">                                         </w:t>
      </w:r>
    </w:p>
    <w:p w14:paraId="5A55FFA6">
      <w:pPr>
        <w:wordWrap w:val="0"/>
        <w:adjustRightInd w:val="0"/>
        <w:snapToGrid w:val="0"/>
        <w:spacing w:after="312" w:afterLines="100"/>
        <w:rPr>
          <w:rFonts w:hint="default" w:ascii="宋体" w:hAnsi="宋体" w:eastAsia="宋体" w:cs="宋体"/>
          <w:bCs/>
          <w:color w:val="auto"/>
          <w:szCs w:val="21"/>
          <w:highlight w:val="none"/>
          <w:lang w:val="en-US" w:eastAsia="zh-CN"/>
        </w:rPr>
      </w:pPr>
      <w:r>
        <w:rPr>
          <w:rFonts w:hAnsi="宋体" w:cs="宋体"/>
          <w:b w:val="0"/>
          <w:bCs w:val="0"/>
          <w:color w:val="auto"/>
          <w:szCs w:val="21"/>
          <w:highlight w:val="none"/>
        </w:rPr>
        <w:t>项目名称</w:t>
      </w:r>
      <w:r>
        <w:rPr>
          <w:rFonts w:hint="eastAsia" w:hAnsi="宋体" w:cs="宋体"/>
          <w:b w:val="0"/>
          <w:bCs w:val="0"/>
          <w:color w:val="auto"/>
          <w:szCs w:val="21"/>
          <w:highlight w:val="none"/>
        </w:rPr>
        <w:t>：</w:t>
      </w:r>
      <w:r>
        <w:rPr>
          <w:rFonts w:hint="eastAsia" w:ascii="宋体" w:hAnsi="宋体" w:cs="宋体"/>
          <w:color w:val="0D0D0D" w:themeColor="text1" w:themeTint="F2"/>
          <w:szCs w:val="21"/>
          <w:highlight w:val="none"/>
          <w:u w:val="none"/>
          <w:lang w:val="en-US" w:eastAsia="zh-CN"/>
          <w14:textFill>
            <w14:solidFill>
              <w14:schemeClr w14:val="tx1">
                <w14:lumMod w14:val="95000"/>
                <w14:lumOff w14:val="5000"/>
              </w14:schemeClr>
            </w14:solidFill>
          </w14:textFill>
        </w:rPr>
        <w:t>长沙穗城轨道交通有限公司2025-2028年网络安全服务项目</w:t>
      </w:r>
      <w:r>
        <w:rPr>
          <w:rFonts w:hint="eastAsia" w:ascii="宋体" w:hAnsi="宋体" w:cs="宋体"/>
          <w:bCs/>
          <w:color w:val="auto"/>
          <w:szCs w:val="21"/>
          <w:highlight w:val="none"/>
          <w:lang w:val="en-US" w:eastAsia="zh-CN"/>
        </w:rPr>
        <w:t xml:space="preserve">     （</w:t>
      </w:r>
      <w:r>
        <w:rPr>
          <w:color w:val="auto"/>
          <w:highlight w:val="none"/>
        </w:rPr>
        <w:t>单位：人民币元</w:t>
      </w:r>
      <w:r>
        <w:rPr>
          <w:rFonts w:hint="eastAsia"/>
          <w:color w:val="auto"/>
          <w:highlight w:val="none"/>
          <w:lang w:eastAsia="zh-CN"/>
        </w:rPr>
        <w:t>）</w:t>
      </w:r>
    </w:p>
    <w:tbl>
      <w:tblPr>
        <w:tblStyle w:val="64"/>
        <w:tblW w:w="49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04"/>
        <w:gridCol w:w="1760"/>
        <w:gridCol w:w="619"/>
        <w:gridCol w:w="926"/>
        <w:gridCol w:w="689"/>
        <w:gridCol w:w="833"/>
        <w:gridCol w:w="871"/>
        <w:gridCol w:w="1091"/>
        <w:gridCol w:w="840"/>
        <w:gridCol w:w="819"/>
        <w:gridCol w:w="986"/>
      </w:tblGrid>
      <w:tr w14:paraId="00312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05" w:hRule="atLeast"/>
        </w:trPr>
        <w:tc>
          <w:tcPr>
            <w:tcW w:w="156" w:type="pct"/>
            <w:vMerge w:val="restart"/>
            <w:vAlign w:val="center"/>
          </w:tcPr>
          <w:p w14:paraId="44EB9E05">
            <w:pPr>
              <w:tabs>
                <w:tab w:val="left" w:pos="8364"/>
              </w:tabs>
              <w:snapToGrid w:val="0"/>
              <w:spacing w:line="240" w:lineRule="atLeast"/>
              <w:ind w:right="-58"/>
              <w:jc w:val="center"/>
              <w:rPr>
                <w:rFonts w:ascii="宋体"/>
                <w:iCs/>
                <w:color w:val="auto"/>
                <w:highlight w:val="none"/>
              </w:rPr>
            </w:pPr>
            <w:r>
              <w:rPr>
                <w:rFonts w:hint="eastAsia" w:ascii="宋体"/>
                <w:iCs/>
                <w:color w:val="auto"/>
                <w:highlight w:val="none"/>
              </w:rPr>
              <w:t>序号</w:t>
            </w:r>
          </w:p>
        </w:tc>
        <w:tc>
          <w:tcPr>
            <w:tcW w:w="903" w:type="pct"/>
            <w:vMerge w:val="restart"/>
            <w:vAlign w:val="center"/>
          </w:tcPr>
          <w:p w14:paraId="5AAA4F6F">
            <w:pPr>
              <w:tabs>
                <w:tab w:val="left" w:pos="8364"/>
              </w:tabs>
              <w:snapToGrid w:val="0"/>
              <w:spacing w:line="240" w:lineRule="atLeast"/>
              <w:ind w:right="-58"/>
              <w:jc w:val="center"/>
              <w:rPr>
                <w:rFonts w:ascii="宋体"/>
                <w:iCs/>
                <w:color w:val="auto"/>
                <w:highlight w:val="none"/>
              </w:rPr>
            </w:pPr>
            <w:r>
              <w:rPr>
                <w:rFonts w:hint="eastAsia" w:ascii="宋体"/>
                <w:iCs/>
                <w:color w:val="auto"/>
                <w:highlight w:val="none"/>
              </w:rPr>
              <w:t>内容</w:t>
            </w:r>
          </w:p>
        </w:tc>
        <w:tc>
          <w:tcPr>
            <w:tcW w:w="317" w:type="pct"/>
            <w:vMerge w:val="restart"/>
            <w:vAlign w:val="center"/>
          </w:tcPr>
          <w:p w14:paraId="68E1980C">
            <w:pPr>
              <w:tabs>
                <w:tab w:val="left" w:pos="8364"/>
              </w:tabs>
              <w:snapToGrid w:val="0"/>
              <w:spacing w:line="240" w:lineRule="atLeast"/>
              <w:ind w:right="-58"/>
              <w:jc w:val="cente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服务</w:t>
            </w:r>
          </w:p>
          <w:p w14:paraId="48A8EFF4">
            <w:pPr>
              <w:widowControl/>
              <w:tabs>
                <w:tab w:val="left" w:pos="8364"/>
              </w:tabs>
              <w:snapToGrid w:val="0"/>
              <w:spacing w:line="240" w:lineRule="atLeast"/>
              <w:ind w:right="-58"/>
              <w:jc w:val="center"/>
              <w:rPr>
                <w:rFonts w:ascii="宋体"/>
                <w:iCs/>
                <w:color w:val="auto"/>
                <w:highlight w:val="none"/>
              </w:rPr>
            </w:pP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期限（年）</w:t>
            </w:r>
          </w:p>
        </w:tc>
        <w:tc>
          <w:tcPr>
            <w:tcW w:w="1256" w:type="pct"/>
            <w:gridSpan w:val="3"/>
            <w:vAlign w:val="center"/>
          </w:tcPr>
          <w:p w14:paraId="672632DF">
            <w:pPr>
              <w:tabs>
                <w:tab w:val="left" w:pos="8364"/>
              </w:tabs>
              <w:snapToGrid w:val="0"/>
              <w:spacing w:line="240" w:lineRule="atLeast"/>
              <w:ind w:right="-58"/>
              <w:jc w:val="cente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单价（元/年）</w:t>
            </w:r>
          </w:p>
        </w:tc>
        <w:tc>
          <w:tcPr>
            <w:tcW w:w="447" w:type="pct"/>
            <w:vMerge w:val="restart"/>
            <w:vAlign w:val="center"/>
          </w:tcPr>
          <w:p w14:paraId="6C2F5DE2">
            <w:pPr>
              <w:tabs>
                <w:tab w:val="left" w:pos="8364"/>
              </w:tabs>
              <w:snapToGrid w:val="0"/>
              <w:spacing w:line="240" w:lineRule="atLeast"/>
              <w:ind w:right="-58"/>
              <w:jc w:val="center"/>
              <w:rPr>
                <w:rFonts w:hint="eastAsia" w:ascii="宋体"/>
                <w:iCs/>
                <w:color w:val="auto"/>
                <w:highlight w:val="none"/>
                <w:lang w:val="en-US" w:eastAsia="zh-CN"/>
              </w:rPr>
            </w:pPr>
            <w:r>
              <w:rPr>
                <w:rFonts w:hint="eastAsia" w:ascii="宋体"/>
                <w:iCs/>
                <w:color w:val="auto"/>
                <w:highlight w:val="none"/>
                <w:lang w:val="en-US" w:eastAsia="zh-CN"/>
              </w:rPr>
              <w:t>增值税</w:t>
            </w:r>
          </w:p>
          <w:p w14:paraId="655A5F73">
            <w:pPr>
              <w:tabs>
                <w:tab w:val="left" w:pos="8364"/>
              </w:tabs>
              <w:snapToGrid w:val="0"/>
              <w:spacing w:line="240" w:lineRule="atLeast"/>
              <w:ind w:right="-58"/>
              <w:jc w:val="center"/>
              <w:rPr>
                <w:rFonts w:hint="eastAsia" w:ascii="宋体"/>
                <w:iCs/>
                <w:color w:val="auto"/>
                <w:highlight w:val="none"/>
                <w:lang w:val="en-US" w:eastAsia="zh-CN"/>
              </w:rPr>
            </w:pPr>
            <w:r>
              <w:rPr>
                <w:rFonts w:hint="eastAsia" w:ascii="宋体"/>
                <w:iCs/>
                <w:color w:val="auto"/>
                <w:highlight w:val="none"/>
                <w:lang w:val="en-US" w:eastAsia="zh-CN"/>
              </w:rPr>
              <w:t>税率</w:t>
            </w:r>
          </w:p>
          <w:p w14:paraId="190A7302">
            <w:pPr>
              <w:tabs>
                <w:tab w:val="left" w:pos="8364"/>
              </w:tabs>
              <w:snapToGrid w:val="0"/>
              <w:spacing w:line="240" w:lineRule="atLeast"/>
              <w:ind w:right="-58"/>
              <w:jc w:val="center"/>
              <w:rPr>
                <w:rFonts w:ascii="宋体"/>
                <w:iCs/>
                <w:color w:val="auto"/>
                <w:highlight w:val="none"/>
              </w:rPr>
            </w:pPr>
            <w:r>
              <w:rPr>
                <w:rFonts w:hint="eastAsia" w:ascii="宋体"/>
                <w:iCs/>
                <w:color w:val="auto"/>
                <w:highlight w:val="none"/>
                <w:lang w:val="en-US" w:eastAsia="zh-CN"/>
              </w:rPr>
              <w:t>（%）</w:t>
            </w:r>
          </w:p>
        </w:tc>
        <w:tc>
          <w:tcPr>
            <w:tcW w:w="1411" w:type="pct"/>
            <w:gridSpan w:val="3"/>
            <w:vAlign w:val="center"/>
          </w:tcPr>
          <w:p w14:paraId="41FABBA0">
            <w:pPr>
              <w:tabs>
                <w:tab w:val="left" w:pos="8364"/>
              </w:tabs>
              <w:snapToGrid w:val="0"/>
              <w:spacing w:line="240" w:lineRule="atLeast"/>
              <w:ind w:right="-58"/>
              <w:jc w:val="center"/>
              <w:rPr>
                <w:rFonts w:hint="default"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合价（元）</w:t>
            </w:r>
          </w:p>
        </w:tc>
        <w:tc>
          <w:tcPr>
            <w:tcW w:w="506" w:type="pct"/>
            <w:vMerge w:val="restart"/>
            <w:vAlign w:val="center"/>
          </w:tcPr>
          <w:p w14:paraId="15675C3A">
            <w:pPr>
              <w:tabs>
                <w:tab w:val="left" w:pos="8364"/>
              </w:tabs>
              <w:snapToGrid w:val="0"/>
              <w:spacing w:line="240" w:lineRule="atLeast"/>
              <w:ind w:right="-58"/>
              <w:jc w:val="center"/>
              <w:rPr>
                <w:rFonts w:hint="default"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pPr>
            <w:r>
              <w:rPr>
                <w:rFonts w:hint="eastAsia" w:ascii="宋体" w:hAnsi="宋体" w:cs="宋体"/>
                <w:color w:val="0D0D0D" w:themeColor="text1" w:themeTint="F2"/>
                <w:szCs w:val="21"/>
                <w:highlight w:val="none"/>
                <w:lang w:val="en-US" w:eastAsia="zh-CN"/>
                <w14:textFill>
                  <w14:solidFill>
                    <w14:schemeClr w14:val="tx1">
                      <w14:lumMod w14:val="95000"/>
                      <w14:lumOff w14:val="5000"/>
                    </w14:schemeClr>
                  </w14:solidFill>
                </w14:textFill>
              </w:rPr>
              <w:t>备注</w:t>
            </w:r>
          </w:p>
        </w:tc>
      </w:tr>
      <w:tr w14:paraId="428F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57" w:hRule="atLeast"/>
        </w:trPr>
        <w:tc>
          <w:tcPr>
            <w:tcW w:w="156" w:type="pct"/>
            <w:vMerge w:val="continue"/>
            <w:vAlign w:val="center"/>
          </w:tcPr>
          <w:p w14:paraId="158792AB">
            <w:pPr>
              <w:tabs>
                <w:tab w:val="left" w:pos="8364"/>
              </w:tabs>
              <w:snapToGrid w:val="0"/>
              <w:spacing w:line="240" w:lineRule="atLeast"/>
              <w:ind w:right="-58"/>
              <w:jc w:val="center"/>
              <w:rPr>
                <w:rFonts w:ascii="宋体"/>
                <w:iCs/>
                <w:color w:val="auto"/>
                <w:highlight w:val="none"/>
              </w:rPr>
            </w:pPr>
          </w:p>
        </w:tc>
        <w:tc>
          <w:tcPr>
            <w:tcW w:w="903" w:type="pct"/>
            <w:vMerge w:val="continue"/>
            <w:vAlign w:val="center"/>
          </w:tcPr>
          <w:p w14:paraId="172EF46E">
            <w:pPr>
              <w:tabs>
                <w:tab w:val="left" w:pos="8364"/>
              </w:tabs>
              <w:snapToGrid w:val="0"/>
              <w:spacing w:line="240" w:lineRule="atLeast"/>
              <w:ind w:right="-58"/>
              <w:jc w:val="center"/>
              <w:rPr>
                <w:rFonts w:ascii="宋体"/>
                <w:iCs/>
                <w:color w:val="auto"/>
                <w:highlight w:val="none"/>
              </w:rPr>
            </w:pPr>
          </w:p>
        </w:tc>
        <w:tc>
          <w:tcPr>
            <w:tcW w:w="317" w:type="pct"/>
            <w:vMerge w:val="continue"/>
            <w:vAlign w:val="center"/>
          </w:tcPr>
          <w:p w14:paraId="42505350">
            <w:pPr>
              <w:widowControl/>
              <w:jc w:val="center"/>
              <w:rPr>
                <w:rFonts w:ascii="宋体"/>
                <w:iCs/>
                <w:color w:val="auto"/>
                <w:highlight w:val="none"/>
              </w:rPr>
            </w:pPr>
          </w:p>
        </w:tc>
        <w:tc>
          <w:tcPr>
            <w:tcW w:w="475" w:type="pct"/>
            <w:vAlign w:val="center"/>
          </w:tcPr>
          <w:p w14:paraId="4E66FC2E">
            <w:pPr>
              <w:widowControl/>
              <w:jc w:val="center"/>
              <w:rPr>
                <w:rFonts w:hint="eastAsia" w:ascii="宋体" w:eastAsia="宋体"/>
                <w:iCs/>
                <w:color w:val="auto"/>
                <w:highlight w:val="none"/>
                <w:lang w:val="en-US" w:eastAsia="zh-CN"/>
              </w:rPr>
            </w:pPr>
            <w:r>
              <w:rPr>
                <w:rFonts w:hint="eastAsia" w:ascii="宋体"/>
                <w:iCs/>
                <w:color w:val="auto"/>
                <w:highlight w:val="none"/>
              </w:rPr>
              <w:t>不含税</w:t>
            </w:r>
            <w:r>
              <w:rPr>
                <w:rFonts w:hint="eastAsia" w:ascii="宋体"/>
                <w:iCs/>
                <w:color w:val="auto"/>
                <w:highlight w:val="none"/>
                <w:lang w:val="en-US" w:eastAsia="zh-CN"/>
              </w:rPr>
              <w:t>金额</w:t>
            </w:r>
          </w:p>
        </w:tc>
        <w:tc>
          <w:tcPr>
            <w:tcW w:w="353" w:type="pct"/>
            <w:tcBorders>
              <w:right w:val="single" w:color="auto" w:sz="4" w:space="0"/>
            </w:tcBorders>
            <w:vAlign w:val="center"/>
          </w:tcPr>
          <w:p w14:paraId="104384D5">
            <w:pPr>
              <w:tabs>
                <w:tab w:val="left" w:pos="8364"/>
              </w:tabs>
              <w:snapToGrid w:val="0"/>
              <w:spacing w:line="240" w:lineRule="atLeast"/>
              <w:ind w:right="-58"/>
              <w:jc w:val="center"/>
              <w:rPr>
                <w:rFonts w:ascii="宋体"/>
                <w:iCs/>
                <w:color w:val="auto"/>
                <w:highlight w:val="none"/>
              </w:rPr>
            </w:pPr>
            <w:r>
              <w:rPr>
                <w:rFonts w:ascii="宋体"/>
                <w:iCs/>
                <w:color w:val="auto"/>
                <w:highlight w:val="none"/>
              </w:rPr>
              <w:t>增值税税金</w:t>
            </w:r>
          </w:p>
        </w:tc>
        <w:tc>
          <w:tcPr>
            <w:tcW w:w="427" w:type="pct"/>
            <w:tcBorders>
              <w:right w:val="single" w:color="auto" w:sz="4" w:space="0"/>
            </w:tcBorders>
            <w:vAlign w:val="center"/>
          </w:tcPr>
          <w:p w14:paraId="4D9506D2">
            <w:pPr>
              <w:tabs>
                <w:tab w:val="left" w:pos="8364"/>
              </w:tabs>
              <w:snapToGrid w:val="0"/>
              <w:spacing w:line="240" w:lineRule="atLeast"/>
              <w:ind w:right="-58"/>
              <w:jc w:val="center"/>
              <w:rPr>
                <w:rFonts w:ascii="宋体"/>
                <w:iCs/>
                <w:color w:val="auto"/>
                <w:highlight w:val="none"/>
              </w:rPr>
            </w:pPr>
            <w:r>
              <w:rPr>
                <w:rFonts w:ascii="宋体"/>
                <w:iCs/>
                <w:color w:val="auto"/>
                <w:highlight w:val="none"/>
              </w:rPr>
              <w:t>含税</w:t>
            </w:r>
            <w:r>
              <w:rPr>
                <w:rFonts w:hint="eastAsia" w:ascii="宋体"/>
                <w:iCs/>
                <w:color w:val="auto"/>
                <w:highlight w:val="none"/>
                <w:lang w:val="en-US" w:eastAsia="zh-CN"/>
              </w:rPr>
              <w:t>金额</w:t>
            </w:r>
          </w:p>
        </w:tc>
        <w:tc>
          <w:tcPr>
            <w:tcW w:w="447" w:type="pct"/>
            <w:vMerge w:val="continue"/>
            <w:vAlign w:val="center"/>
          </w:tcPr>
          <w:p w14:paraId="60FEFB9B">
            <w:pPr>
              <w:tabs>
                <w:tab w:val="left" w:pos="8364"/>
              </w:tabs>
              <w:snapToGrid w:val="0"/>
              <w:spacing w:line="240" w:lineRule="atLeast"/>
              <w:ind w:right="-58"/>
              <w:jc w:val="center"/>
              <w:rPr>
                <w:rFonts w:ascii="宋体"/>
                <w:iCs/>
                <w:color w:val="auto"/>
                <w:highlight w:val="none"/>
              </w:rPr>
            </w:pPr>
          </w:p>
        </w:tc>
        <w:tc>
          <w:tcPr>
            <w:tcW w:w="560" w:type="pct"/>
            <w:tcBorders>
              <w:left w:val="single" w:color="auto" w:sz="2" w:space="0"/>
            </w:tcBorders>
            <w:vAlign w:val="center"/>
          </w:tcPr>
          <w:p w14:paraId="44784FB3">
            <w:pPr>
              <w:tabs>
                <w:tab w:val="left" w:pos="8364"/>
              </w:tabs>
              <w:snapToGrid w:val="0"/>
              <w:spacing w:line="240" w:lineRule="atLeast"/>
              <w:ind w:right="-58"/>
              <w:jc w:val="center"/>
              <w:rPr>
                <w:rFonts w:ascii="宋体"/>
                <w:iCs/>
                <w:color w:val="auto"/>
                <w:highlight w:val="none"/>
              </w:rPr>
            </w:pPr>
            <w:r>
              <w:rPr>
                <w:rFonts w:hint="eastAsia" w:ascii="宋体"/>
                <w:iCs/>
                <w:color w:val="auto"/>
                <w:highlight w:val="none"/>
              </w:rPr>
              <w:t>不含税</w:t>
            </w:r>
            <w:r>
              <w:rPr>
                <w:rFonts w:hint="eastAsia" w:ascii="宋体"/>
                <w:iCs/>
                <w:color w:val="auto"/>
                <w:highlight w:val="none"/>
                <w:lang w:val="en-US" w:eastAsia="zh-CN"/>
              </w:rPr>
              <w:t>金额</w:t>
            </w:r>
          </w:p>
        </w:tc>
        <w:tc>
          <w:tcPr>
            <w:tcW w:w="431" w:type="pct"/>
            <w:tcBorders>
              <w:left w:val="single" w:color="auto" w:sz="2" w:space="0"/>
            </w:tcBorders>
            <w:vAlign w:val="center"/>
          </w:tcPr>
          <w:p w14:paraId="149610AB">
            <w:pPr>
              <w:tabs>
                <w:tab w:val="left" w:pos="8364"/>
              </w:tabs>
              <w:snapToGrid w:val="0"/>
              <w:spacing w:line="240" w:lineRule="atLeast"/>
              <w:ind w:right="-58"/>
              <w:jc w:val="center"/>
              <w:rPr>
                <w:rFonts w:ascii="宋体"/>
                <w:iCs/>
                <w:color w:val="auto"/>
                <w:highlight w:val="none"/>
              </w:rPr>
            </w:pPr>
            <w:r>
              <w:rPr>
                <w:rFonts w:ascii="宋体"/>
                <w:iCs/>
                <w:color w:val="auto"/>
                <w:highlight w:val="none"/>
              </w:rPr>
              <w:t>增值税税金</w:t>
            </w:r>
          </w:p>
        </w:tc>
        <w:tc>
          <w:tcPr>
            <w:tcW w:w="420" w:type="pct"/>
            <w:tcBorders>
              <w:left w:val="single" w:color="auto" w:sz="2" w:space="0"/>
            </w:tcBorders>
            <w:vAlign w:val="center"/>
          </w:tcPr>
          <w:p w14:paraId="5CD6092A">
            <w:pPr>
              <w:tabs>
                <w:tab w:val="left" w:pos="8364"/>
              </w:tabs>
              <w:snapToGrid w:val="0"/>
              <w:spacing w:line="240" w:lineRule="atLeast"/>
              <w:ind w:right="-58"/>
              <w:jc w:val="center"/>
              <w:rPr>
                <w:rFonts w:ascii="宋体"/>
                <w:iCs/>
                <w:color w:val="auto"/>
                <w:highlight w:val="none"/>
              </w:rPr>
            </w:pPr>
            <w:r>
              <w:rPr>
                <w:rFonts w:ascii="宋体"/>
                <w:iCs/>
                <w:color w:val="auto"/>
                <w:highlight w:val="none"/>
              </w:rPr>
              <w:t>含税</w:t>
            </w:r>
            <w:r>
              <w:rPr>
                <w:rFonts w:hint="eastAsia" w:ascii="宋体"/>
                <w:iCs/>
                <w:color w:val="auto"/>
                <w:highlight w:val="none"/>
                <w:lang w:val="en-US" w:eastAsia="zh-CN"/>
              </w:rPr>
              <w:t>金额</w:t>
            </w:r>
          </w:p>
        </w:tc>
        <w:tc>
          <w:tcPr>
            <w:tcW w:w="506" w:type="pct"/>
            <w:vMerge w:val="continue"/>
            <w:vAlign w:val="center"/>
          </w:tcPr>
          <w:p w14:paraId="0ABE25A5">
            <w:pPr>
              <w:tabs>
                <w:tab w:val="left" w:pos="8364"/>
              </w:tabs>
              <w:snapToGrid w:val="0"/>
              <w:spacing w:line="240" w:lineRule="atLeast"/>
              <w:ind w:right="-58"/>
              <w:jc w:val="center"/>
              <w:rPr>
                <w:rFonts w:ascii="宋体"/>
                <w:iCs/>
                <w:color w:val="auto"/>
                <w:highlight w:val="none"/>
              </w:rPr>
            </w:pPr>
          </w:p>
        </w:tc>
      </w:tr>
      <w:tr w14:paraId="0BA4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trPr>
        <w:tc>
          <w:tcPr>
            <w:tcW w:w="156" w:type="pct"/>
            <w:vAlign w:val="center"/>
          </w:tcPr>
          <w:p w14:paraId="6F52C29D">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ascii="宋体"/>
                <w:iCs/>
                <w:color w:val="auto"/>
                <w:highlight w:val="none"/>
              </w:rPr>
            </w:pPr>
            <w:r>
              <w:rPr>
                <w:rFonts w:hint="eastAsia" w:ascii="宋体" w:hAnsi="宋体" w:eastAsia="宋体" w:cs="宋体"/>
                <w:sz w:val="21"/>
                <w:szCs w:val="21"/>
                <w:highlight w:val="none"/>
                <w:lang w:val="en-US" w:eastAsia="zh-CN"/>
              </w:rPr>
              <w:t>1</w:t>
            </w:r>
          </w:p>
        </w:tc>
        <w:tc>
          <w:tcPr>
            <w:tcW w:w="903" w:type="pct"/>
            <w:vAlign w:val="center"/>
          </w:tcPr>
          <w:p w14:paraId="47A79127">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ascii="宋体"/>
                <w:iCs/>
                <w:color w:val="auto"/>
                <w:highlight w:val="none"/>
              </w:rPr>
            </w:pPr>
            <w:r>
              <w:rPr>
                <w:rFonts w:hint="eastAsia" w:ascii="宋体" w:hAnsi="宋体" w:eastAsia="宋体" w:cs="宋体"/>
                <w:sz w:val="21"/>
                <w:szCs w:val="21"/>
                <w:highlight w:val="none"/>
                <w:lang w:val="en-US" w:eastAsia="zh-CN"/>
              </w:rPr>
              <w:t>现场驻场人员服务</w:t>
            </w:r>
          </w:p>
        </w:tc>
        <w:tc>
          <w:tcPr>
            <w:tcW w:w="317" w:type="pct"/>
            <w:vAlign w:val="center"/>
          </w:tcPr>
          <w:p w14:paraId="36D52E99">
            <w:pPr>
              <w:widowControl/>
              <w:jc w:val="center"/>
              <w:rPr>
                <w:rFonts w:hint="eastAsia" w:ascii="宋体" w:eastAsia="宋体"/>
                <w:iCs/>
                <w:color w:val="auto"/>
                <w:highlight w:val="none"/>
                <w:lang w:val="en-US" w:eastAsia="zh-CN"/>
              </w:rPr>
            </w:pPr>
            <w:r>
              <w:rPr>
                <w:rFonts w:hint="eastAsia" w:ascii="宋体"/>
                <w:iCs/>
                <w:color w:val="auto"/>
                <w:highlight w:val="none"/>
                <w:lang w:val="en-US" w:eastAsia="zh-CN"/>
              </w:rPr>
              <w:t>3</w:t>
            </w:r>
          </w:p>
        </w:tc>
        <w:tc>
          <w:tcPr>
            <w:tcW w:w="475" w:type="pct"/>
            <w:vAlign w:val="center"/>
          </w:tcPr>
          <w:p w14:paraId="7A8ABA7C">
            <w:pPr>
              <w:widowControl/>
              <w:jc w:val="center"/>
              <w:rPr>
                <w:rFonts w:ascii="宋体"/>
                <w:iCs/>
                <w:color w:val="auto"/>
                <w:highlight w:val="none"/>
              </w:rPr>
            </w:pPr>
          </w:p>
        </w:tc>
        <w:tc>
          <w:tcPr>
            <w:tcW w:w="353" w:type="pct"/>
            <w:tcBorders>
              <w:right w:val="single" w:color="auto" w:sz="4" w:space="0"/>
            </w:tcBorders>
            <w:vAlign w:val="center"/>
          </w:tcPr>
          <w:p w14:paraId="59916E26">
            <w:pPr>
              <w:widowControl/>
              <w:jc w:val="center"/>
              <w:rPr>
                <w:rFonts w:ascii="宋体"/>
                <w:iCs/>
                <w:color w:val="auto"/>
                <w:highlight w:val="none"/>
              </w:rPr>
            </w:pPr>
          </w:p>
        </w:tc>
        <w:tc>
          <w:tcPr>
            <w:tcW w:w="427" w:type="pct"/>
            <w:tcBorders>
              <w:right w:val="single" w:color="auto" w:sz="2" w:space="0"/>
            </w:tcBorders>
            <w:vAlign w:val="center"/>
          </w:tcPr>
          <w:p w14:paraId="680E521F">
            <w:pPr>
              <w:widowControl/>
              <w:jc w:val="center"/>
              <w:rPr>
                <w:rFonts w:ascii="宋体"/>
                <w:iCs/>
                <w:color w:val="auto"/>
                <w:highlight w:val="none"/>
              </w:rPr>
            </w:pPr>
          </w:p>
        </w:tc>
        <w:tc>
          <w:tcPr>
            <w:tcW w:w="447" w:type="pct"/>
            <w:tcBorders>
              <w:left w:val="single" w:color="auto" w:sz="2" w:space="0"/>
            </w:tcBorders>
            <w:vAlign w:val="center"/>
          </w:tcPr>
          <w:p w14:paraId="7348EE85">
            <w:pPr>
              <w:widowControl/>
              <w:jc w:val="center"/>
              <w:rPr>
                <w:rFonts w:ascii="宋体"/>
                <w:iCs/>
                <w:color w:val="auto"/>
                <w:highlight w:val="none"/>
              </w:rPr>
            </w:pPr>
          </w:p>
        </w:tc>
        <w:tc>
          <w:tcPr>
            <w:tcW w:w="560" w:type="pct"/>
            <w:tcBorders>
              <w:left w:val="single" w:color="auto" w:sz="2" w:space="0"/>
            </w:tcBorders>
            <w:vAlign w:val="center"/>
          </w:tcPr>
          <w:p w14:paraId="1BBF27C3">
            <w:pPr>
              <w:widowControl/>
              <w:jc w:val="center"/>
              <w:rPr>
                <w:rFonts w:ascii="宋体"/>
                <w:iCs/>
                <w:color w:val="auto"/>
                <w:highlight w:val="none"/>
              </w:rPr>
            </w:pPr>
          </w:p>
        </w:tc>
        <w:tc>
          <w:tcPr>
            <w:tcW w:w="431" w:type="pct"/>
            <w:tcBorders>
              <w:left w:val="single" w:color="auto" w:sz="2" w:space="0"/>
            </w:tcBorders>
            <w:vAlign w:val="center"/>
          </w:tcPr>
          <w:p w14:paraId="7D7F78DF">
            <w:pPr>
              <w:widowControl/>
              <w:jc w:val="center"/>
              <w:rPr>
                <w:rFonts w:ascii="宋体"/>
                <w:iCs/>
                <w:color w:val="auto"/>
                <w:highlight w:val="none"/>
              </w:rPr>
            </w:pPr>
          </w:p>
        </w:tc>
        <w:tc>
          <w:tcPr>
            <w:tcW w:w="420" w:type="pct"/>
            <w:tcBorders>
              <w:left w:val="single" w:color="auto" w:sz="2" w:space="0"/>
            </w:tcBorders>
            <w:vAlign w:val="center"/>
          </w:tcPr>
          <w:p w14:paraId="513D0A56">
            <w:pPr>
              <w:widowControl/>
              <w:jc w:val="center"/>
              <w:rPr>
                <w:rFonts w:ascii="宋体"/>
                <w:iCs/>
                <w:color w:val="auto"/>
                <w:highlight w:val="none"/>
              </w:rPr>
            </w:pPr>
          </w:p>
        </w:tc>
        <w:tc>
          <w:tcPr>
            <w:tcW w:w="506" w:type="pct"/>
            <w:tcBorders>
              <w:left w:val="single" w:color="auto" w:sz="2" w:space="0"/>
            </w:tcBorders>
            <w:vAlign w:val="center"/>
          </w:tcPr>
          <w:p w14:paraId="67325CD3">
            <w:pPr>
              <w:widowControl/>
              <w:jc w:val="center"/>
              <w:rPr>
                <w:rFonts w:ascii="宋体"/>
                <w:iCs/>
                <w:color w:val="auto"/>
                <w:highlight w:val="none"/>
              </w:rPr>
            </w:pPr>
          </w:p>
        </w:tc>
      </w:tr>
      <w:tr w14:paraId="3C836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10" w:hRule="atLeast"/>
        </w:trPr>
        <w:tc>
          <w:tcPr>
            <w:tcW w:w="156" w:type="pct"/>
            <w:vAlign w:val="center"/>
          </w:tcPr>
          <w:p w14:paraId="5EE8C9B5">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ascii="宋体"/>
                <w:iCs/>
                <w:color w:val="auto"/>
                <w:highlight w:val="none"/>
              </w:rPr>
            </w:pPr>
            <w:r>
              <w:rPr>
                <w:rFonts w:hint="eastAsia" w:ascii="宋体" w:hAnsi="宋体" w:eastAsia="宋体" w:cs="宋体"/>
                <w:sz w:val="21"/>
                <w:szCs w:val="21"/>
                <w:highlight w:val="none"/>
                <w:lang w:val="en-US" w:eastAsia="zh-CN"/>
              </w:rPr>
              <w:t>2</w:t>
            </w:r>
          </w:p>
        </w:tc>
        <w:tc>
          <w:tcPr>
            <w:tcW w:w="903" w:type="pct"/>
            <w:shd w:val="clear" w:color="auto" w:fill="auto"/>
            <w:vAlign w:val="center"/>
          </w:tcPr>
          <w:p w14:paraId="2BABE3E7">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ascii="宋体" w:hAnsi="Times New Roman" w:eastAsia="宋体" w:cs="Times New Roman"/>
                <w:iCs/>
                <w:color w:val="auto"/>
                <w:kern w:val="2"/>
                <w:sz w:val="21"/>
                <w:highlight w:val="none"/>
                <w:lang w:val="en-US" w:eastAsia="zh-CN" w:bidi="ar-SA"/>
              </w:rPr>
            </w:pPr>
            <w:r>
              <w:rPr>
                <w:rFonts w:hint="eastAsia" w:ascii="宋体" w:hAnsi="宋体" w:eastAsia="宋体" w:cs="宋体"/>
                <w:sz w:val="21"/>
                <w:szCs w:val="21"/>
                <w:highlight w:val="none"/>
                <w:lang w:val="en-US" w:eastAsia="zh-CN"/>
              </w:rPr>
              <w:t>网络防护安全服务</w:t>
            </w:r>
          </w:p>
        </w:tc>
        <w:tc>
          <w:tcPr>
            <w:tcW w:w="317" w:type="pct"/>
            <w:vAlign w:val="center"/>
          </w:tcPr>
          <w:p w14:paraId="41B1974F">
            <w:pPr>
              <w:widowControl/>
              <w:jc w:val="center"/>
              <w:rPr>
                <w:rFonts w:hint="eastAsia" w:ascii="宋体" w:eastAsia="宋体"/>
                <w:iCs/>
                <w:color w:val="auto"/>
                <w:highlight w:val="none"/>
                <w:lang w:val="en-US" w:eastAsia="zh-CN"/>
              </w:rPr>
            </w:pPr>
            <w:r>
              <w:rPr>
                <w:rFonts w:hint="eastAsia" w:ascii="宋体"/>
                <w:iCs/>
                <w:color w:val="auto"/>
                <w:highlight w:val="none"/>
                <w:lang w:val="en-US" w:eastAsia="zh-CN"/>
              </w:rPr>
              <w:t>3</w:t>
            </w:r>
          </w:p>
        </w:tc>
        <w:tc>
          <w:tcPr>
            <w:tcW w:w="475" w:type="pct"/>
            <w:vAlign w:val="center"/>
          </w:tcPr>
          <w:p w14:paraId="1425FCBB">
            <w:pPr>
              <w:widowControl/>
              <w:jc w:val="center"/>
              <w:rPr>
                <w:rFonts w:ascii="宋体"/>
                <w:iCs/>
                <w:color w:val="auto"/>
                <w:highlight w:val="none"/>
              </w:rPr>
            </w:pPr>
          </w:p>
        </w:tc>
        <w:tc>
          <w:tcPr>
            <w:tcW w:w="353" w:type="pct"/>
            <w:tcBorders>
              <w:right w:val="single" w:color="auto" w:sz="4" w:space="0"/>
            </w:tcBorders>
            <w:vAlign w:val="center"/>
          </w:tcPr>
          <w:p w14:paraId="62F2330A">
            <w:pPr>
              <w:widowControl/>
              <w:jc w:val="center"/>
              <w:rPr>
                <w:rFonts w:ascii="宋体"/>
                <w:iCs/>
                <w:color w:val="auto"/>
                <w:highlight w:val="none"/>
              </w:rPr>
            </w:pPr>
          </w:p>
        </w:tc>
        <w:tc>
          <w:tcPr>
            <w:tcW w:w="427" w:type="pct"/>
            <w:tcBorders>
              <w:right w:val="single" w:color="auto" w:sz="2" w:space="0"/>
            </w:tcBorders>
            <w:vAlign w:val="center"/>
          </w:tcPr>
          <w:p w14:paraId="254FA970">
            <w:pPr>
              <w:widowControl/>
              <w:jc w:val="center"/>
              <w:rPr>
                <w:rFonts w:ascii="宋体"/>
                <w:iCs/>
                <w:color w:val="auto"/>
                <w:highlight w:val="none"/>
              </w:rPr>
            </w:pPr>
          </w:p>
        </w:tc>
        <w:tc>
          <w:tcPr>
            <w:tcW w:w="447" w:type="pct"/>
            <w:tcBorders>
              <w:left w:val="single" w:color="auto" w:sz="2" w:space="0"/>
            </w:tcBorders>
            <w:vAlign w:val="center"/>
          </w:tcPr>
          <w:p w14:paraId="1AA418AE">
            <w:pPr>
              <w:widowControl/>
              <w:jc w:val="center"/>
              <w:rPr>
                <w:rFonts w:ascii="宋体"/>
                <w:iCs/>
                <w:color w:val="auto"/>
                <w:highlight w:val="none"/>
              </w:rPr>
            </w:pPr>
          </w:p>
        </w:tc>
        <w:tc>
          <w:tcPr>
            <w:tcW w:w="560" w:type="pct"/>
            <w:tcBorders>
              <w:left w:val="single" w:color="auto" w:sz="2" w:space="0"/>
            </w:tcBorders>
            <w:vAlign w:val="center"/>
          </w:tcPr>
          <w:p w14:paraId="642D16E0">
            <w:pPr>
              <w:widowControl/>
              <w:jc w:val="center"/>
              <w:rPr>
                <w:rFonts w:ascii="宋体"/>
                <w:iCs/>
                <w:color w:val="auto"/>
                <w:highlight w:val="none"/>
              </w:rPr>
            </w:pPr>
          </w:p>
        </w:tc>
        <w:tc>
          <w:tcPr>
            <w:tcW w:w="431" w:type="pct"/>
            <w:tcBorders>
              <w:left w:val="single" w:color="auto" w:sz="2" w:space="0"/>
            </w:tcBorders>
            <w:vAlign w:val="center"/>
          </w:tcPr>
          <w:p w14:paraId="4677C455">
            <w:pPr>
              <w:widowControl/>
              <w:jc w:val="center"/>
              <w:rPr>
                <w:rFonts w:ascii="宋体"/>
                <w:iCs/>
                <w:color w:val="auto"/>
                <w:highlight w:val="none"/>
              </w:rPr>
            </w:pPr>
          </w:p>
        </w:tc>
        <w:tc>
          <w:tcPr>
            <w:tcW w:w="420" w:type="pct"/>
            <w:tcBorders>
              <w:left w:val="single" w:color="auto" w:sz="2" w:space="0"/>
            </w:tcBorders>
            <w:vAlign w:val="center"/>
          </w:tcPr>
          <w:p w14:paraId="5F821DEB">
            <w:pPr>
              <w:widowControl/>
              <w:jc w:val="center"/>
              <w:rPr>
                <w:rFonts w:ascii="宋体"/>
                <w:iCs/>
                <w:color w:val="auto"/>
                <w:highlight w:val="none"/>
              </w:rPr>
            </w:pPr>
          </w:p>
        </w:tc>
        <w:tc>
          <w:tcPr>
            <w:tcW w:w="506" w:type="pct"/>
            <w:tcBorders>
              <w:left w:val="single" w:color="auto" w:sz="2" w:space="0"/>
            </w:tcBorders>
            <w:vAlign w:val="center"/>
          </w:tcPr>
          <w:p w14:paraId="298129BB">
            <w:pPr>
              <w:widowControl/>
              <w:jc w:val="center"/>
              <w:rPr>
                <w:rFonts w:hint="default" w:ascii="宋体" w:eastAsia="宋体"/>
                <w:iCs/>
                <w:color w:val="auto"/>
                <w:highlight w:val="none"/>
                <w:lang w:val="en-US" w:eastAsia="zh-CN"/>
              </w:rPr>
            </w:pPr>
          </w:p>
        </w:tc>
      </w:tr>
      <w:tr w14:paraId="66F08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trPr>
        <w:tc>
          <w:tcPr>
            <w:tcW w:w="156" w:type="pct"/>
            <w:vAlign w:val="center"/>
          </w:tcPr>
          <w:p w14:paraId="6930FA70">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ascii="宋体"/>
                <w:iCs/>
                <w:color w:val="auto"/>
                <w:highlight w:val="none"/>
              </w:rPr>
            </w:pPr>
            <w:r>
              <w:rPr>
                <w:rFonts w:hint="eastAsia" w:ascii="宋体" w:hAnsi="宋体" w:eastAsia="宋体" w:cs="宋体"/>
                <w:strike w:val="0"/>
                <w:dstrike w:val="0"/>
                <w:sz w:val="21"/>
                <w:szCs w:val="21"/>
                <w:highlight w:val="none"/>
                <w:lang w:val="en-US" w:eastAsia="zh-CN"/>
              </w:rPr>
              <w:t>3</w:t>
            </w:r>
          </w:p>
        </w:tc>
        <w:tc>
          <w:tcPr>
            <w:tcW w:w="903" w:type="pct"/>
            <w:shd w:val="clear" w:color="auto" w:fill="auto"/>
            <w:vAlign w:val="center"/>
          </w:tcPr>
          <w:p w14:paraId="574385A9">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default" w:ascii="宋体" w:hAnsi="Times New Roman" w:eastAsia="宋体" w:cs="Times New Roman"/>
                <w:iCs/>
                <w:color w:val="auto"/>
                <w:kern w:val="2"/>
                <w:sz w:val="21"/>
                <w:highlight w:val="none"/>
                <w:lang w:val="en-US" w:eastAsia="zh-CN" w:bidi="ar-SA"/>
              </w:rPr>
            </w:pPr>
            <w:r>
              <w:rPr>
                <w:rFonts w:hint="eastAsia" w:ascii="宋体" w:hAnsi="宋体" w:eastAsia="宋体" w:cs="宋体"/>
                <w:strike w:val="0"/>
                <w:dstrike w:val="0"/>
                <w:sz w:val="21"/>
                <w:szCs w:val="21"/>
                <w:highlight w:val="none"/>
                <w:lang w:val="en-US" w:eastAsia="zh-CN"/>
              </w:rPr>
              <w:t>系统安全测评服务</w:t>
            </w:r>
          </w:p>
        </w:tc>
        <w:tc>
          <w:tcPr>
            <w:tcW w:w="317" w:type="pct"/>
            <w:vAlign w:val="center"/>
          </w:tcPr>
          <w:p w14:paraId="044862B9">
            <w:pPr>
              <w:widowControl/>
              <w:jc w:val="center"/>
              <w:rPr>
                <w:rFonts w:hint="eastAsia" w:ascii="宋体" w:eastAsia="宋体"/>
                <w:iCs/>
                <w:color w:val="auto"/>
                <w:highlight w:val="none"/>
                <w:lang w:val="en-US" w:eastAsia="zh-CN"/>
              </w:rPr>
            </w:pPr>
            <w:r>
              <w:rPr>
                <w:rFonts w:hint="eastAsia" w:ascii="宋体"/>
                <w:iCs/>
                <w:color w:val="auto"/>
                <w:highlight w:val="none"/>
                <w:lang w:val="en-US" w:eastAsia="zh-CN"/>
              </w:rPr>
              <w:t>3</w:t>
            </w:r>
          </w:p>
        </w:tc>
        <w:tc>
          <w:tcPr>
            <w:tcW w:w="475" w:type="pct"/>
            <w:vAlign w:val="center"/>
          </w:tcPr>
          <w:p w14:paraId="01F31248">
            <w:pPr>
              <w:widowControl/>
              <w:jc w:val="center"/>
              <w:rPr>
                <w:rFonts w:ascii="宋体"/>
                <w:iCs/>
                <w:color w:val="auto"/>
                <w:highlight w:val="none"/>
              </w:rPr>
            </w:pPr>
          </w:p>
        </w:tc>
        <w:tc>
          <w:tcPr>
            <w:tcW w:w="353" w:type="pct"/>
            <w:tcBorders>
              <w:right w:val="single" w:color="auto" w:sz="4" w:space="0"/>
            </w:tcBorders>
            <w:vAlign w:val="center"/>
          </w:tcPr>
          <w:p w14:paraId="1F3942BD">
            <w:pPr>
              <w:widowControl/>
              <w:jc w:val="center"/>
              <w:rPr>
                <w:rFonts w:ascii="宋体"/>
                <w:iCs/>
                <w:color w:val="auto"/>
                <w:highlight w:val="none"/>
              </w:rPr>
            </w:pPr>
          </w:p>
        </w:tc>
        <w:tc>
          <w:tcPr>
            <w:tcW w:w="427" w:type="pct"/>
            <w:tcBorders>
              <w:right w:val="single" w:color="auto" w:sz="2" w:space="0"/>
            </w:tcBorders>
            <w:vAlign w:val="center"/>
          </w:tcPr>
          <w:p w14:paraId="5CC0F000">
            <w:pPr>
              <w:widowControl/>
              <w:jc w:val="center"/>
              <w:rPr>
                <w:rFonts w:ascii="宋体"/>
                <w:iCs/>
                <w:color w:val="auto"/>
                <w:highlight w:val="none"/>
              </w:rPr>
            </w:pPr>
          </w:p>
        </w:tc>
        <w:tc>
          <w:tcPr>
            <w:tcW w:w="447" w:type="pct"/>
            <w:tcBorders>
              <w:left w:val="single" w:color="auto" w:sz="2" w:space="0"/>
            </w:tcBorders>
            <w:vAlign w:val="center"/>
          </w:tcPr>
          <w:p w14:paraId="29A638C5">
            <w:pPr>
              <w:widowControl/>
              <w:jc w:val="center"/>
              <w:rPr>
                <w:rFonts w:ascii="宋体"/>
                <w:iCs/>
                <w:color w:val="auto"/>
                <w:highlight w:val="none"/>
              </w:rPr>
            </w:pPr>
          </w:p>
        </w:tc>
        <w:tc>
          <w:tcPr>
            <w:tcW w:w="560" w:type="pct"/>
            <w:tcBorders>
              <w:left w:val="single" w:color="auto" w:sz="2" w:space="0"/>
            </w:tcBorders>
            <w:vAlign w:val="center"/>
          </w:tcPr>
          <w:p w14:paraId="10443994">
            <w:pPr>
              <w:widowControl/>
              <w:jc w:val="center"/>
              <w:rPr>
                <w:rFonts w:ascii="宋体"/>
                <w:iCs/>
                <w:color w:val="auto"/>
                <w:highlight w:val="none"/>
              </w:rPr>
            </w:pPr>
          </w:p>
        </w:tc>
        <w:tc>
          <w:tcPr>
            <w:tcW w:w="431" w:type="pct"/>
            <w:tcBorders>
              <w:left w:val="single" w:color="auto" w:sz="2" w:space="0"/>
            </w:tcBorders>
            <w:vAlign w:val="center"/>
          </w:tcPr>
          <w:p w14:paraId="45DDBDEE">
            <w:pPr>
              <w:widowControl/>
              <w:jc w:val="center"/>
              <w:rPr>
                <w:rFonts w:ascii="宋体"/>
                <w:iCs/>
                <w:color w:val="auto"/>
                <w:highlight w:val="none"/>
              </w:rPr>
            </w:pPr>
          </w:p>
        </w:tc>
        <w:tc>
          <w:tcPr>
            <w:tcW w:w="420" w:type="pct"/>
            <w:tcBorders>
              <w:left w:val="single" w:color="auto" w:sz="2" w:space="0"/>
            </w:tcBorders>
            <w:vAlign w:val="center"/>
          </w:tcPr>
          <w:p w14:paraId="0130770D">
            <w:pPr>
              <w:widowControl/>
              <w:jc w:val="center"/>
              <w:rPr>
                <w:rFonts w:ascii="宋体"/>
                <w:iCs/>
                <w:color w:val="auto"/>
                <w:highlight w:val="none"/>
              </w:rPr>
            </w:pPr>
          </w:p>
        </w:tc>
        <w:tc>
          <w:tcPr>
            <w:tcW w:w="506" w:type="pct"/>
            <w:tcBorders>
              <w:left w:val="single" w:color="auto" w:sz="2" w:space="0"/>
            </w:tcBorders>
            <w:vAlign w:val="center"/>
          </w:tcPr>
          <w:p w14:paraId="57936A87">
            <w:pPr>
              <w:widowControl/>
              <w:jc w:val="center"/>
              <w:rPr>
                <w:rFonts w:ascii="宋体"/>
                <w:iCs/>
                <w:color w:val="auto"/>
                <w:highlight w:val="none"/>
              </w:rPr>
            </w:pPr>
          </w:p>
        </w:tc>
      </w:tr>
      <w:tr w14:paraId="7EB8C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trPr>
        <w:tc>
          <w:tcPr>
            <w:tcW w:w="156" w:type="pct"/>
            <w:vAlign w:val="center"/>
          </w:tcPr>
          <w:p w14:paraId="69CAA96C">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eastAsia="宋体"/>
                <w:iCs/>
                <w:color w:val="auto"/>
                <w:highlight w:val="none"/>
                <w:lang w:val="en-US" w:eastAsia="zh-CN"/>
              </w:rPr>
            </w:pPr>
            <w:r>
              <w:rPr>
                <w:rFonts w:hint="eastAsia" w:ascii="宋体" w:hAnsi="宋体" w:eastAsia="宋体" w:cs="宋体"/>
                <w:strike w:val="0"/>
                <w:dstrike w:val="0"/>
                <w:sz w:val="21"/>
                <w:szCs w:val="21"/>
                <w:highlight w:val="none"/>
                <w:lang w:val="en-US" w:eastAsia="zh-CN"/>
              </w:rPr>
              <w:t>4</w:t>
            </w:r>
          </w:p>
        </w:tc>
        <w:tc>
          <w:tcPr>
            <w:tcW w:w="903" w:type="pct"/>
            <w:shd w:val="clear" w:color="auto" w:fill="auto"/>
            <w:vAlign w:val="center"/>
          </w:tcPr>
          <w:p w14:paraId="5163011A">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iCs/>
                <w:color w:val="auto"/>
                <w:highlight w:val="none"/>
                <w:lang w:val="en-US" w:eastAsia="zh-CN"/>
              </w:rPr>
            </w:pPr>
            <w:r>
              <w:rPr>
                <w:rFonts w:hint="eastAsia" w:ascii="宋体" w:hAnsi="宋体" w:eastAsia="宋体" w:cs="宋体"/>
                <w:strike w:val="0"/>
                <w:dstrike w:val="0"/>
                <w:sz w:val="21"/>
                <w:szCs w:val="21"/>
                <w:highlight w:val="none"/>
                <w:lang w:val="en-US" w:eastAsia="zh-CN"/>
              </w:rPr>
              <w:t>网络安全保障</w:t>
            </w:r>
          </w:p>
        </w:tc>
        <w:tc>
          <w:tcPr>
            <w:tcW w:w="317" w:type="pct"/>
            <w:vAlign w:val="center"/>
          </w:tcPr>
          <w:p w14:paraId="2D984EC6">
            <w:pPr>
              <w:widowControl/>
              <w:jc w:val="center"/>
              <w:rPr>
                <w:rFonts w:hint="eastAsia" w:ascii="宋体" w:eastAsia="宋体"/>
                <w:iCs/>
                <w:color w:val="auto"/>
                <w:highlight w:val="none"/>
                <w:lang w:val="en-US" w:eastAsia="zh-CN"/>
              </w:rPr>
            </w:pPr>
            <w:r>
              <w:rPr>
                <w:rFonts w:hint="eastAsia" w:ascii="宋体"/>
                <w:iCs/>
                <w:color w:val="auto"/>
                <w:highlight w:val="none"/>
                <w:lang w:val="en-US" w:eastAsia="zh-CN"/>
              </w:rPr>
              <w:t>3</w:t>
            </w:r>
          </w:p>
        </w:tc>
        <w:tc>
          <w:tcPr>
            <w:tcW w:w="475" w:type="pct"/>
            <w:vAlign w:val="center"/>
          </w:tcPr>
          <w:p w14:paraId="78021B44">
            <w:pPr>
              <w:widowControl/>
              <w:jc w:val="center"/>
              <w:rPr>
                <w:rFonts w:ascii="宋体"/>
                <w:iCs/>
                <w:color w:val="auto"/>
                <w:highlight w:val="none"/>
              </w:rPr>
            </w:pPr>
          </w:p>
        </w:tc>
        <w:tc>
          <w:tcPr>
            <w:tcW w:w="353" w:type="pct"/>
            <w:tcBorders>
              <w:right w:val="single" w:color="auto" w:sz="4" w:space="0"/>
            </w:tcBorders>
            <w:vAlign w:val="center"/>
          </w:tcPr>
          <w:p w14:paraId="20E1D5DF">
            <w:pPr>
              <w:widowControl/>
              <w:jc w:val="center"/>
              <w:rPr>
                <w:rFonts w:ascii="宋体"/>
                <w:iCs/>
                <w:color w:val="auto"/>
                <w:highlight w:val="none"/>
              </w:rPr>
            </w:pPr>
          </w:p>
        </w:tc>
        <w:tc>
          <w:tcPr>
            <w:tcW w:w="427" w:type="pct"/>
            <w:tcBorders>
              <w:right w:val="single" w:color="auto" w:sz="2" w:space="0"/>
            </w:tcBorders>
            <w:vAlign w:val="center"/>
          </w:tcPr>
          <w:p w14:paraId="0C7802DD">
            <w:pPr>
              <w:widowControl/>
              <w:jc w:val="center"/>
              <w:rPr>
                <w:rFonts w:ascii="宋体"/>
                <w:iCs/>
                <w:color w:val="auto"/>
                <w:highlight w:val="none"/>
              </w:rPr>
            </w:pPr>
          </w:p>
        </w:tc>
        <w:tc>
          <w:tcPr>
            <w:tcW w:w="447" w:type="pct"/>
            <w:tcBorders>
              <w:left w:val="single" w:color="auto" w:sz="2" w:space="0"/>
            </w:tcBorders>
            <w:vAlign w:val="center"/>
          </w:tcPr>
          <w:p w14:paraId="2FC8484A">
            <w:pPr>
              <w:widowControl/>
              <w:jc w:val="center"/>
              <w:rPr>
                <w:rFonts w:ascii="宋体"/>
                <w:iCs/>
                <w:color w:val="auto"/>
                <w:highlight w:val="none"/>
              </w:rPr>
            </w:pPr>
          </w:p>
        </w:tc>
        <w:tc>
          <w:tcPr>
            <w:tcW w:w="560" w:type="pct"/>
            <w:tcBorders>
              <w:left w:val="single" w:color="auto" w:sz="2" w:space="0"/>
            </w:tcBorders>
            <w:vAlign w:val="center"/>
          </w:tcPr>
          <w:p w14:paraId="3088CFF5">
            <w:pPr>
              <w:widowControl/>
              <w:jc w:val="center"/>
              <w:rPr>
                <w:rFonts w:ascii="宋体"/>
                <w:iCs/>
                <w:color w:val="auto"/>
                <w:highlight w:val="none"/>
              </w:rPr>
            </w:pPr>
          </w:p>
        </w:tc>
        <w:tc>
          <w:tcPr>
            <w:tcW w:w="431" w:type="pct"/>
            <w:tcBorders>
              <w:left w:val="single" w:color="auto" w:sz="2" w:space="0"/>
            </w:tcBorders>
            <w:vAlign w:val="center"/>
          </w:tcPr>
          <w:p w14:paraId="03B960AB">
            <w:pPr>
              <w:widowControl/>
              <w:jc w:val="center"/>
              <w:rPr>
                <w:rFonts w:ascii="宋体"/>
                <w:iCs/>
                <w:color w:val="auto"/>
                <w:highlight w:val="none"/>
              </w:rPr>
            </w:pPr>
          </w:p>
        </w:tc>
        <w:tc>
          <w:tcPr>
            <w:tcW w:w="420" w:type="pct"/>
            <w:tcBorders>
              <w:left w:val="single" w:color="auto" w:sz="2" w:space="0"/>
            </w:tcBorders>
            <w:vAlign w:val="center"/>
          </w:tcPr>
          <w:p w14:paraId="51E599D9">
            <w:pPr>
              <w:widowControl/>
              <w:jc w:val="center"/>
              <w:rPr>
                <w:rFonts w:ascii="宋体"/>
                <w:iCs/>
                <w:color w:val="auto"/>
                <w:highlight w:val="none"/>
              </w:rPr>
            </w:pPr>
          </w:p>
        </w:tc>
        <w:tc>
          <w:tcPr>
            <w:tcW w:w="506" w:type="pct"/>
            <w:tcBorders>
              <w:left w:val="single" w:color="auto" w:sz="2" w:space="0"/>
            </w:tcBorders>
            <w:vAlign w:val="center"/>
          </w:tcPr>
          <w:p w14:paraId="41AA284E">
            <w:pPr>
              <w:widowControl/>
              <w:jc w:val="center"/>
              <w:rPr>
                <w:rFonts w:ascii="宋体"/>
                <w:iCs/>
                <w:color w:val="auto"/>
                <w:highlight w:val="none"/>
              </w:rPr>
            </w:pPr>
          </w:p>
        </w:tc>
      </w:tr>
      <w:tr w14:paraId="6A276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30" w:hRule="atLeast"/>
        </w:trPr>
        <w:tc>
          <w:tcPr>
            <w:tcW w:w="156" w:type="pct"/>
            <w:vAlign w:val="center"/>
          </w:tcPr>
          <w:p w14:paraId="07B032FC">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eastAsia="宋体"/>
                <w:iCs/>
                <w:color w:val="auto"/>
                <w:highlight w:val="none"/>
                <w:lang w:val="en-US" w:eastAsia="zh-CN"/>
              </w:rPr>
            </w:pPr>
            <w:r>
              <w:rPr>
                <w:rFonts w:hint="eastAsia" w:ascii="宋体" w:hAnsi="宋体" w:eastAsia="宋体" w:cs="宋体"/>
                <w:strike w:val="0"/>
                <w:dstrike w:val="0"/>
                <w:sz w:val="21"/>
                <w:szCs w:val="21"/>
                <w:highlight w:val="none"/>
                <w:lang w:val="en-US" w:eastAsia="zh-CN"/>
              </w:rPr>
              <w:t>5</w:t>
            </w:r>
          </w:p>
        </w:tc>
        <w:tc>
          <w:tcPr>
            <w:tcW w:w="903" w:type="pct"/>
            <w:shd w:val="clear" w:color="auto" w:fill="auto"/>
            <w:vAlign w:val="center"/>
          </w:tcPr>
          <w:p w14:paraId="060002D6">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iCs/>
                <w:color w:val="auto"/>
                <w:highlight w:val="none"/>
                <w:lang w:val="en-US" w:eastAsia="zh-CN"/>
              </w:rPr>
            </w:pPr>
            <w:r>
              <w:rPr>
                <w:rFonts w:hint="eastAsia" w:ascii="宋体" w:hAnsi="宋体" w:eastAsia="宋体" w:cs="宋体"/>
                <w:strike w:val="0"/>
                <w:dstrike w:val="0"/>
                <w:sz w:val="21"/>
                <w:szCs w:val="21"/>
                <w:highlight w:val="none"/>
                <w:lang w:val="en-US" w:eastAsia="zh-CN"/>
              </w:rPr>
              <w:t>信息网络安全支持服务</w:t>
            </w:r>
          </w:p>
        </w:tc>
        <w:tc>
          <w:tcPr>
            <w:tcW w:w="317" w:type="pct"/>
            <w:vAlign w:val="center"/>
          </w:tcPr>
          <w:p w14:paraId="65214069">
            <w:pPr>
              <w:widowControl/>
              <w:jc w:val="center"/>
              <w:rPr>
                <w:rFonts w:hint="eastAsia" w:ascii="宋体" w:eastAsia="宋体"/>
                <w:iCs/>
                <w:color w:val="auto"/>
                <w:highlight w:val="none"/>
                <w:lang w:val="en-US" w:eastAsia="zh-CN"/>
              </w:rPr>
            </w:pPr>
            <w:r>
              <w:rPr>
                <w:rFonts w:hint="eastAsia" w:ascii="宋体"/>
                <w:iCs/>
                <w:color w:val="auto"/>
                <w:highlight w:val="none"/>
                <w:lang w:val="en-US" w:eastAsia="zh-CN"/>
              </w:rPr>
              <w:t>3</w:t>
            </w:r>
          </w:p>
        </w:tc>
        <w:tc>
          <w:tcPr>
            <w:tcW w:w="475" w:type="pct"/>
            <w:vAlign w:val="center"/>
          </w:tcPr>
          <w:p w14:paraId="1321F868">
            <w:pPr>
              <w:widowControl/>
              <w:jc w:val="center"/>
              <w:rPr>
                <w:rFonts w:ascii="宋体"/>
                <w:iCs/>
                <w:color w:val="auto"/>
                <w:highlight w:val="none"/>
              </w:rPr>
            </w:pPr>
          </w:p>
        </w:tc>
        <w:tc>
          <w:tcPr>
            <w:tcW w:w="353" w:type="pct"/>
            <w:tcBorders>
              <w:right w:val="single" w:color="auto" w:sz="4" w:space="0"/>
            </w:tcBorders>
            <w:vAlign w:val="center"/>
          </w:tcPr>
          <w:p w14:paraId="7953C916">
            <w:pPr>
              <w:widowControl/>
              <w:jc w:val="center"/>
              <w:rPr>
                <w:rFonts w:ascii="宋体"/>
                <w:iCs/>
                <w:color w:val="auto"/>
                <w:highlight w:val="none"/>
              </w:rPr>
            </w:pPr>
          </w:p>
        </w:tc>
        <w:tc>
          <w:tcPr>
            <w:tcW w:w="427" w:type="pct"/>
            <w:tcBorders>
              <w:right w:val="single" w:color="auto" w:sz="2" w:space="0"/>
            </w:tcBorders>
            <w:vAlign w:val="center"/>
          </w:tcPr>
          <w:p w14:paraId="5D97A964">
            <w:pPr>
              <w:widowControl/>
              <w:jc w:val="center"/>
              <w:rPr>
                <w:rFonts w:ascii="宋体"/>
                <w:iCs/>
                <w:color w:val="auto"/>
                <w:highlight w:val="none"/>
              </w:rPr>
            </w:pPr>
          </w:p>
        </w:tc>
        <w:tc>
          <w:tcPr>
            <w:tcW w:w="447" w:type="pct"/>
            <w:tcBorders>
              <w:left w:val="single" w:color="auto" w:sz="2" w:space="0"/>
            </w:tcBorders>
            <w:vAlign w:val="center"/>
          </w:tcPr>
          <w:p w14:paraId="34397F22">
            <w:pPr>
              <w:widowControl/>
              <w:jc w:val="center"/>
              <w:rPr>
                <w:rFonts w:ascii="宋体"/>
                <w:iCs/>
                <w:color w:val="auto"/>
                <w:highlight w:val="none"/>
              </w:rPr>
            </w:pPr>
          </w:p>
        </w:tc>
        <w:tc>
          <w:tcPr>
            <w:tcW w:w="560" w:type="pct"/>
            <w:tcBorders>
              <w:left w:val="single" w:color="auto" w:sz="2" w:space="0"/>
            </w:tcBorders>
            <w:vAlign w:val="center"/>
          </w:tcPr>
          <w:p w14:paraId="265248E2">
            <w:pPr>
              <w:widowControl/>
              <w:jc w:val="center"/>
              <w:rPr>
                <w:rFonts w:ascii="宋体"/>
                <w:iCs/>
                <w:color w:val="auto"/>
                <w:highlight w:val="none"/>
              </w:rPr>
            </w:pPr>
          </w:p>
        </w:tc>
        <w:tc>
          <w:tcPr>
            <w:tcW w:w="431" w:type="pct"/>
            <w:tcBorders>
              <w:left w:val="single" w:color="auto" w:sz="2" w:space="0"/>
            </w:tcBorders>
            <w:vAlign w:val="center"/>
          </w:tcPr>
          <w:p w14:paraId="56AC9B18">
            <w:pPr>
              <w:widowControl/>
              <w:jc w:val="center"/>
              <w:rPr>
                <w:rFonts w:ascii="宋体"/>
                <w:iCs/>
                <w:color w:val="auto"/>
                <w:highlight w:val="none"/>
              </w:rPr>
            </w:pPr>
          </w:p>
        </w:tc>
        <w:tc>
          <w:tcPr>
            <w:tcW w:w="420" w:type="pct"/>
            <w:tcBorders>
              <w:left w:val="single" w:color="auto" w:sz="2" w:space="0"/>
            </w:tcBorders>
            <w:vAlign w:val="center"/>
          </w:tcPr>
          <w:p w14:paraId="11F4B6E1">
            <w:pPr>
              <w:widowControl/>
              <w:jc w:val="center"/>
              <w:rPr>
                <w:rFonts w:ascii="宋体"/>
                <w:iCs/>
                <w:color w:val="auto"/>
                <w:highlight w:val="none"/>
              </w:rPr>
            </w:pPr>
          </w:p>
        </w:tc>
        <w:tc>
          <w:tcPr>
            <w:tcW w:w="506" w:type="pct"/>
            <w:tcBorders>
              <w:left w:val="single" w:color="auto" w:sz="2" w:space="0"/>
            </w:tcBorders>
            <w:vAlign w:val="center"/>
          </w:tcPr>
          <w:p w14:paraId="74DD044B">
            <w:pPr>
              <w:widowControl/>
              <w:jc w:val="center"/>
              <w:rPr>
                <w:rFonts w:ascii="宋体"/>
                <w:iCs/>
                <w:color w:val="auto"/>
                <w:highlight w:val="none"/>
              </w:rPr>
            </w:pPr>
          </w:p>
        </w:tc>
      </w:tr>
      <w:tr w14:paraId="5FE94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80" w:hRule="atLeast"/>
        </w:trPr>
        <w:tc>
          <w:tcPr>
            <w:tcW w:w="156" w:type="pct"/>
            <w:vAlign w:val="center"/>
          </w:tcPr>
          <w:p w14:paraId="53FEC382">
            <w:pPr>
              <w:keepNext w:val="0"/>
              <w:keepLines w:val="0"/>
              <w:pageBreakBefore w:val="0"/>
              <w:widowControl w:val="0"/>
              <w:kinsoku/>
              <w:wordWrap/>
              <w:overflowPunct w:val="0"/>
              <w:topLinePunct w:val="0"/>
              <w:autoSpaceDE w:val="0"/>
              <w:autoSpaceDN w:val="0"/>
              <w:bidi w:val="0"/>
              <w:adjustRightInd/>
              <w:snapToGrid/>
              <w:spacing w:line="440" w:lineRule="exact"/>
              <w:ind w:left="0" w:leftChars="0" w:right="0" w:rightChars="0" w:firstLine="0" w:firstLineChars="0"/>
              <w:jc w:val="center"/>
              <w:textAlignment w:val="auto"/>
              <w:rPr>
                <w:rFonts w:hint="eastAsia" w:ascii="宋体" w:eastAsia="宋体"/>
                <w:iCs/>
                <w:color w:val="auto"/>
                <w:highlight w:val="none"/>
                <w:lang w:val="en-US" w:eastAsia="zh-CN"/>
              </w:rPr>
            </w:pPr>
            <w:r>
              <w:rPr>
                <w:rFonts w:hint="eastAsia" w:ascii="宋体" w:hAnsi="宋体" w:eastAsia="宋体" w:cs="宋体"/>
                <w:strike w:val="0"/>
                <w:dstrike w:val="0"/>
                <w:sz w:val="21"/>
                <w:szCs w:val="21"/>
                <w:highlight w:val="none"/>
                <w:lang w:val="en-US" w:eastAsia="zh-CN"/>
              </w:rPr>
              <w:t>6</w:t>
            </w:r>
          </w:p>
        </w:tc>
        <w:tc>
          <w:tcPr>
            <w:tcW w:w="903" w:type="pct"/>
            <w:shd w:val="clear" w:color="auto" w:fill="auto"/>
            <w:vAlign w:val="center"/>
          </w:tcPr>
          <w:p w14:paraId="4CE0B9EF">
            <w:pPr>
              <w:keepNext w:val="0"/>
              <w:keepLines w:val="0"/>
              <w:pageBreakBefore w:val="0"/>
              <w:widowControl w:val="0"/>
              <w:kinsoku/>
              <w:wordWrap/>
              <w:overflowPunct w:val="0"/>
              <w:topLinePunct w:val="0"/>
              <w:autoSpaceDE w:val="0"/>
              <w:autoSpaceDN w:val="0"/>
              <w:bidi w:val="0"/>
              <w:adjustRightInd/>
              <w:snapToGrid/>
              <w:spacing w:line="440" w:lineRule="exact"/>
              <w:ind w:firstLine="0" w:firstLineChars="0"/>
              <w:jc w:val="center"/>
              <w:textAlignment w:val="auto"/>
              <w:rPr>
                <w:rFonts w:hint="eastAsia" w:ascii="宋体"/>
                <w:iCs/>
                <w:color w:val="auto"/>
                <w:highlight w:val="none"/>
                <w:lang w:val="en-US" w:eastAsia="zh-CN"/>
              </w:rPr>
            </w:pPr>
            <w:r>
              <w:rPr>
                <w:rFonts w:hint="eastAsia" w:ascii="宋体" w:hAnsi="宋体" w:eastAsia="宋体" w:cs="宋体"/>
                <w:sz w:val="21"/>
                <w:szCs w:val="21"/>
                <w:highlight w:val="none"/>
                <w:vertAlign w:val="baseline"/>
                <w:lang w:val="en-US" w:eastAsia="zh-CN"/>
              </w:rPr>
              <w:t>安全培训服务</w:t>
            </w:r>
          </w:p>
        </w:tc>
        <w:tc>
          <w:tcPr>
            <w:tcW w:w="317" w:type="pct"/>
            <w:vAlign w:val="center"/>
          </w:tcPr>
          <w:p w14:paraId="6EC85A42">
            <w:pPr>
              <w:widowControl/>
              <w:jc w:val="center"/>
              <w:rPr>
                <w:rFonts w:hint="eastAsia" w:ascii="宋体" w:eastAsia="宋体"/>
                <w:iCs/>
                <w:color w:val="auto"/>
                <w:highlight w:val="none"/>
                <w:lang w:val="en-US" w:eastAsia="zh-CN"/>
              </w:rPr>
            </w:pPr>
            <w:r>
              <w:rPr>
                <w:rFonts w:hint="eastAsia" w:ascii="宋体"/>
                <w:iCs/>
                <w:color w:val="auto"/>
                <w:highlight w:val="none"/>
                <w:lang w:val="en-US" w:eastAsia="zh-CN"/>
              </w:rPr>
              <w:t>3</w:t>
            </w:r>
          </w:p>
        </w:tc>
        <w:tc>
          <w:tcPr>
            <w:tcW w:w="475" w:type="pct"/>
            <w:vAlign w:val="center"/>
          </w:tcPr>
          <w:p w14:paraId="7D257F01">
            <w:pPr>
              <w:widowControl/>
              <w:jc w:val="center"/>
              <w:rPr>
                <w:rFonts w:ascii="宋体"/>
                <w:iCs/>
                <w:color w:val="auto"/>
                <w:highlight w:val="none"/>
              </w:rPr>
            </w:pPr>
          </w:p>
        </w:tc>
        <w:tc>
          <w:tcPr>
            <w:tcW w:w="353" w:type="pct"/>
            <w:tcBorders>
              <w:right w:val="single" w:color="auto" w:sz="4" w:space="0"/>
            </w:tcBorders>
            <w:vAlign w:val="center"/>
          </w:tcPr>
          <w:p w14:paraId="053E48B2">
            <w:pPr>
              <w:widowControl/>
              <w:jc w:val="center"/>
              <w:rPr>
                <w:rFonts w:ascii="宋体"/>
                <w:iCs/>
                <w:color w:val="auto"/>
                <w:highlight w:val="none"/>
              </w:rPr>
            </w:pPr>
          </w:p>
        </w:tc>
        <w:tc>
          <w:tcPr>
            <w:tcW w:w="427" w:type="pct"/>
            <w:tcBorders>
              <w:right w:val="single" w:color="auto" w:sz="2" w:space="0"/>
            </w:tcBorders>
            <w:vAlign w:val="center"/>
          </w:tcPr>
          <w:p w14:paraId="3EA85757">
            <w:pPr>
              <w:widowControl/>
              <w:jc w:val="center"/>
              <w:rPr>
                <w:rFonts w:ascii="宋体"/>
                <w:iCs/>
                <w:color w:val="auto"/>
                <w:highlight w:val="none"/>
              </w:rPr>
            </w:pPr>
          </w:p>
        </w:tc>
        <w:tc>
          <w:tcPr>
            <w:tcW w:w="447" w:type="pct"/>
            <w:tcBorders>
              <w:left w:val="single" w:color="auto" w:sz="2" w:space="0"/>
            </w:tcBorders>
            <w:vAlign w:val="center"/>
          </w:tcPr>
          <w:p w14:paraId="7E88E573">
            <w:pPr>
              <w:widowControl/>
              <w:jc w:val="center"/>
              <w:rPr>
                <w:rFonts w:ascii="宋体"/>
                <w:iCs/>
                <w:color w:val="auto"/>
                <w:highlight w:val="none"/>
              </w:rPr>
            </w:pPr>
          </w:p>
        </w:tc>
        <w:tc>
          <w:tcPr>
            <w:tcW w:w="560" w:type="pct"/>
            <w:tcBorders>
              <w:left w:val="single" w:color="auto" w:sz="2" w:space="0"/>
            </w:tcBorders>
            <w:vAlign w:val="center"/>
          </w:tcPr>
          <w:p w14:paraId="1BDD80E5">
            <w:pPr>
              <w:widowControl/>
              <w:jc w:val="center"/>
              <w:rPr>
                <w:rFonts w:ascii="宋体"/>
                <w:iCs/>
                <w:color w:val="auto"/>
                <w:highlight w:val="none"/>
              </w:rPr>
            </w:pPr>
          </w:p>
        </w:tc>
        <w:tc>
          <w:tcPr>
            <w:tcW w:w="431" w:type="pct"/>
            <w:tcBorders>
              <w:left w:val="single" w:color="auto" w:sz="2" w:space="0"/>
            </w:tcBorders>
            <w:vAlign w:val="center"/>
          </w:tcPr>
          <w:p w14:paraId="19EEC3B0">
            <w:pPr>
              <w:widowControl/>
              <w:jc w:val="center"/>
              <w:rPr>
                <w:rFonts w:ascii="宋体"/>
                <w:iCs/>
                <w:color w:val="auto"/>
                <w:highlight w:val="none"/>
              </w:rPr>
            </w:pPr>
          </w:p>
        </w:tc>
        <w:tc>
          <w:tcPr>
            <w:tcW w:w="420" w:type="pct"/>
            <w:tcBorders>
              <w:left w:val="single" w:color="auto" w:sz="2" w:space="0"/>
            </w:tcBorders>
            <w:vAlign w:val="center"/>
          </w:tcPr>
          <w:p w14:paraId="0D4BCF40">
            <w:pPr>
              <w:widowControl/>
              <w:jc w:val="center"/>
              <w:rPr>
                <w:rFonts w:ascii="宋体"/>
                <w:iCs/>
                <w:color w:val="auto"/>
                <w:highlight w:val="none"/>
              </w:rPr>
            </w:pPr>
          </w:p>
        </w:tc>
        <w:tc>
          <w:tcPr>
            <w:tcW w:w="506" w:type="pct"/>
            <w:tcBorders>
              <w:left w:val="single" w:color="auto" w:sz="2" w:space="0"/>
            </w:tcBorders>
            <w:vAlign w:val="center"/>
          </w:tcPr>
          <w:p w14:paraId="5327BC21">
            <w:pPr>
              <w:widowControl/>
              <w:jc w:val="center"/>
              <w:rPr>
                <w:rFonts w:ascii="宋体"/>
                <w:iCs/>
                <w:color w:val="auto"/>
                <w:highlight w:val="none"/>
              </w:rPr>
            </w:pPr>
          </w:p>
        </w:tc>
      </w:tr>
      <w:tr w14:paraId="134A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93" w:hRule="atLeast"/>
        </w:trPr>
        <w:tc>
          <w:tcPr>
            <w:tcW w:w="2634" w:type="pct"/>
            <w:gridSpan w:val="6"/>
            <w:vAlign w:val="center"/>
          </w:tcPr>
          <w:p w14:paraId="4A8870B6">
            <w:pPr>
              <w:widowControl/>
              <w:jc w:val="center"/>
              <w:rPr>
                <w:rFonts w:hint="eastAsia" w:ascii="宋体" w:eastAsia="宋体"/>
                <w:iCs/>
                <w:color w:val="auto"/>
                <w:highlight w:val="none"/>
                <w:lang w:val="en-US" w:eastAsia="zh-CN"/>
              </w:rPr>
            </w:pPr>
            <w:r>
              <w:rPr>
                <w:rFonts w:hint="eastAsia" w:ascii="宋体"/>
                <w:iCs/>
                <w:color w:val="auto"/>
                <w:highlight w:val="none"/>
              </w:rPr>
              <w:t>合计</w:t>
            </w:r>
          </w:p>
        </w:tc>
        <w:tc>
          <w:tcPr>
            <w:tcW w:w="447" w:type="pct"/>
            <w:vAlign w:val="center"/>
          </w:tcPr>
          <w:p w14:paraId="32971197">
            <w:pPr>
              <w:widowControl/>
              <w:jc w:val="center"/>
              <w:rPr>
                <w:rFonts w:ascii="宋体"/>
                <w:iCs/>
                <w:color w:val="auto"/>
                <w:highlight w:val="none"/>
              </w:rPr>
            </w:pPr>
          </w:p>
        </w:tc>
        <w:tc>
          <w:tcPr>
            <w:tcW w:w="560" w:type="pct"/>
            <w:tcBorders>
              <w:left w:val="single" w:color="auto" w:sz="2" w:space="0"/>
            </w:tcBorders>
            <w:vAlign w:val="center"/>
          </w:tcPr>
          <w:p w14:paraId="20C9A147">
            <w:pPr>
              <w:widowControl/>
              <w:jc w:val="center"/>
              <w:rPr>
                <w:rFonts w:ascii="宋体"/>
                <w:iCs/>
                <w:color w:val="auto"/>
                <w:highlight w:val="none"/>
              </w:rPr>
            </w:pPr>
          </w:p>
        </w:tc>
        <w:tc>
          <w:tcPr>
            <w:tcW w:w="431" w:type="pct"/>
            <w:tcBorders>
              <w:left w:val="single" w:color="auto" w:sz="2" w:space="0"/>
            </w:tcBorders>
            <w:vAlign w:val="center"/>
          </w:tcPr>
          <w:p w14:paraId="7D27EE52">
            <w:pPr>
              <w:widowControl/>
              <w:jc w:val="center"/>
              <w:rPr>
                <w:rFonts w:ascii="宋体"/>
                <w:iCs/>
                <w:color w:val="auto"/>
                <w:highlight w:val="none"/>
              </w:rPr>
            </w:pPr>
          </w:p>
        </w:tc>
        <w:tc>
          <w:tcPr>
            <w:tcW w:w="420" w:type="pct"/>
            <w:tcBorders>
              <w:left w:val="single" w:color="auto" w:sz="2" w:space="0"/>
            </w:tcBorders>
            <w:vAlign w:val="center"/>
          </w:tcPr>
          <w:p w14:paraId="7EFF3A1E">
            <w:pPr>
              <w:widowControl/>
              <w:jc w:val="center"/>
              <w:rPr>
                <w:rFonts w:ascii="宋体"/>
                <w:iCs/>
                <w:color w:val="auto"/>
                <w:highlight w:val="none"/>
              </w:rPr>
            </w:pPr>
          </w:p>
        </w:tc>
        <w:tc>
          <w:tcPr>
            <w:tcW w:w="506" w:type="pct"/>
            <w:tcBorders>
              <w:left w:val="single" w:color="auto" w:sz="2" w:space="0"/>
            </w:tcBorders>
            <w:vAlign w:val="center"/>
          </w:tcPr>
          <w:p w14:paraId="7B8A853D">
            <w:pPr>
              <w:widowControl/>
              <w:jc w:val="center"/>
              <w:rPr>
                <w:rFonts w:ascii="宋体"/>
                <w:iCs/>
                <w:color w:val="auto"/>
                <w:highlight w:val="none"/>
              </w:rPr>
            </w:pPr>
          </w:p>
        </w:tc>
      </w:tr>
    </w:tbl>
    <w:p w14:paraId="58EBD607">
      <w:pPr>
        <w:wordWrap w:val="0"/>
        <w:adjustRightInd w:val="0"/>
        <w:snapToGrid w:val="0"/>
        <w:spacing w:after="312" w:afterLines="100"/>
        <w:rPr>
          <w:rFonts w:hint="eastAsia" w:ascii="宋体" w:hAnsi="宋体" w:cs="宋体"/>
          <w:bCs/>
          <w:color w:val="auto"/>
          <w:szCs w:val="21"/>
          <w:highlight w:val="none"/>
        </w:rPr>
      </w:pPr>
    </w:p>
    <w:p w14:paraId="7B265E59">
      <w:pPr>
        <w:wordWrap w:val="0"/>
        <w:adjustRightInd w:val="0"/>
        <w:snapToGrid w:val="0"/>
        <w:spacing w:after="312" w:afterLines="100"/>
        <w:rPr>
          <w:rFonts w:hint="eastAsia" w:ascii="宋体" w:hAnsi="宋体" w:cs="宋体"/>
          <w:bCs/>
          <w:color w:val="auto"/>
          <w:szCs w:val="21"/>
          <w:highlight w:val="none"/>
        </w:rPr>
      </w:pPr>
    </w:p>
    <w:p w14:paraId="08DD4969">
      <w:pPr>
        <w:pStyle w:val="139"/>
        <w:rPr>
          <w:rFonts w:hint="default"/>
          <w:b/>
          <w:color w:val="auto"/>
          <w:highlight w:val="none"/>
        </w:rPr>
      </w:pPr>
      <w:r>
        <w:rPr>
          <w:rFonts w:hint="default"/>
          <w:b/>
          <w:color w:val="auto"/>
          <w:highlight w:val="none"/>
        </w:rPr>
        <w:t>备注</w:t>
      </w:r>
      <w:r>
        <w:rPr>
          <w:b/>
          <w:color w:val="auto"/>
          <w:highlight w:val="none"/>
        </w:rPr>
        <w:t>：</w:t>
      </w:r>
    </w:p>
    <w:p w14:paraId="7773F67E">
      <w:pPr>
        <w:pStyle w:val="139"/>
        <w:numPr>
          <w:ilvl w:val="-1"/>
          <w:numId w:val="0"/>
        </w:numPr>
        <w:ind w:left="420" w:leftChars="200" w:firstLine="0" w:firstLineChars="0"/>
        <w:rPr>
          <w:rFonts w:hint="eastAsia"/>
          <w:color w:val="auto"/>
          <w:highlight w:val="none"/>
        </w:rPr>
      </w:pPr>
      <w:r>
        <w:rPr>
          <w:rFonts w:hint="eastAsia"/>
          <w:color w:val="auto"/>
          <w:highlight w:val="none"/>
          <w:lang w:val="en-US" w:eastAsia="zh-CN"/>
        </w:rPr>
        <w:t>1.</w:t>
      </w:r>
      <w:r>
        <w:rPr>
          <w:color w:val="auto"/>
          <w:highlight w:val="none"/>
        </w:rPr>
        <w:t>本项目投标报价不能高于招标人公布的最高投标限价，超过最高投标限价的投标报价为无效报价，按废标情形处理</w:t>
      </w:r>
      <w:r>
        <w:rPr>
          <w:rFonts w:hint="eastAsia"/>
          <w:color w:val="auto"/>
          <w:highlight w:val="none"/>
          <w:lang w:eastAsia="zh-CN"/>
        </w:rPr>
        <w:t>。</w:t>
      </w:r>
    </w:p>
    <w:p w14:paraId="4D9890BC">
      <w:pPr>
        <w:pStyle w:val="139"/>
        <w:numPr>
          <w:ilvl w:val="0"/>
          <w:numId w:val="0"/>
        </w:numPr>
        <w:ind w:left="1044" w:leftChars="200"/>
        <w:rPr>
          <w:rFonts w:hAnsi="宋体" w:cs="宋体"/>
          <w:iCs/>
          <w:color w:val="auto"/>
          <w:szCs w:val="21"/>
          <w:highlight w:val="none"/>
        </w:rPr>
      </w:pPr>
      <w:r>
        <w:rPr>
          <w:rFonts w:hint="eastAsia" w:cs="Times New Roman"/>
          <w:iCs w:val="0"/>
          <w:color w:val="auto"/>
          <w:szCs w:val="20"/>
          <w:highlight w:val="none"/>
          <w:lang w:val="en-US" w:eastAsia="zh-CN"/>
        </w:rPr>
        <w:t>2.</w:t>
      </w:r>
      <w:r>
        <w:rPr>
          <w:rFonts w:hint="eastAsia" w:hAnsi="宋体" w:cs="宋体"/>
          <w:iCs/>
          <w:color w:val="auto"/>
          <w:szCs w:val="21"/>
          <w:highlight w:val="none"/>
        </w:rPr>
        <w:t>所有投标报价相关表格保留小数点后两位，小数点后第三位“四舍五入”。</w:t>
      </w:r>
    </w:p>
    <w:p w14:paraId="7E616B1F">
      <w:pPr>
        <w:pStyle w:val="139"/>
        <w:rPr>
          <w:rFonts w:hint="default"/>
          <w:b/>
          <w:bCs/>
          <w:color w:val="auto"/>
          <w:highlight w:val="none"/>
        </w:rPr>
      </w:pPr>
    </w:p>
    <w:p w14:paraId="20E8963A">
      <w:pPr>
        <w:wordWrap w:val="0"/>
        <w:spacing w:line="360" w:lineRule="auto"/>
        <w:rPr>
          <w:rFonts w:hint="eastAsia" w:hAnsi="宋体" w:cs="宋体"/>
          <w:iCs/>
          <w:color w:val="auto"/>
          <w:szCs w:val="21"/>
          <w:highlight w:val="none"/>
        </w:rPr>
      </w:pPr>
    </w:p>
    <w:p w14:paraId="15D8053E">
      <w:pPr>
        <w:wordWrap w:val="0"/>
        <w:spacing w:line="360" w:lineRule="auto"/>
        <w:rPr>
          <w:rFonts w:hint="eastAsia" w:hAnsi="宋体" w:cs="宋体"/>
          <w:iCs/>
          <w:color w:val="auto"/>
          <w:szCs w:val="21"/>
          <w:highlight w:val="none"/>
          <w:u w:val="single"/>
        </w:rPr>
      </w:pPr>
      <w:r>
        <w:rPr>
          <w:rFonts w:hint="eastAsia" w:hAnsi="宋体" w:cs="宋体"/>
          <w:iCs/>
          <w:color w:val="auto"/>
          <w:szCs w:val="21"/>
          <w:highlight w:val="none"/>
        </w:rPr>
        <w:t>投标人：</w:t>
      </w:r>
      <w:r>
        <w:rPr>
          <w:rFonts w:hint="eastAsia" w:hAnsi="宋体" w:cs="宋体"/>
          <w:iCs/>
          <w:color w:val="auto"/>
          <w:szCs w:val="21"/>
          <w:highlight w:val="none"/>
          <w:u w:val="single"/>
        </w:rPr>
        <w:t xml:space="preserve">                  </w:t>
      </w:r>
      <w:r>
        <w:rPr>
          <w:rFonts w:hint="eastAsia" w:hAnsi="宋体" w:cs="宋体"/>
          <w:iCs/>
          <w:color w:val="auto"/>
          <w:szCs w:val="21"/>
          <w:highlight w:val="none"/>
        </w:rPr>
        <w:t>（盖单位公章）</w:t>
      </w:r>
    </w:p>
    <w:p w14:paraId="1B4DCAA8">
      <w:pPr>
        <w:wordWrap w:val="0"/>
        <w:adjustRightInd w:val="0"/>
        <w:snapToGrid w:val="0"/>
        <w:spacing w:line="280" w:lineRule="exact"/>
        <w:rPr>
          <w:rFonts w:hint="eastAsia" w:hAnsi="宋体" w:cs="宋体"/>
          <w:iCs/>
          <w:color w:val="auto"/>
          <w:szCs w:val="21"/>
          <w:highlight w:val="none"/>
        </w:rPr>
      </w:pPr>
      <w:r>
        <w:rPr>
          <w:rFonts w:hint="eastAsia" w:ascii="宋体" w:hAnsi="宋体" w:cs="宋体"/>
          <w:iCs/>
          <w:color w:val="auto"/>
          <w:szCs w:val="21"/>
          <w:highlight w:val="none"/>
        </w:rPr>
        <w:t>法定代表人或其委托代理人</w:t>
      </w:r>
      <w:r>
        <w:rPr>
          <w:rFonts w:hint="eastAsia" w:ascii="宋体" w:hAnsi="宋体" w:cs="宋体"/>
          <w:iCs/>
          <w:color w:val="auto"/>
          <w:szCs w:val="21"/>
          <w:highlight w:val="none"/>
          <w:lang w:eastAsia="zh-CN"/>
        </w:rPr>
        <w:t>（</w:t>
      </w:r>
      <w:r>
        <w:rPr>
          <w:rFonts w:hint="eastAsia" w:ascii="宋体" w:hAnsi="宋体" w:cs="宋体"/>
          <w:iCs/>
          <w:color w:val="auto"/>
          <w:szCs w:val="21"/>
          <w:highlight w:val="none"/>
        </w:rPr>
        <w:t>签字或盖章</w:t>
      </w:r>
      <w:r>
        <w:rPr>
          <w:rFonts w:hint="eastAsia" w:ascii="宋体" w:hAnsi="宋体" w:cs="宋体"/>
          <w:iCs/>
          <w:color w:val="auto"/>
          <w:szCs w:val="21"/>
          <w:highlight w:val="none"/>
          <w:lang w:eastAsia="zh-CN"/>
        </w:rPr>
        <w:t>）</w:t>
      </w:r>
      <w:r>
        <w:rPr>
          <w:rFonts w:hint="eastAsia" w:ascii="宋体" w:hAnsi="宋体" w:cs="宋体"/>
          <w:iCs/>
          <w:color w:val="auto"/>
          <w:szCs w:val="21"/>
          <w:highlight w:val="none"/>
        </w:rPr>
        <w:t>：</w:t>
      </w:r>
      <w:r>
        <w:rPr>
          <w:rFonts w:hint="eastAsia" w:ascii="宋体" w:hAnsi="宋体" w:cs="宋体"/>
          <w:iCs/>
          <w:color w:val="auto"/>
          <w:szCs w:val="21"/>
          <w:highlight w:val="none"/>
          <w:u w:val="single"/>
        </w:rPr>
        <w:t xml:space="preserve">                </w:t>
      </w:r>
    </w:p>
    <w:p w14:paraId="12644C2D">
      <w:pPr>
        <w:spacing w:line="360" w:lineRule="auto"/>
        <w:rPr>
          <w:rFonts w:hint="eastAsia" w:hAnsi="宋体" w:cs="宋体"/>
          <w:iCs/>
          <w:color w:val="auto"/>
          <w:szCs w:val="21"/>
          <w:highlight w:val="none"/>
        </w:rPr>
      </w:pPr>
      <w:r>
        <w:rPr>
          <w:rFonts w:hint="eastAsia" w:ascii="宋体" w:hAnsi="宋体" w:cs="宋体"/>
          <w:iCs/>
          <w:color w:val="auto"/>
          <w:szCs w:val="21"/>
          <w:highlight w:val="none"/>
          <w:u w:val="single"/>
        </w:rPr>
        <w:t xml:space="preserve">        </w:t>
      </w:r>
      <w:r>
        <w:rPr>
          <w:rFonts w:hint="eastAsia" w:hAnsi="宋体" w:cs="宋体"/>
          <w:iCs/>
          <w:color w:val="auto"/>
          <w:szCs w:val="21"/>
          <w:highlight w:val="none"/>
        </w:rPr>
        <w:t>年</w:t>
      </w:r>
      <w:r>
        <w:rPr>
          <w:rFonts w:hint="eastAsia" w:hAnsi="宋体" w:cs="宋体"/>
          <w:iCs/>
          <w:color w:val="auto"/>
          <w:szCs w:val="21"/>
          <w:highlight w:val="none"/>
          <w:u w:val="single"/>
        </w:rPr>
        <w:t xml:space="preserve">  </w:t>
      </w:r>
      <w:r>
        <w:rPr>
          <w:rFonts w:hAnsi="宋体" w:cs="宋体"/>
          <w:iCs/>
          <w:color w:val="auto"/>
          <w:szCs w:val="21"/>
          <w:highlight w:val="none"/>
          <w:u w:val="single"/>
        </w:rPr>
        <w:t xml:space="preserve"> </w:t>
      </w:r>
      <w:r>
        <w:rPr>
          <w:rFonts w:hint="eastAsia" w:hAnsi="宋体" w:cs="宋体"/>
          <w:iCs/>
          <w:color w:val="auto"/>
          <w:szCs w:val="21"/>
          <w:highlight w:val="none"/>
          <w:u w:val="single"/>
        </w:rPr>
        <w:t xml:space="preserve">  </w:t>
      </w:r>
      <w:r>
        <w:rPr>
          <w:rFonts w:hint="eastAsia" w:hAnsi="宋体" w:cs="宋体"/>
          <w:iCs/>
          <w:color w:val="auto"/>
          <w:szCs w:val="21"/>
          <w:highlight w:val="none"/>
        </w:rPr>
        <w:t>月</w:t>
      </w:r>
      <w:r>
        <w:rPr>
          <w:rFonts w:hint="eastAsia" w:hAnsi="宋体" w:cs="宋体"/>
          <w:iCs/>
          <w:color w:val="auto"/>
          <w:szCs w:val="21"/>
          <w:highlight w:val="none"/>
          <w:u w:val="single"/>
        </w:rPr>
        <w:t xml:space="preserve"> </w:t>
      </w:r>
      <w:r>
        <w:rPr>
          <w:rFonts w:hAnsi="宋体" w:cs="宋体"/>
          <w:iCs/>
          <w:color w:val="auto"/>
          <w:szCs w:val="21"/>
          <w:highlight w:val="none"/>
          <w:u w:val="single"/>
        </w:rPr>
        <w:t xml:space="preserve">     </w:t>
      </w:r>
      <w:r>
        <w:rPr>
          <w:rFonts w:hint="eastAsia" w:hAnsi="宋体" w:cs="宋体"/>
          <w:iCs/>
          <w:color w:val="auto"/>
          <w:szCs w:val="21"/>
          <w:highlight w:val="none"/>
        </w:rPr>
        <w:t>日</w:t>
      </w:r>
    </w:p>
    <w:p w14:paraId="2CCB1638">
      <w:pPr>
        <w:jc w:val="center"/>
        <w:rPr>
          <w:rFonts w:hint="eastAsia" w:hAnsi="宋体" w:cs="宋体"/>
          <w:iCs/>
          <w:color w:val="auto"/>
          <w:szCs w:val="21"/>
          <w:highlight w:val="none"/>
        </w:rPr>
      </w:pPr>
    </w:p>
    <w:p w14:paraId="0DBD696E">
      <w:pPr>
        <w:pStyle w:val="63"/>
        <w:rPr>
          <w:rFonts w:hint="eastAsia" w:hAnsi="宋体" w:cs="宋体"/>
          <w:iCs/>
          <w:color w:val="auto"/>
          <w:szCs w:val="21"/>
          <w:highlight w:val="none"/>
        </w:rPr>
      </w:pPr>
    </w:p>
    <w:p w14:paraId="283F8A83">
      <w:pPr>
        <w:rPr>
          <w:rFonts w:hint="eastAsia" w:hAnsi="宋体" w:cs="宋体"/>
          <w:iCs/>
          <w:color w:val="auto"/>
          <w:szCs w:val="21"/>
          <w:highlight w:val="none"/>
        </w:rPr>
      </w:pPr>
      <w:r>
        <w:rPr>
          <w:rFonts w:hint="eastAsia" w:hAnsi="宋体" w:cs="宋体"/>
          <w:iCs/>
          <w:color w:val="auto"/>
          <w:szCs w:val="21"/>
          <w:highlight w:val="none"/>
        </w:rPr>
        <w:br w:type="page"/>
      </w:r>
    </w:p>
    <w:p w14:paraId="4FCFFBC2">
      <w:pPr>
        <w:rPr>
          <w:rFonts w:hint="eastAsia" w:hAnsi="宋体" w:cs="宋体"/>
          <w:iCs/>
          <w:color w:val="auto"/>
          <w:szCs w:val="21"/>
          <w:highlight w:val="none"/>
        </w:rPr>
      </w:pPr>
    </w:p>
    <w:p w14:paraId="06201AD8">
      <w:pPr>
        <w:pStyle w:val="138"/>
        <w:tabs>
          <w:tab w:val="left" w:pos="4538"/>
          <w:tab w:val="left" w:pos="5484"/>
          <w:tab w:val="left" w:pos="6427"/>
        </w:tabs>
        <w:spacing w:before="0" w:line="360" w:lineRule="auto"/>
        <w:jc w:val="center"/>
        <w:rPr>
          <w:rFonts w:hint="eastAsia" w:ascii="Calibri" w:cs="宋体"/>
          <w:color w:val="auto"/>
          <w:szCs w:val="28"/>
          <w:highlight w:val="none"/>
        </w:rPr>
      </w:pPr>
      <w:r>
        <w:rPr>
          <w:rFonts w:hint="eastAsia" w:ascii="Calibri" w:cs="宋体"/>
          <w:color w:val="auto"/>
          <w:szCs w:val="28"/>
          <w:highlight w:val="none"/>
        </w:rPr>
        <w:t>四、法定代表人身份证明</w:t>
      </w:r>
    </w:p>
    <w:p w14:paraId="18B2824C">
      <w:pPr>
        <w:pStyle w:val="3"/>
        <w:tabs>
          <w:tab w:val="left" w:pos="3928"/>
        </w:tabs>
        <w:wordWrap w:val="0"/>
        <w:spacing w:after="0" w:line="360" w:lineRule="auto"/>
        <w:rPr>
          <w:rFonts w:hint="eastAsia" w:ascii="宋体" w:hAnsi="宋体"/>
          <w:color w:val="auto"/>
          <w:szCs w:val="21"/>
          <w:highlight w:val="none"/>
        </w:rPr>
      </w:pPr>
    </w:p>
    <w:p w14:paraId="133D6F6F">
      <w:pPr>
        <w:pStyle w:val="3"/>
        <w:tabs>
          <w:tab w:val="left" w:pos="3928"/>
        </w:tabs>
        <w:wordWrap w:val="0"/>
        <w:spacing w:after="0" w:line="360" w:lineRule="auto"/>
        <w:rPr>
          <w:rFonts w:hint="eastAsia" w:ascii="宋体" w:hAnsi="宋体"/>
          <w:color w:val="auto"/>
          <w:szCs w:val="21"/>
          <w:highlight w:val="none"/>
        </w:rPr>
      </w:pPr>
      <w:r>
        <w:rPr>
          <w:rFonts w:ascii="宋体" w:hAnsi="宋体"/>
          <w:color w:val="auto"/>
          <w:szCs w:val="21"/>
          <w:highlight w:val="none"/>
        </w:rPr>
        <w:t>投标人名称：</w:t>
      </w:r>
      <w:r>
        <w:rPr>
          <w:rFonts w:hint="eastAsia" w:ascii="宋体" w:hAnsi="宋体"/>
          <w:color w:val="auto"/>
          <w:szCs w:val="21"/>
          <w:highlight w:val="none"/>
          <w:u w:val="single"/>
        </w:rPr>
        <w:t xml:space="preserve">                                             </w:t>
      </w:r>
    </w:p>
    <w:p w14:paraId="36E8B64A">
      <w:pPr>
        <w:pStyle w:val="3"/>
        <w:tabs>
          <w:tab w:val="left" w:pos="2412"/>
          <w:tab w:val="left" w:pos="3883"/>
          <w:tab w:val="left" w:pos="5352"/>
          <w:tab w:val="left" w:pos="6869"/>
        </w:tabs>
        <w:wordWrap w:val="0"/>
        <w:spacing w:after="0" w:line="360" w:lineRule="auto"/>
        <w:rPr>
          <w:rFonts w:hint="eastAsia" w:ascii="宋体" w:hAnsi="宋体"/>
          <w:color w:val="auto"/>
          <w:szCs w:val="21"/>
          <w:highlight w:val="none"/>
        </w:rPr>
      </w:pPr>
      <w:r>
        <w:rPr>
          <w:rFonts w:ascii="宋体" w:hAnsi="宋体"/>
          <w:color w:val="auto"/>
          <w:szCs w:val="21"/>
          <w:highlight w:val="none"/>
        </w:rPr>
        <w:t>姓名：</w:t>
      </w:r>
      <w:r>
        <w:rPr>
          <w:rFonts w:hint="eastAsia" w:ascii="宋体" w:hAnsi="宋体"/>
          <w:color w:val="auto"/>
          <w:szCs w:val="21"/>
          <w:highlight w:val="none"/>
          <w:u w:val="single"/>
        </w:rPr>
        <w:t xml:space="preserve">      </w:t>
      </w:r>
      <w:r>
        <w:rPr>
          <w:rFonts w:ascii="宋体" w:hAnsi="宋体"/>
          <w:color w:val="auto"/>
          <w:szCs w:val="21"/>
          <w:highlight w:val="none"/>
        </w:rPr>
        <w:t>性别：</w:t>
      </w:r>
      <w:r>
        <w:rPr>
          <w:rFonts w:hint="eastAsia" w:ascii="宋体" w:hAnsi="宋体"/>
          <w:color w:val="auto"/>
          <w:szCs w:val="21"/>
          <w:highlight w:val="none"/>
          <w:u w:val="single"/>
        </w:rPr>
        <w:t xml:space="preserve">         </w:t>
      </w:r>
      <w:r>
        <w:rPr>
          <w:rFonts w:ascii="宋体" w:hAnsi="宋体"/>
          <w:color w:val="auto"/>
          <w:szCs w:val="21"/>
          <w:highlight w:val="none"/>
        </w:rPr>
        <w:t>年龄：</w:t>
      </w:r>
      <w:r>
        <w:rPr>
          <w:rFonts w:hint="eastAsia" w:ascii="宋体" w:hAnsi="宋体"/>
          <w:color w:val="auto"/>
          <w:szCs w:val="21"/>
          <w:highlight w:val="none"/>
          <w:u w:val="single"/>
        </w:rPr>
        <w:t xml:space="preserve">           </w:t>
      </w:r>
      <w:r>
        <w:rPr>
          <w:rFonts w:ascii="宋体" w:hAnsi="宋体"/>
          <w:color w:val="auto"/>
          <w:szCs w:val="21"/>
          <w:highlight w:val="none"/>
        </w:rPr>
        <w:t>职务：</w:t>
      </w:r>
      <w:r>
        <w:rPr>
          <w:rFonts w:hint="eastAsia" w:ascii="宋体" w:hAnsi="宋体"/>
          <w:color w:val="auto"/>
          <w:szCs w:val="21"/>
          <w:highlight w:val="none"/>
          <w:u w:val="single"/>
        </w:rPr>
        <w:t xml:space="preserve">        </w:t>
      </w:r>
    </w:p>
    <w:p w14:paraId="18A5FADE">
      <w:pPr>
        <w:pStyle w:val="3"/>
        <w:tabs>
          <w:tab w:val="left" w:pos="2832"/>
        </w:tabs>
        <w:wordWrap w:val="0"/>
        <w:spacing w:after="0" w:line="360" w:lineRule="auto"/>
        <w:rPr>
          <w:rFonts w:hint="eastAsia" w:ascii="宋体" w:hAnsi="宋体"/>
          <w:color w:val="auto"/>
          <w:szCs w:val="21"/>
          <w:highlight w:val="none"/>
        </w:rPr>
      </w:pPr>
      <w:r>
        <w:rPr>
          <w:rFonts w:ascii="宋体" w:hAnsi="宋体"/>
          <w:color w:val="auto"/>
          <w:szCs w:val="21"/>
          <w:highlight w:val="none"/>
        </w:rPr>
        <w:t>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w:t>
      </w:r>
    </w:p>
    <w:p w14:paraId="3295E327">
      <w:pPr>
        <w:pStyle w:val="3"/>
        <w:wordWrap w:val="0"/>
        <w:spacing w:after="0" w:line="360" w:lineRule="auto"/>
        <w:rPr>
          <w:rFonts w:hint="eastAsia" w:ascii="宋体" w:hAnsi="宋体"/>
          <w:color w:val="auto"/>
          <w:szCs w:val="21"/>
          <w:highlight w:val="none"/>
        </w:rPr>
      </w:pPr>
    </w:p>
    <w:p w14:paraId="3B38141A">
      <w:pPr>
        <w:pStyle w:val="3"/>
        <w:wordWrap w:val="0"/>
        <w:spacing w:after="0" w:line="360" w:lineRule="auto"/>
        <w:rPr>
          <w:rFonts w:hint="eastAsia" w:ascii="宋体" w:hAnsi="宋体"/>
          <w:color w:val="auto"/>
          <w:szCs w:val="21"/>
          <w:highlight w:val="none"/>
        </w:rPr>
      </w:pPr>
      <w:r>
        <w:rPr>
          <w:rFonts w:ascii="宋体" w:hAnsi="宋体"/>
          <w:color w:val="auto"/>
          <w:szCs w:val="21"/>
          <w:highlight w:val="none"/>
        </w:rPr>
        <w:t>特此证明。</w:t>
      </w:r>
    </w:p>
    <w:p w14:paraId="7168077A">
      <w:pPr>
        <w:pStyle w:val="3"/>
        <w:wordWrap w:val="0"/>
        <w:spacing w:after="0" w:line="360" w:lineRule="auto"/>
        <w:rPr>
          <w:rFonts w:hint="eastAsia" w:ascii="宋体" w:hAnsi="宋体"/>
          <w:color w:val="auto"/>
          <w:szCs w:val="21"/>
          <w:highlight w:val="none"/>
        </w:rPr>
      </w:pPr>
    </w:p>
    <w:p w14:paraId="3EF3D1F3">
      <w:pPr>
        <w:pStyle w:val="3"/>
        <w:wordWrap w:val="0"/>
        <w:spacing w:after="0" w:line="360" w:lineRule="auto"/>
        <w:ind w:firstLine="422" w:firstLineChars="200"/>
        <w:rPr>
          <w:rFonts w:hint="eastAsia" w:ascii="宋体" w:hAnsi="宋体"/>
          <w:color w:val="auto"/>
          <w:szCs w:val="21"/>
          <w:highlight w:val="none"/>
        </w:rPr>
      </w:pPr>
      <w:r>
        <w:rPr>
          <w:rFonts w:ascii="宋体" w:hAnsi="宋体"/>
          <w:b/>
          <w:color w:val="auto"/>
          <w:szCs w:val="21"/>
          <w:highlight w:val="none"/>
        </w:rPr>
        <w:t>附：</w:t>
      </w:r>
      <w:r>
        <w:rPr>
          <w:rFonts w:ascii="宋体" w:hAnsi="宋体"/>
          <w:color w:val="auto"/>
          <w:szCs w:val="21"/>
          <w:highlight w:val="none"/>
        </w:rPr>
        <w:t>法定代表人身份证原件扫描件</w:t>
      </w:r>
      <w:r>
        <w:rPr>
          <w:rFonts w:hint="eastAsia" w:ascii="宋体" w:hAnsi="宋体"/>
          <w:color w:val="auto"/>
          <w:szCs w:val="21"/>
          <w:highlight w:val="none"/>
        </w:rPr>
        <w:t>及营业执照原件扫描件（此附件为法定代表人身份证明的必要组成部分，无此附件的法定代表人身份证明无效。法定代表人身份证原件扫描件及营业执照原件扫描件</w:t>
      </w:r>
      <w:r>
        <w:rPr>
          <w:rFonts w:hint="eastAsia" w:ascii="宋体" w:hAnsi="宋体" w:cs="宋体"/>
          <w:color w:val="auto"/>
          <w:szCs w:val="21"/>
          <w:highlight w:val="none"/>
        </w:rPr>
        <w:t>可另附页，另附时，原件扫描件须加盖单位公章。</w:t>
      </w:r>
      <w:r>
        <w:rPr>
          <w:rFonts w:hint="eastAsia" w:ascii="宋体" w:hAnsi="宋体"/>
          <w:color w:val="auto"/>
          <w:szCs w:val="21"/>
          <w:highlight w:val="none"/>
        </w:rPr>
        <w:t>）</w:t>
      </w:r>
    </w:p>
    <w:p w14:paraId="2ACA3038">
      <w:pPr>
        <w:pStyle w:val="3"/>
        <w:tabs>
          <w:tab w:val="left" w:pos="7140"/>
        </w:tabs>
        <w:wordWrap w:val="0"/>
        <w:spacing w:after="0" w:line="360" w:lineRule="auto"/>
        <w:rPr>
          <w:rFonts w:hint="eastAsia" w:ascii="宋体" w:hAnsi="宋体"/>
          <w:color w:val="auto"/>
          <w:szCs w:val="21"/>
          <w:highlight w:val="none"/>
        </w:rPr>
      </w:pPr>
    </w:p>
    <w:p w14:paraId="29A89F20">
      <w:pPr>
        <w:pStyle w:val="3"/>
        <w:tabs>
          <w:tab w:val="left" w:pos="7140"/>
        </w:tabs>
        <w:wordWrap w:val="0"/>
        <w:spacing w:after="0" w:line="360" w:lineRule="auto"/>
        <w:rPr>
          <w:rFonts w:hint="eastAsia" w:ascii="宋体" w:hAnsi="宋体"/>
          <w:color w:val="auto"/>
          <w:szCs w:val="21"/>
          <w:highlight w:val="none"/>
        </w:rPr>
      </w:pPr>
    </w:p>
    <w:p w14:paraId="44ED4CBE">
      <w:pPr>
        <w:pStyle w:val="3"/>
        <w:tabs>
          <w:tab w:val="left" w:pos="6521"/>
        </w:tabs>
        <w:wordWrap w:val="0"/>
        <w:spacing w:after="0" w:line="360" w:lineRule="auto"/>
        <w:rPr>
          <w:rFonts w:hint="eastAsia"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5EA5DEC0">
      <w:pPr>
        <w:pStyle w:val="3"/>
        <w:tabs>
          <w:tab w:val="left" w:pos="5352"/>
          <w:tab w:val="left" w:pos="6192"/>
          <w:tab w:val="left" w:pos="7032"/>
        </w:tabs>
        <w:wordWrap w:val="0"/>
        <w:spacing w:after="0" w:line="360" w:lineRule="auto"/>
        <w:ind w:firstLine="315" w:firstLineChars="150"/>
        <w:rPr>
          <w:rFonts w:hint="eastAsia"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53308D10">
      <w:pPr>
        <w:pStyle w:val="273"/>
        <w:wordWrap w:val="0"/>
        <w:ind w:firstLine="480" w:firstLineChars="200"/>
        <w:jc w:val="both"/>
        <w:rPr>
          <w:rFonts w:hint="eastAsia" w:hAnsi="宋体" w:cs="宋体"/>
          <w:color w:val="auto"/>
          <w:szCs w:val="21"/>
          <w:highlight w:val="none"/>
          <w:lang w:val="en-US" w:eastAsia="zh-CN"/>
        </w:rPr>
      </w:pPr>
    </w:p>
    <w:p w14:paraId="2075AF45">
      <w:pPr>
        <w:pStyle w:val="273"/>
        <w:wordWrap w:val="0"/>
        <w:ind w:firstLine="480" w:firstLineChars="200"/>
        <w:jc w:val="both"/>
        <w:rPr>
          <w:rFonts w:hint="eastAsia" w:hAnsi="宋体" w:cs="宋体"/>
          <w:color w:val="auto"/>
          <w:szCs w:val="21"/>
          <w:highlight w:val="none"/>
          <w:lang w:val="en-US" w:eastAsia="zh-CN"/>
        </w:rPr>
      </w:pPr>
    </w:p>
    <w:p w14:paraId="1C5F61C4">
      <w:pPr>
        <w:rPr>
          <w:rFonts w:hint="eastAsia" w:hAnsi="宋体" w:cs="宋体"/>
          <w:b/>
          <w:color w:val="auto"/>
          <w:sz w:val="28"/>
          <w:szCs w:val="28"/>
          <w:highlight w:val="none"/>
        </w:rPr>
      </w:pPr>
    </w:p>
    <w:p w14:paraId="430A0308">
      <w:pPr>
        <w:spacing w:before="0"/>
        <w:jc w:val="center"/>
        <w:rPr>
          <w:rFonts w:hint="eastAsia" w:ascii="Calibri" w:cs="宋体"/>
          <w:color w:val="auto"/>
          <w:szCs w:val="28"/>
          <w:highlight w:val="none"/>
        </w:rPr>
      </w:pPr>
      <w:r>
        <w:rPr>
          <w:rFonts w:hint="eastAsia" w:ascii="Calibri" w:cs="宋体"/>
          <w:color w:val="auto"/>
          <w:szCs w:val="28"/>
          <w:highlight w:val="none"/>
        </w:rPr>
        <w:br w:type="page"/>
      </w:r>
    </w:p>
    <w:p w14:paraId="123652E7">
      <w:pPr>
        <w:pStyle w:val="138"/>
        <w:tabs>
          <w:tab w:val="left" w:pos="4538"/>
          <w:tab w:val="left" w:pos="5484"/>
          <w:tab w:val="left" w:pos="6427"/>
        </w:tabs>
        <w:spacing w:before="0" w:line="360" w:lineRule="auto"/>
        <w:jc w:val="center"/>
        <w:rPr>
          <w:rFonts w:hint="eastAsia" w:ascii="Calibri" w:cs="宋体"/>
          <w:color w:val="auto"/>
          <w:szCs w:val="28"/>
          <w:highlight w:val="none"/>
        </w:rPr>
      </w:pPr>
      <w:r>
        <w:rPr>
          <w:rFonts w:hint="eastAsia" w:ascii="Calibri" w:cs="宋体"/>
          <w:color w:val="auto"/>
          <w:szCs w:val="28"/>
          <w:highlight w:val="none"/>
        </w:rPr>
        <w:t>五、授权委托书（如有）</w:t>
      </w:r>
    </w:p>
    <w:p w14:paraId="49173252">
      <w:pPr>
        <w:pStyle w:val="3"/>
        <w:wordWrap w:val="0"/>
        <w:spacing w:after="0" w:line="360" w:lineRule="auto"/>
        <w:jc w:val="center"/>
        <w:rPr>
          <w:rFonts w:hint="eastAsia" w:ascii="宋体" w:hAnsi="宋体"/>
          <w:b/>
          <w:bCs/>
          <w:color w:val="auto"/>
          <w:szCs w:val="21"/>
          <w:highlight w:val="none"/>
        </w:rPr>
      </w:pPr>
      <w:r>
        <w:rPr>
          <w:rFonts w:ascii="宋体" w:hAnsi="宋体"/>
          <w:b/>
          <w:bCs/>
          <w:color w:val="auto"/>
          <w:szCs w:val="21"/>
          <w:highlight w:val="none"/>
        </w:rPr>
        <w:t>（</w:t>
      </w:r>
      <w:r>
        <w:rPr>
          <w:rFonts w:hint="eastAsia" w:ascii="宋体" w:hAnsi="宋体"/>
          <w:b/>
          <w:bCs/>
          <w:color w:val="auto"/>
          <w:szCs w:val="21"/>
          <w:highlight w:val="none"/>
        </w:rPr>
        <w:t>委托代理人作为签字代表的提供</w:t>
      </w:r>
      <w:r>
        <w:rPr>
          <w:rFonts w:ascii="宋体" w:hAnsi="宋体"/>
          <w:b/>
          <w:bCs/>
          <w:color w:val="auto"/>
          <w:szCs w:val="21"/>
          <w:highlight w:val="none"/>
        </w:rPr>
        <w:t>）</w:t>
      </w:r>
    </w:p>
    <w:p w14:paraId="19F25BCB">
      <w:pPr>
        <w:pStyle w:val="3"/>
        <w:tabs>
          <w:tab w:val="left" w:pos="2421"/>
          <w:tab w:val="left" w:pos="5585"/>
        </w:tabs>
        <w:wordWrap w:val="0"/>
        <w:spacing w:line="360" w:lineRule="auto"/>
        <w:ind w:left="520" w:right="21"/>
        <w:rPr>
          <w:color w:val="auto"/>
          <w:highlight w:val="none"/>
        </w:rPr>
      </w:pPr>
    </w:p>
    <w:p w14:paraId="01B832B9">
      <w:pPr>
        <w:pStyle w:val="3"/>
        <w:tabs>
          <w:tab w:val="left" w:pos="2421"/>
          <w:tab w:val="left" w:pos="5585"/>
        </w:tabs>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本人</w:t>
      </w:r>
      <w:r>
        <w:rPr>
          <w:rFonts w:hint="eastAsia" w:ascii="宋体" w:hAnsi="宋体"/>
          <w:color w:val="auto"/>
          <w:szCs w:val="21"/>
          <w:highlight w:val="none"/>
          <w:u w:val="single"/>
        </w:rPr>
        <w:t xml:space="preserve">         </w:t>
      </w:r>
      <w:r>
        <w:rPr>
          <w:rFonts w:ascii="宋体" w:hAnsi="宋体"/>
          <w:color w:val="auto"/>
          <w:szCs w:val="21"/>
          <w:highlight w:val="none"/>
        </w:rPr>
        <w:t>（姓名）系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（投标人名称）的法定代表人，现委托</w:t>
      </w:r>
      <w:r>
        <w:rPr>
          <w:rFonts w:hint="eastAsia" w:ascii="宋体" w:hAnsi="宋体"/>
          <w:color w:val="auto"/>
          <w:szCs w:val="21"/>
          <w:highlight w:val="none"/>
          <w:u w:val="single"/>
        </w:rPr>
        <w:t xml:space="preserve">       </w:t>
      </w:r>
      <w:r>
        <w:rPr>
          <w:rFonts w:ascii="宋体" w:hAnsi="宋体"/>
          <w:color w:val="auto"/>
          <w:szCs w:val="21"/>
          <w:highlight w:val="none"/>
        </w:rPr>
        <w:t>（姓名）为我方代理人。代理人根据授权，以我方名义签署、澄清确认、递交、撤回、修改</w:t>
      </w:r>
      <w:r>
        <w:rPr>
          <w:rFonts w:hint="eastAsia" w:ascii="宋体" w:hAnsi="宋体"/>
          <w:color w:val="auto"/>
          <w:szCs w:val="21"/>
          <w:highlight w:val="none"/>
          <w:u w:val="single"/>
        </w:rPr>
        <w:t xml:space="preserve">               （项目名称）</w:t>
      </w:r>
      <w:r>
        <w:rPr>
          <w:rFonts w:ascii="宋体" w:hAnsi="宋体"/>
          <w:color w:val="auto"/>
          <w:szCs w:val="21"/>
          <w:highlight w:val="none"/>
        </w:rPr>
        <w:t>项目投标文件、签订合同和处理有关事宜，其法律后果由我方承担。</w:t>
      </w:r>
    </w:p>
    <w:p w14:paraId="127E8A9F">
      <w:pPr>
        <w:pStyle w:val="3"/>
        <w:tabs>
          <w:tab w:val="left" w:pos="3566"/>
        </w:tabs>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委托期限：</w:t>
      </w:r>
      <w:r>
        <w:rPr>
          <w:rFonts w:hint="eastAsia" w:ascii="宋体" w:hAnsi="宋体"/>
          <w:color w:val="auto"/>
          <w:szCs w:val="21"/>
          <w:highlight w:val="none"/>
          <w:u w:val="single"/>
        </w:rPr>
        <w:t>自本项目递交投标文件之日起至投标有效期届满止</w:t>
      </w:r>
      <w:r>
        <w:rPr>
          <w:rFonts w:ascii="宋体" w:hAnsi="宋体"/>
          <w:color w:val="auto"/>
          <w:szCs w:val="21"/>
          <w:highlight w:val="none"/>
        </w:rPr>
        <w:t>。</w:t>
      </w:r>
    </w:p>
    <w:p w14:paraId="1B98BE13">
      <w:pPr>
        <w:pStyle w:val="3"/>
        <w:wordWrap w:val="0"/>
        <w:spacing w:after="0" w:line="360" w:lineRule="auto"/>
        <w:rPr>
          <w:rFonts w:hint="eastAsia" w:ascii="宋体" w:hAnsi="宋体"/>
          <w:color w:val="auto"/>
          <w:szCs w:val="21"/>
          <w:highlight w:val="none"/>
        </w:rPr>
      </w:pPr>
    </w:p>
    <w:p w14:paraId="4DC08DE2">
      <w:pPr>
        <w:pStyle w:val="3"/>
        <w:wordWrap w:val="0"/>
        <w:spacing w:after="0" w:line="360" w:lineRule="auto"/>
        <w:ind w:firstLine="420" w:firstLineChars="200"/>
        <w:rPr>
          <w:rFonts w:hint="eastAsia" w:ascii="宋体" w:hAnsi="宋体"/>
          <w:color w:val="auto"/>
          <w:szCs w:val="21"/>
          <w:highlight w:val="none"/>
        </w:rPr>
      </w:pPr>
      <w:r>
        <w:rPr>
          <w:rFonts w:ascii="宋体" w:hAnsi="宋体"/>
          <w:color w:val="auto"/>
          <w:szCs w:val="21"/>
          <w:highlight w:val="none"/>
        </w:rPr>
        <w:t>代理人无转委托权。</w:t>
      </w:r>
    </w:p>
    <w:p w14:paraId="6F0FECAB">
      <w:pPr>
        <w:pStyle w:val="3"/>
        <w:wordWrap w:val="0"/>
        <w:spacing w:after="0" w:line="360" w:lineRule="auto"/>
        <w:rPr>
          <w:rFonts w:hint="eastAsia" w:ascii="宋体" w:hAnsi="宋体"/>
          <w:color w:val="auto"/>
          <w:szCs w:val="21"/>
          <w:highlight w:val="none"/>
        </w:rPr>
      </w:pPr>
    </w:p>
    <w:p w14:paraId="50F74698">
      <w:pPr>
        <w:wordWrap w:val="0"/>
        <w:spacing w:line="360" w:lineRule="auto"/>
        <w:ind w:firstLine="420" w:firstLineChars="200"/>
        <w:rPr>
          <w:rFonts w:hint="eastAsia" w:hAnsi="宋体"/>
          <w:bCs/>
          <w:color w:val="auto"/>
          <w:szCs w:val="21"/>
          <w:highlight w:val="none"/>
        </w:rPr>
      </w:pPr>
      <w:r>
        <w:rPr>
          <w:rFonts w:hAnsi="宋体"/>
          <w:bCs/>
          <w:color w:val="auto"/>
          <w:szCs w:val="21"/>
          <w:highlight w:val="none"/>
        </w:rPr>
        <w:t>附：法定代表人身份证原件扫描件</w:t>
      </w:r>
      <w:r>
        <w:rPr>
          <w:rFonts w:hint="eastAsia" w:hAnsi="宋体"/>
          <w:bCs/>
          <w:color w:val="auto"/>
          <w:szCs w:val="21"/>
          <w:highlight w:val="none"/>
        </w:rPr>
        <w:t>、</w:t>
      </w:r>
      <w:r>
        <w:rPr>
          <w:rFonts w:hAnsi="宋体"/>
          <w:bCs/>
          <w:color w:val="auto"/>
          <w:szCs w:val="21"/>
          <w:highlight w:val="none"/>
        </w:rPr>
        <w:t>委托代理人身份证原件扫描件</w:t>
      </w:r>
      <w:r>
        <w:rPr>
          <w:rFonts w:hint="eastAsia" w:hAnsi="宋体"/>
          <w:bCs/>
          <w:color w:val="auto"/>
          <w:szCs w:val="21"/>
          <w:highlight w:val="none"/>
        </w:rPr>
        <w:t>（此附件为授权委托书的必要组成部分，无此附件的授权委托书无效。</w:t>
      </w:r>
      <w:r>
        <w:rPr>
          <w:rFonts w:hAnsi="宋体"/>
          <w:bCs/>
          <w:color w:val="auto"/>
          <w:szCs w:val="21"/>
          <w:highlight w:val="none"/>
        </w:rPr>
        <w:t>法定代表人身份证原件扫描件及委托代理人身份证原件扫描件</w:t>
      </w:r>
      <w:r>
        <w:rPr>
          <w:rFonts w:hint="eastAsia" w:hAnsi="宋体"/>
          <w:bCs/>
          <w:color w:val="auto"/>
          <w:szCs w:val="21"/>
          <w:highlight w:val="none"/>
        </w:rPr>
        <w:t>可另附页，另附页时，原件扫描件须加盖单位公章。）</w:t>
      </w:r>
    </w:p>
    <w:p w14:paraId="395C1368">
      <w:pPr>
        <w:wordWrap w:val="0"/>
        <w:spacing w:line="360" w:lineRule="auto"/>
        <w:ind w:firstLine="420" w:firstLineChars="200"/>
        <w:rPr>
          <w:rFonts w:hint="eastAsia" w:hAnsi="宋体"/>
          <w:color w:val="auto"/>
          <w:szCs w:val="21"/>
          <w:highlight w:val="none"/>
        </w:rPr>
      </w:pPr>
    </w:p>
    <w:p w14:paraId="1C613C9F">
      <w:pPr>
        <w:pStyle w:val="3"/>
        <w:wordWrap w:val="0"/>
        <w:spacing w:after="0" w:line="360" w:lineRule="auto"/>
        <w:rPr>
          <w:rFonts w:hint="eastAsia" w:ascii="宋体" w:hAnsi="宋体"/>
          <w:color w:val="auto"/>
          <w:szCs w:val="21"/>
          <w:highlight w:val="none"/>
        </w:rPr>
      </w:pPr>
    </w:p>
    <w:p w14:paraId="595F704F">
      <w:pPr>
        <w:pStyle w:val="3"/>
        <w:wordWrap w:val="0"/>
        <w:spacing w:after="0" w:line="360" w:lineRule="auto"/>
        <w:rPr>
          <w:rFonts w:hint="eastAsia" w:ascii="宋体" w:hAnsi="宋体"/>
          <w:color w:val="auto"/>
          <w:szCs w:val="21"/>
          <w:highlight w:val="none"/>
        </w:rPr>
      </w:pPr>
    </w:p>
    <w:p w14:paraId="3D646AA7">
      <w:pPr>
        <w:pStyle w:val="3"/>
        <w:tabs>
          <w:tab w:val="left" w:pos="7241"/>
        </w:tabs>
        <w:wordWrap w:val="0"/>
        <w:spacing w:after="0" w:line="360" w:lineRule="auto"/>
        <w:rPr>
          <w:rFonts w:hint="eastAsia" w:ascii="宋体" w:hAnsi="宋体"/>
          <w:color w:val="auto"/>
          <w:szCs w:val="21"/>
          <w:highlight w:val="none"/>
        </w:rPr>
      </w:pPr>
      <w:r>
        <w:rPr>
          <w:rFonts w:ascii="宋体" w:hAnsi="宋体"/>
          <w:color w:val="auto"/>
          <w:szCs w:val="21"/>
          <w:highlight w:val="none"/>
        </w:rPr>
        <w:t>投</w:t>
      </w:r>
      <w:r>
        <w:rPr>
          <w:rFonts w:hint="eastAsia" w:ascii="宋体" w:hAnsi="宋体"/>
          <w:color w:val="auto"/>
          <w:szCs w:val="21"/>
          <w:highlight w:val="none"/>
        </w:rPr>
        <w:t xml:space="preserve">  </w:t>
      </w:r>
      <w:r>
        <w:rPr>
          <w:rFonts w:ascii="宋体" w:hAnsi="宋体"/>
          <w:color w:val="auto"/>
          <w:szCs w:val="21"/>
          <w:highlight w:val="none"/>
        </w:rPr>
        <w:t>标</w:t>
      </w:r>
      <w:r>
        <w:rPr>
          <w:rFonts w:hint="eastAsia" w:ascii="宋体" w:hAnsi="宋体"/>
          <w:color w:val="auto"/>
          <w:szCs w:val="21"/>
          <w:highlight w:val="none"/>
        </w:rPr>
        <w:t xml:space="preserve">  </w:t>
      </w:r>
      <w:r>
        <w:rPr>
          <w:rFonts w:ascii="宋体" w:hAnsi="宋体"/>
          <w:color w:val="auto"/>
          <w:szCs w:val="21"/>
          <w:highlight w:val="none"/>
        </w:rPr>
        <w:t>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505C6E58">
      <w:pPr>
        <w:pStyle w:val="3"/>
        <w:tabs>
          <w:tab w:val="left" w:pos="7661"/>
        </w:tabs>
        <w:wordWrap w:val="0"/>
        <w:spacing w:after="0" w:line="360" w:lineRule="auto"/>
        <w:rPr>
          <w:rFonts w:hint="eastAsia" w:ascii="宋体" w:hAnsi="宋体"/>
          <w:color w:val="auto"/>
          <w:szCs w:val="21"/>
          <w:highlight w:val="none"/>
        </w:rPr>
      </w:pPr>
      <w:r>
        <w:rPr>
          <w:rFonts w:ascii="宋体" w:hAnsi="宋体"/>
          <w:color w:val="auto"/>
          <w:szCs w:val="21"/>
          <w:highlight w:val="none"/>
        </w:rPr>
        <w:t>法定代表人：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05021278">
      <w:pPr>
        <w:pStyle w:val="3"/>
        <w:tabs>
          <w:tab w:val="left" w:pos="8549"/>
        </w:tabs>
        <w:wordWrap w:val="0"/>
        <w:spacing w:after="0" w:line="360" w:lineRule="auto"/>
        <w:rPr>
          <w:rFonts w:hint="eastAsia"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3B8B39AB">
      <w:pPr>
        <w:pStyle w:val="3"/>
        <w:tabs>
          <w:tab w:val="left" w:pos="7661"/>
        </w:tabs>
        <w:wordWrap w:val="0"/>
        <w:spacing w:after="0" w:line="360" w:lineRule="auto"/>
        <w:rPr>
          <w:rFonts w:hint="eastAsia" w:ascii="宋体" w:hAnsi="宋体"/>
          <w:color w:val="auto"/>
          <w:szCs w:val="21"/>
          <w:highlight w:val="none"/>
        </w:rPr>
      </w:pPr>
      <w:r>
        <w:rPr>
          <w:rFonts w:ascii="宋体" w:hAnsi="宋体"/>
          <w:color w:val="auto"/>
          <w:szCs w:val="21"/>
          <w:highlight w:val="none"/>
        </w:rPr>
        <w:t>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6730382D">
      <w:pPr>
        <w:pStyle w:val="3"/>
        <w:tabs>
          <w:tab w:val="left" w:pos="8549"/>
        </w:tabs>
        <w:wordWrap w:val="0"/>
        <w:spacing w:after="0" w:line="360" w:lineRule="auto"/>
        <w:rPr>
          <w:rFonts w:hint="eastAsia"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3FE7F522">
      <w:pPr>
        <w:wordWrap w:val="0"/>
        <w:spacing w:line="360" w:lineRule="auto"/>
        <w:rPr>
          <w:rFonts w:hint="eastAsia" w:hAnsi="宋体" w:cs="Arial"/>
          <w:color w:val="auto"/>
          <w:kern w:val="0"/>
          <w:szCs w:val="21"/>
          <w:highlight w:val="none"/>
        </w:rPr>
      </w:pPr>
      <w:r>
        <w:rPr>
          <w:rFonts w:hint="eastAsia" w:hAnsi="宋体" w:cs="Arial"/>
          <w:color w:val="auto"/>
          <w:kern w:val="0"/>
          <w:szCs w:val="21"/>
          <w:highlight w:val="none"/>
          <w:u w:val="single"/>
        </w:rPr>
        <w:t xml:space="preserve">     </w:t>
      </w:r>
      <w:r>
        <w:rPr>
          <w:rFonts w:hAnsi="宋体" w:cs="Arial"/>
          <w:color w:val="auto"/>
          <w:kern w:val="0"/>
          <w:szCs w:val="21"/>
          <w:highlight w:val="none"/>
        </w:rPr>
        <w:t>年</w:t>
      </w:r>
      <w:r>
        <w:rPr>
          <w:rFonts w:hint="eastAsia" w:hAnsi="宋体" w:cs="Arial"/>
          <w:color w:val="auto"/>
          <w:kern w:val="0"/>
          <w:szCs w:val="21"/>
          <w:highlight w:val="none"/>
          <w:u w:val="single"/>
        </w:rPr>
        <w:t xml:space="preserve">     </w:t>
      </w:r>
      <w:r>
        <w:rPr>
          <w:rFonts w:hAnsi="宋体" w:cs="Arial"/>
          <w:color w:val="auto"/>
          <w:kern w:val="0"/>
          <w:szCs w:val="21"/>
          <w:highlight w:val="none"/>
        </w:rPr>
        <w:t>月</w:t>
      </w:r>
      <w:r>
        <w:rPr>
          <w:rFonts w:hint="eastAsia" w:hAnsi="宋体" w:cs="Arial"/>
          <w:color w:val="auto"/>
          <w:kern w:val="0"/>
          <w:szCs w:val="21"/>
          <w:highlight w:val="none"/>
          <w:u w:val="single"/>
        </w:rPr>
        <w:t xml:space="preserve">     </w:t>
      </w:r>
      <w:r>
        <w:rPr>
          <w:rFonts w:hAnsi="宋体" w:cs="Arial"/>
          <w:color w:val="auto"/>
          <w:kern w:val="0"/>
          <w:szCs w:val="21"/>
          <w:highlight w:val="none"/>
        </w:rPr>
        <w:t>日</w:t>
      </w:r>
    </w:p>
    <w:p w14:paraId="0B3F6DCC">
      <w:pPr>
        <w:rPr>
          <w:rFonts w:hint="eastAsia" w:ascii="宋体" w:hAnsi="宋体" w:eastAsia="宋体" w:cs="Times New Roman"/>
          <w:color w:val="auto"/>
          <w:sz w:val="21"/>
          <w:szCs w:val="21"/>
          <w:highlight w:val="none"/>
          <w:lang w:val="en-US" w:eastAsia="zh-CN"/>
        </w:rPr>
      </w:pPr>
    </w:p>
    <w:p w14:paraId="6B3D7D6B">
      <w:pPr>
        <w:rPr>
          <w:rFonts w:hint="eastAsia" w:ascii="宋体" w:hAnsi="宋体" w:eastAsia="宋体" w:cs="Times New Roman"/>
          <w:color w:val="auto"/>
          <w:sz w:val="21"/>
          <w:szCs w:val="21"/>
          <w:highlight w:val="none"/>
          <w:lang w:val="en-US" w:eastAsia="zh-CN"/>
        </w:rPr>
      </w:pPr>
    </w:p>
    <w:p w14:paraId="0E0E876A">
      <w:pPr>
        <w:rPr>
          <w:rFonts w:hint="eastAsia" w:ascii="宋体" w:hAnsi="宋体" w:eastAsia="宋体" w:cs="Times New Roman"/>
          <w:color w:val="auto"/>
          <w:sz w:val="21"/>
          <w:szCs w:val="21"/>
          <w:highlight w:val="none"/>
          <w:lang w:val="en-US" w:eastAsia="zh-CN"/>
        </w:rPr>
      </w:pPr>
    </w:p>
    <w:p w14:paraId="43F3B9D0">
      <w:pPr>
        <w:rPr>
          <w:rFonts w:hint="eastAsia" w:ascii="宋体" w:hAnsi="宋体" w:eastAsia="宋体" w:cs="Times New Roman"/>
          <w:color w:val="auto"/>
          <w:sz w:val="21"/>
          <w:szCs w:val="21"/>
          <w:highlight w:val="none"/>
          <w:lang w:val="en-US" w:eastAsia="zh-CN"/>
        </w:rPr>
      </w:pPr>
    </w:p>
    <w:p w14:paraId="0370C227">
      <w:pPr>
        <w:rPr>
          <w:rFonts w:hint="eastAsia" w:ascii="宋体" w:hAnsi="宋体" w:eastAsia="宋体" w:cs="Times New Roman"/>
          <w:color w:val="auto"/>
          <w:sz w:val="21"/>
          <w:szCs w:val="21"/>
          <w:highlight w:val="none"/>
          <w:lang w:val="en-US" w:eastAsia="zh-CN"/>
        </w:rPr>
      </w:pPr>
    </w:p>
    <w:p w14:paraId="40B3EA93">
      <w:pPr>
        <w:ind w:firstLine="562" w:firstLineChars="200"/>
        <w:rPr>
          <w:rFonts w:hint="eastAsia" w:hAnsi="宋体" w:cs="宋体"/>
          <w:b/>
          <w:color w:val="auto"/>
          <w:sz w:val="28"/>
          <w:szCs w:val="28"/>
          <w:highlight w:val="none"/>
        </w:rPr>
      </w:pPr>
      <w:r>
        <w:rPr>
          <w:rFonts w:hint="eastAsia" w:hAnsi="宋体" w:cs="宋体"/>
          <w:b/>
          <w:color w:val="auto"/>
          <w:sz w:val="28"/>
          <w:szCs w:val="28"/>
          <w:highlight w:val="none"/>
        </w:rPr>
        <w:br w:type="page"/>
      </w:r>
    </w:p>
    <w:p w14:paraId="1C9B4442">
      <w:pPr>
        <w:pStyle w:val="138"/>
        <w:tabs>
          <w:tab w:val="left" w:pos="4538"/>
          <w:tab w:val="left" w:pos="5484"/>
          <w:tab w:val="left" w:pos="6427"/>
        </w:tabs>
        <w:spacing w:before="0" w:line="360" w:lineRule="auto"/>
        <w:jc w:val="center"/>
        <w:rPr>
          <w:rFonts w:hint="eastAsia" w:ascii="Calibri" w:cs="宋体"/>
          <w:color w:val="auto"/>
          <w:szCs w:val="28"/>
          <w:highlight w:val="none"/>
        </w:rPr>
      </w:pPr>
      <w:r>
        <w:rPr>
          <w:rFonts w:hint="eastAsia" w:ascii="Calibri" w:cs="宋体"/>
          <w:color w:val="auto"/>
          <w:szCs w:val="28"/>
          <w:highlight w:val="none"/>
          <w:lang w:val="en-US" w:eastAsia="zh-CN"/>
        </w:rPr>
        <w:t>六</w:t>
      </w:r>
      <w:r>
        <w:rPr>
          <w:rFonts w:hint="eastAsia" w:ascii="Calibri" w:cs="宋体"/>
          <w:color w:val="auto"/>
          <w:szCs w:val="28"/>
          <w:highlight w:val="none"/>
        </w:rPr>
        <w:t>、投标人具备投标资格的证明文件</w:t>
      </w:r>
    </w:p>
    <w:p w14:paraId="0B9650B3">
      <w:pPr>
        <w:wordWrap w:val="0"/>
        <w:spacing w:line="360" w:lineRule="auto"/>
        <w:ind w:firstLine="422" w:firstLineChars="200"/>
        <w:jc w:val="left"/>
        <w:rPr>
          <w:rFonts w:hint="eastAsia" w:hAnsi="宋体" w:cs="宋体"/>
          <w:b/>
          <w:color w:val="auto"/>
          <w:szCs w:val="21"/>
          <w:highlight w:val="none"/>
        </w:rPr>
      </w:pPr>
    </w:p>
    <w:p w14:paraId="20A2A9C3">
      <w:pPr>
        <w:wordWrap w:val="0"/>
        <w:spacing w:line="360" w:lineRule="auto"/>
        <w:ind w:firstLine="422" w:firstLineChars="200"/>
        <w:jc w:val="left"/>
        <w:rPr>
          <w:rFonts w:hint="eastAsia" w:hAnsi="宋体" w:cs="宋体"/>
          <w:b/>
          <w:color w:val="auto"/>
          <w:szCs w:val="21"/>
          <w:highlight w:val="none"/>
        </w:rPr>
      </w:pPr>
      <w:r>
        <w:rPr>
          <w:rFonts w:hint="eastAsia" w:hAnsi="宋体" w:cs="宋体"/>
          <w:b/>
          <w:color w:val="auto"/>
          <w:szCs w:val="21"/>
          <w:highlight w:val="none"/>
        </w:rPr>
        <w:t>1、投标人须附下列资格证明文件：</w:t>
      </w:r>
    </w:p>
    <w:p w14:paraId="1B57634D">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（1）</w:t>
      </w:r>
      <w:r>
        <w:rPr>
          <w:rFonts w:hint="eastAsia" w:ascii="宋体" w:hAnsi="宋体" w:cs="宋体"/>
          <w:color w:val="auto"/>
          <w:szCs w:val="21"/>
          <w:highlight w:val="none"/>
        </w:rPr>
        <w:t>营业执照</w:t>
      </w:r>
      <w:r>
        <w:rPr>
          <w:rFonts w:hint="eastAsia" w:hAnsi="宋体" w:cs="宋体"/>
          <w:color w:val="auto"/>
          <w:szCs w:val="21"/>
          <w:highlight w:val="none"/>
        </w:rPr>
        <w:t>原件扫描件；</w:t>
      </w:r>
    </w:p>
    <w:p w14:paraId="02894310">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（2）业绩相关要求证明文件；</w:t>
      </w:r>
    </w:p>
    <w:p w14:paraId="7FB74AD8">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3</w:t>
      </w:r>
      <w:r>
        <w:rPr>
          <w:rFonts w:hint="eastAsia" w:hAnsi="宋体" w:cs="宋体"/>
          <w:color w:val="auto"/>
          <w:szCs w:val="21"/>
          <w:highlight w:val="none"/>
        </w:rPr>
        <w:t>）信誉要求证明文件；</w:t>
      </w:r>
    </w:p>
    <w:p w14:paraId="35BF4864">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4</w:t>
      </w:r>
      <w:r>
        <w:rPr>
          <w:rFonts w:hint="eastAsia" w:hAnsi="宋体" w:cs="宋体"/>
          <w:color w:val="auto"/>
          <w:szCs w:val="21"/>
          <w:highlight w:val="none"/>
        </w:rPr>
        <w:t>）法定代表人身份证明或授权委托书原件扫描件（法定代表人及委托代理人</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hint="eastAsia" w:hAnsi="宋体" w:cs="宋体"/>
          <w:color w:val="auto"/>
          <w:szCs w:val="21"/>
          <w:highlight w:val="none"/>
        </w:rPr>
        <w:t>）。法定代表人身份证明或授权委托书应符合第六章</w:t>
      </w:r>
      <w:r>
        <w:rPr>
          <w:rFonts w:hAnsi="宋体" w:cs="宋体"/>
          <w:color w:val="auto"/>
          <w:szCs w:val="21"/>
          <w:highlight w:val="none"/>
        </w:rPr>
        <w:t>“</w:t>
      </w:r>
      <w:r>
        <w:rPr>
          <w:rFonts w:hint="eastAsia" w:hAnsi="宋体" w:cs="宋体"/>
          <w:color w:val="auto"/>
          <w:szCs w:val="21"/>
          <w:highlight w:val="none"/>
        </w:rPr>
        <w:t>投标文件格式</w:t>
      </w:r>
      <w:r>
        <w:rPr>
          <w:rFonts w:hAnsi="宋体" w:cs="宋体"/>
          <w:color w:val="auto"/>
          <w:szCs w:val="21"/>
          <w:highlight w:val="none"/>
        </w:rPr>
        <w:t>”</w:t>
      </w:r>
      <w:r>
        <w:rPr>
          <w:rFonts w:hint="eastAsia" w:hAnsi="宋体" w:cs="宋体"/>
          <w:color w:val="auto"/>
          <w:szCs w:val="21"/>
          <w:highlight w:val="none"/>
        </w:rPr>
        <w:t>的要求；</w:t>
      </w:r>
    </w:p>
    <w:p w14:paraId="0648EAFD">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5</w:t>
      </w:r>
      <w:r>
        <w:rPr>
          <w:rFonts w:hint="eastAsia" w:hAnsi="宋体" w:cs="宋体"/>
          <w:color w:val="auto"/>
          <w:szCs w:val="21"/>
          <w:highlight w:val="none"/>
        </w:rPr>
        <w:t>）投标人承诺函；</w:t>
      </w:r>
    </w:p>
    <w:p w14:paraId="366BAA67">
      <w:pPr>
        <w:wordWrap w:val="0"/>
        <w:spacing w:line="360" w:lineRule="auto"/>
        <w:ind w:firstLine="420" w:firstLineChars="200"/>
        <w:jc w:val="left"/>
        <w:rPr>
          <w:rFonts w:hint="eastAsia" w:hAnsi="宋体" w:cs="宋体"/>
          <w:color w:val="auto"/>
          <w:szCs w:val="21"/>
          <w:highlight w:val="none"/>
        </w:rPr>
      </w:pPr>
      <w:r>
        <w:rPr>
          <w:rFonts w:hint="eastAsia" w:hAnsi="宋体" w:cs="宋体"/>
          <w:color w:val="auto"/>
          <w:szCs w:val="21"/>
          <w:highlight w:val="none"/>
        </w:rPr>
        <w:t>（</w:t>
      </w:r>
      <w:r>
        <w:rPr>
          <w:rFonts w:hint="eastAsia" w:hAnsi="宋体" w:cs="宋体"/>
          <w:color w:val="auto"/>
          <w:szCs w:val="21"/>
          <w:highlight w:val="none"/>
          <w:lang w:val="en-US" w:eastAsia="zh-CN"/>
        </w:rPr>
        <w:t>6</w:t>
      </w:r>
      <w:r>
        <w:rPr>
          <w:rFonts w:hint="eastAsia" w:hAnsi="宋体" w:cs="宋体"/>
          <w:color w:val="auto"/>
          <w:szCs w:val="21"/>
          <w:highlight w:val="none"/>
        </w:rPr>
        <w:t>）招标文件要求的其他材料。</w:t>
      </w:r>
    </w:p>
    <w:p w14:paraId="5B74F7A0">
      <w:pPr>
        <w:wordWrap w:val="0"/>
        <w:spacing w:line="360" w:lineRule="auto"/>
        <w:ind w:firstLine="422" w:firstLineChars="200"/>
        <w:jc w:val="left"/>
        <w:rPr>
          <w:rFonts w:hint="eastAsia" w:hAnsi="宋体" w:cs="宋体"/>
          <w:b/>
          <w:bCs/>
          <w:color w:val="auto"/>
          <w:szCs w:val="21"/>
          <w:highlight w:val="none"/>
        </w:rPr>
      </w:pPr>
      <w:r>
        <w:rPr>
          <w:rFonts w:hint="eastAsia" w:hAnsi="宋体" w:cs="宋体"/>
          <w:b/>
          <w:bCs/>
          <w:color w:val="auto"/>
          <w:szCs w:val="21"/>
          <w:highlight w:val="none"/>
        </w:rPr>
        <w:t>以上所有证明文件加盖投标人单位公章。</w:t>
      </w:r>
    </w:p>
    <w:p w14:paraId="314C9688">
      <w:pPr>
        <w:widowControl/>
        <w:ind w:firstLine="422" w:firstLineChars="200"/>
        <w:jc w:val="left"/>
        <w:rPr>
          <w:rFonts w:hint="eastAsia" w:hAnsi="宋体" w:cs="宋体"/>
          <w:b/>
          <w:color w:val="auto"/>
          <w:szCs w:val="21"/>
          <w:highlight w:val="none"/>
        </w:rPr>
      </w:pPr>
    </w:p>
    <w:p w14:paraId="6237BE57">
      <w:pPr>
        <w:widowControl/>
        <w:ind w:firstLine="422" w:firstLineChars="200"/>
        <w:jc w:val="left"/>
        <w:rPr>
          <w:rFonts w:hint="eastAsia" w:hAnsi="宋体" w:cs="宋体"/>
          <w:b/>
          <w:color w:val="auto"/>
          <w:szCs w:val="21"/>
          <w:highlight w:val="none"/>
        </w:rPr>
      </w:pPr>
      <w:r>
        <w:rPr>
          <w:rFonts w:hint="eastAsia" w:hAnsi="宋体" w:cs="宋体"/>
          <w:b/>
          <w:color w:val="auto"/>
          <w:szCs w:val="21"/>
          <w:highlight w:val="none"/>
        </w:rPr>
        <w:t>2、投标人须附下列文件（不作为资格审查依据）：</w:t>
      </w:r>
    </w:p>
    <w:p w14:paraId="0F8DEEC5">
      <w:pPr>
        <w:wordWrap w:val="0"/>
        <w:spacing w:line="360" w:lineRule="auto"/>
        <w:ind w:firstLine="420" w:firstLineChars="200"/>
        <w:jc w:val="left"/>
        <w:rPr>
          <w:rFonts w:hint="eastAsia" w:hAnsi="宋体" w:cs="宋体"/>
          <w:color w:val="auto"/>
          <w:szCs w:val="21"/>
          <w:highlight w:val="none"/>
        </w:rPr>
      </w:pPr>
      <w:r>
        <w:rPr>
          <w:rFonts w:hint="eastAsia" w:hAnsi="宋体"/>
          <w:color w:val="auto"/>
          <w:szCs w:val="21"/>
          <w:highlight w:val="none"/>
        </w:rPr>
        <w:t>（1）</w:t>
      </w:r>
      <w:r>
        <w:rPr>
          <w:rFonts w:hint="eastAsia"/>
          <w:color w:val="auto"/>
          <w:szCs w:val="21"/>
          <w:highlight w:val="none"/>
        </w:rPr>
        <w:t>投标人基本情况表</w:t>
      </w:r>
      <w:r>
        <w:rPr>
          <w:rFonts w:hint="eastAsia" w:hAnsi="宋体" w:cs="宋体"/>
          <w:color w:val="auto"/>
          <w:szCs w:val="21"/>
          <w:highlight w:val="none"/>
        </w:rPr>
        <w:t>（格式</w:t>
      </w:r>
      <w:r>
        <w:rPr>
          <w:rFonts w:hint="eastAsia" w:ascii="宋体" w:hAnsi="宋体" w:cs="宋体"/>
          <w:color w:val="auto"/>
          <w:szCs w:val="21"/>
          <w:highlight w:val="none"/>
        </w:rPr>
        <w:t>见附表</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w:t>
      </w:r>
    </w:p>
    <w:p w14:paraId="530DA2E7">
      <w:pPr>
        <w:widowControl/>
        <w:jc w:val="left"/>
        <w:rPr>
          <w:rFonts w:hint="eastAsia" w:hAnsi="宋体" w:cs="宋体"/>
          <w:b/>
          <w:bCs/>
          <w:color w:val="auto"/>
          <w:sz w:val="24"/>
          <w:szCs w:val="24"/>
          <w:highlight w:val="none"/>
        </w:rPr>
      </w:pPr>
      <w:r>
        <w:rPr>
          <w:rFonts w:hAnsi="宋体" w:cs="宋体"/>
          <w:b/>
          <w:bCs/>
          <w:color w:val="auto"/>
          <w:sz w:val="24"/>
          <w:szCs w:val="24"/>
          <w:highlight w:val="none"/>
        </w:rPr>
        <w:br w:type="page"/>
      </w:r>
    </w:p>
    <w:p w14:paraId="4D2F5F9E">
      <w:pPr>
        <w:pStyle w:val="3"/>
        <w:wordWrap w:val="0"/>
        <w:spacing w:after="0" w:line="360" w:lineRule="auto"/>
        <w:jc w:val="left"/>
        <w:rPr>
          <w:rFonts w:hint="eastAsia" w:ascii="宋体" w:hAnsi="宋体" w:cs="宋体"/>
          <w:b/>
          <w:bCs/>
          <w:color w:val="auto"/>
          <w:sz w:val="28"/>
          <w:szCs w:val="28"/>
          <w:highlight w:val="none"/>
        </w:rPr>
      </w:pPr>
      <w:r>
        <w:rPr>
          <w:rFonts w:hint="eastAsia" w:ascii="宋体" w:hAnsi="宋体" w:cs="宋体"/>
          <w:b/>
          <w:bCs/>
          <w:color w:val="auto"/>
          <w:sz w:val="24"/>
          <w:szCs w:val="24"/>
          <w:highlight w:val="none"/>
        </w:rPr>
        <w:t>附表</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-1</w:t>
      </w:r>
    </w:p>
    <w:p w14:paraId="2D741939">
      <w:pPr>
        <w:wordWrap w:val="0"/>
        <w:spacing w:line="360" w:lineRule="auto"/>
        <w:jc w:val="center"/>
        <w:rPr>
          <w:rFonts w:hint="eastAsia" w:hAnsi="宋体"/>
          <w:b/>
          <w:bCs/>
          <w:color w:val="auto"/>
          <w:sz w:val="28"/>
          <w:szCs w:val="28"/>
          <w:highlight w:val="none"/>
        </w:rPr>
      </w:pPr>
      <w:r>
        <w:rPr>
          <w:rFonts w:hint="eastAsia" w:hAnsi="宋体"/>
          <w:b/>
          <w:bCs/>
          <w:color w:val="auto"/>
          <w:sz w:val="28"/>
          <w:szCs w:val="28"/>
          <w:highlight w:val="none"/>
        </w:rPr>
        <w:t>投标人基本情况表</w:t>
      </w:r>
    </w:p>
    <w:tbl>
      <w:tblPr>
        <w:tblStyle w:val="64"/>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2174"/>
        <w:gridCol w:w="944"/>
        <w:gridCol w:w="2410"/>
        <w:gridCol w:w="1135"/>
        <w:gridCol w:w="2269"/>
      </w:tblGrid>
      <w:tr w14:paraId="4156BF5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59F87DF7">
            <w:pPr>
              <w:wordWrap w:val="0"/>
              <w:jc w:val="center"/>
              <w:rPr>
                <w:rFonts w:hint="eastAsia" w:hAnsi="宋体"/>
                <w:color w:val="auto"/>
                <w:szCs w:val="21"/>
                <w:highlight w:val="none"/>
              </w:rPr>
            </w:pPr>
            <w:r>
              <w:rPr>
                <w:rFonts w:hint="eastAsia" w:hAnsi="宋体"/>
                <w:color w:val="auto"/>
                <w:szCs w:val="21"/>
                <w:highlight w:val="none"/>
              </w:rPr>
              <w:t>投标人名称</w:t>
            </w:r>
          </w:p>
        </w:tc>
        <w:tc>
          <w:tcPr>
            <w:tcW w:w="6758" w:type="dxa"/>
            <w:gridSpan w:val="4"/>
            <w:tcBorders>
              <w:tl2br w:val="nil"/>
              <w:tr2bl w:val="nil"/>
            </w:tcBorders>
            <w:vAlign w:val="center"/>
          </w:tcPr>
          <w:p w14:paraId="2D0559E7">
            <w:pPr>
              <w:wordWrap w:val="0"/>
              <w:jc w:val="center"/>
              <w:rPr>
                <w:rFonts w:hint="eastAsia" w:hAnsi="宋体"/>
                <w:color w:val="auto"/>
                <w:szCs w:val="21"/>
                <w:highlight w:val="none"/>
              </w:rPr>
            </w:pPr>
          </w:p>
        </w:tc>
      </w:tr>
      <w:tr w14:paraId="6771345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37F7774C">
            <w:pPr>
              <w:wordWrap w:val="0"/>
              <w:jc w:val="center"/>
              <w:rPr>
                <w:rFonts w:hint="eastAsia" w:hAnsi="宋体"/>
                <w:color w:val="auto"/>
                <w:szCs w:val="21"/>
                <w:highlight w:val="none"/>
              </w:rPr>
            </w:pPr>
            <w:r>
              <w:rPr>
                <w:rFonts w:hint="eastAsia" w:hAnsi="宋体"/>
                <w:color w:val="auto"/>
                <w:szCs w:val="21"/>
                <w:highlight w:val="none"/>
              </w:rPr>
              <w:t>注册资金</w:t>
            </w:r>
          </w:p>
        </w:tc>
        <w:tc>
          <w:tcPr>
            <w:tcW w:w="3354" w:type="dxa"/>
            <w:gridSpan w:val="2"/>
            <w:tcBorders>
              <w:tl2br w:val="nil"/>
              <w:tr2bl w:val="nil"/>
            </w:tcBorders>
            <w:vAlign w:val="center"/>
          </w:tcPr>
          <w:p w14:paraId="2BA880C4">
            <w:pPr>
              <w:wordWrap w:val="0"/>
              <w:jc w:val="center"/>
              <w:rPr>
                <w:rFonts w:hint="eastAsia" w:hAnsi="宋体"/>
                <w:color w:val="auto"/>
                <w:szCs w:val="21"/>
                <w:highlight w:val="none"/>
              </w:rPr>
            </w:pPr>
          </w:p>
        </w:tc>
        <w:tc>
          <w:tcPr>
            <w:tcW w:w="1135" w:type="dxa"/>
            <w:tcBorders>
              <w:tl2br w:val="nil"/>
              <w:tr2bl w:val="nil"/>
            </w:tcBorders>
            <w:vAlign w:val="center"/>
          </w:tcPr>
          <w:p w14:paraId="7A60B717">
            <w:pPr>
              <w:wordWrap w:val="0"/>
              <w:jc w:val="center"/>
              <w:rPr>
                <w:rFonts w:hint="eastAsia" w:hAnsi="宋体"/>
                <w:color w:val="auto"/>
                <w:szCs w:val="21"/>
                <w:highlight w:val="none"/>
              </w:rPr>
            </w:pPr>
            <w:r>
              <w:rPr>
                <w:rFonts w:hint="eastAsia" w:hAnsi="宋体"/>
                <w:color w:val="auto"/>
                <w:szCs w:val="21"/>
                <w:highlight w:val="none"/>
              </w:rPr>
              <w:t>成立时间</w:t>
            </w:r>
          </w:p>
        </w:tc>
        <w:tc>
          <w:tcPr>
            <w:tcW w:w="2269" w:type="dxa"/>
            <w:tcBorders>
              <w:tl2br w:val="nil"/>
              <w:tr2bl w:val="nil"/>
            </w:tcBorders>
            <w:vAlign w:val="center"/>
          </w:tcPr>
          <w:p w14:paraId="6B5CF007">
            <w:pPr>
              <w:wordWrap w:val="0"/>
              <w:jc w:val="center"/>
              <w:rPr>
                <w:rFonts w:hint="eastAsia" w:hAnsi="宋体"/>
                <w:color w:val="auto"/>
                <w:szCs w:val="21"/>
                <w:highlight w:val="none"/>
              </w:rPr>
            </w:pPr>
          </w:p>
        </w:tc>
      </w:tr>
      <w:tr w14:paraId="5528F6A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7CF24B9D">
            <w:pPr>
              <w:wordWrap w:val="0"/>
              <w:jc w:val="center"/>
              <w:rPr>
                <w:rFonts w:hint="eastAsia" w:hAnsi="宋体"/>
                <w:color w:val="auto"/>
                <w:szCs w:val="21"/>
                <w:highlight w:val="none"/>
              </w:rPr>
            </w:pPr>
            <w:r>
              <w:rPr>
                <w:rFonts w:hint="eastAsia" w:hAnsi="宋体"/>
                <w:color w:val="auto"/>
                <w:szCs w:val="21"/>
                <w:highlight w:val="none"/>
              </w:rPr>
              <w:t>注册地址</w:t>
            </w:r>
          </w:p>
        </w:tc>
        <w:tc>
          <w:tcPr>
            <w:tcW w:w="6758" w:type="dxa"/>
            <w:gridSpan w:val="4"/>
            <w:tcBorders>
              <w:tl2br w:val="nil"/>
              <w:tr2bl w:val="nil"/>
            </w:tcBorders>
            <w:vAlign w:val="center"/>
          </w:tcPr>
          <w:p w14:paraId="764BCDF4">
            <w:pPr>
              <w:wordWrap w:val="0"/>
              <w:jc w:val="center"/>
              <w:rPr>
                <w:rFonts w:hint="eastAsia" w:hAnsi="宋体"/>
                <w:color w:val="auto"/>
                <w:szCs w:val="21"/>
                <w:highlight w:val="none"/>
              </w:rPr>
            </w:pPr>
          </w:p>
        </w:tc>
      </w:tr>
      <w:tr w14:paraId="00C2A14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1F8B9653">
            <w:pPr>
              <w:wordWrap w:val="0"/>
              <w:jc w:val="center"/>
              <w:rPr>
                <w:rFonts w:hint="eastAsia" w:hAnsi="宋体"/>
                <w:color w:val="auto"/>
                <w:szCs w:val="21"/>
                <w:highlight w:val="none"/>
              </w:rPr>
            </w:pPr>
            <w:r>
              <w:rPr>
                <w:rFonts w:hint="eastAsia" w:hAnsi="宋体"/>
                <w:color w:val="auto"/>
                <w:szCs w:val="21"/>
                <w:highlight w:val="none"/>
              </w:rPr>
              <w:t>邮政编码</w:t>
            </w:r>
          </w:p>
        </w:tc>
        <w:tc>
          <w:tcPr>
            <w:tcW w:w="3354" w:type="dxa"/>
            <w:gridSpan w:val="2"/>
            <w:tcBorders>
              <w:tl2br w:val="nil"/>
              <w:tr2bl w:val="nil"/>
            </w:tcBorders>
            <w:vAlign w:val="center"/>
          </w:tcPr>
          <w:p w14:paraId="4912BB54">
            <w:pPr>
              <w:wordWrap w:val="0"/>
              <w:jc w:val="center"/>
              <w:rPr>
                <w:rFonts w:hint="eastAsia" w:hAnsi="宋体"/>
                <w:color w:val="auto"/>
                <w:szCs w:val="21"/>
                <w:highlight w:val="none"/>
              </w:rPr>
            </w:pPr>
          </w:p>
        </w:tc>
        <w:tc>
          <w:tcPr>
            <w:tcW w:w="1135" w:type="dxa"/>
            <w:tcBorders>
              <w:tl2br w:val="nil"/>
              <w:tr2bl w:val="nil"/>
            </w:tcBorders>
            <w:vAlign w:val="center"/>
          </w:tcPr>
          <w:p w14:paraId="6EA962CC">
            <w:pPr>
              <w:wordWrap w:val="0"/>
              <w:jc w:val="center"/>
              <w:rPr>
                <w:rFonts w:hint="eastAsia" w:hAnsi="宋体"/>
                <w:color w:val="auto"/>
                <w:szCs w:val="21"/>
                <w:highlight w:val="none"/>
              </w:rPr>
            </w:pPr>
            <w:r>
              <w:rPr>
                <w:rFonts w:hint="eastAsia" w:hAnsi="宋体"/>
                <w:color w:val="auto"/>
                <w:szCs w:val="21"/>
                <w:highlight w:val="none"/>
              </w:rPr>
              <w:t>员工总数</w:t>
            </w:r>
          </w:p>
        </w:tc>
        <w:tc>
          <w:tcPr>
            <w:tcW w:w="2269" w:type="dxa"/>
            <w:tcBorders>
              <w:tl2br w:val="nil"/>
              <w:tr2bl w:val="nil"/>
            </w:tcBorders>
            <w:vAlign w:val="center"/>
          </w:tcPr>
          <w:p w14:paraId="734031C7">
            <w:pPr>
              <w:wordWrap w:val="0"/>
              <w:jc w:val="center"/>
              <w:rPr>
                <w:rFonts w:hint="eastAsia" w:hAnsi="宋体"/>
                <w:color w:val="auto"/>
                <w:szCs w:val="21"/>
                <w:highlight w:val="none"/>
              </w:rPr>
            </w:pPr>
          </w:p>
        </w:tc>
      </w:tr>
      <w:tr w14:paraId="18E7D5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vMerge w:val="restart"/>
            <w:tcBorders>
              <w:tl2br w:val="nil"/>
              <w:tr2bl w:val="nil"/>
            </w:tcBorders>
            <w:vAlign w:val="center"/>
          </w:tcPr>
          <w:p w14:paraId="45B299C8">
            <w:pPr>
              <w:wordWrap w:val="0"/>
              <w:jc w:val="center"/>
              <w:rPr>
                <w:rFonts w:hint="eastAsia" w:hAnsi="宋体"/>
                <w:color w:val="auto"/>
                <w:szCs w:val="21"/>
                <w:highlight w:val="none"/>
              </w:rPr>
            </w:pPr>
            <w:r>
              <w:rPr>
                <w:rFonts w:hint="eastAsia" w:hAnsi="宋体"/>
                <w:color w:val="auto"/>
                <w:szCs w:val="21"/>
                <w:highlight w:val="none"/>
              </w:rPr>
              <w:t>联系方式</w:t>
            </w:r>
          </w:p>
        </w:tc>
        <w:tc>
          <w:tcPr>
            <w:tcW w:w="944" w:type="dxa"/>
            <w:tcBorders>
              <w:tl2br w:val="nil"/>
              <w:tr2bl w:val="nil"/>
            </w:tcBorders>
            <w:vAlign w:val="center"/>
          </w:tcPr>
          <w:p w14:paraId="6FC257D5">
            <w:pPr>
              <w:wordWrap w:val="0"/>
              <w:jc w:val="center"/>
              <w:rPr>
                <w:rFonts w:hint="eastAsia" w:hAnsi="宋体"/>
                <w:color w:val="auto"/>
                <w:szCs w:val="21"/>
                <w:highlight w:val="none"/>
              </w:rPr>
            </w:pPr>
            <w:r>
              <w:rPr>
                <w:rFonts w:hint="eastAsia" w:hAnsi="宋体"/>
                <w:color w:val="auto"/>
                <w:szCs w:val="21"/>
                <w:highlight w:val="none"/>
              </w:rPr>
              <w:t>联系人</w:t>
            </w:r>
          </w:p>
        </w:tc>
        <w:tc>
          <w:tcPr>
            <w:tcW w:w="2410" w:type="dxa"/>
            <w:tcBorders>
              <w:tl2br w:val="nil"/>
              <w:tr2bl w:val="nil"/>
            </w:tcBorders>
            <w:vAlign w:val="center"/>
          </w:tcPr>
          <w:p w14:paraId="0DB08B4E">
            <w:pPr>
              <w:wordWrap w:val="0"/>
              <w:jc w:val="center"/>
              <w:rPr>
                <w:rFonts w:hint="eastAsia" w:hAnsi="宋体"/>
                <w:color w:val="auto"/>
                <w:szCs w:val="21"/>
                <w:highlight w:val="none"/>
              </w:rPr>
            </w:pPr>
          </w:p>
        </w:tc>
        <w:tc>
          <w:tcPr>
            <w:tcW w:w="1135" w:type="dxa"/>
            <w:tcBorders>
              <w:tl2br w:val="nil"/>
              <w:tr2bl w:val="nil"/>
            </w:tcBorders>
            <w:vAlign w:val="center"/>
          </w:tcPr>
          <w:p w14:paraId="48DCEBCE">
            <w:pPr>
              <w:wordWrap w:val="0"/>
              <w:jc w:val="center"/>
              <w:rPr>
                <w:rFonts w:hint="eastAsia"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5E4F07B7">
            <w:pPr>
              <w:wordWrap w:val="0"/>
              <w:jc w:val="center"/>
              <w:rPr>
                <w:rFonts w:hint="eastAsia" w:hAnsi="宋体"/>
                <w:color w:val="auto"/>
                <w:szCs w:val="21"/>
                <w:highlight w:val="none"/>
              </w:rPr>
            </w:pPr>
          </w:p>
        </w:tc>
      </w:tr>
      <w:tr w14:paraId="163380D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vMerge w:val="continue"/>
            <w:tcBorders>
              <w:tl2br w:val="nil"/>
              <w:tr2bl w:val="nil"/>
            </w:tcBorders>
            <w:vAlign w:val="center"/>
          </w:tcPr>
          <w:p w14:paraId="10E5C1FF">
            <w:pPr>
              <w:wordWrap w:val="0"/>
              <w:jc w:val="center"/>
              <w:rPr>
                <w:rFonts w:hint="eastAsia" w:hAnsi="宋体"/>
                <w:color w:val="auto"/>
                <w:szCs w:val="21"/>
                <w:highlight w:val="none"/>
              </w:rPr>
            </w:pPr>
          </w:p>
        </w:tc>
        <w:tc>
          <w:tcPr>
            <w:tcW w:w="944" w:type="dxa"/>
            <w:tcBorders>
              <w:tl2br w:val="nil"/>
              <w:tr2bl w:val="nil"/>
            </w:tcBorders>
            <w:vAlign w:val="center"/>
          </w:tcPr>
          <w:p w14:paraId="59501ECA">
            <w:pPr>
              <w:wordWrap w:val="0"/>
              <w:jc w:val="center"/>
              <w:rPr>
                <w:rFonts w:hint="eastAsia" w:hAnsi="宋体"/>
                <w:color w:val="auto"/>
                <w:szCs w:val="21"/>
                <w:highlight w:val="none"/>
              </w:rPr>
            </w:pPr>
            <w:r>
              <w:rPr>
                <w:rFonts w:hint="eastAsia" w:hAnsi="宋体"/>
                <w:color w:val="auto"/>
                <w:szCs w:val="21"/>
                <w:highlight w:val="none"/>
              </w:rPr>
              <w:t>网址</w:t>
            </w:r>
          </w:p>
        </w:tc>
        <w:tc>
          <w:tcPr>
            <w:tcW w:w="2410" w:type="dxa"/>
            <w:tcBorders>
              <w:tl2br w:val="nil"/>
              <w:tr2bl w:val="nil"/>
            </w:tcBorders>
            <w:vAlign w:val="center"/>
          </w:tcPr>
          <w:p w14:paraId="71BA0C56">
            <w:pPr>
              <w:wordWrap w:val="0"/>
              <w:jc w:val="center"/>
              <w:rPr>
                <w:rFonts w:hint="eastAsia" w:hAnsi="宋体"/>
                <w:color w:val="auto"/>
                <w:szCs w:val="21"/>
                <w:highlight w:val="none"/>
              </w:rPr>
            </w:pPr>
          </w:p>
        </w:tc>
        <w:tc>
          <w:tcPr>
            <w:tcW w:w="1135" w:type="dxa"/>
            <w:tcBorders>
              <w:tl2br w:val="nil"/>
              <w:tr2bl w:val="nil"/>
            </w:tcBorders>
            <w:vAlign w:val="center"/>
          </w:tcPr>
          <w:p w14:paraId="09784119">
            <w:pPr>
              <w:wordWrap w:val="0"/>
              <w:jc w:val="center"/>
              <w:rPr>
                <w:rFonts w:hint="eastAsia" w:hAnsi="宋体"/>
                <w:color w:val="auto"/>
                <w:szCs w:val="21"/>
                <w:highlight w:val="none"/>
              </w:rPr>
            </w:pPr>
            <w:r>
              <w:rPr>
                <w:rFonts w:hint="eastAsia" w:hAnsi="宋体"/>
                <w:color w:val="auto"/>
                <w:szCs w:val="21"/>
                <w:highlight w:val="none"/>
              </w:rPr>
              <w:t>传真</w:t>
            </w:r>
          </w:p>
        </w:tc>
        <w:tc>
          <w:tcPr>
            <w:tcW w:w="2269" w:type="dxa"/>
            <w:tcBorders>
              <w:tl2br w:val="nil"/>
              <w:tr2bl w:val="nil"/>
            </w:tcBorders>
            <w:vAlign w:val="center"/>
          </w:tcPr>
          <w:p w14:paraId="65660750">
            <w:pPr>
              <w:wordWrap w:val="0"/>
              <w:jc w:val="center"/>
              <w:rPr>
                <w:rFonts w:hint="eastAsia" w:hAnsi="宋体"/>
                <w:color w:val="auto"/>
                <w:szCs w:val="21"/>
                <w:highlight w:val="none"/>
              </w:rPr>
            </w:pPr>
          </w:p>
        </w:tc>
      </w:tr>
      <w:tr w14:paraId="17E047A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90" w:hRule="exact"/>
          <w:jc w:val="center"/>
        </w:trPr>
        <w:tc>
          <w:tcPr>
            <w:tcW w:w="2174" w:type="dxa"/>
            <w:tcBorders>
              <w:tl2br w:val="nil"/>
              <w:tr2bl w:val="nil"/>
            </w:tcBorders>
            <w:vAlign w:val="center"/>
          </w:tcPr>
          <w:p w14:paraId="50E2D72D">
            <w:pPr>
              <w:wordWrap w:val="0"/>
              <w:jc w:val="center"/>
              <w:rPr>
                <w:rFonts w:hint="eastAsia" w:hAnsi="宋体"/>
                <w:color w:val="auto"/>
                <w:szCs w:val="21"/>
                <w:highlight w:val="none"/>
              </w:rPr>
            </w:pPr>
            <w:r>
              <w:rPr>
                <w:rFonts w:hint="eastAsia" w:hAnsi="宋体"/>
                <w:color w:val="auto"/>
                <w:szCs w:val="21"/>
                <w:highlight w:val="none"/>
              </w:rPr>
              <w:t>法定代表人</w:t>
            </w:r>
          </w:p>
        </w:tc>
        <w:tc>
          <w:tcPr>
            <w:tcW w:w="944" w:type="dxa"/>
            <w:tcBorders>
              <w:tl2br w:val="nil"/>
              <w:tr2bl w:val="nil"/>
            </w:tcBorders>
            <w:vAlign w:val="center"/>
          </w:tcPr>
          <w:p w14:paraId="2965CB17">
            <w:pPr>
              <w:wordWrap w:val="0"/>
              <w:jc w:val="center"/>
              <w:rPr>
                <w:rFonts w:hint="eastAsia" w:hAnsi="宋体"/>
                <w:color w:val="auto"/>
                <w:szCs w:val="21"/>
                <w:highlight w:val="none"/>
              </w:rPr>
            </w:pPr>
            <w:r>
              <w:rPr>
                <w:rFonts w:hint="eastAsia" w:hAnsi="宋体"/>
                <w:color w:val="auto"/>
                <w:szCs w:val="21"/>
                <w:highlight w:val="none"/>
              </w:rPr>
              <w:t>姓名</w:t>
            </w:r>
          </w:p>
        </w:tc>
        <w:tc>
          <w:tcPr>
            <w:tcW w:w="2410" w:type="dxa"/>
            <w:tcBorders>
              <w:tl2br w:val="nil"/>
              <w:tr2bl w:val="nil"/>
            </w:tcBorders>
            <w:vAlign w:val="center"/>
          </w:tcPr>
          <w:p w14:paraId="412D00DB">
            <w:pPr>
              <w:wordWrap w:val="0"/>
              <w:jc w:val="center"/>
              <w:rPr>
                <w:rFonts w:hint="eastAsia" w:hAnsi="宋体"/>
                <w:color w:val="auto"/>
                <w:szCs w:val="21"/>
                <w:highlight w:val="none"/>
              </w:rPr>
            </w:pPr>
          </w:p>
        </w:tc>
        <w:tc>
          <w:tcPr>
            <w:tcW w:w="1135" w:type="dxa"/>
            <w:tcBorders>
              <w:tl2br w:val="nil"/>
              <w:tr2bl w:val="nil"/>
            </w:tcBorders>
            <w:vAlign w:val="center"/>
          </w:tcPr>
          <w:p w14:paraId="7686A0AE">
            <w:pPr>
              <w:wordWrap w:val="0"/>
              <w:jc w:val="center"/>
              <w:rPr>
                <w:rFonts w:hint="eastAsia"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25CF2C39">
            <w:pPr>
              <w:wordWrap w:val="0"/>
              <w:jc w:val="center"/>
              <w:rPr>
                <w:rFonts w:hint="eastAsia" w:hAnsi="宋体"/>
                <w:color w:val="auto"/>
                <w:szCs w:val="21"/>
                <w:highlight w:val="none"/>
              </w:rPr>
            </w:pPr>
          </w:p>
        </w:tc>
      </w:tr>
      <w:tr w14:paraId="75687B0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122A5778">
            <w:pPr>
              <w:wordWrap w:val="0"/>
              <w:jc w:val="center"/>
              <w:rPr>
                <w:rFonts w:hint="eastAsia" w:hAnsi="宋体"/>
                <w:color w:val="auto"/>
                <w:szCs w:val="21"/>
                <w:highlight w:val="none"/>
              </w:rPr>
            </w:pPr>
            <w:r>
              <w:rPr>
                <w:rFonts w:hint="eastAsia" w:hAnsi="宋体"/>
                <w:color w:val="auto"/>
                <w:szCs w:val="21"/>
                <w:highlight w:val="none"/>
              </w:rPr>
              <w:t>基本账户开户银行</w:t>
            </w:r>
          </w:p>
        </w:tc>
        <w:tc>
          <w:tcPr>
            <w:tcW w:w="6758" w:type="dxa"/>
            <w:gridSpan w:val="4"/>
            <w:tcBorders>
              <w:tl2br w:val="nil"/>
              <w:tr2bl w:val="nil"/>
            </w:tcBorders>
            <w:vAlign w:val="center"/>
          </w:tcPr>
          <w:p w14:paraId="7D6A6318">
            <w:pPr>
              <w:wordWrap w:val="0"/>
              <w:jc w:val="center"/>
              <w:rPr>
                <w:rFonts w:hint="eastAsia" w:hAnsi="宋体"/>
                <w:color w:val="auto"/>
                <w:szCs w:val="21"/>
                <w:highlight w:val="none"/>
              </w:rPr>
            </w:pPr>
          </w:p>
        </w:tc>
      </w:tr>
      <w:tr w14:paraId="6903E2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4444267D">
            <w:pPr>
              <w:wordWrap w:val="0"/>
              <w:jc w:val="center"/>
              <w:rPr>
                <w:rFonts w:hint="eastAsia" w:hAnsi="宋体"/>
                <w:color w:val="auto"/>
                <w:szCs w:val="21"/>
                <w:highlight w:val="none"/>
              </w:rPr>
            </w:pPr>
            <w:r>
              <w:rPr>
                <w:rFonts w:hint="eastAsia" w:hAnsi="宋体"/>
                <w:color w:val="auto"/>
                <w:szCs w:val="21"/>
                <w:highlight w:val="none"/>
              </w:rPr>
              <w:t>基本账户银行账号</w:t>
            </w:r>
          </w:p>
        </w:tc>
        <w:tc>
          <w:tcPr>
            <w:tcW w:w="6758" w:type="dxa"/>
            <w:gridSpan w:val="4"/>
            <w:tcBorders>
              <w:tl2br w:val="nil"/>
              <w:tr2bl w:val="nil"/>
            </w:tcBorders>
            <w:vAlign w:val="center"/>
          </w:tcPr>
          <w:p w14:paraId="058561C1">
            <w:pPr>
              <w:wordWrap w:val="0"/>
              <w:jc w:val="center"/>
              <w:rPr>
                <w:rFonts w:hint="eastAsia" w:hAnsi="宋体"/>
                <w:color w:val="auto"/>
                <w:szCs w:val="21"/>
                <w:highlight w:val="none"/>
              </w:rPr>
            </w:pPr>
          </w:p>
        </w:tc>
      </w:tr>
      <w:tr w14:paraId="5098429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5515744F">
            <w:pPr>
              <w:wordWrap w:val="0"/>
              <w:jc w:val="center"/>
              <w:rPr>
                <w:rFonts w:hint="eastAsia" w:hAnsi="宋体"/>
                <w:color w:val="auto"/>
                <w:szCs w:val="21"/>
                <w:highlight w:val="none"/>
              </w:rPr>
            </w:pPr>
            <w:r>
              <w:rPr>
                <w:rFonts w:hint="eastAsia" w:hAnsi="宋体"/>
                <w:color w:val="auto"/>
                <w:szCs w:val="21"/>
                <w:highlight w:val="none"/>
              </w:rPr>
              <w:t>近三年营业额</w:t>
            </w:r>
          </w:p>
        </w:tc>
        <w:tc>
          <w:tcPr>
            <w:tcW w:w="6758" w:type="dxa"/>
            <w:gridSpan w:val="4"/>
            <w:tcBorders>
              <w:tl2br w:val="nil"/>
              <w:tr2bl w:val="nil"/>
            </w:tcBorders>
            <w:vAlign w:val="center"/>
          </w:tcPr>
          <w:p w14:paraId="331BE7CC">
            <w:pPr>
              <w:wordWrap w:val="0"/>
              <w:jc w:val="center"/>
              <w:rPr>
                <w:rFonts w:hint="eastAsia" w:hAnsi="宋体"/>
                <w:color w:val="auto"/>
                <w:szCs w:val="21"/>
                <w:highlight w:val="none"/>
              </w:rPr>
            </w:pPr>
          </w:p>
        </w:tc>
      </w:tr>
      <w:tr w14:paraId="4CAD1B9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650" w:hRule="exact"/>
          <w:jc w:val="center"/>
        </w:trPr>
        <w:tc>
          <w:tcPr>
            <w:tcW w:w="2174" w:type="dxa"/>
            <w:tcBorders>
              <w:tl2br w:val="nil"/>
              <w:tr2bl w:val="nil"/>
            </w:tcBorders>
            <w:vAlign w:val="center"/>
          </w:tcPr>
          <w:p w14:paraId="7C3E9D1F">
            <w:pPr>
              <w:wordWrap w:val="0"/>
              <w:jc w:val="center"/>
              <w:rPr>
                <w:rFonts w:hint="eastAsia" w:hAnsi="宋体"/>
                <w:color w:val="auto"/>
                <w:szCs w:val="21"/>
                <w:highlight w:val="none"/>
              </w:rPr>
            </w:pPr>
            <w:r>
              <w:rPr>
                <w:rFonts w:hint="eastAsia" w:hAnsi="宋体"/>
                <w:color w:val="auto"/>
                <w:szCs w:val="21"/>
                <w:highlight w:val="none"/>
              </w:rPr>
              <w:t>投标人关联企业情况</w:t>
            </w:r>
          </w:p>
          <w:p w14:paraId="091EB669">
            <w:pPr>
              <w:wordWrap w:val="0"/>
              <w:jc w:val="center"/>
              <w:rPr>
                <w:rFonts w:hint="eastAsia" w:hAnsi="宋体"/>
                <w:color w:val="auto"/>
                <w:szCs w:val="21"/>
                <w:highlight w:val="none"/>
              </w:rPr>
            </w:pPr>
            <w:r>
              <w:rPr>
                <w:rFonts w:hint="eastAsia" w:hAnsi="宋体"/>
                <w:color w:val="auto"/>
                <w:szCs w:val="21"/>
                <w:highlight w:val="none"/>
              </w:rPr>
              <w:t>（包括但不限于与投</w:t>
            </w:r>
            <w:r>
              <w:rPr>
                <w:rFonts w:hAnsi="宋体"/>
                <w:color w:val="auto"/>
                <w:szCs w:val="21"/>
                <w:highlight w:val="none"/>
              </w:rPr>
              <w:t xml:space="preserve"> </w:t>
            </w:r>
            <w:r>
              <w:rPr>
                <w:rFonts w:hint="eastAsia" w:hAnsi="宋体"/>
                <w:color w:val="auto"/>
                <w:szCs w:val="21"/>
                <w:highlight w:val="none"/>
              </w:rPr>
              <w:t>标人法定代表人为同一人或者存在控股、管理关系的不同单位）</w:t>
            </w:r>
          </w:p>
        </w:tc>
        <w:tc>
          <w:tcPr>
            <w:tcW w:w="6758" w:type="dxa"/>
            <w:gridSpan w:val="4"/>
            <w:tcBorders>
              <w:tl2br w:val="nil"/>
              <w:tr2bl w:val="nil"/>
            </w:tcBorders>
            <w:vAlign w:val="center"/>
          </w:tcPr>
          <w:p w14:paraId="7A488F44">
            <w:pPr>
              <w:wordWrap w:val="0"/>
              <w:jc w:val="center"/>
              <w:rPr>
                <w:rFonts w:hint="eastAsia" w:hAnsi="宋体"/>
                <w:color w:val="auto"/>
                <w:szCs w:val="21"/>
                <w:highlight w:val="none"/>
              </w:rPr>
            </w:pPr>
          </w:p>
        </w:tc>
      </w:tr>
      <w:tr w14:paraId="23BD68A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11" w:hRule="exact"/>
          <w:jc w:val="center"/>
        </w:trPr>
        <w:tc>
          <w:tcPr>
            <w:tcW w:w="2174" w:type="dxa"/>
            <w:tcBorders>
              <w:tl2br w:val="nil"/>
              <w:tr2bl w:val="nil"/>
            </w:tcBorders>
            <w:vAlign w:val="center"/>
          </w:tcPr>
          <w:p w14:paraId="28083B4F">
            <w:pPr>
              <w:wordWrap w:val="0"/>
              <w:jc w:val="center"/>
              <w:rPr>
                <w:rFonts w:hint="eastAsia" w:hAnsi="宋体"/>
                <w:color w:val="auto"/>
                <w:szCs w:val="21"/>
                <w:highlight w:val="none"/>
              </w:rPr>
            </w:pPr>
            <w:r>
              <w:rPr>
                <w:rFonts w:hint="eastAsia" w:hAnsi="宋体"/>
                <w:color w:val="auto"/>
                <w:szCs w:val="21"/>
                <w:highlight w:val="none"/>
              </w:rPr>
              <w:t>备注</w:t>
            </w:r>
          </w:p>
        </w:tc>
        <w:tc>
          <w:tcPr>
            <w:tcW w:w="6758" w:type="dxa"/>
            <w:gridSpan w:val="4"/>
            <w:tcBorders>
              <w:tl2br w:val="nil"/>
              <w:tr2bl w:val="nil"/>
            </w:tcBorders>
            <w:vAlign w:val="center"/>
          </w:tcPr>
          <w:p w14:paraId="5ED81C2A">
            <w:pPr>
              <w:wordWrap w:val="0"/>
              <w:jc w:val="center"/>
              <w:rPr>
                <w:rFonts w:hint="eastAsia" w:hAnsi="宋体"/>
                <w:color w:val="auto"/>
                <w:szCs w:val="21"/>
                <w:highlight w:val="none"/>
              </w:rPr>
            </w:pPr>
          </w:p>
        </w:tc>
      </w:tr>
    </w:tbl>
    <w:p w14:paraId="34639526">
      <w:pPr>
        <w:pStyle w:val="3"/>
        <w:wordWrap w:val="0"/>
        <w:spacing w:before="120" w:after="100" w:afterAutospacing="1" w:line="360" w:lineRule="auto"/>
        <w:ind w:left="102" w:right="105"/>
        <w:rPr>
          <w:color w:val="auto"/>
          <w:szCs w:val="21"/>
          <w:highlight w:val="none"/>
        </w:rPr>
      </w:pPr>
      <w:r>
        <w:rPr>
          <w:rFonts w:hint="eastAsia"/>
          <w:b/>
          <w:color w:val="auto"/>
          <w:szCs w:val="21"/>
          <w:highlight w:val="none"/>
        </w:rPr>
        <w:t xml:space="preserve"> </w:t>
      </w:r>
    </w:p>
    <w:p w14:paraId="6B5D902B">
      <w:pPr>
        <w:tabs>
          <w:tab w:val="center" w:pos="4365"/>
        </w:tabs>
        <w:wordWrap w:val="0"/>
        <w:spacing w:line="360" w:lineRule="auto"/>
        <w:rPr>
          <w:rFonts w:hint="eastAsia" w:hAnsi="宋体" w:cs="宋体"/>
          <w:color w:val="auto"/>
          <w:szCs w:val="21"/>
          <w:highlight w:val="none"/>
        </w:rPr>
      </w:pPr>
      <w:r>
        <w:rPr>
          <w:color w:val="auto"/>
          <w:highlight w:val="none"/>
        </w:rPr>
        <w:br w:type="page"/>
      </w:r>
    </w:p>
    <w:p w14:paraId="7F70B8C1">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七</w:t>
      </w:r>
      <w:r>
        <w:rPr>
          <w:rFonts w:hint="eastAsia" w:ascii="Calibri" w:hAnsi="宋体" w:cs="宋体"/>
          <w:b/>
          <w:snapToGrid w:val="0"/>
          <w:color w:val="auto"/>
          <w:kern w:val="0"/>
          <w:sz w:val="28"/>
          <w:szCs w:val="28"/>
          <w:highlight w:val="none"/>
        </w:rPr>
        <w:t>、投标保证金</w:t>
      </w:r>
    </w:p>
    <w:p w14:paraId="226CBD20">
      <w:pPr>
        <w:wordWrap w:val="0"/>
        <w:snapToGrid w:val="0"/>
        <w:spacing w:line="360" w:lineRule="auto"/>
        <w:ind w:firstLine="420" w:firstLineChars="200"/>
        <w:rPr>
          <w:rFonts w:hint="eastAsia" w:ascii="宋体" w:hAnsi="宋体"/>
          <w:color w:val="auto"/>
          <w:szCs w:val="21"/>
          <w:highlight w:val="none"/>
          <w:lang w:val="sq-AL"/>
        </w:rPr>
      </w:pPr>
    </w:p>
    <w:p w14:paraId="40A03597">
      <w:pPr>
        <w:wordWrap w:val="0"/>
        <w:snapToGrid w:val="0"/>
        <w:spacing w:line="360" w:lineRule="auto"/>
        <w:ind w:firstLine="420" w:firstLineChars="200"/>
        <w:rPr>
          <w:rFonts w:hint="eastAsia" w:ascii="宋体" w:hAnsi="宋体"/>
          <w:color w:val="auto"/>
          <w:szCs w:val="21"/>
          <w:highlight w:val="none"/>
          <w:lang w:val="sq-AL"/>
        </w:rPr>
      </w:pPr>
      <w:r>
        <w:rPr>
          <w:rFonts w:hint="eastAsia" w:ascii="宋体" w:hAnsi="宋体"/>
          <w:color w:val="auto"/>
          <w:szCs w:val="21"/>
          <w:highlight w:val="none"/>
          <w:lang w:val="sq-AL"/>
        </w:rPr>
        <w:t>1、采用</w:t>
      </w:r>
      <w:r>
        <w:rPr>
          <w:rFonts w:hint="eastAsia" w:ascii="宋体" w:hAnsi="宋体"/>
          <w:color w:val="auto"/>
          <w:szCs w:val="21"/>
          <w:highlight w:val="none"/>
          <w:lang w:val="sq-AL" w:eastAsia="zh-CN"/>
        </w:rPr>
        <w:t>银行转账的</w:t>
      </w:r>
      <w:r>
        <w:rPr>
          <w:rFonts w:hint="eastAsia" w:ascii="宋体" w:hAnsi="宋体"/>
          <w:color w:val="auto"/>
          <w:szCs w:val="21"/>
          <w:highlight w:val="none"/>
          <w:lang w:val="sq-AL"/>
        </w:rPr>
        <w:t>，请附投标人基本账户开户许可证复印件（或开户银行出具的基本账户证明）以及投标保证金转账凭证复印件；</w:t>
      </w:r>
    </w:p>
    <w:p w14:paraId="5D34A7D6">
      <w:pPr>
        <w:wordWrap w:val="0"/>
        <w:spacing w:line="360" w:lineRule="auto"/>
        <w:ind w:firstLine="424" w:firstLineChars="202"/>
        <w:rPr>
          <w:rFonts w:hint="eastAsia" w:hAnsi="宋体"/>
          <w:color w:val="auto"/>
          <w:szCs w:val="21"/>
          <w:highlight w:val="none"/>
        </w:rPr>
      </w:pPr>
      <w:r>
        <w:rPr>
          <w:rFonts w:hint="eastAsia" w:ascii="宋体" w:hAnsi="宋体"/>
          <w:color w:val="auto"/>
          <w:szCs w:val="21"/>
          <w:highlight w:val="none"/>
          <w:lang w:val="sq-AL"/>
        </w:rPr>
        <w:t>2、采用银行保函的，请附保函复印件；原</w:t>
      </w:r>
      <w:r>
        <w:rPr>
          <w:rFonts w:hint="eastAsia" w:ascii="宋体" w:hAnsi="宋体"/>
          <w:color w:val="auto"/>
          <w:szCs w:val="21"/>
          <w:highlight w:val="none"/>
        </w:rPr>
        <w:t>件</w:t>
      </w:r>
      <w:r>
        <w:rPr>
          <w:rFonts w:hint="eastAsia" w:ascii="宋体" w:hAnsi="宋体"/>
          <w:color w:val="auto"/>
          <w:szCs w:val="21"/>
          <w:highlight w:val="none"/>
          <w:lang w:val="sq-AL"/>
        </w:rPr>
        <w:t>按招标文件要求提交。</w:t>
      </w:r>
    </w:p>
    <w:p w14:paraId="4817AF9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4FB8B89B">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八</w:t>
      </w:r>
      <w:r>
        <w:rPr>
          <w:rFonts w:hint="eastAsia" w:ascii="Calibri" w:hAnsi="宋体" w:cs="宋体"/>
          <w:b/>
          <w:snapToGrid w:val="0"/>
          <w:color w:val="auto"/>
          <w:kern w:val="0"/>
          <w:sz w:val="28"/>
          <w:szCs w:val="28"/>
          <w:highlight w:val="none"/>
        </w:rPr>
        <w:t>、投标人承诺函</w:t>
      </w:r>
    </w:p>
    <w:p w14:paraId="7C8EF057">
      <w:pPr>
        <w:wordWrap w:val="0"/>
        <w:spacing w:line="360" w:lineRule="auto"/>
        <w:rPr>
          <w:rFonts w:ascii="Calibri" w:hAnsi="Calibri"/>
          <w:color w:val="auto"/>
          <w:szCs w:val="22"/>
          <w:highlight w:val="none"/>
          <w:u w:val="single"/>
        </w:rPr>
      </w:pPr>
    </w:p>
    <w:p w14:paraId="12A7383D">
      <w:pPr>
        <w:wordWrap w:val="0"/>
        <w:spacing w:line="360" w:lineRule="auto"/>
        <w:rPr>
          <w:rFonts w:ascii="Calibri" w:hAnsi="Calibri"/>
          <w:color w:val="auto"/>
          <w:szCs w:val="22"/>
          <w:highlight w:val="none"/>
        </w:rPr>
      </w:pPr>
      <w:r>
        <w:rPr>
          <w:rFonts w:hint="eastAsia" w:ascii="Calibri" w:hAnsi="Calibri"/>
          <w:color w:val="auto"/>
          <w:szCs w:val="22"/>
          <w:highlight w:val="none"/>
          <w:u w:val="single"/>
        </w:rPr>
        <w:t xml:space="preserve">                      </w:t>
      </w:r>
      <w:r>
        <w:rPr>
          <w:rFonts w:hint="eastAsia" w:ascii="Calibri" w:hAnsi="Calibri"/>
          <w:color w:val="auto"/>
          <w:szCs w:val="22"/>
          <w:highlight w:val="none"/>
        </w:rPr>
        <w:t>（招标人名称）：</w:t>
      </w:r>
    </w:p>
    <w:p w14:paraId="34252EBD">
      <w:pPr>
        <w:wordWrap w:val="0"/>
        <w:spacing w:line="360" w:lineRule="auto"/>
        <w:rPr>
          <w:rFonts w:ascii="Calibri" w:hAnsi="Calibri"/>
          <w:color w:val="auto"/>
          <w:szCs w:val="22"/>
          <w:highlight w:val="none"/>
        </w:rPr>
      </w:pPr>
      <w:r>
        <w:rPr>
          <w:rFonts w:hint="eastAsia" w:ascii="Calibri" w:hAnsi="Calibri"/>
          <w:color w:val="auto"/>
          <w:szCs w:val="22"/>
          <w:highlight w:val="none"/>
        </w:rPr>
        <w:t>我方在此声明：</w:t>
      </w:r>
    </w:p>
    <w:p w14:paraId="117ED371">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1、我方不存在第二章“投标人须知”第1.4.</w:t>
      </w:r>
      <w:r>
        <w:rPr>
          <w:rFonts w:hint="eastAsia" w:ascii="Calibri" w:hAnsi="Calibri"/>
          <w:color w:val="auto"/>
          <w:szCs w:val="22"/>
          <w:highlight w:val="none"/>
          <w:lang w:val="en-US" w:eastAsia="zh-CN"/>
        </w:rPr>
        <w:t>3</w:t>
      </w:r>
      <w:r>
        <w:rPr>
          <w:rFonts w:hint="eastAsia" w:ascii="Calibri" w:hAnsi="Calibri"/>
          <w:color w:val="auto"/>
          <w:szCs w:val="22"/>
          <w:highlight w:val="none"/>
        </w:rPr>
        <w:t>项规定的任何一种情形。</w:t>
      </w:r>
    </w:p>
    <w:p w14:paraId="4982542B">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2、我方没有发生“被长沙市轨道交通集团有限公司或长沙穗城轨道交通有限公司函告禁止在一定期限内参与轨道项目投标的单位按函告内容执行”此规定的情形。</w:t>
      </w:r>
    </w:p>
    <w:p w14:paraId="27E3BF5A">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3、我方严格遵守相关法律法规规定，没有串通投标、资质挂靠等违法、违规行为。</w:t>
      </w:r>
    </w:p>
    <w:p w14:paraId="6730AF58">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4、我方保证提供的资质、业绩等证明材料真实、合法、有效，并愿意承担因我方就此弄虚作假所引起的一切后果。</w:t>
      </w:r>
    </w:p>
    <w:p w14:paraId="51C3A007">
      <w:pPr>
        <w:wordWrap w:val="0"/>
        <w:spacing w:line="360" w:lineRule="auto"/>
        <w:ind w:firstLine="420" w:firstLineChars="200"/>
        <w:rPr>
          <w:rFonts w:ascii="Calibri" w:hAnsi="Calibri"/>
          <w:color w:val="auto"/>
          <w:szCs w:val="22"/>
          <w:highlight w:val="none"/>
        </w:rPr>
      </w:pPr>
      <w:r>
        <w:rPr>
          <w:rFonts w:hint="eastAsia" w:ascii="Calibri" w:hAnsi="Calibri"/>
          <w:color w:val="auto"/>
          <w:szCs w:val="22"/>
          <w:highlight w:val="none"/>
        </w:rPr>
        <w:t>5、我方不参与不正当竞争，不向招标人、招标代理机构、交易中心、评标专家以及行业监督部门行贿以谋取不正当利益。</w:t>
      </w:r>
    </w:p>
    <w:p w14:paraId="58DF1D4F">
      <w:pPr>
        <w:wordWrap w:val="0"/>
        <w:spacing w:line="360" w:lineRule="auto"/>
        <w:ind w:firstLine="420" w:firstLineChars="200"/>
        <w:rPr>
          <w:rFonts w:hint="eastAsia" w:hAnsi="宋体" w:cs="宋体"/>
          <w:color w:val="auto"/>
          <w:szCs w:val="21"/>
          <w:highlight w:val="none"/>
        </w:rPr>
      </w:pPr>
      <w:r>
        <w:rPr>
          <w:rFonts w:hint="eastAsia" w:ascii="Calibri" w:hAnsi="Calibri"/>
          <w:color w:val="auto"/>
          <w:szCs w:val="22"/>
          <w:highlight w:val="none"/>
        </w:rPr>
        <w:t>特此承诺！</w:t>
      </w:r>
    </w:p>
    <w:p w14:paraId="027447B4">
      <w:pPr>
        <w:wordWrap w:val="0"/>
        <w:spacing w:line="360" w:lineRule="auto"/>
        <w:rPr>
          <w:rFonts w:hint="eastAsia" w:hAnsi="宋体" w:cs="宋体"/>
          <w:color w:val="auto"/>
          <w:szCs w:val="21"/>
          <w:highlight w:val="none"/>
        </w:rPr>
      </w:pPr>
    </w:p>
    <w:p w14:paraId="41EF7C5D">
      <w:pPr>
        <w:pStyle w:val="63"/>
        <w:wordWrap w:val="0"/>
        <w:rPr>
          <w:rFonts w:hint="eastAsia" w:hAnsi="宋体" w:cs="宋体"/>
          <w:color w:val="auto"/>
          <w:szCs w:val="21"/>
          <w:highlight w:val="none"/>
        </w:rPr>
      </w:pPr>
    </w:p>
    <w:p w14:paraId="1B82C991">
      <w:pPr>
        <w:pStyle w:val="9"/>
        <w:wordWrap w:val="0"/>
        <w:rPr>
          <w:color w:val="auto"/>
          <w:highlight w:val="none"/>
        </w:rPr>
      </w:pPr>
    </w:p>
    <w:p w14:paraId="037B78A0">
      <w:pPr>
        <w:wordWrap w:val="0"/>
        <w:spacing w:line="360" w:lineRule="auto"/>
        <w:rPr>
          <w:rFonts w:hint="eastAsia"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32CF4766">
      <w:pPr>
        <w:wordWrap w:val="0"/>
        <w:adjustRightInd w:val="0"/>
        <w:snapToGrid w:val="0"/>
        <w:spacing w:line="280" w:lineRule="exact"/>
        <w:rPr>
          <w:rFonts w:hint="eastAsia"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54F2F383">
      <w:pPr>
        <w:wordWrap w:val="0"/>
        <w:spacing w:line="360" w:lineRule="auto"/>
        <w:rPr>
          <w:rFonts w:hint="eastAsia" w:hAnsi="宋体" w:cs="宋体"/>
          <w:color w:val="auto"/>
          <w:szCs w:val="21"/>
          <w:highlight w:val="none"/>
        </w:rPr>
      </w:pPr>
      <w:r>
        <w:rPr>
          <w:rFonts w:hint="eastAsia" w:hAnsi="宋体" w:cs="宋体"/>
          <w:color w:val="auto"/>
          <w:szCs w:val="21"/>
          <w:highlight w:val="none"/>
          <w:u w:val="single"/>
        </w:rPr>
        <w:t xml:space="preserve">       </w:t>
      </w:r>
      <w:r>
        <w:rPr>
          <w:rFonts w:hint="eastAsia" w:hAnsi="宋体" w:cs="宋体"/>
          <w:color w:val="auto"/>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p>
    <w:p w14:paraId="0774D22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7AF6C7A">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九</w:t>
      </w:r>
      <w:r>
        <w:rPr>
          <w:rFonts w:hint="eastAsia" w:ascii="Calibri" w:hAnsi="宋体" w:cs="宋体"/>
          <w:b/>
          <w:snapToGrid w:val="0"/>
          <w:color w:val="auto"/>
          <w:kern w:val="0"/>
          <w:sz w:val="28"/>
          <w:szCs w:val="28"/>
          <w:highlight w:val="none"/>
        </w:rPr>
        <w:t>、实质性条款（标注“★”符号）响应表</w:t>
      </w:r>
    </w:p>
    <w:p w14:paraId="0FE14849">
      <w:pPr>
        <w:wordWrap w:val="0"/>
        <w:adjustRightInd w:val="0"/>
        <w:snapToGrid w:val="0"/>
        <w:rPr>
          <w:rFonts w:hint="eastAsia" w:ascii="宋体" w:hAnsi="宋体"/>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tbl>
      <w:tblPr>
        <w:tblStyle w:val="64"/>
        <w:tblW w:w="48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4600"/>
        <w:gridCol w:w="1989"/>
        <w:gridCol w:w="2318"/>
      </w:tblGrid>
      <w:tr w14:paraId="2960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391" w:type="pct"/>
            <w:vAlign w:val="center"/>
          </w:tcPr>
          <w:p w14:paraId="509EC254">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2379" w:type="pct"/>
            <w:vAlign w:val="center"/>
          </w:tcPr>
          <w:p w14:paraId="7591F7FD">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招标文件实质性</w:t>
            </w:r>
          </w:p>
          <w:p w14:paraId="7BE39F31">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029" w:type="pct"/>
            <w:vAlign w:val="center"/>
          </w:tcPr>
          <w:p w14:paraId="665F056C">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投标文件响应</w:t>
            </w:r>
          </w:p>
          <w:p w14:paraId="665FEC5B">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199" w:type="pct"/>
            <w:vAlign w:val="center"/>
          </w:tcPr>
          <w:p w14:paraId="2D86717B">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响应情况</w:t>
            </w:r>
          </w:p>
          <w:p w14:paraId="08FB3D06">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（响应/不响应）</w:t>
            </w:r>
          </w:p>
        </w:tc>
      </w:tr>
      <w:tr w14:paraId="61D0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91" w:type="pct"/>
            <w:vAlign w:val="center"/>
          </w:tcPr>
          <w:p w14:paraId="7ED0C771">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379" w:type="pct"/>
            <w:shd w:val="clear" w:color="auto" w:fill="auto"/>
            <w:vAlign w:val="center"/>
          </w:tcPr>
          <w:p w14:paraId="5B5405D6">
            <w:pPr>
              <w:keepNext w:val="0"/>
              <w:keepLines w:val="0"/>
              <w:pageBreakBefore w:val="0"/>
              <w:widowControl w:val="0"/>
              <w:kinsoku/>
              <w:wordWrap w:val="0"/>
              <w:topLinePunct w:val="0"/>
              <w:autoSpaceDE w:val="0"/>
              <w:autoSpaceDN w:val="0"/>
              <w:bidi w:val="0"/>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第五章用户需求书</w:t>
            </w:r>
          </w:p>
          <w:p w14:paraId="5D76A7E0">
            <w:pPr>
              <w:keepNext w:val="0"/>
              <w:keepLines w:val="0"/>
              <w:pageBreakBefore w:val="0"/>
              <w:widowControl w:val="0"/>
              <w:kinsoku/>
              <w:wordWrap w:val="0"/>
              <w:topLinePunct w:val="0"/>
              <w:autoSpaceDE w:val="0"/>
              <w:autoSpaceDN w:val="0"/>
              <w:bidi w:val="0"/>
              <w:jc w:val="left"/>
              <w:rPr>
                <w:rFonts w:hint="default"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二、（一）1. 现场驻场人员服务</w:t>
            </w:r>
          </w:p>
        </w:tc>
        <w:tc>
          <w:tcPr>
            <w:tcW w:w="1029" w:type="pct"/>
            <w:vAlign w:val="center"/>
          </w:tcPr>
          <w:p w14:paraId="15A091D8">
            <w:pPr>
              <w:wordWrap w:val="0"/>
              <w:jc w:val="center"/>
              <w:rPr>
                <w:rFonts w:hint="eastAsia" w:ascii="宋体" w:hAnsi="宋体" w:cs="宋体"/>
                <w:color w:val="auto"/>
                <w:szCs w:val="21"/>
                <w:highlight w:val="none"/>
              </w:rPr>
            </w:pPr>
          </w:p>
        </w:tc>
        <w:tc>
          <w:tcPr>
            <w:tcW w:w="1199" w:type="pct"/>
            <w:vAlign w:val="center"/>
          </w:tcPr>
          <w:p w14:paraId="4C07C9A9">
            <w:pPr>
              <w:wordWrap w:val="0"/>
              <w:jc w:val="center"/>
              <w:rPr>
                <w:rFonts w:hint="eastAsia" w:ascii="宋体" w:hAnsi="宋体" w:cs="宋体"/>
                <w:color w:val="auto"/>
                <w:szCs w:val="21"/>
                <w:highlight w:val="none"/>
              </w:rPr>
            </w:pPr>
          </w:p>
        </w:tc>
      </w:tr>
      <w:tr w14:paraId="3010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1" w:type="pct"/>
            <w:vAlign w:val="center"/>
          </w:tcPr>
          <w:p w14:paraId="09C54940">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379" w:type="pct"/>
            <w:shd w:val="clear" w:color="auto" w:fill="auto"/>
            <w:vAlign w:val="center"/>
          </w:tcPr>
          <w:p w14:paraId="7024740E">
            <w:pPr>
              <w:keepNext w:val="0"/>
              <w:keepLines w:val="0"/>
              <w:pageBreakBefore w:val="0"/>
              <w:widowControl w:val="0"/>
              <w:kinsoku/>
              <w:wordWrap w:val="0"/>
              <w:topLinePunct w:val="0"/>
              <w:autoSpaceDE w:val="0"/>
              <w:autoSpaceDN w:val="0"/>
              <w:bidi w:val="0"/>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第五章用户需求书</w:t>
            </w:r>
          </w:p>
          <w:p w14:paraId="5E4A76D6">
            <w:pPr>
              <w:keepNext w:val="0"/>
              <w:keepLines w:val="0"/>
              <w:pageBreakBefore w:val="0"/>
              <w:widowControl w:val="0"/>
              <w:kinsoku/>
              <w:wordWrap w:val="0"/>
              <w:topLinePunct w:val="0"/>
              <w:autoSpaceDE w:val="0"/>
              <w:autoSpaceDN w:val="0"/>
              <w:bidi w:val="0"/>
              <w:jc w:val="left"/>
              <w:rPr>
                <w:rFonts w:hint="default"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二、（一）2. 网络防护安全服务</w:t>
            </w:r>
          </w:p>
        </w:tc>
        <w:tc>
          <w:tcPr>
            <w:tcW w:w="1029" w:type="pct"/>
            <w:vAlign w:val="center"/>
          </w:tcPr>
          <w:p w14:paraId="0B92DE0A">
            <w:pPr>
              <w:wordWrap w:val="0"/>
              <w:jc w:val="center"/>
              <w:rPr>
                <w:rFonts w:hint="eastAsia" w:ascii="宋体" w:hAnsi="宋体" w:cs="宋体"/>
                <w:color w:val="auto"/>
                <w:szCs w:val="21"/>
                <w:highlight w:val="none"/>
              </w:rPr>
            </w:pPr>
          </w:p>
        </w:tc>
        <w:tc>
          <w:tcPr>
            <w:tcW w:w="1199" w:type="pct"/>
            <w:vAlign w:val="center"/>
          </w:tcPr>
          <w:p w14:paraId="1C5CD2D1">
            <w:pPr>
              <w:wordWrap w:val="0"/>
              <w:jc w:val="center"/>
              <w:rPr>
                <w:rFonts w:hint="eastAsia" w:ascii="宋体" w:hAnsi="宋体" w:cs="宋体"/>
                <w:color w:val="auto"/>
                <w:szCs w:val="21"/>
                <w:highlight w:val="none"/>
              </w:rPr>
            </w:pPr>
          </w:p>
        </w:tc>
      </w:tr>
      <w:tr w14:paraId="1A07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1" w:type="pct"/>
            <w:vAlign w:val="center"/>
          </w:tcPr>
          <w:p w14:paraId="7FCDF10A">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379" w:type="pct"/>
            <w:shd w:val="clear" w:color="auto" w:fill="auto"/>
            <w:vAlign w:val="center"/>
          </w:tcPr>
          <w:p w14:paraId="28A7B481">
            <w:pPr>
              <w:keepNext w:val="0"/>
              <w:keepLines w:val="0"/>
              <w:pageBreakBefore w:val="0"/>
              <w:widowControl w:val="0"/>
              <w:kinsoku/>
              <w:wordWrap w:val="0"/>
              <w:topLinePunct w:val="0"/>
              <w:autoSpaceDE w:val="0"/>
              <w:autoSpaceDN w:val="0"/>
              <w:bidi w:val="0"/>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第五章用户需求书</w:t>
            </w:r>
          </w:p>
          <w:p w14:paraId="3A96C569">
            <w:pPr>
              <w:keepNext w:val="0"/>
              <w:keepLines w:val="0"/>
              <w:pageBreakBefore w:val="0"/>
              <w:widowControl w:val="0"/>
              <w:kinsoku/>
              <w:wordWrap w:val="0"/>
              <w:topLinePunct w:val="0"/>
              <w:autoSpaceDE w:val="0"/>
              <w:autoSpaceDN w:val="0"/>
              <w:bidi w:val="0"/>
              <w:jc w:val="left"/>
              <w:rPr>
                <w:rFonts w:hint="default"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二、（二）系统安全测评服务</w:t>
            </w:r>
          </w:p>
        </w:tc>
        <w:tc>
          <w:tcPr>
            <w:tcW w:w="1029" w:type="pct"/>
            <w:vAlign w:val="center"/>
          </w:tcPr>
          <w:p w14:paraId="48352790">
            <w:pPr>
              <w:wordWrap w:val="0"/>
              <w:jc w:val="center"/>
              <w:rPr>
                <w:rFonts w:hint="eastAsia" w:ascii="宋体" w:hAnsi="宋体" w:cs="宋体"/>
                <w:color w:val="auto"/>
                <w:szCs w:val="21"/>
                <w:highlight w:val="none"/>
              </w:rPr>
            </w:pPr>
          </w:p>
        </w:tc>
        <w:tc>
          <w:tcPr>
            <w:tcW w:w="1199" w:type="pct"/>
            <w:vAlign w:val="center"/>
          </w:tcPr>
          <w:p w14:paraId="3A3B8FC9">
            <w:pPr>
              <w:wordWrap w:val="0"/>
              <w:jc w:val="center"/>
              <w:rPr>
                <w:rFonts w:hint="eastAsia" w:ascii="宋体" w:hAnsi="宋体" w:cs="宋体"/>
                <w:color w:val="auto"/>
                <w:szCs w:val="21"/>
                <w:highlight w:val="none"/>
              </w:rPr>
            </w:pPr>
          </w:p>
        </w:tc>
      </w:tr>
      <w:tr w14:paraId="543B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1" w:type="pct"/>
            <w:vAlign w:val="center"/>
          </w:tcPr>
          <w:p w14:paraId="3D68E32A">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379" w:type="pct"/>
            <w:shd w:val="clear" w:color="auto" w:fill="auto"/>
            <w:vAlign w:val="center"/>
          </w:tcPr>
          <w:p w14:paraId="4B260B74">
            <w:pPr>
              <w:keepNext w:val="0"/>
              <w:keepLines w:val="0"/>
              <w:pageBreakBefore w:val="0"/>
              <w:widowControl w:val="0"/>
              <w:kinsoku/>
              <w:wordWrap w:val="0"/>
              <w:topLinePunct w:val="0"/>
              <w:autoSpaceDE w:val="0"/>
              <w:autoSpaceDN w:val="0"/>
              <w:bidi w:val="0"/>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第五章用户需求书</w:t>
            </w:r>
          </w:p>
          <w:p w14:paraId="2D802ADA">
            <w:pPr>
              <w:keepNext w:val="0"/>
              <w:keepLines w:val="0"/>
              <w:pageBreakBefore w:val="0"/>
              <w:widowControl w:val="0"/>
              <w:kinsoku/>
              <w:wordWrap w:val="0"/>
              <w:topLinePunct w:val="0"/>
              <w:autoSpaceDE w:val="0"/>
              <w:autoSpaceDN w:val="0"/>
              <w:bidi w:val="0"/>
              <w:jc w:val="left"/>
              <w:rPr>
                <w:rFonts w:hint="default" w:ascii="Times New Roman" w:hAnsi="Times New Roman" w:eastAsia="宋体" w:cs="Times New Roman"/>
                <w:kern w:val="2"/>
                <w:sz w:val="21"/>
                <w:lang w:val="en-US" w:eastAsia="zh-CN" w:bidi="ar-SA"/>
              </w:rPr>
            </w:pPr>
            <w:r>
              <w:rPr>
                <w:rFonts w:hint="eastAsia" w:ascii="宋体" w:hAnsi="宋体" w:cs="宋体"/>
                <w:szCs w:val="21"/>
                <w:highlight w:val="none"/>
                <w:lang w:val="en-US" w:eastAsia="zh-CN"/>
              </w:rPr>
              <w:t>二、（三）网络安全保障</w:t>
            </w:r>
          </w:p>
        </w:tc>
        <w:tc>
          <w:tcPr>
            <w:tcW w:w="1029" w:type="pct"/>
            <w:vAlign w:val="center"/>
          </w:tcPr>
          <w:p w14:paraId="4971DF6A">
            <w:pPr>
              <w:wordWrap w:val="0"/>
              <w:jc w:val="center"/>
              <w:rPr>
                <w:rFonts w:hint="eastAsia" w:ascii="宋体" w:hAnsi="宋体" w:cs="宋体"/>
                <w:color w:val="auto"/>
                <w:szCs w:val="21"/>
                <w:highlight w:val="none"/>
              </w:rPr>
            </w:pPr>
          </w:p>
        </w:tc>
        <w:tc>
          <w:tcPr>
            <w:tcW w:w="1199" w:type="pct"/>
            <w:vAlign w:val="center"/>
          </w:tcPr>
          <w:p w14:paraId="3094B6F5">
            <w:pPr>
              <w:wordWrap w:val="0"/>
              <w:jc w:val="center"/>
              <w:rPr>
                <w:rFonts w:hint="eastAsia" w:ascii="宋体" w:hAnsi="宋体" w:cs="宋体"/>
                <w:color w:val="auto"/>
                <w:szCs w:val="21"/>
                <w:highlight w:val="none"/>
              </w:rPr>
            </w:pPr>
          </w:p>
        </w:tc>
      </w:tr>
      <w:tr w14:paraId="41FD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1" w:type="pct"/>
            <w:vAlign w:val="center"/>
          </w:tcPr>
          <w:p w14:paraId="0D7C2B00">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379" w:type="pct"/>
            <w:shd w:val="clear" w:color="auto" w:fill="auto"/>
            <w:vAlign w:val="center"/>
          </w:tcPr>
          <w:p w14:paraId="7C1D07A3">
            <w:pPr>
              <w:keepNext w:val="0"/>
              <w:keepLines w:val="0"/>
              <w:pageBreakBefore w:val="0"/>
              <w:widowControl w:val="0"/>
              <w:kinsoku/>
              <w:wordWrap w:val="0"/>
              <w:topLinePunct w:val="0"/>
              <w:autoSpaceDE w:val="0"/>
              <w:autoSpaceDN w:val="0"/>
              <w:bidi w:val="0"/>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第五章用户需求书</w:t>
            </w:r>
          </w:p>
          <w:p w14:paraId="5BA3FE74">
            <w:pPr>
              <w:keepNext w:val="0"/>
              <w:keepLines w:val="0"/>
              <w:pageBreakBefore w:val="0"/>
              <w:widowControl w:val="0"/>
              <w:kinsoku/>
              <w:wordWrap w:val="0"/>
              <w:topLinePunct w:val="0"/>
              <w:autoSpaceDE w:val="0"/>
              <w:autoSpaceDN w:val="0"/>
              <w:bidi w:val="0"/>
              <w:jc w:val="left"/>
              <w:rPr>
                <w:rFonts w:hint="default"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二、（四）安全培训服务</w:t>
            </w:r>
          </w:p>
        </w:tc>
        <w:tc>
          <w:tcPr>
            <w:tcW w:w="1029" w:type="pct"/>
            <w:vAlign w:val="center"/>
          </w:tcPr>
          <w:p w14:paraId="2C031C08">
            <w:pPr>
              <w:wordWrap w:val="0"/>
              <w:jc w:val="center"/>
              <w:rPr>
                <w:rFonts w:hint="eastAsia" w:ascii="宋体" w:hAnsi="宋体" w:cs="宋体"/>
                <w:color w:val="auto"/>
                <w:szCs w:val="21"/>
                <w:highlight w:val="none"/>
              </w:rPr>
            </w:pPr>
          </w:p>
        </w:tc>
        <w:tc>
          <w:tcPr>
            <w:tcW w:w="1199" w:type="pct"/>
            <w:vAlign w:val="center"/>
          </w:tcPr>
          <w:p w14:paraId="0E5730F5">
            <w:pPr>
              <w:wordWrap w:val="0"/>
              <w:jc w:val="center"/>
              <w:rPr>
                <w:rFonts w:hint="eastAsia" w:ascii="宋体" w:hAnsi="宋体" w:cs="宋体"/>
                <w:color w:val="auto"/>
                <w:szCs w:val="21"/>
                <w:highlight w:val="none"/>
              </w:rPr>
            </w:pPr>
          </w:p>
        </w:tc>
      </w:tr>
      <w:tr w14:paraId="1F3FB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1" w:type="pct"/>
            <w:vAlign w:val="center"/>
          </w:tcPr>
          <w:p w14:paraId="421B1936">
            <w:pPr>
              <w:wordWrap w:val="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2379" w:type="pct"/>
            <w:shd w:val="clear" w:color="auto" w:fill="auto"/>
            <w:vAlign w:val="center"/>
          </w:tcPr>
          <w:p w14:paraId="08AE7DD6">
            <w:pPr>
              <w:keepNext w:val="0"/>
              <w:keepLines w:val="0"/>
              <w:pageBreakBefore w:val="0"/>
              <w:widowControl w:val="0"/>
              <w:kinsoku/>
              <w:wordWrap w:val="0"/>
              <w:topLinePunct w:val="0"/>
              <w:autoSpaceDE w:val="0"/>
              <w:autoSpaceDN w:val="0"/>
              <w:bidi w:val="0"/>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第五章用户需求书</w:t>
            </w:r>
          </w:p>
          <w:p w14:paraId="5C94EFFE">
            <w:pPr>
              <w:keepNext w:val="0"/>
              <w:keepLines w:val="0"/>
              <w:pageBreakBefore w:val="0"/>
              <w:widowControl w:val="0"/>
              <w:kinsoku/>
              <w:wordWrap w:val="0"/>
              <w:topLinePunct w:val="0"/>
              <w:autoSpaceDE w:val="0"/>
              <w:autoSpaceDN w:val="0"/>
              <w:bidi w:val="0"/>
              <w:jc w:val="left"/>
              <w:rPr>
                <w:rFonts w:hint="default" w:ascii="宋体" w:hAnsi="宋体" w:eastAsia="宋体" w:cs="宋体"/>
                <w:kern w:val="2"/>
                <w:sz w:val="21"/>
                <w:szCs w:val="21"/>
                <w:highlight w:val="none"/>
                <w:lang w:val="en-US" w:eastAsia="zh-CN" w:bidi="ar-SA"/>
              </w:rPr>
            </w:pPr>
            <w:r>
              <w:rPr>
                <w:rFonts w:hint="eastAsia" w:ascii="宋体" w:hAnsi="宋体" w:cs="宋体"/>
                <w:szCs w:val="21"/>
                <w:highlight w:val="none"/>
                <w:lang w:val="en-US" w:eastAsia="zh-CN"/>
              </w:rPr>
              <w:t>二、（五）网络安全支持服务</w:t>
            </w:r>
          </w:p>
        </w:tc>
        <w:tc>
          <w:tcPr>
            <w:tcW w:w="1029" w:type="pct"/>
            <w:vAlign w:val="center"/>
          </w:tcPr>
          <w:p w14:paraId="1B66FD42">
            <w:pPr>
              <w:wordWrap w:val="0"/>
              <w:jc w:val="center"/>
              <w:rPr>
                <w:rFonts w:hint="eastAsia" w:ascii="宋体" w:hAnsi="宋体" w:cs="宋体"/>
                <w:color w:val="auto"/>
                <w:szCs w:val="21"/>
                <w:highlight w:val="none"/>
              </w:rPr>
            </w:pPr>
          </w:p>
        </w:tc>
        <w:tc>
          <w:tcPr>
            <w:tcW w:w="1199" w:type="pct"/>
            <w:vAlign w:val="center"/>
          </w:tcPr>
          <w:p w14:paraId="590E938F">
            <w:pPr>
              <w:wordWrap w:val="0"/>
              <w:jc w:val="center"/>
              <w:rPr>
                <w:rFonts w:hint="eastAsia" w:ascii="宋体" w:hAnsi="宋体" w:cs="宋体"/>
                <w:color w:val="auto"/>
                <w:szCs w:val="21"/>
                <w:highlight w:val="none"/>
              </w:rPr>
            </w:pPr>
          </w:p>
        </w:tc>
      </w:tr>
    </w:tbl>
    <w:p w14:paraId="21010C72">
      <w:pPr>
        <w:wordWrap w:val="0"/>
        <w:spacing w:line="360" w:lineRule="auto"/>
        <w:rPr>
          <w:rFonts w:hint="eastAsia" w:hAnsi="宋体" w:cs="宋体"/>
          <w:b/>
          <w:color w:val="auto"/>
          <w:szCs w:val="21"/>
          <w:highlight w:val="none"/>
        </w:rPr>
      </w:pPr>
    </w:p>
    <w:p w14:paraId="361F4E45">
      <w:pPr>
        <w:wordWrap w:val="0"/>
        <w:spacing w:line="360" w:lineRule="auto"/>
        <w:rPr>
          <w:rFonts w:hint="eastAsia" w:hAnsi="宋体" w:cs="宋体"/>
          <w:b/>
          <w:color w:val="auto"/>
          <w:szCs w:val="21"/>
          <w:highlight w:val="none"/>
        </w:rPr>
      </w:pPr>
      <w:r>
        <w:rPr>
          <w:rFonts w:hint="eastAsia" w:hAnsi="宋体" w:cs="宋体"/>
          <w:b/>
          <w:color w:val="auto"/>
          <w:szCs w:val="21"/>
          <w:highlight w:val="none"/>
        </w:rPr>
        <w:t>备注：</w:t>
      </w:r>
    </w:p>
    <w:p w14:paraId="6A0A7106">
      <w:pPr>
        <w:wordWrap w:val="0"/>
        <w:spacing w:line="360" w:lineRule="auto"/>
        <w:rPr>
          <w:rFonts w:hint="eastAsia" w:hAnsi="宋体" w:cs="宋体"/>
          <w:b/>
          <w:color w:val="auto"/>
          <w:szCs w:val="21"/>
          <w:highlight w:val="none"/>
        </w:rPr>
      </w:pPr>
      <w:r>
        <w:rPr>
          <w:rFonts w:hint="eastAsia" w:hAnsi="宋体" w:cs="宋体"/>
          <w:b/>
          <w:color w:val="auto"/>
          <w:szCs w:val="21"/>
          <w:highlight w:val="none"/>
        </w:rPr>
        <w:t>1、“招标文件实质性条款号及内容”栏中所列内容均为实质性条款，投标文件对实质性条款的响应存在缺项、漏项或者任意一项不响应招标文件的，投标将被否决。</w:t>
      </w:r>
    </w:p>
    <w:p w14:paraId="2D9EE9B8">
      <w:pPr>
        <w:wordWrap w:val="0"/>
        <w:spacing w:line="360" w:lineRule="auto"/>
        <w:rPr>
          <w:rFonts w:hint="eastAsia" w:hAnsi="宋体" w:cs="宋体"/>
          <w:color w:val="auto"/>
          <w:szCs w:val="21"/>
          <w:highlight w:val="none"/>
        </w:rPr>
      </w:pPr>
      <w:r>
        <w:rPr>
          <w:rFonts w:hint="eastAsia" w:hAnsi="宋体" w:cs="宋体"/>
          <w:b/>
          <w:color w:val="auto"/>
          <w:szCs w:val="21"/>
          <w:highlight w:val="none"/>
        </w:rPr>
        <w:t>2、“投标文件响应条款号及内容”格式可以自行扩展，如需附页，附页内容须加盖投标人单位公章。</w:t>
      </w:r>
    </w:p>
    <w:p w14:paraId="4478F8F5">
      <w:pPr>
        <w:wordWrap w:val="0"/>
        <w:spacing w:line="360" w:lineRule="auto"/>
        <w:rPr>
          <w:rFonts w:hint="eastAsia" w:hAnsi="宋体" w:cs="宋体"/>
          <w:color w:val="auto"/>
          <w:szCs w:val="21"/>
          <w:highlight w:val="none"/>
        </w:rPr>
      </w:pPr>
    </w:p>
    <w:p w14:paraId="6FF3A2EC">
      <w:pPr>
        <w:wordWrap w:val="0"/>
        <w:spacing w:line="360" w:lineRule="auto"/>
        <w:rPr>
          <w:rFonts w:hint="eastAsia" w:hAnsi="宋体" w:cs="宋体"/>
          <w:color w:val="auto"/>
          <w:szCs w:val="21"/>
          <w:highlight w:val="none"/>
        </w:rPr>
      </w:pPr>
    </w:p>
    <w:p w14:paraId="70BE225B">
      <w:pPr>
        <w:pStyle w:val="63"/>
        <w:wordWrap w:val="0"/>
        <w:rPr>
          <w:color w:val="auto"/>
          <w:highlight w:val="none"/>
        </w:rPr>
      </w:pPr>
    </w:p>
    <w:p w14:paraId="4938E92E">
      <w:pPr>
        <w:wordWrap w:val="0"/>
        <w:spacing w:line="360" w:lineRule="auto"/>
        <w:rPr>
          <w:rFonts w:hint="eastAsia"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24DD4C8F">
      <w:pPr>
        <w:wordWrap w:val="0"/>
        <w:spacing w:line="360" w:lineRule="auto"/>
        <w:rPr>
          <w:rFonts w:hint="eastAsia"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275667BF">
      <w:pPr>
        <w:tabs>
          <w:tab w:val="center" w:pos="4365"/>
        </w:tabs>
        <w:wordWrap w:val="0"/>
        <w:spacing w:line="360" w:lineRule="auto"/>
        <w:rPr>
          <w:rFonts w:hint="eastAsia" w:hAnsi="宋体" w:cs="宋体"/>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38D6E2A7">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6C1F976">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十、商务和技术偏差表</w:t>
      </w:r>
    </w:p>
    <w:p w14:paraId="7A8BE0B5">
      <w:pPr>
        <w:wordWrap w:val="0"/>
        <w:adjustRightInd w:val="0"/>
        <w:snapToGrid w:val="0"/>
        <w:spacing w:line="360" w:lineRule="auto"/>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tbl>
      <w:tblPr>
        <w:tblStyle w:val="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1"/>
        <w:gridCol w:w="3251"/>
        <w:gridCol w:w="3407"/>
        <w:gridCol w:w="1134"/>
        <w:gridCol w:w="1029"/>
      </w:tblGrid>
      <w:tr w14:paraId="62ED3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trPr>
        <w:tc>
          <w:tcPr>
            <w:tcW w:w="477" w:type="pct"/>
            <w:vAlign w:val="center"/>
          </w:tcPr>
          <w:p w14:paraId="63386C79">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序号</w:t>
            </w:r>
          </w:p>
        </w:tc>
        <w:tc>
          <w:tcPr>
            <w:tcW w:w="1666" w:type="pct"/>
            <w:vAlign w:val="center"/>
          </w:tcPr>
          <w:p w14:paraId="06A64D61">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招标文件章节及条款号</w:t>
            </w:r>
          </w:p>
        </w:tc>
        <w:tc>
          <w:tcPr>
            <w:tcW w:w="1746" w:type="pct"/>
            <w:vAlign w:val="center"/>
          </w:tcPr>
          <w:p w14:paraId="34F33989">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投标文件章节及条款号</w:t>
            </w:r>
          </w:p>
        </w:tc>
        <w:tc>
          <w:tcPr>
            <w:tcW w:w="581" w:type="pct"/>
            <w:tcBorders>
              <w:right w:val="single" w:color="auto" w:sz="4" w:space="0"/>
            </w:tcBorders>
            <w:vAlign w:val="center"/>
          </w:tcPr>
          <w:p w14:paraId="71F3188E">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响应/偏差</w:t>
            </w:r>
          </w:p>
        </w:tc>
        <w:tc>
          <w:tcPr>
            <w:tcW w:w="527" w:type="pct"/>
            <w:tcBorders>
              <w:left w:val="single" w:color="auto" w:sz="4" w:space="0"/>
            </w:tcBorders>
            <w:vAlign w:val="center"/>
          </w:tcPr>
          <w:p w14:paraId="1601ECFC">
            <w:pPr>
              <w:wordWrap w:val="0"/>
              <w:jc w:val="center"/>
              <w:rPr>
                <w:rFonts w:ascii="Calibri" w:hAnsi="Calibri"/>
                <w:b/>
                <w:color w:val="auto"/>
                <w:sz w:val="22"/>
                <w:szCs w:val="22"/>
                <w:highlight w:val="none"/>
              </w:rPr>
            </w:pPr>
            <w:r>
              <w:rPr>
                <w:rFonts w:hint="eastAsia" w:ascii="Calibri" w:hAnsi="Calibri"/>
                <w:b/>
                <w:color w:val="auto"/>
                <w:sz w:val="22"/>
                <w:szCs w:val="22"/>
                <w:highlight w:val="none"/>
              </w:rPr>
              <w:t>说明</w:t>
            </w:r>
          </w:p>
        </w:tc>
      </w:tr>
      <w:tr w14:paraId="7543C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41EAB1EB">
            <w:pPr>
              <w:wordWrap w:val="0"/>
              <w:rPr>
                <w:rFonts w:ascii="Calibri" w:hAnsi="Calibri"/>
                <w:color w:val="auto"/>
                <w:sz w:val="22"/>
                <w:szCs w:val="22"/>
                <w:highlight w:val="none"/>
              </w:rPr>
            </w:pPr>
          </w:p>
          <w:p w14:paraId="63B867A6">
            <w:pPr>
              <w:wordWrap w:val="0"/>
              <w:rPr>
                <w:rFonts w:ascii="Calibri" w:hAnsi="Calibri"/>
                <w:color w:val="auto"/>
                <w:sz w:val="22"/>
                <w:szCs w:val="22"/>
                <w:highlight w:val="none"/>
              </w:rPr>
            </w:pPr>
          </w:p>
        </w:tc>
        <w:tc>
          <w:tcPr>
            <w:tcW w:w="1666" w:type="pct"/>
            <w:vAlign w:val="center"/>
          </w:tcPr>
          <w:p w14:paraId="346D3EFF">
            <w:pPr>
              <w:wordWrap w:val="0"/>
              <w:rPr>
                <w:rFonts w:ascii="Calibri" w:hAnsi="Calibri"/>
                <w:color w:val="auto"/>
                <w:sz w:val="22"/>
                <w:szCs w:val="22"/>
                <w:highlight w:val="none"/>
              </w:rPr>
            </w:pPr>
          </w:p>
        </w:tc>
        <w:tc>
          <w:tcPr>
            <w:tcW w:w="1746" w:type="pct"/>
            <w:vAlign w:val="center"/>
          </w:tcPr>
          <w:p w14:paraId="5E16817F">
            <w:pPr>
              <w:wordWrap w:val="0"/>
              <w:rPr>
                <w:rFonts w:ascii="Calibri" w:hAnsi="Calibri"/>
                <w:color w:val="auto"/>
                <w:sz w:val="22"/>
                <w:szCs w:val="22"/>
                <w:highlight w:val="none"/>
              </w:rPr>
            </w:pPr>
          </w:p>
        </w:tc>
        <w:tc>
          <w:tcPr>
            <w:tcW w:w="581" w:type="pct"/>
            <w:tcBorders>
              <w:right w:val="single" w:color="auto" w:sz="4" w:space="0"/>
            </w:tcBorders>
            <w:vAlign w:val="center"/>
          </w:tcPr>
          <w:p w14:paraId="2072BC35">
            <w:pPr>
              <w:wordWrap w:val="0"/>
              <w:rPr>
                <w:rFonts w:ascii="Calibri" w:hAnsi="Calibri"/>
                <w:color w:val="auto"/>
                <w:sz w:val="22"/>
                <w:szCs w:val="22"/>
                <w:highlight w:val="none"/>
              </w:rPr>
            </w:pPr>
          </w:p>
        </w:tc>
        <w:tc>
          <w:tcPr>
            <w:tcW w:w="527" w:type="pct"/>
            <w:tcBorders>
              <w:left w:val="single" w:color="auto" w:sz="4" w:space="0"/>
            </w:tcBorders>
            <w:vAlign w:val="center"/>
          </w:tcPr>
          <w:p w14:paraId="6CAAF346">
            <w:pPr>
              <w:wordWrap w:val="0"/>
              <w:rPr>
                <w:rFonts w:ascii="Calibri" w:hAnsi="Calibri"/>
                <w:color w:val="auto"/>
                <w:sz w:val="22"/>
                <w:szCs w:val="22"/>
                <w:highlight w:val="none"/>
              </w:rPr>
            </w:pPr>
          </w:p>
        </w:tc>
      </w:tr>
      <w:tr w14:paraId="49B02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43A4AEFB">
            <w:pPr>
              <w:wordWrap w:val="0"/>
              <w:rPr>
                <w:rFonts w:ascii="Calibri" w:hAnsi="Calibri"/>
                <w:color w:val="auto"/>
                <w:sz w:val="22"/>
                <w:szCs w:val="22"/>
                <w:highlight w:val="none"/>
              </w:rPr>
            </w:pPr>
          </w:p>
          <w:p w14:paraId="1FD9AE39">
            <w:pPr>
              <w:wordWrap w:val="0"/>
              <w:rPr>
                <w:rFonts w:ascii="Calibri" w:hAnsi="Calibri"/>
                <w:color w:val="auto"/>
                <w:sz w:val="22"/>
                <w:szCs w:val="22"/>
                <w:highlight w:val="none"/>
              </w:rPr>
            </w:pPr>
          </w:p>
        </w:tc>
        <w:tc>
          <w:tcPr>
            <w:tcW w:w="1666" w:type="pct"/>
            <w:vAlign w:val="center"/>
          </w:tcPr>
          <w:p w14:paraId="7CFD8EC7">
            <w:pPr>
              <w:wordWrap w:val="0"/>
              <w:rPr>
                <w:rFonts w:ascii="Calibri" w:hAnsi="Calibri"/>
                <w:color w:val="auto"/>
                <w:sz w:val="22"/>
                <w:szCs w:val="22"/>
                <w:highlight w:val="none"/>
              </w:rPr>
            </w:pPr>
          </w:p>
        </w:tc>
        <w:tc>
          <w:tcPr>
            <w:tcW w:w="1746" w:type="pct"/>
            <w:vAlign w:val="center"/>
          </w:tcPr>
          <w:p w14:paraId="265B72D6">
            <w:pPr>
              <w:wordWrap w:val="0"/>
              <w:rPr>
                <w:rFonts w:ascii="Calibri" w:hAnsi="Calibri"/>
                <w:color w:val="auto"/>
                <w:sz w:val="22"/>
                <w:szCs w:val="22"/>
                <w:highlight w:val="none"/>
              </w:rPr>
            </w:pPr>
          </w:p>
        </w:tc>
        <w:tc>
          <w:tcPr>
            <w:tcW w:w="581" w:type="pct"/>
            <w:tcBorders>
              <w:right w:val="single" w:color="auto" w:sz="4" w:space="0"/>
            </w:tcBorders>
            <w:vAlign w:val="center"/>
          </w:tcPr>
          <w:p w14:paraId="1D51500A">
            <w:pPr>
              <w:wordWrap w:val="0"/>
              <w:rPr>
                <w:rFonts w:ascii="Calibri" w:hAnsi="Calibri"/>
                <w:color w:val="auto"/>
                <w:sz w:val="22"/>
                <w:szCs w:val="22"/>
                <w:highlight w:val="none"/>
              </w:rPr>
            </w:pPr>
          </w:p>
        </w:tc>
        <w:tc>
          <w:tcPr>
            <w:tcW w:w="527" w:type="pct"/>
            <w:tcBorders>
              <w:left w:val="single" w:color="auto" w:sz="4" w:space="0"/>
            </w:tcBorders>
            <w:vAlign w:val="center"/>
          </w:tcPr>
          <w:p w14:paraId="5378505F">
            <w:pPr>
              <w:wordWrap w:val="0"/>
              <w:rPr>
                <w:rFonts w:ascii="Calibri" w:hAnsi="Calibri"/>
                <w:color w:val="auto"/>
                <w:sz w:val="22"/>
                <w:szCs w:val="22"/>
                <w:highlight w:val="none"/>
              </w:rPr>
            </w:pPr>
          </w:p>
        </w:tc>
      </w:tr>
      <w:tr w14:paraId="76437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05602082">
            <w:pPr>
              <w:wordWrap w:val="0"/>
              <w:rPr>
                <w:rFonts w:ascii="Calibri" w:hAnsi="Calibri"/>
                <w:color w:val="auto"/>
                <w:sz w:val="22"/>
                <w:szCs w:val="22"/>
                <w:highlight w:val="none"/>
              </w:rPr>
            </w:pPr>
          </w:p>
          <w:p w14:paraId="53CBDF09">
            <w:pPr>
              <w:wordWrap w:val="0"/>
              <w:rPr>
                <w:rFonts w:ascii="Calibri" w:hAnsi="Calibri"/>
                <w:color w:val="auto"/>
                <w:sz w:val="22"/>
                <w:szCs w:val="22"/>
                <w:highlight w:val="none"/>
              </w:rPr>
            </w:pPr>
          </w:p>
        </w:tc>
        <w:tc>
          <w:tcPr>
            <w:tcW w:w="1666" w:type="pct"/>
            <w:vAlign w:val="center"/>
          </w:tcPr>
          <w:p w14:paraId="4F3844DE">
            <w:pPr>
              <w:wordWrap w:val="0"/>
              <w:rPr>
                <w:rFonts w:ascii="Calibri" w:hAnsi="Calibri"/>
                <w:color w:val="auto"/>
                <w:sz w:val="22"/>
                <w:szCs w:val="22"/>
                <w:highlight w:val="none"/>
              </w:rPr>
            </w:pPr>
          </w:p>
        </w:tc>
        <w:tc>
          <w:tcPr>
            <w:tcW w:w="1746" w:type="pct"/>
            <w:vAlign w:val="center"/>
          </w:tcPr>
          <w:p w14:paraId="3CB6E85E">
            <w:pPr>
              <w:wordWrap w:val="0"/>
              <w:rPr>
                <w:rFonts w:ascii="Calibri" w:hAnsi="Calibri"/>
                <w:color w:val="auto"/>
                <w:sz w:val="22"/>
                <w:szCs w:val="22"/>
                <w:highlight w:val="none"/>
              </w:rPr>
            </w:pPr>
          </w:p>
        </w:tc>
        <w:tc>
          <w:tcPr>
            <w:tcW w:w="581" w:type="pct"/>
            <w:tcBorders>
              <w:right w:val="single" w:color="auto" w:sz="4" w:space="0"/>
            </w:tcBorders>
            <w:vAlign w:val="center"/>
          </w:tcPr>
          <w:p w14:paraId="4FFD3151">
            <w:pPr>
              <w:wordWrap w:val="0"/>
              <w:rPr>
                <w:rFonts w:ascii="Calibri" w:hAnsi="Calibri"/>
                <w:color w:val="auto"/>
                <w:sz w:val="22"/>
                <w:szCs w:val="22"/>
                <w:highlight w:val="none"/>
              </w:rPr>
            </w:pPr>
          </w:p>
        </w:tc>
        <w:tc>
          <w:tcPr>
            <w:tcW w:w="527" w:type="pct"/>
            <w:tcBorders>
              <w:left w:val="single" w:color="auto" w:sz="4" w:space="0"/>
            </w:tcBorders>
            <w:vAlign w:val="center"/>
          </w:tcPr>
          <w:p w14:paraId="3F59E218">
            <w:pPr>
              <w:wordWrap w:val="0"/>
              <w:rPr>
                <w:rFonts w:ascii="Calibri" w:hAnsi="Calibri"/>
                <w:color w:val="auto"/>
                <w:sz w:val="22"/>
                <w:szCs w:val="22"/>
                <w:highlight w:val="none"/>
              </w:rPr>
            </w:pPr>
          </w:p>
        </w:tc>
      </w:tr>
      <w:tr w14:paraId="0FE27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15DC1980">
            <w:pPr>
              <w:wordWrap w:val="0"/>
              <w:rPr>
                <w:rFonts w:ascii="Calibri" w:hAnsi="Calibri"/>
                <w:color w:val="auto"/>
                <w:sz w:val="22"/>
                <w:szCs w:val="22"/>
                <w:highlight w:val="none"/>
              </w:rPr>
            </w:pPr>
          </w:p>
          <w:p w14:paraId="37CAEF7C">
            <w:pPr>
              <w:wordWrap w:val="0"/>
              <w:rPr>
                <w:rFonts w:ascii="Calibri" w:hAnsi="Calibri"/>
                <w:color w:val="auto"/>
                <w:sz w:val="22"/>
                <w:szCs w:val="22"/>
                <w:highlight w:val="none"/>
              </w:rPr>
            </w:pPr>
          </w:p>
        </w:tc>
        <w:tc>
          <w:tcPr>
            <w:tcW w:w="1666" w:type="pct"/>
            <w:vAlign w:val="center"/>
          </w:tcPr>
          <w:p w14:paraId="7F52336C">
            <w:pPr>
              <w:wordWrap w:val="0"/>
              <w:rPr>
                <w:rFonts w:ascii="Calibri" w:hAnsi="Calibri"/>
                <w:color w:val="auto"/>
                <w:sz w:val="22"/>
                <w:szCs w:val="22"/>
                <w:highlight w:val="none"/>
              </w:rPr>
            </w:pPr>
          </w:p>
        </w:tc>
        <w:tc>
          <w:tcPr>
            <w:tcW w:w="1746" w:type="pct"/>
            <w:vAlign w:val="center"/>
          </w:tcPr>
          <w:p w14:paraId="0F8BAC1A">
            <w:pPr>
              <w:wordWrap w:val="0"/>
              <w:rPr>
                <w:rFonts w:ascii="Calibri" w:hAnsi="Calibri"/>
                <w:color w:val="auto"/>
                <w:sz w:val="22"/>
                <w:szCs w:val="22"/>
                <w:highlight w:val="none"/>
              </w:rPr>
            </w:pPr>
          </w:p>
        </w:tc>
        <w:tc>
          <w:tcPr>
            <w:tcW w:w="581" w:type="pct"/>
            <w:tcBorders>
              <w:right w:val="single" w:color="auto" w:sz="4" w:space="0"/>
            </w:tcBorders>
            <w:vAlign w:val="center"/>
          </w:tcPr>
          <w:p w14:paraId="7C560A47">
            <w:pPr>
              <w:wordWrap w:val="0"/>
              <w:rPr>
                <w:rFonts w:ascii="Calibri" w:hAnsi="Calibri"/>
                <w:color w:val="auto"/>
                <w:sz w:val="22"/>
                <w:szCs w:val="22"/>
                <w:highlight w:val="none"/>
              </w:rPr>
            </w:pPr>
          </w:p>
        </w:tc>
        <w:tc>
          <w:tcPr>
            <w:tcW w:w="527" w:type="pct"/>
            <w:tcBorders>
              <w:left w:val="single" w:color="auto" w:sz="4" w:space="0"/>
            </w:tcBorders>
            <w:vAlign w:val="center"/>
          </w:tcPr>
          <w:p w14:paraId="0BD545C6">
            <w:pPr>
              <w:wordWrap w:val="0"/>
              <w:rPr>
                <w:rFonts w:ascii="Calibri" w:hAnsi="Calibri"/>
                <w:color w:val="auto"/>
                <w:sz w:val="22"/>
                <w:szCs w:val="22"/>
                <w:highlight w:val="none"/>
              </w:rPr>
            </w:pPr>
          </w:p>
        </w:tc>
      </w:tr>
      <w:tr w14:paraId="466C1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7E63876A">
            <w:pPr>
              <w:wordWrap w:val="0"/>
              <w:rPr>
                <w:rFonts w:ascii="Calibri" w:hAnsi="Calibri"/>
                <w:color w:val="auto"/>
                <w:sz w:val="22"/>
                <w:szCs w:val="22"/>
                <w:highlight w:val="none"/>
              </w:rPr>
            </w:pPr>
          </w:p>
          <w:p w14:paraId="4B4EE0F9">
            <w:pPr>
              <w:wordWrap w:val="0"/>
              <w:rPr>
                <w:rFonts w:ascii="Calibri" w:hAnsi="Calibri"/>
                <w:color w:val="auto"/>
                <w:sz w:val="22"/>
                <w:szCs w:val="22"/>
                <w:highlight w:val="none"/>
              </w:rPr>
            </w:pPr>
          </w:p>
        </w:tc>
        <w:tc>
          <w:tcPr>
            <w:tcW w:w="1666" w:type="pct"/>
            <w:vAlign w:val="center"/>
          </w:tcPr>
          <w:p w14:paraId="2C1986DA">
            <w:pPr>
              <w:wordWrap w:val="0"/>
              <w:rPr>
                <w:rFonts w:ascii="Calibri" w:hAnsi="Calibri"/>
                <w:color w:val="auto"/>
                <w:sz w:val="22"/>
                <w:szCs w:val="22"/>
                <w:highlight w:val="none"/>
              </w:rPr>
            </w:pPr>
          </w:p>
        </w:tc>
        <w:tc>
          <w:tcPr>
            <w:tcW w:w="1746" w:type="pct"/>
            <w:vAlign w:val="center"/>
          </w:tcPr>
          <w:p w14:paraId="6A571D3A">
            <w:pPr>
              <w:wordWrap w:val="0"/>
              <w:rPr>
                <w:rFonts w:ascii="Calibri" w:hAnsi="Calibri"/>
                <w:color w:val="auto"/>
                <w:sz w:val="22"/>
                <w:szCs w:val="22"/>
                <w:highlight w:val="none"/>
              </w:rPr>
            </w:pPr>
          </w:p>
        </w:tc>
        <w:tc>
          <w:tcPr>
            <w:tcW w:w="581" w:type="pct"/>
            <w:tcBorders>
              <w:right w:val="single" w:color="auto" w:sz="4" w:space="0"/>
            </w:tcBorders>
            <w:vAlign w:val="center"/>
          </w:tcPr>
          <w:p w14:paraId="2B093794">
            <w:pPr>
              <w:wordWrap w:val="0"/>
              <w:rPr>
                <w:rFonts w:ascii="Calibri" w:hAnsi="Calibri"/>
                <w:color w:val="auto"/>
                <w:sz w:val="22"/>
                <w:szCs w:val="22"/>
                <w:highlight w:val="none"/>
              </w:rPr>
            </w:pPr>
          </w:p>
        </w:tc>
        <w:tc>
          <w:tcPr>
            <w:tcW w:w="527" w:type="pct"/>
            <w:tcBorders>
              <w:left w:val="single" w:color="auto" w:sz="4" w:space="0"/>
            </w:tcBorders>
            <w:vAlign w:val="center"/>
          </w:tcPr>
          <w:p w14:paraId="1BA5E5C3">
            <w:pPr>
              <w:wordWrap w:val="0"/>
              <w:rPr>
                <w:rFonts w:ascii="Calibri" w:hAnsi="Calibri"/>
                <w:color w:val="auto"/>
                <w:sz w:val="22"/>
                <w:szCs w:val="22"/>
                <w:highlight w:val="none"/>
              </w:rPr>
            </w:pPr>
          </w:p>
        </w:tc>
      </w:tr>
      <w:tr w14:paraId="6CD29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3BD8C7AB">
            <w:pPr>
              <w:wordWrap w:val="0"/>
              <w:rPr>
                <w:rFonts w:ascii="Calibri" w:hAnsi="Calibri"/>
                <w:color w:val="auto"/>
                <w:sz w:val="22"/>
                <w:szCs w:val="22"/>
                <w:highlight w:val="none"/>
              </w:rPr>
            </w:pPr>
          </w:p>
          <w:p w14:paraId="0670C291">
            <w:pPr>
              <w:wordWrap w:val="0"/>
              <w:rPr>
                <w:rFonts w:ascii="Calibri" w:hAnsi="Calibri"/>
                <w:color w:val="auto"/>
                <w:sz w:val="22"/>
                <w:szCs w:val="22"/>
                <w:highlight w:val="none"/>
              </w:rPr>
            </w:pPr>
            <w:r>
              <w:rPr>
                <w:rFonts w:ascii="Calibri" w:hAnsi="Calibri"/>
                <w:color w:val="auto"/>
                <w:sz w:val="22"/>
                <w:szCs w:val="22"/>
                <w:highlight w:val="none"/>
              </w:rPr>
              <w:t>……</w:t>
            </w:r>
          </w:p>
        </w:tc>
        <w:tc>
          <w:tcPr>
            <w:tcW w:w="1666" w:type="pct"/>
            <w:vAlign w:val="center"/>
          </w:tcPr>
          <w:p w14:paraId="2EE4E72E">
            <w:pPr>
              <w:wordWrap w:val="0"/>
              <w:rPr>
                <w:rFonts w:ascii="Calibri" w:hAnsi="Calibri"/>
                <w:color w:val="auto"/>
                <w:sz w:val="22"/>
                <w:szCs w:val="22"/>
                <w:highlight w:val="none"/>
              </w:rPr>
            </w:pPr>
          </w:p>
        </w:tc>
        <w:tc>
          <w:tcPr>
            <w:tcW w:w="1746" w:type="pct"/>
            <w:vAlign w:val="center"/>
          </w:tcPr>
          <w:p w14:paraId="1E859386">
            <w:pPr>
              <w:wordWrap w:val="0"/>
              <w:rPr>
                <w:rFonts w:ascii="Calibri" w:hAnsi="Calibri"/>
                <w:color w:val="auto"/>
                <w:sz w:val="22"/>
                <w:szCs w:val="22"/>
                <w:highlight w:val="none"/>
              </w:rPr>
            </w:pPr>
          </w:p>
        </w:tc>
        <w:tc>
          <w:tcPr>
            <w:tcW w:w="581" w:type="pct"/>
            <w:tcBorders>
              <w:right w:val="single" w:color="auto" w:sz="4" w:space="0"/>
            </w:tcBorders>
            <w:vAlign w:val="center"/>
          </w:tcPr>
          <w:p w14:paraId="05793DEC">
            <w:pPr>
              <w:wordWrap w:val="0"/>
              <w:rPr>
                <w:rFonts w:ascii="Calibri" w:hAnsi="Calibri"/>
                <w:color w:val="auto"/>
                <w:sz w:val="22"/>
                <w:szCs w:val="22"/>
                <w:highlight w:val="none"/>
              </w:rPr>
            </w:pPr>
          </w:p>
        </w:tc>
        <w:tc>
          <w:tcPr>
            <w:tcW w:w="527" w:type="pct"/>
            <w:tcBorders>
              <w:left w:val="single" w:color="auto" w:sz="4" w:space="0"/>
            </w:tcBorders>
            <w:vAlign w:val="center"/>
          </w:tcPr>
          <w:p w14:paraId="174929BB">
            <w:pPr>
              <w:wordWrap w:val="0"/>
              <w:rPr>
                <w:rFonts w:ascii="Calibri" w:hAnsi="Calibri"/>
                <w:color w:val="auto"/>
                <w:sz w:val="22"/>
                <w:szCs w:val="22"/>
                <w:highlight w:val="none"/>
              </w:rPr>
            </w:pPr>
          </w:p>
        </w:tc>
      </w:tr>
    </w:tbl>
    <w:p w14:paraId="66141F53">
      <w:pPr>
        <w:wordWrap w:val="0"/>
        <w:spacing w:line="360" w:lineRule="auto"/>
        <w:rPr>
          <w:rFonts w:hint="eastAsia" w:hAnsi="宋体" w:cs="宋体"/>
          <w:color w:val="auto"/>
          <w:szCs w:val="21"/>
          <w:highlight w:val="none"/>
        </w:rPr>
      </w:pPr>
      <w:r>
        <w:rPr>
          <w:rFonts w:hint="eastAsia" w:hAnsi="宋体" w:cs="宋体"/>
          <w:b/>
          <w:color w:val="auto"/>
          <w:szCs w:val="21"/>
          <w:highlight w:val="none"/>
        </w:rPr>
        <w:t>备注：</w:t>
      </w:r>
      <w:r>
        <w:rPr>
          <w:rFonts w:hint="eastAsia" w:hAnsi="宋体" w:cs="宋体"/>
          <w:color w:val="auto"/>
          <w:szCs w:val="21"/>
          <w:highlight w:val="none"/>
        </w:rPr>
        <w:t>1、按招标文件规定，投标人在本表中仅列明对非实质性要求和条件的有偏差的内容。</w:t>
      </w:r>
    </w:p>
    <w:p w14:paraId="2D02A21F">
      <w:pPr>
        <w:wordWrap w:val="0"/>
        <w:spacing w:line="360" w:lineRule="auto"/>
        <w:ind w:firstLine="630" w:firstLineChars="300"/>
        <w:rPr>
          <w:rFonts w:hint="eastAsia" w:hAnsi="宋体" w:cs="宋体"/>
          <w:color w:val="auto"/>
          <w:szCs w:val="21"/>
          <w:highlight w:val="none"/>
        </w:rPr>
      </w:pPr>
      <w:r>
        <w:rPr>
          <w:rFonts w:hint="eastAsia" w:hAnsi="宋体" w:cs="宋体"/>
          <w:color w:val="auto"/>
          <w:szCs w:val="21"/>
          <w:highlight w:val="none"/>
        </w:rPr>
        <w:t>2、除本表列明的偏差内容外，视为投标人响应招标文件的全部要求和条件。若投标文件中有偏差内容未在本表中列明的，评标委员会有权</w:t>
      </w:r>
      <w:r>
        <w:rPr>
          <w:rFonts w:hint="eastAsia" w:hAnsi="宋体" w:cs="宋体"/>
          <w:b/>
          <w:bCs/>
          <w:color w:val="auto"/>
          <w:szCs w:val="21"/>
          <w:highlight w:val="none"/>
        </w:rPr>
        <w:t>否决</w:t>
      </w:r>
      <w:r>
        <w:rPr>
          <w:rFonts w:hint="eastAsia" w:hAnsi="宋体" w:cs="宋体"/>
          <w:color w:val="auto"/>
          <w:szCs w:val="21"/>
          <w:highlight w:val="none"/>
        </w:rPr>
        <w:t>其投标或招标人有权取消其中标资格。</w:t>
      </w:r>
    </w:p>
    <w:p w14:paraId="59125979">
      <w:pPr>
        <w:wordWrap w:val="0"/>
        <w:spacing w:line="360" w:lineRule="auto"/>
        <w:ind w:firstLine="630" w:firstLineChars="300"/>
        <w:rPr>
          <w:rFonts w:hint="eastAsia" w:hAnsi="宋体" w:cs="宋体"/>
          <w:color w:val="auto"/>
          <w:szCs w:val="21"/>
          <w:highlight w:val="none"/>
        </w:rPr>
      </w:pPr>
      <w:r>
        <w:rPr>
          <w:rFonts w:hint="eastAsia" w:hAnsi="宋体" w:cs="宋体"/>
          <w:color w:val="auto"/>
          <w:szCs w:val="21"/>
          <w:highlight w:val="none"/>
        </w:rPr>
        <w:t>3、若投标人完全响应招标文件商务、技术要求，无任何偏差内容，应在本表“偏差说明”中注明“完全响应，无偏差”，其他内容无须填写。</w:t>
      </w:r>
    </w:p>
    <w:p w14:paraId="2FFF6B79">
      <w:pPr>
        <w:wordWrap w:val="0"/>
        <w:spacing w:line="360" w:lineRule="auto"/>
        <w:rPr>
          <w:rFonts w:hint="eastAsia" w:hAnsi="宋体" w:cs="宋体"/>
          <w:color w:val="auto"/>
          <w:szCs w:val="21"/>
          <w:highlight w:val="none"/>
        </w:rPr>
      </w:pPr>
    </w:p>
    <w:p w14:paraId="74CAC5BD">
      <w:pPr>
        <w:wordWrap w:val="0"/>
        <w:spacing w:line="360" w:lineRule="auto"/>
        <w:rPr>
          <w:rFonts w:hint="eastAsia" w:hAnsi="宋体" w:cs="宋体"/>
          <w:color w:val="auto"/>
          <w:szCs w:val="21"/>
          <w:highlight w:val="none"/>
        </w:rPr>
      </w:pPr>
    </w:p>
    <w:p w14:paraId="2210DA20">
      <w:pPr>
        <w:wordWrap w:val="0"/>
        <w:spacing w:line="360" w:lineRule="auto"/>
        <w:rPr>
          <w:rFonts w:hint="eastAsia" w:hAnsi="宋体" w:cs="宋体"/>
          <w:color w:val="auto"/>
          <w:szCs w:val="21"/>
          <w:highlight w:val="none"/>
        </w:rPr>
      </w:pPr>
    </w:p>
    <w:p w14:paraId="7B8CB7D7">
      <w:pPr>
        <w:wordWrap w:val="0"/>
        <w:spacing w:line="360" w:lineRule="auto"/>
        <w:rPr>
          <w:rFonts w:hint="eastAsia"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0BA06F49">
      <w:pPr>
        <w:wordWrap w:val="0"/>
        <w:spacing w:line="360" w:lineRule="auto"/>
        <w:rPr>
          <w:rFonts w:hint="eastAsia"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6075B87A">
      <w:pPr>
        <w:tabs>
          <w:tab w:val="center" w:pos="4365"/>
        </w:tabs>
        <w:wordWrap w:val="0"/>
        <w:spacing w:line="360" w:lineRule="auto"/>
        <w:rPr>
          <w:rFonts w:hint="eastAsia" w:hAnsi="宋体" w:cs="宋体"/>
          <w:bCs/>
          <w:color w:val="auto"/>
          <w:szCs w:val="21"/>
          <w:highlight w:val="none"/>
        </w:rPr>
        <w:sectPr>
          <w:pgSz w:w="11906" w:h="16838"/>
          <w:pgMar w:top="1440" w:right="1080" w:bottom="1440" w:left="1080" w:header="567" w:footer="56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1F330673">
      <w:pPr>
        <w:wordWrap w:val="0"/>
        <w:spacing w:line="360" w:lineRule="auto"/>
        <w:jc w:val="center"/>
        <w:outlineLvl w:val="1"/>
        <w:rPr>
          <w:rFonts w:hint="default" w:ascii="宋体" w:hAnsi="宋体" w:eastAsia="宋体" w:cs="宋体"/>
          <w:b/>
          <w:snapToGrid w:val="0"/>
          <w:color w:val="auto"/>
          <w:kern w:val="0"/>
          <w:sz w:val="28"/>
          <w:szCs w:val="28"/>
          <w:highlight w:val="none"/>
          <w:lang w:val="en-US" w:eastAsia="zh-CN"/>
        </w:rPr>
      </w:pPr>
      <w:bookmarkStart w:id="16" w:name="_Hlk83371435"/>
      <w:r>
        <w:rPr>
          <w:rFonts w:hint="eastAsia" w:ascii="宋体" w:hAnsi="宋体" w:cs="宋体"/>
          <w:b/>
          <w:snapToGrid w:val="0"/>
          <w:color w:val="auto"/>
          <w:kern w:val="0"/>
          <w:sz w:val="28"/>
          <w:szCs w:val="28"/>
          <w:highlight w:val="none"/>
        </w:rPr>
        <w:t>十</w:t>
      </w:r>
      <w:r>
        <w:rPr>
          <w:rFonts w:hint="eastAsia" w:ascii="宋体" w:hAnsi="宋体" w:cs="宋体"/>
          <w:b/>
          <w:snapToGrid w:val="0"/>
          <w:color w:val="auto"/>
          <w:kern w:val="0"/>
          <w:sz w:val="28"/>
          <w:szCs w:val="28"/>
          <w:highlight w:val="none"/>
          <w:lang w:val="en-US" w:eastAsia="zh-CN"/>
        </w:rPr>
        <w:t>一</w:t>
      </w:r>
      <w:r>
        <w:rPr>
          <w:rFonts w:hint="eastAsia" w:ascii="宋体" w:hAnsi="宋体" w:cs="宋体"/>
          <w:b/>
          <w:snapToGrid w:val="0"/>
          <w:color w:val="auto"/>
          <w:kern w:val="0"/>
          <w:sz w:val="28"/>
          <w:szCs w:val="28"/>
          <w:highlight w:val="none"/>
        </w:rPr>
        <w:t>、项目</w:t>
      </w:r>
      <w:r>
        <w:rPr>
          <w:rFonts w:hint="eastAsia" w:ascii="宋体" w:hAnsi="宋体" w:cs="宋体"/>
          <w:b/>
          <w:snapToGrid w:val="0"/>
          <w:color w:val="auto"/>
          <w:kern w:val="0"/>
          <w:sz w:val="28"/>
          <w:szCs w:val="28"/>
          <w:highlight w:val="none"/>
          <w:lang w:val="en-US" w:eastAsia="zh-CN"/>
        </w:rPr>
        <w:t>主要管理人员</w:t>
      </w:r>
    </w:p>
    <w:bookmarkEnd w:id="16"/>
    <w:p w14:paraId="038B335C">
      <w:pPr>
        <w:wordWrap w:val="0"/>
        <w:adjustRightInd w:val="0"/>
        <w:snapToGrid w:val="0"/>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p w14:paraId="0E3E1223">
      <w:pPr>
        <w:pStyle w:val="3"/>
        <w:wordWrap w:val="0"/>
        <w:spacing w:after="0" w:line="360" w:lineRule="auto"/>
        <w:ind w:right="105" w:firstLine="420" w:firstLineChars="200"/>
        <w:jc w:val="left"/>
        <w:rPr>
          <w:color w:val="auto"/>
          <w:highlight w:val="none"/>
        </w:rPr>
      </w:pPr>
      <w:r>
        <w:rPr>
          <w:rFonts w:hint="eastAsia"/>
          <w:color w:val="auto"/>
          <w:highlight w:val="none"/>
        </w:rPr>
        <w:t>投标人应根据</w:t>
      </w:r>
      <w:r>
        <w:rPr>
          <w:rFonts w:hint="eastAsia"/>
          <w:color w:val="auto"/>
          <w:highlight w:val="none"/>
          <w:lang w:val="en-US" w:eastAsia="zh-CN"/>
        </w:rPr>
        <w:t>招标文件</w:t>
      </w:r>
      <w:r>
        <w:rPr>
          <w:rFonts w:hint="eastAsia"/>
          <w:color w:val="auto"/>
          <w:highlight w:val="none"/>
        </w:rPr>
        <w:t>中“</w:t>
      </w:r>
      <w:r>
        <w:rPr>
          <w:rFonts w:hint="eastAsia"/>
          <w:color w:val="auto"/>
          <w:highlight w:val="none"/>
          <w:lang w:val="en-US" w:eastAsia="zh-CN"/>
        </w:rPr>
        <w:t>合同条款及格式</w:t>
      </w:r>
      <w:r>
        <w:rPr>
          <w:rFonts w:hint="eastAsia"/>
          <w:color w:val="auto"/>
          <w:highlight w:val="none"/>
        </w:rPr>
        <w:t>”</w:t>
      </w:r>
      <w:r>
        <w:rPr>
          <w:rFonts w:hint="eastAsia"/>
          <w:color w:val="auto"/>
          <w:highlight w:val="none"/>
          <w:lang w:val="en-US" w:eastAsia="zh-CN"/>
        </w:rPr>
        <w:t>及“用户需求书”</w:t>
      </w:r>
      <w:r>
        <w:rPr>
          <w:rFonts w:hint="eastAsia"/>
          <w:color w:val="auto"/>
          <w:highlight w:val="none"/>
        </w:rPr>
        <w:t>的</w:t>
      </w:r>
      <w:r>
        <w:rPr>
          <w:rFonts w:hint="eastAsia"/>
          <w:color w:val="auto"/>
          <w:highlight w:val="none"/>
          <w:lang w:val="en-US" w:eastAsia="zh-CN"/>
        </w:rPr>
        <w:t>相关内容要求及投标人自身情况安排项目投入人员，提供相关证明资料扫描件并加盖投标人公章</w:t>
      </w:r>
      <w:r>
        <w:rPr>
          <w:rFonts w:hint="eastAsia"/>
          <w:color w:val="auto"/>
          <w:highlight w:val="none"/>
        </w:rPr>
        <w:t>。</w:t>
      </w:r>
    </w:p>
    <w:tbl>
      <w:tblPr>
        <w:tblStyle w:val="64"/>
        <w:tblW w:w="48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7"/>
        <w:gridCol w:w="981"/>
        <w:gridCol w:w="1522"/>
        <w:gridCol w:w="2517"/>
        <w:gridCol w:w="1517"/>
        <w:gridCol w:w="1108"/>
        <w:gridCol w:w="1109"/>
      </w:tblGrid>
      <w:tr w14:paraId="50402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trPr>
        <w:tc>
          <w:tcPr>
            <w:tcW w:w="383" w:type="pct"/>
            <w:vAlign w:val="center"/>
          </w:tcPr>
          <w:p w14:paraId="64C3DDF4">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序号</w:t>
            </w:r>
          </w:p>
        </w:tc>
        <w:tc>
          <w:tcPr>
            <w:tcW w:w="517" w:type="pct"/>
            <w:vAlign w:val="center"/>
          </w:tcPr>
          <w:p w14:paraId="72D63F04">
            <w:pPr>
              <w:wordWrap w:val="0"/>
              <w:jc w:val="center"/>
              <w:rPr>
                <w:rFonts w:hint="eastAsia" w:ascii="Calibri" w:hAnsi="Calibri" w:eastAsia="宋体"/>
                <w:b/>
                <w:color w:val="auto"/>
                <w:sz w:val="22"/>
                <w:szCs w:val="22"/>
                <w:highlight w:val="none"/>
                <w:lang w:eastAsia="zh-CN"/>
              </w:rPr>
            </w:pPr>
            <w:r>
              <w:rPr>
                <w:rFonts w:hint="eastAsia" w:ascii="Calibri" w:hAnsi="Calibri"/>
                <w:b/>
                <w:color w:val="auto"/>
                <w:sz w:val="22"/>
                <w:szCs w:val="22"/>
                <w:highlight w:val="none"/>
                <w:lang w:val="en-US" w:eastAsia="zh-CN"/>
              </w:rPr>
              <w:t>姓名</w:t>
            </w:r>
          </w:p>
        </w:tc>
        <w:tc>
          <w:tcPr>
            <w:tcW w:w="802" w:type="pct"/>
            <w:vAlign w:val="center"/>
          </w:tcPr>
          <w:p w14:paraId="60A4371B">
            <w:pPr>
              <w:wordWrap w:val="0"/>
              <w:jc w:val="center"/>
              <w:rPr>
                <w:rFonts w:hint="default" w:ascii="Calibri" w:hAnsi="Calibri" w:eastAsia="宋体"/>
                <w:b/>
                <w:color w:val="auto"/>
                <w:sz w:val="22"/>
                <w:szCs w:val="22"/>
                <w:highlight w:val="none"/>
                <w:lang w:val="en-US" w:eastAsia="zh-CN"/>
              </w:rPr>
            </w:pPr>
            <w:r>
              <w:rPr>
                <w:rFonts w:hint="eastAsia" w:ascii="Calibri" w:hAnsi="Calibri"/>
                <w:b/>
                <w:color w:val="auto"/>
                <w:sz w:val="22"/>
                <w:szCs w:val="22"/>
                <w:highlight w:val="none"/>
                <w:lang w:val="en-US" w:eastAsia="zh-CN"/>
              </w:rPr>
              <w:t>拟任职务</w:t>
            </w:r>
          </w:p>
        </w:tc>
        <w:tc>
          <w:tcPr>
            <w:tcW w:w="1326" w:type="pct"/>
            <w:tcBorders>
              <w:right w:val="single" w:color="auto" w:sz="4" w:space="0"/>
            </w:tcBorders>
            <w:vAlign w:val="center"/>
          </w:tcPr>
          <w:p w14:paraId="00295064">
            <w:pPr>
              <w:wordWrap w:val="0"/>
              <w:jc w:val="center"/>
              <w:rPr>
                <w:rFonts w:hint="default" w:ascii="Calibri" w:hAnsi="Calibri" w:eastAsia="宋体"/>
                <w:b/>
                <w:color w:val="auto"/>
                <w:sz w:val="22"/>
                <w:szCs w:val="22"/>
                <w:highlight w:val="none"/>
                <w:lang w:val="en-US" w:eastAsia="zh-CN"/>
              </w:rPr>
            </w:pPr>
            <w:r>
              <w:rPr>
                <w:rFonts w:hint="eastAsia" w:ascii="Calibri" w:hAnsi="Calibri"/>
                <w:b/>
                <w:color w:val="auto"/>
                <w:sz w:val="22"/>
                <w:szCs w:val="22"/>
                <w:highlight w:val="none"/>
                <w:lang w:val="en-US" w:eastAsia="zh-CN"/>
              </w:rPr>
              <w:t>主要工作经历</w:t>
            </w:r>
          </w:p>
        </w:tc>
        <w:tc>
          <w:tcPr>
            <w:tcW w:w="799" w:type="pct"/>
            <w:tcBorders>
              <w:left w:val="single" w:color="auto" w:sz="4" w:space="0"/>
            </w:tcBorders>
            <w:vAlign w:val="center"/>
          </w:tcPr>
          <w:p w14:paraId="5535B8C5">
            <w:pPr>
              <w:wordWrap w:val="0"/>
              <w:jc w:val="center"/>
              <w:rPr>
                <w:rFonts w:hint="default" w:ascii="Calibri" w:hAnsi="Calibri" w:eastAsia="宋体"/>
                <w:b/>
                <w:color w:val="auto"/>
                <w:sz w:val="22"/>
                <w:szCs w:val="22"/>
                <w:highlight w:val="none"/>
                <w:lang w:val="en-US" w:eastAsia="zh-CN"/>
              </w:rPr>
            </w:pPr>
            <w:r>
              <w:rPr>
                <w:rFonts w:hint="eastAsia" w:ascii="Calibri" w:hAnsi="Calibri"/>
                <w:b/>
                <w:color w:val="auto"/>
                <w:sz w:val="22"/>
                <w:szCs w:val="22"/>
                <w:highlight w:val="none"/>
                <w:lang w:val="en-US" w:eastAsia="zh-CN"/>
              </w:rPr>
              <w:t>证书及编号</w:t>
            </w:r>
          </w:p>
        </w:tc>
        <w:tc>
          <w:tcPr>
            <w:tcW w:w="584" w:type="pct"/>
            <w:tcBorders>
              <w:left w:val="single" w:color="auto" w:sz="4" w:space="0"/>
            </w:tcBorders>
            <w:vAlign w:val="center"/>
          </w:tcPr>
          <w:p w14:paraId="6E7C6A46">
            <w:pPr>
              <w:wordWrap w:val="0"/>
              <w:jc w:val="center"/>
              <w:rPr>
                <w:rFonts w:hint="default" w:ascii="Calibri" w:hAnsi="Calibri" w:eastAsia="宋体"/>
                <w:b/>
                <w:color w:val="auto"/>
                <w:sz w:val="22"/>
                <w:szCs w:val="22"/>
                <w:highlight w:val="none"/>
                <w:lang w:val="en-US" w:eastAsia="zh-CN"/>
              </w:rPr>
            </w:pPr>
            <w:r>
              <w:rPr>
                <w:rFonts w:hint="eastAsia" w:ascii="Calibri" w:hAnsi="Calibri"/>
                <w:b/>
                <w:color w:val="auto"/>
                <w:sz w:val="22"/>
                <w:szCs w:val="22"/>
                <w:highlight w:val="none"/>
                <w:lang w:val="en-US" w:eastAsia="zh-CN"/>
              </w:rPr>
              <w:t>联系电话</w:t>
            </w:r>
          </w:p>
        </w:tc>
        <w:tc>
          <w:tcPr>
            <w:tcW w:w="584" w:type="pct"/>
            <w:tcBorders>
              <w:left w:val="single" w:color="auto" w:sz="4" w:space="0"/>
            </w:tcBorders>
            <w:vAlign w:val="center"/>
          </w:tcPr>
          <w:p w14:paraId="30119005">
            <w:pPr>
              <w:wordWrap w:val="0"/>
              <w:jc w:val="center"/>
              <w:rPr>
                <w:rFonts w:hint="default" w:ascii="Calibri" w:hAnsi="Calibri"/>
                <w:b/>
                <w:color w:val="auto"/>
                <w:sz w:val="22"/>
                <w:szCs w:val="22"/>
                <w:highlight w:val="none"/>
                <w:lang w:val="en-US" w:eastAsia="zh-CN"/>
              </w:rPr>
            </w:pPr>
            <w:r>
              <w:rPr>
                <w:rFonts w:hint="eastAsia" w:ascii="Calibri" w:hAnsi="Calibri"/>
                <w:b/>
                <w:color w:val="auto"/>
                <w:sz w:val="22"/>
                <w:szCs w:val="22"/>
                <w:highlight w:val="none"/>
                <w:lang w:val="en-US" w:eastAsia="zh-CN"/>
              </w:rPr>
              <w:t>备注</w:t>
            </w:r>
          </w:p>
        </w:tc>
      </w:tr>
      <w:tr w14:paraId="3710D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383" w:type="pct"/>
            <w:vAlign w:val="center"/>
          </w:tcPr>
          <w:p w14:paraId="55606755">
            <w:pPr>
              <w:wordWrap w:val="0"/>
              <w:rPr>
                <w:rFonts w:ascii="Calibri" w:hAnsi="Calibri"/>
                <w:color w:val="auto"/>
                <w:sz w:val="22"/>
                <w:szCs w:val="22"/>
                <w:highlight w:val="none"/>
              </w:rPr>
            </w:pPr>
          </w:p>
          <w:p w14:paraId="38EAAC90">
            <w:pPr>
              <w:wordWrap w:val="0"/>
              <w:rPr>
                <w:rFonts w:ascii="Calibri" w:hAnsi="Calibri"/>
                <w:color w:val="auto"/>
                <w:sz w:val="22"/>
                <w:szCs w:val="22"/>
                <w:highlight w:val="none"/>
              </w:rPr>
            </w:pPr>
          </w:p>
        </w:tc>
        <w:tc>
          <w:tcPr>
            <w:tcW w:w="517" w:type="pct"/>
            <w:vAlign w:val="center"/>
          </w:tcPr>
          <w:p w14:paraId="1AEA1018">
            <w:pPr>
              <w:wordWrap w:val="0"/>
              <w:rPr>
                <w:rFonts w:ascii="Calibri" w:hAnsi="Calibri"/>
                <w:color w:val="auto"/>
                <w:sz w:val="22"/>
                <w:szCs w:val="22"/>
                <w:highlight w:val="none"/>
              </w:rPr>
            </w:pPr>
          </w:p>
        </w:tc>
        <w:tc>
          <w:tcPr>
            <w:tcW w:w="802" w:type="pct"/>
            <w:vAlign w:val="center"/>
          </w:tcPr>
          <w:p w14:paraId="2D8372EC">
            <w:pPr>
              <w:wordWrap w:val="0"/>
              <w:rPr>
                <w:rFonts w:ascii="Calibri" w:hAnsi="Calibri"/>
                <w:color w:val="auto"/>
                <w:sz w:val="22"/>
                <w:szCs w:val="22"/>
                <w:highlight w:val="none"/>
              </w:rPr>
            </w:pPr>
          </w:p>
        </w:tc>
        <w:tc>
          <w:tcPr>
            <w:tcW w:w="1326" w:type="pct"/>
            <w:tcBorders>
              <w:right w:val="single" w:color="auto" w:sz="4" w:space="0"/>
            </w:tcBorders>
            <w:vAlign w:val="center"/>
          </w:tcPr>
          <w:p w14:paraId="7C48131C">
            <w:pPr>
              <w:wordWrap w:val="0"/>
              <w:jc w:val="center"/>
              <w:rPr>
                <w:rFonts w:hint="default" w:ascii="Calibri" w:hAnsi="Calibri" w:eastAsia="宋体"/>
                <w:color w:val="auto"/>
                <w:sz w:val="22"/>
                <w:szCs w:val="22"/>
                <w:highlight w:val="none"/>
                <w:lang w:val="en-US" w:eastAsia="zh-CN"/>
              </w:rPr>
            </w:pPr>
            <w:r>
              <w:rPr>
                <w:rFonts w:hint="eastAsia" w:ascii="Calibri" w:hAnsi="Calibri"/>
                <w:color w:val="auto"/>
                <w:sz w:val="22"/>
                <w:szCs w:val="22"/>
                <w:highlight w:val="none"/>
                <w:lang w:val="en-US" w:eastAsia="zh-CN"/>
              </w:rPr>
              <w:t>详细资料可另附表</w:t>
            </w:r>
          </w:p>
        </w:tc>
        <w:tc>
          <w:tcPr>
            <w:tcW w:w="799" w:type="pct"/>
            <w:tcBorders>
              <w:left w:val="single" w:color="auto" w:sz="4" w:space="0"/>
            </w:tcBorders>
            <w:vAlign w:val="center"/>
          </w:tcPr>
          <w:p w14:paraId="23538912">
            <w:pPr>
              <w:wordWrap w:val="0"/>
              <w:rPr>
                <w:rFonts w:ascii="Calibri" w:hAnsi="Calibri"/>
                <w:color w:val="auto"/>
                <w:sz w:val="22"/>
                <w:szCs w:val="22"/>
                <w:highlight w:val="none"/>
              </w:rPr>
            </w:pPr>
          </w:p>
        </w:tc>
        <w:tc>
          <w:tcPr>
            <w:tcW w:w="584" w:type="pct"/>
            <w:tcBorders>
              <w:left w:val="single" w:color="auto" w:sz="4" w:space="0"/>
            </w:tcBorders>
            <w:vAlign w:val="center"/>
          </w:tcPr>
          <w:p w14:paraId="6114EF83">
            <w:pPr>
              <w:wordWrap w:val="0"/>
              <w:rPr>
                <w:rFonts w:ascii="Calibri" w:hAnsi="Calibri"/>
                <w:color w:val="auto"/>
                <w:sz w:val="22"/>
                <w:szCs w:val="22"/>
                <w:highlight w:val="none"/>
              </w:rPr>
            </w:pPr>
          </w:p>
        </w:tc>
        <w:tc>
          <w:tcPr>
            <w:tcW w:w="584" w:type="pct"/>
            <w:tcBorders>
              <w:left w:val="single" w:color="auto" w:sz="4" w:space="0"/>
            </w:tcBorders>
            <w:vAlign w:val="center"/>
          </w:tcPr>
          <w:p w14:paraId="3227B111">
            <w:pPr>
              <w:wordWrap w:val="0"/>
              <w:rPr>
                <w:rFonts w:ascii="Calibri" w:hAnsi="Calibri"/>
                <w:color w:val="auto"/>
                <w:sz w:val="22"/>
                <w:szCs w:val="22"/>
                <w:highlight w:val="none"/>
              </w:rPr>
            </w:pPr>
          </w:p>
        </w:tc>
      </w:tr>
      <w:tr w14:paraId="789A8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383" w:type="pct"/>
            <w:vAlign w:val="center"/>
          </w:tcPr>
          <w:p w14:paraId="0FF6868A">
            <w:pPr>
              <w:wordWrap w:val="0"/>
              <w:rPr>
                <w:rFonts w:ascii="Calibri" w:hAnsi="Calibri"/>
                <w:color w:val="auto"/>
                <w:sz w:val="22"/>
                <w:szCs w:val="22"/>
                <w:highlight w:val="none"/>
              </w:rPr>
            </w:pPr>
          </w:p>
          <w:p w14:paraId="504FEB4C">
            <w:pPr>
              <w:wordWrap w:val="0"/>
              <w:rPr>
                <w:rFonts w:ascii="Calibri" w:hAnsi="Calibri"/>
                <w:color w:val="auto"/>
                <w:sz w:val="22"/>
                <w:szCs w:val="22"/>
                <w:highlight w:val="none"/>
              </w:rPr>
            </w:pPr>
          </w:p>
        </w:tc>
        <w:tc>
          <w:tcPr>
            <w:tcW w:w="517" w:type="pct"/>
            <w:vAlign w:val="center"/>
          </w:tcPr>
          <w:p w14:paraId="15CCA142">
            <w:pPr>
              <w:wordWrap w:val="0"/>
              <w:rPr>
                <w:rFonts w:ascii="Calibri" w:hAnsi="Calibri"/>
                <w:color w:val="auto"/>
                <w:sz w:val="22"/>
                <w:szCs w:val="22"/>
                <w:highlight w:val="none"/>
              </w:rPr>
            </w:pPr>
          </w:p>
        </w:tc>
        <w:tc>
          <w:tcPr>
            <w:tcW w:w="802" w:type="pct"/>
            <w:vAlign w:val="center"/>
          </w:tcPr>
          <w:p w14:paraId="6DFD64A8">
            <w:pPr>
              <w:wordWrap w:val="0"/>
              <w:rPr>
                <w:rFonts w:ascii="Calibri" w:hAnsi="Calibri"/>
                <w:color w:val="auto"/>
                <w:sz w:val="22"/>
                <w:szCs w:val="22"/>
                <w:highlight w:val="none"/>
              </w:rPr>
            </w:pPr>
          </w:p>
        </w:tc>
        <w:tc>
          <w:tcPr>
            <w:tcW w:w="1326" w:type="pct"/>
            <w:tcBorders>
              <w:right w:val="single" w:color="auto" w:sz="4" w:space="0"/>
            </w:tcBorders>
            <w:vAlign w:val="center"/>
          </w:tcPr>
          <w:p w14:paraId="73DAA1A9">
            <w:pPr>
              <w:wordWrap w:val="0"/>
              <w:rPr>
                <w:rFonts w:ascii="Calibri" w:hAnsi="Calibri"/>
                <w:color w:val="auto"/>
                <w:sz w:val="22"/>
                <w:szCs w:val="22"/>
                <w:highlight w:val="none"/>
              </w:rPr>
            </w:pPr>
          </w:p>
        </w:tc>
        <w:tc>
          <w:tcPr>
            <w:tcW w:w="799" w:type="pct"/>
            <w:tcBorders>
              <w:left w:val="single" w:color="auto" w:sz="4" w:space="0"/>
            </w:tcBorders>
            <w:vAlign w:val="center"/>
          </w:tcPr>
          <w:p w14:paraId="1ECC2971">
            <w:pPr>
              <w:wordWrap w:val="0"/>
              <w:rPr>
                <w:rFonts w:ascii="Calibri" w:hAnsi="Calibri"/>
                <w:color w:val="auto"/>
                <w:sz w:val="22"/>
                <w:szCs w:val="22"/>
                <w:highlight w:val="none"/>
              </w:rPr>
            </w:pPr>
          </w:p>
        </w:tc>
        <w:tc>
          <w:tcPr>
            <w:tcW w:w="584" w:type="pct"/>
            <w:tcBorders>
              <w:left w:val="single" w:color="auto" w:sz="4" w:space="0"/>
            </w:tcBorders>
            <w:vAlign w:val="center"/>
          </w:tcPr>
          <w:p w14:paraId="4A09FA59">
            <w:pPr>
              <w:wordWrap w:val="0"/>
              <w:rPr>
                <w:rFonts w:ascii="Calibri" w:hAnsi="Calibri"/>
                <w:color w:val="auto"/>
                <w:sz w:val="22"/>
                <w:szCs w:val="22"/>
                <w:highlight w:val="none"/>
              </w:rPr>
            </w:pPr>
          </w:p>
        </w:tc>
        <w:tc>
          <w:tcPr>
            <w:tcW w:w="584" w:type="pct"/>
            <w:tcBorders>
              <w:left w:val="single" w:color="auto" w:sz="4" w:space="0"/>
            </w:tcBorders>
            <w:vAlign w:val="center"/>
          </w:tcPr>
          <w:p w14:paraId="37A8C78B">
            <w:pPr>
              <w:wordWrap w:val="0"/>
              <w:rPr>
                <w:rFonts w:ascii="Calibri" w:hAnsi="Calibri"/>
                <w:color w:val="auto"/>
                <w:sz w:val="22"/>
                <w:szCs w:val="22"/>
                <w:highlight w:val="none"/>
              </w:rPr>
            </w:pPr>
          </w:p>
        </w:tc>
      </w:tr>
      <w:tr w14:paraId="1A420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383" w:type="pct"/>
            <w:vAlign w:val="center"/>
          </w:tcPr>
          <w:p w14:paraId="1BBC2902">
            <w:pPr>
              <w:wordWrap w:val="0"/>
              <w:rPr>
                <w:rFonts w:ascii="Calibri" w:hAnsi="Calibri"/>
                <w:color w:val="auto"/>
                <w:sz w:val="22"/>
                <w:szCs w:val="22"/>
                <w:highlight w:val="none"/>
              </w:rPr>
            </w:pPr>
          </w:p>
          <w:p w14:paraId="637F2EDC">
            <w:pPr>
              <w:wordWrap w:val="0"/>
              <w:rPr>
                <w:rFonts w:ascii="Calibri" w:hAnsi="Calibri"/>
                <w:color w:val="auto"/>
                <w:sz w:val="22"/>
                <w:szCs w:val="22"/>
                <w:highlight w:val="none"/>
              </w:rPr>
            </w:pPr>
          </w:p>
        </w:tc>
        <w:tc>
          <w:tcPr>
            <w:tcW w:w="517" w:type="pct"/>
            <w:vAlign w:val="center"/>
          </w:tcPr>
          <w:p w14:paraId="4613B98E">
            <w:pPr>
              <w:wordWrap w:val="0"/>
              <w:rPr>
                <w:rFonts w:ascii="Calibri" w:hAnsi="Calibri"/>
                <w:color w:val="auto"/>
                <w:sz w:val="22"/>
                <w:szCs w:val="22"/>
                <w:highlight w:val="none"/>
              </w:rPr>
            </w:pPr>
          </w:p>
        </w:tc>
        <w:tc>
          <w:tcPr>
            <w:tcW w:w="802" w:type="pct"/>
            <w:vAlign w:val="center"/>
          </w:tcPr>
          <w:p w14:paraId="413520DF">
            <w:pPr>
              <w:wordWrap w:val="0"/>
              <w:rPr>
                <w:rFonts w:ascii="Calibri" w:hAnsi="Calibri"/>
                <w:color w:val="auto"/>
                <w:sz w:val="22"/>
                <w:szCs w:val="22"/>
                <w:highlight w:val="none"/>
              </w:rPr>
            </w:pPr>
          </w:p>
        </w:tc>
        <w:tc>
          <w:tcPr>
            <w:tcW w:w="1326" w:type="pct"/>
            <w:tcBorders>
              <w:right w:val="single" w:color="auto" w:sz="4" w:space="0"/>
            </w:tcBorders>
            <w:vAlign w:val="center"/>
          </w:tcPr>
          <w:p w14:paraId="27269E22">
            <w:pPr>
              <w:wordWrap w:val="0"/>
              <w:rPr>
                <w:rFonts w:ascii="Calibri" w:hAnsi="Calibri"/>
                <w:color w:val="auto"/>
                <w:sz w:val="22"/>
                <w:szCs w:val="22"/>
                <w:highlight w:val="none"/>
              </w:rPr>
            </w:pPr>
          </w:p>
        </w:tc>
        <w:tc>
          <w:tcPr>
            <w:tcW w:w="799" w:type="pct"/>
            <w:tcBorders>
              <w:left w:val="single" w:color="auto" w:sz="4" w:space="0"/>
            </w:tcBorders>
            <w:vAlign w:val="center"/>
          </w:tcPr>
          <w:p w14:paraId="4A5A70CB">
            <w:pPr>
              <w:wordWrap w:val="0"/>
              <w:rPr>
                <w:rFonts w:ascii="Calibri" w:hAnsi="Calibri"/>
                <w:color w:val="auto"/>
                <w:sz w:val="22"/>
                <w:szCs w:val="22"/>
                <w:highlight w:val="none"/>
              </w:rPr>
            </w:pPr>
          </w:p>
        </w:tc>
        <w:tc>
          <w:tcPr>
            <w:tcW w:w="584" w:type="pct"/>
            <w:tcBorders>
              <w:left w:val="single" w:color="auto" w:sz="4" w:space="0"/>
            </w:tcBorders>
            <w:vAlign w:val="center"/>
          </w:tcPr>
          <w:p w14:paraId="41D40388">
            <w:pPr>
              <w:wordWrap w:val="0"/>
              <w:rPr>
                <w:rFonts w:ascii="Calibri" w:hAnsi="Calibri"/>
                <w:color w:val="auto"/>
                <w:sz w:val="22"/>
                <w:szCs w:val="22"/>
                <w:highlight w:val="none"/>
              </w:rPr>
            </w:pPr>
          </w:p>
        </w:tc>
        <w:tc>
          <w:tcPr>
            <w:tcW w:w="584" w:type="pct"/>
            <w:tcBorders>
              <w:left w:val="single" w:color="auto" w:sz="4" w:space="0"/>
            </w:tcBorders>
            <w:vAlign w:val="center"/>
          </w:tcPr>
          <w:p w14:paraId="5D8CC938">
            <w:pPr>
              <w:wordWrap w:val="0"/>
              <w:rPr>
                <w:rFonts w:ascii="Calibri" w:hAnsi="Calibri"/>
                <w:color w:val="auto"/>
                <w:sz w:val="22"/>
                <w:szCs w:val="22"/>
                <w:highlight w:val="none"/>
              </w:rPr>
            </w:pPr>
          </w:p>
        </w:tc>
      </w:tr>
      <w:tr w14:paraId="2AC1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383" w:type="pct"/>
            <w:vAlign w:val="center"/>
          </w:tcPr>
          <w:p w14:paraId="5C63F5D5">
            <w:pPr>
              <w:wordWrap w:val="0"/>
              <w:rPr>
                <w:rFonts w:ascii="Calibri" w:hAnsi="Calibri"/>
                <w:color w:val="auto"/>
                <w:sz w:val="22"/>
                <w:szCs w:val="22"/>
                <w:highlight w:val="none"/>
              </w:rPr>
            </w:pPr>
          </w:p>
          <w:p w14:paraId="2C4DFE17">
            <w:pPr>
              <w:wordWrap w:val="0"/>
              <w:rPr>
                <w:rFonts w:ascii="Calibri" w:hAnsi="Calibri"/>
                <w:color w:val="auto"/>
                <w:sz w:val="22"/>
                <w:szCs w:val="22"/>
                <w:highlight w:val="none"/>
              </w:rPr>
            </w:pPr>
          </w:p>
        </w:tc>
        <w:tc>
          <w:tcPr>
            <w:tcW w:w="517" w:type="pct"/>
            <w:vAlign w:val="center"/>
          </w:tcPr>
          <w:p w14:paraId="15AA2AF1">
            <w:pPr>
              <w:wordWrap w:val="0"/>
              <w:rPr>
                <w:rFonts w:ascii="Calibri" w:hAnsi="Calibri"/>
                <w:color w:val="auto"/>
                <w:sz w:val="22"/>
                <w:szCs w:val="22"/>
                <w:highlight w:val="none"/>
              </w:rPr>
            </w:pPr>
          </w:p>
        </w:tc>
        <w:tc>
          <w:tcPr>
            <w:tcW w:w="802" w:type="pct"/>
            <w:vAlign w:val="center"/>
          </w:tcPr>
          <w:p w14:paraId="3CFDEDC3">
            <w:pPr>
              <w:wordWrap w:val="0"/>
              <w:rPr>
                <w:rFonts w:ascii="Calibri" w:hAnsi="Calibri"/>
                <w:color w:val="auto"/>
                <w:sz w:val="22"/>
                <w:szCs w:val="22"/>
                <w:highlight w:val="none"/>
              </w:rPr>
            </w:pPr>
          </w:p>
        </w:tc>
        <w:tc>
          <w:tcPr>
            <w:tcW w:w="1326" w:type="pct"/>
            <w:tcBorders>
              <w:right w:val="single" w:color="auto" w:sz="4" w:space="0"/>
            </w:tcBorders>
            <w:vAlign w:val="center"/>
          </w:tcPr>
          <w:p w14:paraId="04DA53F7">
            <w:pPr>
              <w:wordWrap w:val="0"/>
              <w:rPr>
                <w:rFonts w:ascii="Calibri" w:hAnsi="Calibri"/>
                <w:color w:val="auto"/>
                <w:sz w:val="22"/>
                <w:szCs w:val="22"/>
                <w:highlight w:val="none"/>
              </w:rPr>
            </w:pPr>
          </w:p>
        </w:tc>
        <w:tc>
          <w:tcPr>
            <w:tcW w:w="799" w:type="pct"/>
            <w:tcBorders>
              <w:left w:val="single" w:color="auto" w:sz="4" w:space="0"/>
            </w:tcBorders>
            <w:vAlign w:val="center"/>
          </w:tcPr>
          <w:p w14:paraId="6A1435DB">
            <w:pPr>
              <w:wordWrap w:val="0"/>
              <w:rPr>
                <w:rFonts w:ascii="Calibri" w:hAnsi="Calibri"/>
                <w:color w:val="auto"/>
                <w:sz w:val="22"/>
                <w:szCs w:val="22"/>
                <w:highlight w:val="none"/>
              </w:rPr>
            </w:pPr>
          </w:p>
        </w:tc>
        <w:tc>
          <w:tcPr>
            <w:tcW w:w="584" w:type="pct"/>
            <w:tcBorders>
              <w:left w:val="single" w:color="auto" w:sz="4" w:space="0"/>
            </w:tcBorders>
            <w:vAlign w:val="center"/>
          </w:tcPr>
          <w:p w14:paraId="1A244B7A">
            <w:pPr>
              <w:wordWrap w:val="0"/>
              <w:rPr>
                <w:rFonts w:ascii="Calibri" w:hAnsi="Calibri"/>
                <w:color w:val="auto"/>
                <w:sz w:val="22"/>
                <w:szCs w:val="22"/>
                <w:highlight w:val="none"/>
              </w:rPr>
            </w:pPr>
          </w:p>
        </w:tc>
        <w:tc>
          <w:tcPr>
            <w:tcW w:w="584" w:type="pct"/>
            <w:tcBorders>
              <w:left w:val="single" w:color="auto" w:sz="4" w:space="0"/>
            </w:tcBorders>
            <w:vAlign w:val="center"/>
          </w:tcPr>
          <w:p w14:paraId="6C114DA2">
            <w:pPr>
              <w:wordWrap w:val="0"/>
              <w:rPr>
                <w:rFonts w:ascii="Calibri" w:hAnsi="Calibri"/>
                <w:color w:val="auto"/>
                <w:sz w:val="22"/>
                <w:szCs w:val="22"/>
                <w:highlight w:val="none"/>
              </w:rPr>
            </w:pPr>
          </w:p>
        </w:tc>
      </w:tr>
      <w:tr w14:paraId="0D3AC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383" w:type="pct"/>
            <w:vAlign w:val="center"/>
          </w:tcPr>
          <w:p w14:paraId="3FD4A006">
            <w:pPr>
              <w:wordWrap w:val="0"/>
              <w:rPr>
                <w:rFonts w:ascii="Calibri" w:hAnsi="Calibri"/>
                <w:color w:val="auto"/>
                <w:sz w:val="22"/>
                <w:szCs w:val="22"/>
                <w:highlight w:val="none"/>
              </w:rPr>
            </w:pPr>
          </w:p>
          <w:p w14:paraId="6D38A5EB">
            <w:pPr>
              <w:wordWrap w:val="0"/>
              <w:rPr>
                <w:rFonts w:ascii="Calibri" w:hAnsi="Calibri"/>
                <w:color w:val="auto"/>
                <w:sz w:val="22"/>
                <w:szCs w:val="22"/>
                <w:highlight w:val="none"/>
              </w:rPr>
            </w:pPr>
          </w:p>
        </w:tc>
        <w:tc>
          <w:tcPr>
            <w:tcW w:w="517" w:type="pct"/>
            <w:vAlign w:val="center"/>
          </w:tcPr>
          <w:p w14:paraId="142203B7">
            <w:pPr>
              <w:wordWrap w:val="0"/>
              <w:rPr>
                <w:rFonts w:ascii="Calibri" w:hAnsi="Calibri"/>
                <w:color w:val="auto"/>
                <w:sz w:val="22"/>
                <w:szCs w:val="22"/>
                <w:highlight w:val="none"/>
              </w:rPr>
            </w:pPr>
          </w:p>
        </w:tc>
        <w:tc>
          <w:tcPr>
            <w:tcW w:w="802" w:type="pct"/>
            <w:vAlign w:val="center"/>
          </w:tcPr>
          <w:p w14:paraId="7ACEA2DC">
            <w:pPr>
              <w:wordWrap w:val="0"/>
              <w:rPr>
                <w:rFonts w:ascii="Calibri" w:hAnsi="Calibri"/>
                <w:color w:val="auto"/>
                <w:sz w:val="22"/>
                <w:szCs w:val="22"/>
                <w:highlight w:val="none"/>
              </w:rPr>
            </w:pPr>
          </w:p>
        </w:tc>
        <w:tc>
          <w:tcPr>
            <w:tcW w:w="1326" w:type="pct"/>
            <w:tcBorders>
              <w:right w:val="single" w:color="auto" w:sz="4" w:space="0"/>
            </w:tcBorders>
            <w:vAlign w:val="center"/>
          </w:tcPr>
          <w:p w14:paraId="2A1EB0B9">
            <w:pPr>
              <w:wordWrap w:val="0"/>
              <w:rPr>
                <w:rFonts w:ascii="Calibri" w:hAnsi="Calibri"/>
                <w:color w:val="auto"/>
                <w:sz w:val="22"/>
                <w:szCs w:val="22"/>
                <w:highlight w:val="none"/>
              </w:rPr>
            </w:pPr>
          </w:p>
        </w:tc>
        <w:tc>
          <w:tcPr>
            <w:tcW w:w="799" w:type="pct"/>
            <w:tcBorders>
              <w:left w:val="single" w:color="auto" w:sz="4" w:space="0"/>
            </w:tcBorders>
            <w:vAlign w:val="center"/>
          </w:tcPr>
          <w:p w14:paraId="7FEA321C">
            <w:pPr>
              <w:wordWrap w:val="0"/>
              <w:rPr>
                <w:rFonts w:ascii="Calibri" w:hAnsi="Calibri"/>
                <w:color w:val="auto"/>
                <w:sz w:val="22"/>
                <w:szCs w:val="22"/>
                <w:highlight w:val="none"/>
              </w:rPr>
            </w:pPr>
          </w:p>
        </w:tc>
        <w:tc>
          <w:tcPr>
            <w:tcW w:w="584" w:type="pct"/>
            <w:tcBorders>
              <w:left w:val="single" w:color="auto" w:sz="4" w:space="0"/>
            </w:tcBorders>
            <w:vAlign w:val="center"/>
          </w:tcPr>
          <w:p w14:paraId="694CE456">
            <w:pPr>
              <w:wordWrap w:val="0"/>
              <w:rPr>
                <w:rFonts w:ascii="Calibri" w:hAnsi="Calibri"/>
                <w:color w:val="auto"/>
                <w:sz w:val="22"/>
                <w:szCs w:val="22"/>
                <w:highlight w:val="none"/>
              </w:rPr>
            </w:pPr>
          </w:p>
        </w:tc>
        <w:tc>
          <w:tcPr>
            <w:tcW w:w="584" w:type="pct"/>
            <w:tcBorders>
              <w:left w:val="single" w:color="auto" w:sz="4" w:space="0"/>
            </w:tcBorders>
            <w:vAlign w:val="center"/>
          </w:tcPr>
          <w:p w14:paraId="762AD9D3">
            <w:pPr>
              <w:wordWrap w:val="0"/>
              <w:rPr>
                <w:rFonts w:ascii="Calibri" w:hAnsi="Calibri"/>
                <w:color w:val="auto"/>
                <w:sz w:val="22"/>
                <w:szCs w:val="22"/>
                <w:highlight w:val="none"/>
              </w:rPr>
            </w:pPr>
          </w:p>
        </w:tc>
      </w:tr>
      <w:tr w14:paraId="62E5F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383" w:type="pct"/>
            <w:vAlign w:val="center"/>
          </w:tcPr>
          <w:p w14:paraId="269DF829">
            <w:pPr>
              <w:wordWrap w:val="0"/>
              <w:rPr>
                <w:rFonts w:ascii="Calibri" w:hAnsi="Calibri"/>
                <w:color w:val="auto"/>
                <w:sz w:val="22"/>
                <w:szCs w:val="22"/>
                <w:highlight w:val="none"/>
              </w:rPr>
            </w:pPr>
          </w:p>
          <w:p w14:paraId="35896922">
            <w:pPr>
              <w:wordWrap w:val="0"/>
              <w:rPr>
                <w:rFonts w:ascii="Calibri" w:hAnsi="Calibri"/>
                <w:color w:val="auto"/>
                <w:sz w:val="22"/>
                <w:szCs w:val="22"/>
                <w:highlight w:val="none"/>
              </w:rPr>
            </w:pPr>
            <w:r>
              <w:rPr>
                <w:rFonts w:ascii="Calibri" w:hAnsi="Calibri"/>
                <w:color w:val="auto"/>
                <w:sz w:val="22"/>
                <w:szCs w:val="22"/>
                <w:highlight w:val="none"/>
              </w:rPr>
              <w:t>……</w:t>
            </w:r>
          </w:p>
        </w:tc>
        <w:tc>
          <w:tcPr>
            <w:tcW w:w="517" w:type="pct"/>
            <w:vAlign w:val="center"/>
          </w:tcPr>
          <w:p w14:paraId="745A073A">
            <w:pPr>
              <w:wordWrap w:val="0"/>
              <w:rPr>
                <w:rFonts w:ascii="Calibri" w:hAnsi="Calibri"/>
                <w:color w:val="auto"/>
                <w:sz w:val="22"/>
                <w:szCs w:val="22"/>
                <w:highlight w:val="none"/>
              </w:rPr>
            </w:pPr>
          </w:p>
        </w:tc>
        <w:tc>
          <w:tcPr>
            <w:tcW w:w="802" w:type="pct"/>
            <w:vAlign w:val="center"/>
          </w:tcPr>
          <w:p w14:paraId="1D911172">
            <w:pPr>
              <w:wordWrap w:val="0"/>
              <w:rPr>
                <w:rFonts w:ascii="Calibri" w:hAnsi="Calibri"/>
                <w:color w:val="auto"/>
                <w:sz w:val="22"/>
                <w:szCs w:val="22"/>
                <w:highlight w:val="none"/>
              </w:rPr>
            </w:pPr>
          </w:p>
        </w:tc>
        <w:tc>
          <w:tcPr>
            <w:tcW w:w="1326" w:type="pct"/>
            <w:tcBorders>
              <w:right w:val="single" w:color="auto" w:sz="4" w:space="0"/>
            </w:tcBorders>
            <w:vAlign w:val="center"/>
          </w:tcPr>
          <w:p w14:paraId="03E07E1B">
            <w:pPr>
              <w:wordWrap w:val="0"/>
              <w:rPr>
                <w:rFonts w:ascii="Calibri" w:hAnsi="Calibri"/>
                <w:color w:val="auto"/>
                <w:sz w:val="22"/>
                <w:szCs w:val="22"/>
                <w:highlight w:val="none"/>
              </w:rPr>
            </w:pPr>
          </w:p>
        </w:tc>
        <w:tc>
          <w:tcPr>
            <w:tcW w:w="799" w:type="pct"/>
            <w:tcBorders>
              <w:left w:val="single" w:color="auto" w:sz="4" w:space="0"/>
            </w:tcBorders>
            <w:vAlign w:val="center"/>
          </w:tcPr>
          <w:p w14:paraId="30B51B93">
            <w:pPr>
              <w:wordWrap w:val="0"/>
              <w:rPr>
                <w:rFonts w:ascii="Calibri" w:hAnsi="Calibri"/>
                <w:color w:val="auto"/>
                <w:sz w:val="22"/>
                <w:szCs w:val="22"/>
                <w:highlight w:val="none"/>
              </w:rPr>
            </w:pPr>
          </w:p>
        </w:tc>
        <w:tc>
          <w:tcPr>
            <w:tcW w:w="584" w:type="pct"/>
            <w:tcBorders>
              <w:left w:val="single" w:color="auto" w:sz="4" w:space="0"/>
            </w:tcBorders>
            <w:vAlign w:val="center"/>
          </w:tcPr>
          <w:p w14:paraId="483D4B62">
            <w:pPr>
              <w:wordWrap w:val="0"/>
              <w:rPr>
                <w:rFonts w:ascii="Calibri" w:hAnsi="Calibri"/>
                <w:color w:val="auto"/>
                <w:sz w:val="22"/>
                <w:szCs w:val="22"/>
                <w:highlight w:val="none"/>
              </w:rPr>
            </w:pPr>
          </w:p>
        </w:tc>
        <w:tc>
          <w:tcPr>
            <w:tcW w:w="584" w:type="pct"/>
            <w:tcBorders>
              <w:left w:val="single" w:color="auto" w:sz="4" w:space="0"/>
            </w:tcBorders>
            <w:vAlign w:val="center"/>
          </w:tcPr>
          <w:p w14:paraId="181AD1F5">
            <w:pPr>
              <w:wordWrap w:val="0"/>
              <w:rPr>
                <w:rFonts w:ascii="Calibri" w:hAnsi="Calibri"/>
                <w:color w:val="auto"/>
                <w:sz w:val="22"/>
                <w:szCs w:val="22"/>
                <w:highlight w:val="none"/>
              </w:rPr>
            </w:pPr>
          </w:p>
        </w:tc>
      </w:tr>
    </w:tbl>
    <w:p w14:paraId="5B493C41">
      <w:pPr>
        <w:pStyle w:val="3"/>
        <w:wordWrap w:val="0"/>
        <w:spacing w:after="0" w:line="360" w:lineRule="auto"/>
        <w:ind w:right="105" w:firstLine="422" w:firstLineChars="200"/>
        <w:jc w:val="left"/>
        <w:rPr>
          <w:rFonts w:hint="eastAsia" w:ascii="宋体" w:hAnsi="宋体"/>
          <w:b/>
          <w:color w:val="auto"/>
          <w:szCs w:val="21"/>
          <w:highlight w:val="none"/>
        </w:rPr>
      </w:pPr>
    </w:p>
    <w:p w14:paraId="0C4301B0">
      <w:pPr>
        <w:pStyle w:val="3"/>
        <w:wordWrap w:val="0"/>
        <w:spacing w:after="0" w:line="360" w:lineRule="auto"/>
        <w:ind w:right="105" w:firstLine="422" w:firstLineChars="200"/>
        <w:jc w:val="left"/>
        <w:rPr>
          <w:rFonts w:hint="eastAsia" w:ascii="宋体" w:hAns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2F56DB6D">
      <w:pPr>
        <w:pStyle w:val="63"/>
        <w:rPr>
          <w:color w:val="auto"/>
          <w:highlight w:val="none"/>
        </w:rPr>
      </w:pPr>
    </w:p>
    <w:p w14:paraId="3AABF081">
      <w:pPr>
        <w:pStyle w:val="63"/>
        <w:rPr>
          <w:color w:val="auto"/>
          <w:highlight w:val="none"/>
        </w:rPr>
      </w:pPr>
    </w:p>
    <w:p w14:paraId="5082FFA7">
      <w:pPr>
        <w:pStyle w:val="63"/>
        <w:rPr>
          <w:color w:val="auto"/>
          <w:highlight w:val="none"/>
        </w:rPr>
      </w:pPr>
    </w:p>
    <w:p w14:paraId="1718AC59">
      <w:pPr>
        <w:pStyle w:val="63"/>
        <w:rPr>
          <w:color w:val="auto"/>
          <w:highlight w:val="none"/>
        </w:rPr>
      </w:pPr>
    </w:p>
    <w:p w14:paraId="5D196208">
      <w:pPr>
        <w:pStyle w:val="63"/>
        <w:rPr>
          <w:color w:val="auto"/>
          <w:highlight w:val="none"/>
        </w:rPr>
      </w:pPr>
    </w:p>
    <w:p w14:paraId="685B5A17">
      <w:pPr>
        <w:pStyle w:val="63"/>
        <w:rPr>
          <w:color w:val="auto"/>
          <w:highlight w:val="none"/>
        </w:rPr>
      </w:pPr>
    </w:p>
    <w:p w14:paraId="131D8176">
      <w:pPr>
        <w:pStyle w:val="63"/>
        <w:rPr>
          <w:color w:val="auto"/>
          <w:highlight w:val="none"/>
        </w:rPr>
      </w:pPr>
    </w:p>
    <w:p w14:paraId="7D1364FB">
      <w:pPr>
        <w:pStyle w:val="63"/>
        <w:rPr>
          <w:color w:val="auto"/>
          <w:highlight w:val="none"/>
        </w:rPr>
      </w:pPr>
    </w:p>
    <w:p w14:paraId="1F2019BD">
      <w:pPr>
        <w:wordWrap w:val="0"/>
        <w:spacing w:line="360" w:lineRule="auto"/>
        <w:rPr>
          <w:rFonts w:hint="eastAsia"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79D6745A">
      <w:pPr>
        <w:wordWrap w:val="0"/>
        <w:spacing w:line="360" w:lineRule="auto"/>
        <w:rPr>
          <w:rFonts w:hint="eastAsia"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42137DBC">
      <w:pPr>
        <w:tabs>
          <w:tab w:val="center" w:pos="4365"/>
        </w:tabs>
        <w:wordWrap w:val="0"/>
        <w:spacing w:line="360" w:lineRule="auto"/>
        <w:rPr>
          <w:rFonts w:hint="eastAsia" w:ascii="宋体" w:hAnsi="宋体"/>
          <w:bCs/>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01A485B2">
      <w:pPr>
        <w:pStyle w:val="63"/>
        <w:rPr>
          <w:color w:val="auto"/>
          <w:highlight w:val="none"/>
        </w:rPr>
      </w:pPr>
      <w:r>
        <w:rPr>
          <w:color w:val="auto"/>
          <w:highlight w:val="none"/>
        </w:rPr>
        <w:br w:type="page"/>
      </w:r>
    </w:p>
    <w:p w14:paraId="674CED4D">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二</w:t>
      </w:r>
      <w:r>
        <w:rPr>
          <w:rFonts w:hint="eastAsia" w:ascii="Calibri" w:hAnsi="宋体" w:cs="宋体"/>
          <w:b/>
          <w:snapToGrid w:val="0"/>
          <w:color w:val="auto"/>
          <w:kern w:val="0"/>
          <w:sz w:val="28"/>
          <w:szCs w:val="28"/>
          <w:highlight w:val="none"/>
        </w:rPr>
        <w:t>、</w:t>
      </w:r>
      <w:r>
        <w:rPr>
          <w:rFonts w:hint="eastAsia" w:ascii="Calibri" w:hAnsi="宋体" w:cs="宋体"/>
          <w:b/>
          <w:snapToGrid w:val="0"/>
          <w:color w:val="auto"/>
          <w:kern w:val="0"/>
          <w:sz w:val="28"/>
          <w:szCs w:val="28"/>
          <w:highlight w:val="none"/>
          <w:lang w:val="en-US" w:eastAsia="zh-CN"/>
        </w:rPr>
        <w:t>类似</w:t>
      </w:r>
      <w:r>
        <w:rPr>
          <w:rFonts w:hint="eastAsia" w:ascii="Calibri" w:hAnsi="宋体" w:cs="宋体"/>
          <w:b/>
          <w:snapToGrid w:val="0"/>
          <w:color w:val="auto"/>
          <w:kern w:val="0"/>
          <w:sz w:val="28"/>
          <w:szCs w:val="28"/>
          <w:highlight w:val="none"/>
        </w:rPr>
        <w:t>业绩</w:t>
      </w:r>
    </w:p>
    <w:p w14:paraId="4A65A77C">
      <w:pPr>
        <w:wordWrap w:val="0"/>
        <w:adjustRightInd w:val="0"/>
        <w:snapToGrid w:val="0"/>
        <w:spacing w:line="360" w:lineRule="auto"/>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tbl>
      <w:tblPr>
        <w:tblStyle w:val="64"/>
        <w:tblW w:w="887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01"/>
        <w:gridCol w:w="1320"/>
        <w:gridCol w:w="1622"/>
        <w:gridCol w:w="1378"/>
        <w:gridCol w:w="986"/>
        <w:gridCol w:w="1425"/>
        <w:gridCol w:w="840"/>
      </w:tblGrid>
      <w:tr w14:paraId="63A4C9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301" w:type="dxa"/>
            <w:tcBorders>
              <w:tl2br w:val="nil"/>
              <w:tr2bl w:val="nil"/>
            </w:tcBorders>
            <w:vAlign w:val="center"/>
          </w:tcPr>
          <w:p w14:paraId="1F48E61B">
            <w:pPr>
              <w:wordWrap w:val="0"/>
              <w:jc w:val="center"/>
              <w:rPr>
                <w:rFonts w:hint="eastAsia" w:hAnsi="宋体" w:cs="宋体"/>
                <w:color w:val="auto"/>
                <w:szCs w:val="21"/>
                <w:highlight w:val="none"/>
              </w:rPr>
            </w:pPr>
            <w:r>
              <w:rPr>
                <w:rFonts w:hint="eastAsia" w:hAnsi="宋体" w:cs="宋体"/>
                <w:color w:val="auto"/>
                <w:szCs w:val="21"/>
                <w:highlight w:val="none"/>
              </w:rPr>
              <w:t>项目名称</w:t>
            </w:r>
          </w:p>
        </w:tc>
        <w:tc>
          <w:tcPr>
            <w:tcW w:w="1320" w:type="dxa"/>
            <w:tcBorders>
              <w:tl2br w:val="nil"/>
              <w:tr2bl w:val="nil"/>
            </w:tcBorders>
            <w:vAlign w:val="center"/>
          </w:tcPr>
          <w:p w14:paraId="03964458">
            <w:pPr>
              <w:wordWrap w:val="0"/>
              <w:jc w:val="center"/>
              <w:rPr>
                <w:rFonts w:hint="eastAsia" w:hAnsi="宋体" w:cs="宋体"/>
                <w:color w:val="auto"/>
                <w:szCs w:val="21"/>
                <w:highlight w:val="none"/>
              </w:rPr>
            </w:pPr>
            <w:r>
              <w:rPr>
                <w:rFonts w:hint="eastAsia" w:hAnsi="宋体" w:cs="宋体"/>
                <w:color w:val="auto"/>
                <w:szCs w:val="21"/>
                <w:highlight w:val="none"/>
              </w:rPr>
              <w:t>招标人名称</w:t>
            </w:r>
          </w:p>
        </w:tc>
        <w:tc>
          <w:tcPr>
            <w:tcW w:w="1622" w:type="dxa"/>
            <w:tcBorders>
              <w:tl2br w:val="nil"/>
              <w:tr2bl w:val="nil"/>
            </w:tcBorders>
            <w:vAlign w:val="center"/>
          </w:tcPr>
          <w:p w14:paraId="2B65FBD3">
            <w:pPr>
              <w:wordWrap w:val="0"/>
              <w:jc w:val="center"/>
              <w:rPr>
                <w:rFonts w:hint="eastAsia" w:hAnsi="宋体" w:cs="宋体"/>
                <w:color w:val="auto"/>
                <w:szCs w:val="21"/>
                <w:highlight w:val="none"/>
              </w:rPr>
            </w:pPr>
            <w:r>
              <w:rPr>
                <w:rFonts w:hAnsi="宋体" w:cs="宋体"/>
                <w:color w:val="auto"/>
                <w:szCs w:val="21"/>
                <w:highlight w:val="none"/>
              </w:rPr>
              <w:t>业绩规模</w:t>
            </w:r>
          </w:p>
        </w:tc>
        <w:tc>
          <w:tcPr>
            <w:tcW w:w="1378" w:type="dxa"/>
            <w:tcBorders>
              <w:tl2br w:val="nil"/>
              <w:tr2bl w:val="nil"/>
            </w:tcBorders>
            <w:vAlign w:val="center"/>
          </w:tcPr>
          <w:p w14:paraId="2C735B41">
            <w:pPr>
              <w:wordWrap w:val="0"/>
              <w:jc w:val="center"/>
              <w:rPr>
                <w:rFonts w:hint="eastAsia" w:hAnsi="宋体" w:cs="宋体"/>
                <w:color w:val="auto"/>
                <w:szCs w:val="21"/>
                <w:highlight w:val="none"/>
              </w:rPr>
            </w:pPr>
            <w:r>
              <w:rPr>
                <w:rFonts w:hint="eastAsia" w:hAnsi="宋体" w:cs="宋体"/>
                <w:color w:val="auto"/>
                <w:szCs w:val="21"/>
                <w:highlight w:val="none"/>
              </w:rPr>
              <w:t>合同金额</w:t>
            </w:r>
          </w:p>
          <w:p w14:paraId="6030772E">
            <w:pPr>
              <w:wordWrap w:val="0"/>
              <w:jc w:val="center"/>
              <w:rPr>
                <w:rFonts w:hint="eastAsia" w:hAnsi="宋体" w:cs="宋体"/>
                <w:color w:val="auto"/>
                <w:szCs w:val="21"/>
                <w:highlight w:val="none"/>
              </w:rPr>
            </w:pPr>
            <w:r>
              <w:rPr>
                <w:rFonts w:hint="eastAsia" w:hAnsi="宋体" w:cs="宋体"/>
                <w:color w:val="auto"/>
                <w:szCs w:val="21"/>
                <w:highlight w:val="none"/>
              </w:rPr>
              <w:t>（万元）</w:t>
            </w:r>
          </w:p>
        </w:tc>
        <w:tc>
          <w:tcPr>
            <w:tcW w:w="986" w:type="dxa"/>
            <w:tcBorders>
              <w:tl2br w:val="nil"/>
              <w:tr2bl w:val="nil"/>
            </w:tcBorders>
            <w:vAlign w:val="center"/>
          </w:tcPr>
          <w:p w14:paraId="1A7D3132">
            <w:pPr>
              <w:wordWrap w:val="0"/>
              <w:jc w:val="center"/>
              <w:rPr>
                <w:rFonts w:hint="eastAsia" w:hAnsi="宋体" w:cs="宋体"/>
                <w:color w:val="auto"/>
                <w:szCs w:val="21"/>
                <w:highlight w:val="none"/>
              </w:rPr>
            </w:pPr>
            <w:r>
              <w:rPr>
                <w:rFonts w:hint="eastAsia" w:hAnsi="宋体" w:cs="宋体"/>
                <w:color w:val="auto"/>
                <w:szCs w:val="21"/>
                <w:highlight w:val="none"/>
              </w:rPr>
              <w:t>合同签订时间</w:t>
            </w:r>
          </w:p>
        </w:tc>
        <w:tc>
          <w:tcPr>
            <w:tcW w:w="1425" w:type="dxa"/>
            <w:tcBorders>
              <w:tl2br w:val="nil"/>
              <w:tr2bl w:val="nil"/>
            </w:tcBorders>
            <w:vAlign w:val="center"/>
          </w:tcPr>
          <w:p w14:paraId="4EB30B3B">
            <w:pPr>
              <w:wordWrap w:val="0"/>
              <w:jc w:val="center"/>
              <w:rPr>
                <w:rFonts w:hint="eastAsia" w:hAnsi="宋体" w:cs="宋体"/>
                <w:color w:val="auto"/>
                <w:szCs w:val="21"/>
                <w:highlight w:val="none"/>
              </w:rPr>
            </w:pPr>
            <w:r>
              <w:rPr>
                <w:rFonts w:hint="eastAsia" w:hAnsi="宋体" w:cs="宋体"/>
                <w:color w:val="auto"/>
                <w:szCs w:val="21"/>
                <w:highlight w:val="none"/>
              </w:rPr>
              <w:t>甲方单位及联系方式</w:t>
            </w:r>
          </w:p>
        </w:tc>
        <w:tc>
          <w:tcPr>
            <w:tcW w:w="840" w:type="dxa"/>
            <w:tcBorders>
              <w:tl2br w:val="nil"/>
              <w:tr2bl w:val="nil"/>
            </w:tcBorders>
            <w:vAlign w:val="center"/>
          </w:tcPr>
          <w:p w14:paraId="4DD11288">
            <w:pPr>
              <w:wordWrap w:val="0"/>
              <w:jc w:val="center"/>
              <w:rPr>
                <w:rFonts w:hint="eastAsia" w:hAnsi="宋体" w:cs="宋体"/>
                <w:color w:val="auto"/>
                <w:szCs w:val="21"/>
                <w:highlight w:val="none"/>
              </w:rPr>
            </w:pPr>
            <w:r>
              <w:rPr>
                <w:rFonts w:hint="eastAsia" w:hAnsi="宋体" w:cs="宋体"/>
                <w:color w:val="auto"/>
                <w:szCs w:val="21"/>
                <w:highlight w:val="none"/>
              </w:rPr>
              <w:t>备注</w:t>
            </w:r>
          </w:p>
        </w:tc>
      </w:tr>
      <w:tr w14:paraId="1181FC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72" w:type="dxa"/>
            <w:gridSpan w:val="7"/>
            <w:tcBorders>
              <w:tl2br w:val="nil"/>
              <w:tr2bl w:val="nil"/>
            </w:tcBorders>
            <w:vAlign w:val="center"/>
          </w:tcPr>
          <w:p w14:paraId="483D5124">
            <w:pPr>
              <w:wordWrap w:val="0"/>
              <w:rPr>
                <w:rFonts w:hint="eastAsia" w:hAnsi="宋体" w:cs="宋体"/>
                <w:bCs/>
                <w:color w:val="auto"/>
                <w:szCs w:val="21"/>
                <w:highlight w:val="none"/>
              </w:rPr>
            </w:pPr>
            <w:r>
              <w:rPr>
                <w:rFonts w:hint="eastAsia" w:hAnsi="宋体" w:cs="宋体"/>
                <w:bCs/>
                <w:color w:val="auto"/>
                <w:szCs w:val="21"/>
                <w:highlight w:val="none"/>
              </w:rPr>
              <w:t>一</w:t>
            </w:r>
            <w:r>
              <w:rPr>
                <w:rFonts w:hAnsi="宋体" w:cs="宋体"/>
                <w:bCs/>
                <w:color w:val="auto"/>
                <w:szCs w:val="21"/>
                <w:highlight w:val="none"/>
              </w:rPr>
              <w:t>、</w:t>
            </w:r>
            <w:r>
              <w:rPr>
                <w:rFonts w:hint="eastAsia" w:hAnsi="宋体" w:cs="宋体"/>
                <w:bCs/>
                <w:color w:val="auto"/>
                <w:szCs w:val="21"/>
                <w:highlight w:val="none"/>
              </w:rPr>
              <w:t>投标人入围业绩</w:t>
            </w:r>
          </w:p>
        </w:tc>
      </w:tr>
      <w:tr w14:paraId="7C3880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301" w:type="dxa"/>
            <w:tcBorders>
              <w:tl2br w:val="nil"/>
              <w:tr2bl w:val="nil"/>
            </w:tcBorders>
            <w:vAlign w:val="center"/>
          </w:tcPr>
          <w:p w14:paraId="0F2B4E6F">
            <w:pPr>
              <w:wordWrap w:val="0"/>
              <w:jc w:val="center"/>
              <w:rPr>
                <w:rFonts w:hint="eastAsia" w:hAnsi="宋体" w:cs="宋体"/>
                <w:color w:val="auto"/>
                <w:szCs w:val="21"/>
                <w:highlight w:val="none"/>
              </w:rPr>
            </w:pPr>
          </w:p>
        </w:tc>
        <w:tc>
          <w:tcPr>
            <w:tcW w:w="1320" w:type="dxa"/>
            <w:tcBorders>
              <w:tl2br w:val="nil"/>
              <w:tr2bl w:val="nil"/>
            </w:tcBorders>
          </w:tcPr>
          <w:p w14:paraId="6B8D5D67">
            <w:pPr>
              <w:wordWrap w:val="0"/>
              <w:jc w:val="center"/>
              <w:rPr>
                <w:rFonts w:hint="eastAsia" w:hAnsi="宋体" w:cs="宋体"/>
                <w:color w:val="auto"/>
                <w:szCs w:val="21"/>
                <w:highlight w:val="none"/>
              </w:rPr>
            </w:pPr>
          </w:p>
        </w:tc>
        <w:tc>
          <w:tcPr>
            <w:tcW w:w="1622" w:type="dxa"/>
            <w:tcBorders>
              <w:tl2br w:val="nil"/>
              <w:tr2bl w:val="nil"/>
            </w:tcBorders>
            <w:vAlign w:val="center"/>
          </w:tcPr>
          <w:p w14:paraId="66DBCD56">
            <w:pPr>
              <w:wordWrap w:val="0"/>
              <w:jc w:val="center"/>
              <w:rPr>
                <w:rFonts w:hint="eastAsia" w:hAnsi="宋体" w:cs="宋体"/>
                <w:color w:val="auto"/>
                <w:szCs w:val="21"/>
                <w:highlight w:val="none"/>
              </w:rPr>
            </w:pPr>
          </w:p>
        </w:tc>
        <w:tc>
          <w:tcPr>
            <w:tcW w:w="1378" w:type="dxa"/>
            <w:tcBorders>
              <w:tl2br w:val="nil"/>
              <w:tr2bl w:val="nil"/>
            </w:tcBorders>
            <w:vAlign w:val="center"/>
          </w:tcPr>
          <w:p w14:paraId="2D7CAD25">
            <w:pPr>
              <w:wordWrap w:val="0"/>
              <w:jc w:val="center"/>
              <w:rPr>
                <w:rFonts w:hint="eastAsia" w:hAnsi="宋体" w:cs="宋体"/>
                <w:color w:val="auto"/>
                <w:szCs w:val="21"/>
                <w:highlight w:val="none"/>
              </w:rPr>
            </w:pPr>
          </w:p>
        </w:tc>
        <w:tc>
          <w:tcPr>
            <w:tcW w:w="986" w:type="dxa"/>
            <w:tcBorders>
              <w:tl2br w:val="nil"/>
              <w:tr2bl w:val="nil"/>
            </w:tcBorders>
          </w:tcPr>
          <w:p w14:paraId="79D4E03B">
            <w:pPr>
              <w:wordWrap w:val="0"/>
              <w:jc w:val="center"/>
              <w:rPr>
                <w:rFonts w:hint="eastAsia" w:hAnsi="宋体" w:cs="宋体"/>
                <w:color w:val="auto"/>
                <w:szCs w:val="21"/>
                <w:highlight w:val="none"/>
              </w:rPr>
            </w:pPr>
          </w:p>
        </w:tc>
        <w:tc>
          <w:tcPr>
            <w:tcW w:w="1425" w:type="dxa"/>
            <w:tcBorders>
              <w:tl2br w:val="nil"/>
              <w:tr2bl w:val="nil"/>
            </w:tcBorders>
            <w:vAlign w:val="center"/>
          </w:tcPr>
          <w:p w14:paraId="66B40810">
            <w:pPr>
              <w:wordWrap w:val="0"/>
              <w:jc w:val="center"/>
              <w:rPr>
                <w:rFonts w:hint="eastAsia" w:hAnsi="宋体" w:cs="宋体"/>
                <w:color w:val="auto"/>
                <w:szCs w:val="21"/>
                <w:highlight w:val="none"/>
              </w:rPr>
            </w:pPr>
          </w:p>
        </w:tc>
        <w:tc>
          <w:tcPr>
            <w:tcW w:w="840" w:type="dxa"/>
            <w:tcBorders>
              <w:tl2br w:val="nil"/>
              <w:tr2bl w:val="nil"/>
            </w:tcBorders>
          </w:tcPr>
          <w:p w14:paraId="42ABA20E">
            <w:pPr>
              <w:wordWrap w:val="0"/>
              <w:jc w:val="center"/>
              <w:rPr>
                <w:rFonts w:hint="eastAsia" w:hAnsi="宋体" w:cs="宋体"/>
                <w:color w:val="auto"/>
                <w:szCs w:val="21"/>
                <w:highlight w:val="none"/>
              </w:rPr>
            </w:pPr>
          </w:p>
        </w:tc>
      </w:tr>
      <w:tr w14:paraId="15DB20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301" w:type="dxa"/>
            <w:tcBorders>
              <w:tl2br w:val="nil"/>
              <w:tr2bl w:val="nil"/>
            </w:tcBorders>
            <w:vAlign w:val="center"/>
          </w:tcPr>
          <w:p w14:paraId="2215CBFE">
            <w:pPr>
              <w:wordWrap w:val="0"/>
              <w:jc w:val="center"/>
              <w:rPr>
                <w:rFonts w:hint="eastAsia" w:hAnsi="宋体" w:cs="宋体"/>
                <w:color w:val="auto"/>
                <w:szCs w:val="21"/>
                <w:highlight w:val="none"/>
              </w:rPr>
            </w:pPr>
          </w:p>
        </w:tc>
        <w:tc>
          <w:tcPr>
            <w:tcW w:w="1320" w:type="dxa"/>
            <w:tcBorders>
              <w:tl2br w:val="nil"/>
              <w:tr2bl w:val="nil"/>
            </w:tcBorders>
          </w:tcPr>
          <w:p w14:paraId="6F1DB197">
            <w:pPr>
              <w:wordWrap w:val="0"/>
              <w:jc w:val="center"/>
              <w:rPr>
                <w:rFonts w:hint="eastAsia" w:hAnsi="宋体" w:cs="宋体"/>
                <w:color w:val="auto"/>
                <w:szCs w:val="21"/>
                <w:highlight w:val="none"/>
              </w:rPr>
            </w:pPr>
          </w:p>
        </w:tc>
        <w:tc>
          <w:tcPr>
            <w:tcW w:w="1622" w:type="dxa"/>
            <w:tcBorders>
              <w:tl2br w:val="nil"/>
              <w:tr2bl w:val="nil"/>
            </w:tcBorders>
            <w:vAlign w:val="center"/>
          </w:tcPr>
          <w:p w14:paraId="35ACA690">
            <w:pPr>
              <w:wordWrap w:val="0"/>
              <w:jc w:val="center"/>
              <w:rPr>
                <w:rFonts w:hint="eastAsia" w:hAnsi="宋体" w:cs="宋体"/>
                <w:color w:val="auto"/>
                <w:szCs w:val="21"/>
                <w:highlight w:val="none"/>
              </w:rPr>
            </w:pPr>
          </w:p>
        </w:tc>
        <w:tc>
          <w:tcPr>
            <w:tcW w:w="1378" w:type="dxa"/>
            <w:tcBorders>
              <w:tl2br w:val="nil"/>
              <w:tr2bl w:val="nil"/>
            </w:tcBorders>
            <w:vAlign w:val="center"/>
          </w:tcPr>
          <w:p w14:paraId="4819CCFC">
            <w:pPr>
              <w:wordWrap w:val="0"/>
              <w:jc w:val="center"/>
              <w:rPr>
                <w:rFonts w:hint="eastAsia" w:hAnsi="宋体" w:cs="宋体"/>
                <w:color w:val="auto"/>
                <w:szCs w:val="21"/>
                <w:highlight w:val="none"/>
              </w:rPr>
            </w:pPr>
          </w:p>
        </w:tc>
        <w:tc>
          <w:tcPr>
            <w:tcW w:w="986" w:type="dxa"/>
            <w:tcBorders>
              <w:tl2br w:val="nil"/>
              <w:tr2bl w:val="nil"/>
            </w:tcBorders>
          </w:tcPr>
          <w:p w14:paraId="5C3B792E">
            <w:pPr>
              <w:wordWrap w:val="0"/>
              <w:jc w:val="center"/>
              <w:rPr>
                <w:rFonts w:hint="eastAsia" w:hAnsi="宋体" w:cs="宋体"/>
                <w:color w:val="auto"/>
                <w:szCs w:val="21"/>
                <w:highlight w:val="none"/>
              </w:rPr>
            </w:pPr>
          </w:p>
        </w:tc>
        <w:tc>
          <w:tcPr>
            <w:tcW w:w="1425" w:type="dxa"/>
            <w:tcBorders>
              <w:tl2br w:val="nil"/>
              <w:tr2bl w:val="nil"/>
            </w:tcBorders>
            <w:vAlign w:val="center"/>
          </w:tcPr>
          <w:p w14:paraId="2DD2D951">
            <w:pPr>
              <w:wordWrap w:val="0"/>
              <w:jc w:val="center"/>
              <w:rPr>
                <w:rFonts w:hint="eastAsia" w:hAnsi="宋体" w:cs="宋体"/>
                <w:color w:val="auto"/>
                <w:szCs w:val="21"/>
                <w:highlight w:val="none"/>
              </w:rPr>
            </w:pPr>
          </w:p>
        </w:tc>
        <w:tc>
          <w:tcPr>
            <w:tcW w:w="840" w:type="dxa"/>
            <w:tcBorders>
              <w:tl2br w:val="nil"/>
              <w:tr2bl w:val="nil"/>
            </w:tcBorders>
          </w:tcPr>
          <w:p w14:paraId="13877716">
            <w:pPr>
              <w:wordWrap w:val="0"/>
              <w:jc w:val="center"/>
              <w:rPr>
                <w:rFonts w:hint="eastAsia" w:hAnsi="宋体" w:cs="宋体"/>
                <w:color w:val="auto"/>
                <w:szCs w:val="21"/>
                <w:highlight w:val="none"/>
              </w:rPr>
            </w:pPr>
          </w:p>
        </w:tc>
      </w:tr>
      <w:tr w14:paraId="1D0DC2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8872" w:type="dxa"/>
            <w:gridSpan w:val="7"/>
            <w:tcBorders>
              <w:tl2br w:val="nil"/>
              <w:tr2bl w:val="nil"/>
            </w:tcBorders>
            <w:vAlign w:val="center"/>
          </w:tcPr>
          <w:p w14:paraId="7963E152">
            <w:pPr>
              <w:wordWrap w:val="0"/>
              <w:jc w:val="left"/>
              <w:rPr>
                <w:rFonts w:hint="eastAsia" w:hAnsi="宋体" w:cs="宋体"/>
                <w:color w:val="auto"/>
                <w:szCs w:val="21"/>
                <w:highlight w:val="none"/>
              </w:rPr>
            </w:pPr>
            <w:r>
              <w:rPr>
                <w:rFonts w:hint="eastAsia" w:hAnsi="宋体" w:cs="宋体"/>
                <w:bCs/>
                <w:color w:val="auto"/>
                <w:szCs w:val="21"/>
                <w:highlight w:val="none"/>
              </w:rPr>
              <w:t>二</w:t>
            </w:r>
            <w:r>
              <w:rPr>
                <w:rFonts w:hAnsi="宋体" w:cs="宋体"/>
                <w:bCs/>
                <w:color w:val="auto"/>
                <w:szCs w:val="21"/>
                <w:highlight w:val="none"/>
              </w:rPr>
              <w:t>、</w:t>
            </w:r>
            <w:r>
              <w:rPr>
                <w:rFonts w:hint="eastAsia" w:hAnsi="宋体" w:cs="宋体"/>
                <w:bCs/>
                <w:color w:val="auto"/>
                <w:szCs w:val="21"/>
                <w:highlight w:val="none"/>
              </w:rPr>
              <w:t>投标人计分业绩</w:t>
            </w:r>
          </w:p>
        </w:tc>
      </w:tr>
      <w:tr w14:paraId="35E72F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301" w:type="dxa"/>
            <w:tcBorders>
              <w:tl2br w:val="nil"/>
              <w:tr2bl w:val="nil"/>
            </w:tcBorders>
            <w:vAlign w:val="center"/>
          </w:tcPr>
          <w:p w14:paraId="74D4F987">
            <w:pPr>
              <w:wordWrap w:val="0"/>
              <w:jc w:val="center"/>
              <w:rPr>
                <w:rFonts w:hint="eastAsia" w:hAnsi="宋体" w:cs="宋体"/>
                <w:color w:val="auto"/>
                <w:szCs w:val="21"/>
                <w:highlight w:val="none"/>
              </w:rPr>
            </w:pPr>
          </w:p>
        </w:tc>
        <w:tc>
          <w:tcPr>
            <w:tcW w:w="1320" w:type="dxa"/>
            <w:tcBorders>
              <w:tl2br w:val="nil"/>
              <w:tr2bl w:val="nil"/>
            </w:tcBorders>
          </w:tcPr>
          <w:p w14:paraId="2A5F585B">
            <w:pPr>
              <w:wordWrap w:val="0"/>
              <w:jc w:val="center"/>
              <w:rPr>
                <w:rFonts w:hint="eastAsia" w:hAnsi="宋体" w:cs="宋体"/>
                <w:color w:val="auto"/>
                <w:szCs w:val="21"/>
                <w:highlight w:val="none"/>
              </w:rPr>
            </w:pPr>
          </w:p>
        </w:tc>
        <w:tc>
          <w:tcPr>
            <w:tcW w:w="1622" w:type="dxa"/>
            <w:tcBorders>
              <w:tl2br w:val="nil"/>
              <w:tr2bl w:val="nil"/>
            </w:tcBorders>
            <w:vAlign w:val="center"/>
          </w:tcPr>
          <w:p w14:paraId="6CC51590">
            <w:pPr>
              <w:wordWrap w:val="0"/>
              <w:jc w:val="center"/>
              <w:rPr>
                <w:rFonts w:hint="eastAsia" w:hAnsi="宋体" w:cs="宋体"/>
                <w:color w:val="auto"/>
                <w:szCs w:val="21"/>
                <w:highlight w:val="none"/>
              </w:rPr>
            </w:pPr>
          </w:p>
        </w:tc>
        <w:tc>
          <w:tcPr>
            <w:tcW w:w="1378" w:type="dxa"/>
            <w:tcBorders>
              <w:tl2br w:val="nil"/>
              <w:tr2bl w:val="nil"/>
            </w:tcBorders>
            <w:vAlign w:val="center"/>
          </w:tcPr>
          <w:p w14:paraId="3FD89ACD">
            <w:pPr>
              <w:wordWrap w:val="0"/>
              <w:jc w:val="center"/>
              <w:rPr>
                <w:rFonts w:hint="eastAsia" w:hAnsi="宋体" w:cs="宋体"/>
                <w:color w:val="auto"/>
                <w:szCs w:val="21"/>
                <w:highlight w:val="none"/>
              </w:rPr>
            </w:pPr>
          </w:p>
        </w:tc>
        <w:tc>
          <w:tcPr>
            <w:tcW w:w="986" w:type="dxa"/>
            <w:tcBorders>
              <w:tl2br w:val="nil"/>
              <w:tr2bl w:val="nil"/>
            </w:tcBorders>
          </w:tcPr>
          <w:p w14:paraId="6B28347D">
            <w:pPr>
              <w:wordWrap w:val="0"/>
              <w:jc w:val="center"/>
              <w:rPr>
                <w:rFonts w:hint="eastAsia" w:hAnsi="宋体" w:cs="宋体"/>
                <w:color w:val="auto"/>
                <w:szCs w:val="21"/>
                <w:highlight w:val="none"/>
              </w:rPr>
            </w:pPr>
          </w:p>
        </w:tc>
        <w:tc>
          <w:tcPr>
            <w:tcW w:w="1425" w:type="dxa"/>
            <w:tcBorders>
              <w:tl2br w:val="nil"/>
              <w:tr2bl w:val="nil"/>
            </w:tcBorders>
            <w:vAlign w:val="center"/>
          </w:tcPr>
          <w:p w14:paraId="6B56FC86">
            <w:pPr>
              <w:wordWrap w:val="0"/>
              <w:jc w:val="center"/>
              <w:rPr>
                <w:rFonts w:hint="eastAsia" w:hAnsi="宋体" w:cs="宋体"/>
                <w:color w:val="auto"/>
                <w:szCs w:val="21"/>
                <w:highlight w:val="none"/>
              </w:rPr>
            </w:pPr>
          </w:p>
        </w:tc>
        <w:tc>
          <w:tcPr>
            <w:tcW w:w="840" w:type="dxa"/>
            <w:tcBorders>
              <w:tl2br w:val="nil"/>
              <w:tr2bl w:val="nil"/>
            </w:tcBorders>
          </w:tcPr>
          <w:p w14:paraId="4156FEBA">
            <w:pPr>
              <w:wordWrap w:val="0"/>
              <w:jc w:val="center"/>
              <w:rPr>
                <w:rFonts w:hint="eastAsia" w:hAnsi="宋体" w:cs="宋体"/>
                <w:color w:val="auto"/>
                <w:szCs w:val="21"/>
                <w:highlight w:val="none"/>
              </w:rPr>
            </w:pPr>
          </w:p>
        </w:tc>
      </w:tr>
      <w:tr w14:paraId="02B93D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301" w:type="dxa"/>
            <w:tcBorders>
              <w:tl2br w:val="nil"/>
              <w:tr2bl w:val="nil"/>
            </w:tcBorders>
            <w:vAlign w:val="center"/>
          </w:tcPr>
          <w:p w14:paraId="7CC0933A">
            <w:pPr>
              <w:wordWrap w:val="0"/>
              <w:jc w:val="center"/>
              <w:rPr>
                <w:rFonts w:hint="eastAsia" w:hAnsi="宋体" w:cs="宋体"/>
                <w:color w:val="auto"/>
                <w:szCs w:val="21"/>
                <w:highlight w:val="none"/>
              </w:rPr>
            </w:pPr>
          </w:p>
        </w:tc>
        <w:tc>
          <w:tcPr>
            <w:tcW w:w="1320" w:type="dxa"/>
            <w:tcBorders>
              <w:tl2br w:val="nil"/>
              <w:tr2bl w:val="nil"/>
            </w:tcBorders>
          </w:tcPr>
          <w:p w14:paraId="35A743E2">
            <w:pPr>
              <w:wordWrap w:val="0"/>
              <w:jc w:val="center"/>
              <w:rPr>
                <w:rFonts w:hint="eastAsia" w:hAnsi="宋体" w:cs="宋体"/>
                <w:color w:val="auto"/>
                <w:szCs w:val="21"/>
                <w:highlight w:val="none"/>
              </w:rPr>
            </w:pPr>
          </w:p>
        </w:tc>
        <w:tc>
          <w:tcPr>
            <w:tcW w:w="1622" w:type="dxa"/>
            <w:tcBorders>
              <w:tl2br w:val="nil"/>
              <w:tr2bl w:val="nil"/>
            </w:tcBorders>
            <w:vAlign w:val="center"/>
          </w:tcPr>
          <w:p w14:paraId="57E739C4">
            <w:pPr>
              <w:wordWrap w:val="0"/>
              <w:jc w:val="center"/>
              <w:rPr>
                <w:rFonts w:hint="eastAsia" w:hAnsi="宋体" w:cs="宋体"/>
                <w:color w:val="auto"/>
                <w:szCs w:val="21"/>
                <w:highlight w:val="none"/>
              </w:rPr>
            </w:pPr>
          </w:p>
        </w:tc>
        <w:tc>
          <w:tcPr>
            <w:tcW w:w="1378" w:type="dxa"/>
            <w:tcBorders>
              <w:tl2br w:val="nil"/>
              <w:tr2bl w:val="nil"/>
            </w:tcBorders>
            <w:vAlign w:val="center"/>
          </w:tcPr>
          <w:p w14:paraId="7C271E2D">
            <w:pPr>
              <w:wordWrap w:val="0"/>
              <w:jc w:val="center"/>
              <w:rPr>
                <w:rFonts w:hint="eastAsia" w:hAnsi="宋体" w:cs="宋体"/>
                <w:color w:val="auto"/>
                <w:szCs w:val="21"/>
                <w:highlight w:val="none"/>
              </w:rPr>
            </w:pPr>
          </w:p>
        </w:tc>
        <w:tc>
          <w:tcPr>
            <w:tcW w:w="986" w:type="dxa"/>
            <w:tcBorders>
              <w:tl2br w:val="nil"/>
              <w:tr2bl w:val="nil"/>
            </w:tcBorders>
          </w:tcPr>
          <w:p w14:paraId="1C039F69">
            <w:pPr>
              <w:wordWrap w:val="0"/>
              <w:jc w:val="center"/>
              <w:rPr>
                <w:rFonts w:hint="eastAsia" w:hAnsi="宋体" w:cs="宋体"/>
                <w:color w:val="auto"/>
                <w:szCs w:val="21"/>
                <w:highlight w:val="none"/>
              </w:rPr>
            </w:pPr>
          </w:p>
        </w:tc>
        <w:tc>
          <w:tcPr>
            <w:tcW w:w="1425" w:type="dxa"/>
            <w:tcBorders>
              <w:tl2br w:val="nil"/>
              <w:tr2bl w:val="nil"/>
            </w:tcBorders>
            <w:vAlign w:val="center"/>
          </w:tcPr>
          <w:p w14:paraId="4DAD0BB8">
            <w:pPr>
              <w:wordWrap w:val="0"/>
              <w:jc w:val="center"/>
              <w:rPr>
                <w:rFonts w:hint="eastAsia" w:hAnsi="宋体" w:cs="宋体"/>
                <w:color w:val="auto"/>
                <w:szCs w:val="21"/>
                <w:highlight w:val="none"/>
              </w:rPr>
            </w:pPr>
          </w:p>
        </w:tc>
        <w:tc>
          <w:tcPr>
            <w:tcW w:w="840" w:type="dxa"/>
            <w:tcBorders>
              <w:tl2br w:val="nil"/>
              <w:tr2bl w:val="nil"/>
            </w:tcBorders>
          </w:tcPr>
          <w:p w14:paraId="12571F77">
            <w:pPr>
              <w:wordWrap w:val="0"/>
              <w:jc w:val="center"/>
              <w:rPr>
                <w:rFonts w:hint="eastAsia" w:hAnsi="宋体" w:cs="宋体"/>
                <w:color w:val="auto"/>
                <w:szCs w:val="21"/>
                <w:highlight w:val="none"/>
              </w:rPr>
            </w:pPr>
          </w:p>
        </w:tc>
      </w:tr>
      <w:tr w14:paraId="1EE525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301" w:type="dxa"/>
            <w:tcBorders>
              <w:tl2br w:val="nil"/>
              <w:tr2bl w:val="nil"/>
            </w:tcBorders>
            <w:vAlign w:val="center"/>
          </w:tcPr>
          <w:p w14:paraId="2FDD3018">
            <w:pPr>
              <w:wordWrap w:val="0"/>
              <w:jc w:val="center"/>
              <w:rPr>
                <w:rFonts w:hint="eastAsia" w:hAnsi="宋体" w:cs="宋体"/>
                <w:color w:val="auto"/>
                <w:szCs w:val="21"/>
                <w:highlight w:val="none"/>
              </w:rPr>
            </w:pPr>
          </w:p>
        </w:tc>
        <w:tc>
          <w:tcPr>
            <w:tcW w:w="1320" w:type="dxa"/>
            <w:tcBorders>
              <w:tl2br w:val="nil"/>
              <w:tr2bl w:val="nil"/>
            </w:tcBorders>
          </w:tcPr>
          <w:p w14:paraId="4083C00C">
            <w:pPr>
              <w:wordWrap w:val="0"/>
              <w:jc w:val="center"/>
              <w:rPr>
                <w:rFonts w:hint="eastAsia" w:hAnsi="宋体" w:cs="宋体"/>
                <w:color w:val="auto"/>
                <w:szCs w:val="21"/>
                <w:highlight w:val="none"/>
              </w:rPr>
            </w:pPr>
          </w:p>
        </w:tc>
        <w:tc>
          <w:tcPr>
            <w:tcW w:w="1622" w:type="dxa"/>
            <w:tcBorders>
              <w:tl2br w:val="nil"/>
              <w:tr2bl w:val="nil"/>
            </w:tcBorders>
            <w:vAlign w:val="center"/>
          </w:tcPr>
          <w:p w14:paraId="0547332D">
            <w:pPr>
              <w:wordWrap w:val="0"/>
              <w:jc w:val="center"/>
              <w:rPr>
                <w:rFonts w:hint="eastAsia" w:hAnsi="宋体" w:cs="宋体"/>
                <w:color w:val="auto"/>
                <w:szCs w:val="21"/>
                <w:highlight w:val="none"/>
              </w:rPr>
            </w:pPr>
          </w:p>
        </w:tc>
        <w:tc>
          <w:tcPr>
            <w:tcW w:w="1378" w:type="dxa"/>
            <w:tcBorders>
              <w:tl2br w:val="nil"/>
              <w:tr2bl w:val="nil"/>
            </w:tcBorders>
            <w:vAlign w:val="center"/>
          </w:tcPr>
          <w:p w14:paraId="5D8FB912">
            <w:pPr>
              <w:wordWrap w:val="0"/>
              <w:jc w:val="center"/>
              <w:rPr>
                <w:rFonts w:hint="eastAsia" w:hAnsi="宋体" w:cs="宋体"/>
                <w:color w:val="auto"/>
                <w:szCs w:val="21"/>
                <w:highlight w:val="none"/>
              </w:rPr>
            </w:pPr>
          </w:p>
        </w:tc>
        <w:tc>
          <w:tcPr>
            <w:tcW w:w="986" w:type="dxa"/>
            <w:tcBorders>
              <w:tl2br w:val="nil"/>
              <w:tr2bl w:val="nil"/>
            </w:tcBorders>
          </w:tcPr>
          <w:p w14:paraId="529DD473">
            <w:pPr>
              <w:wordWrap w:val="0"/>
              <w:jc w:val="center"/>
              <w:rPr>
                <w:rFonts w:hint="eastAsia" w:hAnsi="宋体" w:cs="宋体"/>
                <w:color w:val="auto"/>
                <w:szCs w:val="21"/>
                <w:highlight w:val="none"/>
              </w:rPr>
            </w:pPr>
          </w:p>
        </w:tc>
        <w:tc>
          <w:tcPr>
            <w:tcW w:w="1425" w:type="dxa"/>
            <w:tcBorders>
              <w:tl2br w:val="nil"/>
              <w:tr2bl w:val="nil"/>
            </w:tcBorders>
            <w:vAlign w:val="center"/>
          </w:tcPr>
          <w:p w14:paraId="18B13B5E">
            <w:pPr>
              <w:wordWrap w:val="0"/>
              <w:jc w:val="center"/>
              <w:rPr>
                <w:rFonts w:hint="eastAsia" w:hAnsi="宋体" w:cs="宋体"/>
                <w:color w:val="auto"/>
                <w:szCs w:val="21"/>
                <w:highlight w:val="none"/>
              </w:rPr>
            </w:pPr>
          </w:p>
        </w:tc>
        <w:tc>
          <w:tcPr>
            <w:tcW w:w="840" w:type="dxa"/>
            <w:tcBorders>
              <w:tl2br w:val="nil"/>
              <w:tr2bl w:val="nil"/>
            </w:tcBorders>
          </w:tcPr>
          <w:p w14:paraId="503F4CA8">
            <w:pPr>
              <w:wordWrap w:val="0"/>
              <w:jc w:val="center"/>
              <w:rPr>
                <w:rFonts w:hint="eastAsia" w:hAnsi="宋体" w:cs="宋体"/>
                <w:color w:val="auto"/>
                <w:szCs w:val="21"/>
                <w:highlight w:val="none"/>
              </w:rPr>
            </w:pPr>
          </w:p>
        </w:tc>
      </w:tr>
      <w:tr w14:paraId="6239F5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301" w:type="dxa"/>
            <w:tcBorders>
              <w:tl2br w:val="nil"/>
              <w:tr2bl w:val="nil"/>
            </w:tcBorders>
            <w:vAlign w:val="center"/>
          </w:tcPr>
          <w:p w14:paraId="6D6E4294">
            <w:pPr>
              <w:wordWrap w:val="0"/>
              <w:jc w:val="center"/>
              <w:rPr>
                <w:rFonts w:hint="eastAsia" w:hAnsi="宋体" w:cs="宋体"/>
                <w:color w:val="auto"/>
                <w:szCs w:val="21"/>
                <w:highlight w:val="none"/>
              </w:rPr>
            </w:pPr>
          </w:p>
        </w:tc>
        <w:tc>
          <w:tcPr>
            <w:tcW w:w="1320" w:type="dxa"/>
            <w:tcBorders>
              <w:tl2br w:val="nil"/>
              <w:tr2bl w:val="nil"/>
            </w:tcBorders>
          </w:tcPr>
          <w:p w14:paraId="02EFE656">
            <w:pPr>
              <w:wordWrap w:val="0"/>
              <w:jc w:val="center"/>
              <w:rPr>
                <w:rFonts w:hint="eastAsia" w:hAnsi="宋体" w:cs="宋体"/>
                <w:color w:val="auto"/>
                <w:szCs w:val="21"/>
                <w:highlight w:val="none"/>
              </w:rPr>
            </w:pPr>
          </w:p>
        </w:tc>
        <w:tc>
          <w:tcPr>
            <w:tcW w:w="1622" w:type="dxa"/>
            <w:tcBorders>
              <w:tl2br w:val="nil"/>
              <w:tr2bl w:val="nil"/>
            </w:tcBorders>
            <w:vAlign w:val="center"/>
          </w:tcPr>
          <w:p w14:paraId="1178F713">
            <w:pPr>
              <w:wordWrap w:val="0"/>
              <w:jc w:val="center"/>
              <w:rPr>
                <w:rFonts w:hint="eastAsia" w:hAnsi="宋体" w:cs="宋体"/>
                <w:color w:val="auto"/>
                <w:szCs w:val="21"/>
                <w:highlight w:val="none"/>
              </w:rPr>
            </w:pPr>
          </w:p>
        </w:tc>
        <w:tc>
          <w:tcPr>
            <w:tcW w:w="1378" w:type="dxa"/>
            <w:tcBorders>
              <w:tl2br w:val="nil"/>
              <w:tr2bl w:val="nil"/>
            </w:tcBorders>
            <w:vAlign w:val="center"/>
          </w:tcPr>
          <w:p w14:paraId="1CF763D2">
            <w:pPr>
              <w:wordWrap w:val="0"/>
              <w:jc w:val="center"/>
              <w:rPr>
                <w:rFonts w:hint="eastAsia" w:hAnsi="宋体" w:cs="宋体"/>
                <w:color w:val="auto"/>
                <w:szCs w:val="21"/>
                <w:highlight w:val="none"/>
              </w:rPr>
            </w:pPr>
          </w:p>
        </w:tc>
        <w:tc>
          <w:tcPr>
            <w:tcW w:w="986" w:type="dxa"/>
            <w:tcBorders>
              <w:tl2br w:val="nil"/>
              <w:tr2bl w:val="nil"/>
            </w:tcBorders>
          </w:tcPr>
          <w:p w14:paraId="07CFF72F">
            <w:pPr>
              <w:wordWrap w:val="0"/>
              <w:jc w:val="center"/>
              <w:rPr>
                <w:rFonts w:hint="eastAsia" w:hAnsi="宋体" w:cs="宋体"/>
                <w:color w:val="auto"/>
                <w:szCs w:val="21"/>
                <w:highlight w:val="none"/>
              </w:rPr>
            </w:pPr>
          </w:p>
        </w:tc>
        <w:tc>
          <w:tcPr>
            <w:tcW w:w="1425" w:type="dxa"/>
            <w:tcBorders>
              <w:tl2br w:val="nil"/>
              <w:tr2bl w:val="nil"/>
            </w:tcBorders>
            <w:vAlign w:val="center"/>
          </w:tcPr>
          <w:p w14:paraId="4FF22316">
            <w:pPr>
              <w:wordWrap w:val="0"/>
              <w:jc w:val="center"/>
              <w:rPr>
                <w:rFonts w:hint="eastAsia" w:hAnsi="宋体" w:cs="宋体"/>
                <w:color w:val="auto"/>
                <w:szCs w:val="21"/>
                <w:highlight w:val="none"/>
              </w:rPr>
            </w:pPr>
          </w:p>
        </w:tc>
        <w:tc>
          <w:tcPr>
            <w:tcW w:w="840" w:type="dxa"/>
            <w:tcBorders>
              <w:tl2br w:val="nil"/>
              <w:tr2bl w:val="nil"/>
            </w:tcBorders>
          </w:tcPr>
          <w:p w14:paraId="190DABA3">
            <w:pPr>
              <w:wordWrap w:val="0"/>
              <w:jc w:val="center"/>
              <w:rPr>
                <w:rFonts w:hint="eastAsia" w:hAnsi="宋体" w:cs="宋体"/>
                <w:color w:val="auto"/>
                <w:szCs w:val="21"/>
                <w:highlight w:val="none"/>
              </w:rPr>
            </w:pPr>
          </w:p>
        </w:tc>
      </w:tr>
      <w:tr w14:paraId="09B779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301" w:type="dxa"/>
            <w:tcBorders>
              <w:tl2br w:val="nil"/>
              <w:tr2bl w:val="nil"/>
            </w:tcBorders>
            <w:vAlign w:val="center"/>
          </w:tcPr>
          <w:p w14:paraId="55DB609A">
            <w:pPr>
              <w:wordWrap w:val="0"/>
              <w:jc w:val="center"/>
              <w:rPr>
                <w:rFonts w:hint="eastAsia" w:hAnsi="宋体" w:cs="宋体"/>
                <w:color w:val="auto"/>
                <w:szCs w:val="21"/>
                <w:highlight w:val="none"/>
              </w:rPr>
            </w:pPr>
          </w:p>
        </w:tc>
        <w:tc>
          <w:tcPr>
            <w:tcW w:w="1320" w:type="dxa"/>
            <w:tcBorders>
              <w:tl2br w:val="nil"/>
              <w:tr2bl w:val="nil"/>
            </w:tcBorders>
          </w:tcPr>
          <w:p w14:paraId="1DF2EBFA">
            <w:pPr>
              <w:wordWrap w:val="0"/>
              <w:jc w:val="center"/>
              <w:rPr>
                <w:rFonts w:hint="eastAsia" w:hAnsi="宋体" w:cs="宋体"/>
                <w:color w:val="auto"/>
                <w:szCs w:val="21"/>
                <w:highlight w:val="none"/>
              </w:rPr>
            </w:pPr>
          </w:p>
        </w:tc>
        <w:tc>
          <w:tcPr>
            <w:tcW w:w="1622" w:type="dxa"/>
            <w:tcBorders>
              <w:tl2br w:val="nil"/>
              <w:tr2bl w:val="nil"/>
            </w:tcBorders>
            <w:vAlign w:val="center"/>
          </w:tcPr>
          <w:p w14:paraId="7540959F">
            <w:pPr>
              <w:wordWrap w:val="0"/>
              <w:jc w:val="center"/>
              <w:rPr>
                <w:rFonts w:hint="eastAsia" w:hAnsi="宋体" w:cs="宋体"/>
                <w:color w:val="auto"/>
                <w:szCs w:val="21"/>
                <w:highlight w:val="none"/>
              </w:rPr>
            </w:pPr>
          </w:p>
        </w:tc>
        <w:tc>
          <w:tcPr>
            <w:tcW w:w="1378" w:type="dxa"/>
            <w:tcBorders>
              <w:tl2br w:val="nil"/>
              <w:tr2bl w:val="nil"/>
            </w:tcBorders>
            <w:vAlign w:val="center"/>
          </w:tcPr>
          <w:p w14:paraId="269FA6A2">
            <w:pPr>
              <w:wordWrap w:val="0"/>
              <w:jc w:val="center"/>
              <w:rPr>
                <w:rFonts w:hint="eastAsia" w:hAnsi="宋体" w:cs="宋体"/>
                <w:color w:val="auto"/>
                <w:szCs w:val="21"/>
                <w:highlight w:val="none"/>
              </w:rPr>
            </w:pPr>
          </w:p>
        </w:tc>
        <w:tc>
          <w:tcPr>
            <w:tcW w:w="986" w:type="dxa"/>
            <w:tcBorders>
              <w:tl2br w:val="nil"/>
              <w:tr2bl w:val="nil"/>
            </w:tcBorders>
          </w:tcPr>
          <w:p w14:paraId="099D9FCA">
            <w:pPr>
              <w:wordWrap w:val="0"/>
              <w:jc w:val="center"/>
              <w:rPr>
                <w:rFonts w:hint="eastAsia" w:hAnsi="宋体" w:cs="宋体"/>
                <w:color w:val="auto"/>
                <w:szCs w:val="21"/>
                <w:highlight w:val="none"/>
              </w:rPr>
            </w:pPr>
          </w:p>
        </w:tc>
        <w:tc>
          <w:tcPr>
            <w:tcW w:w="1425" w:type="dxa"/>
            <w:tcBorders>
              <w:tl2br w:val="nil"/>
              <w:tr2bl w:val="nil"/>
            </w:tcBorders>
            <w:vAlign w:val="center"/>
          </w:tcPr>
          <w:p w14:paraId="73BC0B35">
            <w:pPr>
              <w:wordWrap w:val="0"/>
              <w:jc w:val="center"/>
              <w:rPr>
                <w:rFonts w:hint="eastAsia" w:hAnsi="宋体" w:cs="宋体"/>
                <w:color w:val="auto"/>
                <w:szCs w:val="21"/>
                <w:highlight w:val="none"/>
              </w:rPr>
            </w:pPr>
          </w:p>
        </w:tc>
        <w:tc>
          <w:tcPr>
            <w:tcW w:w="840" w:type="dxa"/>
            <w:tcBorders>
              <w:tl2br w:val="nil"/>
              <w:tr2bl w:val="nil"/>
            </w:tcBorders>
          </w:tcPr>
          <w:p w14:paraId="0F6BE2A7">
            <w:pPr>
              <w:wordWrap w:val="0"/>
              <w:jc w:val="center"/>
              <w:rPr>
                <w:rFonts w:hint="eastAsia" w:hAnsi="宋体" w:cs="宋体"/>
                <w:color w:val="auto"/>
                <w:szCs w:val="21"/>
                <w:highlight w:val="none"/>
              </w:rPr>
            </w:pPr>
          </w:p>
        </w:tc>
      </w:tr>
      <w:tr w14:paraId="10A0E9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01" w:type="dxa"/>
            <w:tcBorders>
              <w:tl2br w:val="nil"/>
              <w:tr2bl w:val="nil"/>
            </w:tcBorders>
            <w:vAlign w:val="center"/>
          </w:tcPr>
          <w:p w14:paraId="48AC276E">
            <w:pPr>
              <w:wordWrap w:val="0"/>
              <w:jc w:val="center"/>
              <w:rPr>
                <w:rFonts w:hint="eastAsia" w:hAnsi="宋体" w:cs="宋体"/>
                <w:color w:val="auto"/>
                <w:szCs w:val="21"/>
                <w:highlight w:val="none"/>
              </w:rPr>
            </w:pPr>
          </w:p>
        </w:tc>
        <w:tc>
          <w:tcPr>
            <w:tcW w:w="1320" w:type="dxa"/>
            <w:tcBorders>
              <w:tl2br w:val="nil"/>
              <w:tr2bl w:val="nil"/>
            </w:tcBorders>
          </w:tcPr>
          <w:p w14:paraId="6222B4E0">
            <w:pPr>
              <w:wordWrap w:val="0"/>
              <w:jc w:val="center"/>
              <w:rPr>
                <w:rFonts w:hint="eastAsia" w:hAnsi="宋体" w:cs="宋体"/>
                <w:color w:val="auto"/>
                <w:szCs w:val="21"/>
                <w:highlight w:val="none"/>
              </w:rPr>
            </w:pPr>
          </w:p>
        </w:tc>
        <w:tc>
          <w:tcPr>
            <w:tcW w:w="1622" w:type="dxa"/>
            <w:tcBorders>
              <w:tl2br w:val="nil"/>
              <w:tr2bl w:val="nil"/>
            </w:tcBorders>
            <w:vAlign w:val="center"/>
          </w:tcPr>
          <w:p w14:paraId="48CF798B">
            <w:pPr>
              <w:wordWrap w:val="0"/>
              <w:jc w:val="center"/>
              <w:rPr>
                <w:rFonts w:hint="eastAsia" w:hAnsi="宋体" w:cs="宋体"/>
                <w:color w:val="auto"/>
                <w:szCs w:val="21"/>
                <w:highlight w:val="none"/>
              </w:rPr>
            </w:pPr>
          </w:p>
        </w:tc>
        <w:tc>
          <w:tcPr>
            <w:tcW w:w="1378" w:type="dxa"/>
            <w:tcBorders>
              <w:tl2br w:val="nil"/>
              <w:tr2bl w:val="nil"/>
            </w:tcBorders>
            <w:vAlign w:val="center"/>
          </w:tcPr>
          <w:p w14:paraId="277043FB">
            <w:pPr>
              <w:wordWrap w:val="0"/>
              <w:jc w:val="center"/>
              <w:rPr>
                <w:rFonts w:hint="eastAsia" w:hAnsi="宋体" w:cs="宋体"/>
                <w:color w:val="auto"/>
                <w:szCs w:val="21"/>
                <w:highlight w:val="none"/>
              </w:rPr>
            </w:pPr>
          </w:p>
        </w:tc>
        <w:tc>
          <w:tcPr>
            <w:tcW w:w="986" w:type="dxa"/>
            <w:tcBorders>
              <w:tl2br w:val="nil"/>
              <w:tr2bl w:val="nil"/>
            </w:tcBorders>
          </w:tcPr>
          <w:p w14:paraId="3A535A81">
            <w:pPr>
              <w:wordWrap w:val="0"/>
              <w:jc w:val="center"/>
              <w:rPr>
                <w:rFonts w:hint="eastAsia" w:hAnsi="宋体" w:cs="宋体"/>
                <w:color w:val="auto"/>
                <w:szCs w:val="21"/>
                <w:highlight w:val="none"/>
              </w:rPr>
            </w:pPr>
          </w:p>
        </w:tc>
        <w:tc>
          <w:tcPr>
            <w:tcW w:w="1425" w:type="dxa"/>
            <w:tcBorders>
              <w:tl2br w:val="nil"/>
              <w:tr2bl w:val="nil"/>
            </w:tcBorders>
            <w:vAlign w:val="center"/>
          </w:tcPr>
          <w:p w14:paraId="35D77AFF">
            <w:pPr>
              <w:wordWrap w:val="0"/>
              <w:jc w:val="center"/>
              <w:rPr>
                <w:rFonts w:hint="eastAsia" w:hAnsi="宋体" w:cs="宋体"/>
                <w:color w:val="auto"/>
                <w:szCs w:val="21"/>
                <w:highlight w:val="none"/>
              </w:rPr>
            </w:pPr>
          </w:p>
        </w:tc>
        <w:tc>
          <w:tcPr>
            <w:tcW w:w="840" w:type="dxa"/>
            <w:tcBorders>
              <w:tl2br w:val="nil"/>
              <w:tr2bl w:val="nil"/>
            </w:tcBorders>
          </w:tcPr>
          <w:p w14:paraId="35C3D329">
            <w:pPr>
              <w:wordWrap w:val="0"/>
              <w:jc w:val="center"/>
              <w:rPr>
                <w:rFonts w:hint="eastAsia" w:hAnsi="宋体" w:cs="宋体"/>
                <w:color w:val="auto"/>
                <w:szCs w:val="21"/>
                <w:highlight w:val="none"/>
              </w:rPr>
            </w:pPr>
          </w:p>
        </w:tc>
      </w:tr>
    </w:tbl>
    <w:p w14:paraId="71DB66D6">
      <w:pPr>
        <w:wordWrap w:val="0"/>
        <w:spacing w:line="360" w:lineRule="auto"/>
        <w:rPr>
          <w:rFonts w:hint="eastAsia" w:ascii="宋体" w:hAnsi="宋体" w:cs="宋体"/>
          <w:bCs/>
          <w:color w:val="auto"/>
          <w:szCs w:val="21"/>
          <w:highlight w:val="none"/>
        </w:rPr>
      </w:pPr>
      <w:r>
        <w:rPr>
          <w:rFonts w:hint="eastAsia" w:hAnsi="宋体" w:cs="宋体"/>
          <w:b/>
          <w:color w:val="auto"/>
          <w:szCs w:val="21"/>
          <w:highlight w:val="none"/>
        </w:rPr>
        <w:t>注：</w:t>
      </w:r>
      <w:r>
        <w:rPr>
          <w:rFonts w:hint="eastAsia" w:ascii="宋体" w:hAnsi="宋体" w:cs="宋体"/>
          <w:bCs/>
          <w:color w:val="auto"/>
          <w:szCs w:val="21"/>
          <w:highlight w:val="none"/>
        </w:rPr>
        <w:t>1、投标人应将提交的业绩情况按上表格式进行汇总填写，本表情况应与投标文件中所述情况一致，如投标人未如实、详细、正确填写本表，所造</w:t>
      </w:r>
      <w:r>
        <w:rPr>
          <w:rFonts w:hint="eastAsia" w:ascii="宋体" w:hAnsi="宋体" w:cs="宋体"/>
          <w:bCs/>
          <w:color w:val="auto"/>
          <w:szCs w:val="21"/>
          <w:highlight w:val="none"/>
          <w:lang w:eastAsia="zh-CN"/>
        </w:rPr>
        <w:t>成的</w:t>
      </w:r>
      <w:r>
        <w:rPr>
          <w:rFonts w:hint="eastAsia" w:ascii="宋体" w:hAnsi="宋体" w:cs="宋体"/>
          <w:bCs/>
          <w:color w:val="auto"/>
          <w:szCs w:val="21"/>
          <w:highlight w:val="none"/>
        </w:rPr>
        <w:t>一切后果由投标人自行承担。</w:t>
      </w:r>
    </w:p>
    <w:p w14:paraId="420B60EE">
      <w:pPr>
        <w:wordWrap w:val="0"/>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2、投标人业绩须按招标文件要求提供相关业绩证明材料，本表后须附业绩证明材料，具体要求按招标文件执行。</w:t>
      </w:r>
    </w:p>
    <w:p w14:paraId="4E06F61D">
      <w:pPr>
        <w:wordWrap w:val="0"/>
        <w:spacing w:line="360" w:lineRule="auto"/>
        <w:ind w:firstLine="420" w:firstLineChars="200"/>
        <w:rPr>
          <w:rFonts w:hint="eastAsia" w:ascii="宋体" w:hAnsi="宋体" w:cs="宋体"/>
          <w:bCs/>
          <w:color w:val="auto"/>
          <w:szCs w:val="21"/>
          <w:highlight w:val="none"/>
        </w:rPr>
      </w:pPr>
      <w:r>
        <w:rPr>
          <w:rFonts w:ascii="宋体" w:hAnsi="宋体" w:cs="宋体"/>
          <w:bCs/>
          <w:color w:val="auto"/>
          <w:szCs w:val="21"/>
          <w:highlight w:val="none"/>
        </w:rPr>
        <w:t>3</w:t>
      </w:r>
      <w:r>
        <w:rPr>
          <w:rFonts w:hint="eastAsia" w:ascii="宋体" w:hAnsi="宋体" w:cs="宋体"/>
          <w:bCs/>
          <w:color w:val="auto"/>
          <w:szCs w:val="21"/>
          <w:highlight w:val="none"/>
        </w:rPr>
        <w:t>、投标人必须将各项内容填写在投标文件各自相对应的目录中，未按要求填写的，相应责任由投标人自行承担。</w:t>
      </w:r>
    </w:p>
    <w:p w14:paraId="57D578FC">
      <w:pPr>
        <w:wordWrap w:val="0"/>
        <w:spacing w:after="120" w:line="360" w:lineRule="auto"/>
        <w:rPr>
          <w:color w:val="auto"/>
          <w:highlight w:val="none"/>
        </w:rPr>
      </w:pPr>
    </w:p>
    <w:p w14:paraId="2923A1DA">
      <w:pPr>
        <w:wordWrap w:val="0"/>
        <w:spacing w:line="360" w:lineRule="auto"/>
        <w:rPr>
          <w:rFonts w:hint="eastAsia"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4C7F915B">
      <w:pPr>
        <w:wordWrap w:val="0"/>
        <w:spacing w:line="360" w:lineRule="auto"/>
        <w:rPr>
          <w:rFonts w:hint="eastAsia"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466768DF">
      <w:pPr>
        <w:tabs>
          <w:tab w:val="center" w:pos="4365"/>
        </w:tabs>
        <w:wordWrap w:val="0"/>
        <w:spacing w:line="360" w:lineRule="auto"/>
        <w:rPr>
          <w:rFonts w:hint="eastAsia" w:ascii="宋体" w:hAnsi="宋体"/>
          <w:bCs/>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0125C1CD">
      <w:pPr>
        <w:pStyle w:val="63"/>
        <w:rPr>
          <w:color w:val="auto"/>
          <w:highlight w:val="none"/>
        </w:rPr>
      </w:pPr>
    </w:p>
    <w:p w14:paraId="7001B870">
      <w:pPr>
        <w:pStyle w:val="63"/>
        <w:ind w:firstLine="0"/>
        <w:rPr>
          <w:color w:val="auto"/>
          <w:highlight w:val="none"/>
        </w:rPr>
      </w:pPr>
    </w:p>
    <w:p w14:paraId="0D0D8FE2">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8C0729D">
      <w:pPr>
        <w:wordWrap w:val="0"/>
        <w:spacing w:line="240" w:lineRule="auto"/>
        <w:jc w:val="center"/>
        <w:outlineLvl w:val="9"/>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三</w:t>
      </w:r>
      <w:r>
        <w:rPr>
          <w:rFonts w:hint="eastAsia" w:ascii="Calibri" w:hAnsi="宋体" w:cs="宋体"/>
          <w:b/>
          <w:snapToGrid w:val="0"/>
          <w:color w:val="auto"/>
          <w:kern w:val="0"/>
          <w:sz w:val="28"/>
          <w:szCs w:val="28"/>
          <w:highlight w:val="none"/>
        </w:rPr>
        <w:t>、投标人认为需提供的</w:t>
      </w:r>
      <w:r>
        <w:rPr>
          <w:rFonts w:hint="eastAsia" w:ascii="Calibri" w:hAnsi="宋体" w:cs="宋体"/>
          <w:b/>
          <w:snapToGrid w:val="0"/>
          <w:color w:val="auto"/>
          <w:kern w:val="0"/>
          <w:sz w:val="28"/>
          <w:szCs w:val="28"/>
          <w:highlight w:val="none"/>
          <w:lang w:eastAsia="zh-CN"/>
        </w:rPr>
        <w:t>其他</w:t>
      </w:r>
      <w:r>
        <w:rPr>
          <w:rFonts w:hint="eastAsia" w:ascii="Calibri" w:hAnsi="宋体" w:cs="宋体"/>
          <w:b/>
          <w:snapToGrid w:val="0"/>
          <w:color w:val="auto"/>
          <w:kern w:val="0"/>
          <w:sz w:val="28"/>
          <w:szCs w:val="28"/>
          <w:highlight w:val="none"/>
        </w:rPr>
        <w:t>商务评审资料</w:t>
      </w:r>
    </w:p>
    <w:p w14:paraId="1DB0988A">
      <w:pPr>
        <w:wordWrap w:val="0"/>
        <w:adjustRightInd w:val="0"/>
        <w:snapToGrid w:val="0"/>
        <w:spacing w:line="360" w:lineRule="auto"/>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p w14:paraId="1AD8B2C9">
      <w:pPr>
        <w:pStyle w:val="3"/>
        <w:wordWrap w:val="0"/>
        <w:spacing w:before="37" w:line="360" w:lineRule="auto"/>
        <w:ind w:right="105"/>
        <w:rPr>
          <w:rFonts w:hint="eastAsia" w:ascii="宋体" w:hAnsi="宋体"/>
          <w:b/>
          <w:color w:val="auto"/>
          <w:szCs w:val="21"/>
          <w:highlight w:val="none"/>
        </w:rPr>
      </w:pPr>
    </w:p>
    <w:p w14:paraId="064F9BE5">
      <w:pPr>
        <w:pStyle w:val="3"/>
        <w:wordWrap w:val="0"/>
        <w:spacing w:before="37" w:line="360" w:lineRule="auto"/>
        <w:ind w:right="105"/>
        <w:rPr>
          <w:rFonts w:hint="eastAsia" w:ascii="宋体" w:hAns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371C4F9F">
      <w:pPr>
        <w:pStyle w:val="63"/>
        <w:rPr>
          <w:color w:val="auto"/>
          <w:highlight w:val="none"/>
        </w:rPr>
      </w:pPr>
      <w:r>
        <w:rPr>
          <w:color w:val="auto"/>
          <w:highlight w:val="none"/>
        </w:rPr>
        <w:br w:type="page"/>
      </w:r>
    </w:p>
    <w:p w14:paraId="54275FC7">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四</w:t>
      </w:r>
      <w:r>
        <w:rPr>
          <w:rFonts w:hint="eastAsia" w:ascii="Calibri" w:hAnsi="宋体" w:cs="宋体"/>
          <w:b/>
          <w:snapToGrid w:val="0"/>
          <w:color w:val="auto"/>
          <w:kern w:val="0"/>
          <w:sz w:val="28"/>
          <w:szCs w:val="28"/>
          <w:highlight w:val="none"/>
        </w:rPr>
        <w:t>、项目实施方案</w:t>
      </w:r>
    </w:p>
    <w:p w14:paraId="0592270B">
      <w:pPr>
        <w:wordWrap w:val="0"/>
        <w:adjustRightInd w:val="0"/>
        <w:snapToGrid w:val="0"/>
        <w:spacing w:line="360" w:lineRule="auto"/>
        <w:rPr>
          <w:rFonts w:hint="eastAsia" w:ascii="宋体" w:hAnsi="宋体"/>
          <w:b/>
          <w:color w:val="auto"/>
          <w:szCs w:val="21"/>
          <w:highlight w:val="none"/>
        </w:rPr>
      </w:pPr>
      <w:r>
        <w:rPr>
          <w:rFonts w:hint="eastAsia" w:hAnsi="宋体" w:cs="宋体"/>
          <w:color w:val="auto"/>
          <w:szCs w:val="21"/>
          <w:highlight w:val="none"/>
        </w:rPr>
        <w:t>项目名称：</w:t>
      </w:r>
      <w:r>
        <w:rPr>
          <w:rFonts w:hint="eastAsia" w:hAnsi="宋体" w:cs="宋体"/>
          <w:color w:val="auto"/>
          <w:szCs w:val="21"/>
          <w:highlight w:val="none"/>
          <w:u w:val="single"/>
        </w:rPr>
        <w:t xml:space="preserve">                     </w:t>
      </w:r>
    </w:p>
    <w:p w14:paraId="52D46721">
      <w:pPr>
        <w:rPr>
          <w:color w:val="auto"/>
          <w:highlight w:val="none"/>
        </w:rPr>
      </w:pPr>
      <w:r>
        <w:rPr>
          <w:rFonts w:hint="eastAsia"/>
          <w:color w:val="auto"/>
          <w:highlight w:val="none"/>
        </w:rPr>
        <w:t>投标人应根据本项目用户需求书要求及技术部分</w:t>
      </w:r>
      <w:r>
        <w:rPr>
          <w:color w:val="auto"/>
          <w:highlight w:val="none"/>
        </w:rPr>
        <w:t>详细评分标准</w:t>
      </w:r>
      <w:r>
        <w:rPr>
          <w:rFonts w:hint="eastAsia"/>
          <w:color w:val="auto"/>
          <w:highlight w:val="none"/>
        </w:rPr>
        <w:t>中相关内容编写</w:t>
      </w:r>
      <w:r>
        <w:rPr>
          <w:rFonts w:hint="eastAsia"/>
          <w:color w:val="auto"/>
          <w:highlight w:val="none"/>
          <w:lang w:eastAsia="zh-CN"/>
        </w:rPr>
        <w:t>，</w:t>
      </w:r>
      <w:r>
        <w:rPr>
          <w:rFonts w:hint="eastAsia"/>
          <w:color w:val="auto"/>
          <w:highlight w:val="none"/>
        </w:rPr>
        <w:t>格式由投标人自行确定。</w:t>
      </w:r>
    </w:p>
    <w:p w14:paraId="7110FC60">
      <w:pPr>
        <w:pStyle w:val="3"/>
        <w:wordWrap w:val="0"/>
        <w:spacing w:before="37" w:line="360" w:lineRule="auto"/>
        <w:ind w:right="105" w:firstLine="422" w:firstLineChars="200"/>
        <w:rPr>
          <w:rFonts w:hint="eastAsia" w:ascii="宋体" w:hAnsi="宋体"/>
          <w:b/>
          <w:color w:val="auto"/>
          <w:szCs w:val="21"/>
          <w:highlight w:val="none"/>
        </w:rPr>
      </w:pPr>
    </w:p>
    <w:p w14:paraId="33AEE15E">
      <w:pPr>
        <w:pStyle w:val="3"/>
        <w:wordWrap w:val="0"/>
        <w:spacing w:before="37" w:line="360" w:lineRule="auto"/>
        <w:ind w:right="105" w:firstLine="422" w:firstLineChars="200"/>
        <w:rPr>
          <w:b/>
          <w:bCs/>
          <w:color w:val="auto"/>
          <w:sz w:val="32"/>
          <w:szCs w:val="28"/>
          <w:highlight w:val="none"/>
        </w:rPr>
      </w:pPr>
      <w:r>
        <w:rPr>
          <w:rFonts w:hint="eastAsia" w:ascii="宋体" w:hAnsi="宋体"/>
          <w:b/>
          <w:color w:val="auto"/>
          <w:szCs w:val="21"/>
          <w:highlight w:val="none"/>
        </w:rPr>
        <w:t>注：在编制上述方案时，投标人必须将各项内容填写在投标文件各自相对应的目录中，未按要求填写的，相应责任由投标人自行承担。</w:t>
      </w:r>
    </w:p>
    <w:p w14:paraId="57089B9A">
      <w:pPr>
        <w:widowControl/>
        <w:jc w:val="left"/>
        <w:rPr>
          <w:rFonts w:hint="eastAsia" w:hAnsi="宋体" w:cs="宋体"/>
          <w:b/>
          <w:color w:val="auto"/>
          <w:sz w:val="28"/>
          <w:szCs w:val="28"/>
          <w:highlight w:val="none"/>
        </w:rPr>
      </w:pPr>
      <w:r>
        <w:rPr>
          <w:rFonts w:hAnsi="宋体" w:cs="宋体"/>
          <w:b/>
          <w:color w:val="auto"/>
          <w:sz w:val="28"/>
          <w:szCs w:val="28"/>
          <w:highlight w:val="none"/>
        </w:rPr>
        <w:br w:type="page"/>
      </w:r>
    </w:p>
    <w:p w14:paraId="00465597">
      <w:pPr>
        <w:wordWrap w:val="0"/>
        <w:spacing w:line="360" w:lineRule="auto"/>
        <w:jc w:val="center"/>
        <w:outlineLvl w:val="1"/>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五</w:t>
      </w:r>
      <w:r>
        <w:rPr>
          <w:rFonts w:hint="eastAsia" w:ascii="Calibri" w:hAnsi="宋体" w:cs="宋体"/>
          <w:b/>
          <w:snapToGrid w:val="0"/>
          <w:color w:val="auto"/>
          <w:kern w:val="0"/>
          <w:sz w:val="28"/>
          <w:szCs w:val="28"/>
          <w:highlight w:val="none"/>
        </w:rPr>
        <w:t>、投标人认为需提供的</w:t>
      </w:r>
      <w:r>
        <w:rPr>
          <w:rFonts w:hint="eastAsia" w:ascii="Calibri" w:hAnsi="宋体" w:cs="宋体"/>
          <w:b/>
          <w:snapToGrid w:val="0"/>
          <w:color w:val="auto"/>
          <w:kern w:val="0"/>
          <w:sz w:val="28"/>
          <w:szCs w:val="28"/>
          <w:highlight w:val="none"/>
          <w:lang w:eastAsia="zh-CN"/>
        </w:rPr>
        <w:t>其他</w:t>
      </w:r>
      <w:r>
        <w:rPr>
          <w:rFonts w:hint="eastAsia" w:ascii="Calibri" w:hAnsi="宋体" w:cs="宋体"/>
          <w:b/>
          <w:snapToGrid w:val="0"/>
          <w:color w:val="auto"/>
          <w:kern w:val="0"/>
          <w:sz w:val="28"/>
          <w:szCs w:val="28"/>
          <w:highlight w:val="none"/>
        </w:rPr>
        <w:t>技术评审资料</w:t>
      </w:r>
    </w:p>
    <w:p w14:paraId="254E31E3">
      <w:pPr>
        <w:wordWrap w:val="0"/>
        <w:spacing w:line="360" w:lineRule="auto"/>
        <w:rPr>
          <w:rFonts w:ascii="Calibri" w:cs="宋体"/>
          <w:color w:val="auto"/>
          <w:highlight w:val="none"/>
        </w:rPr>
      </w:pPr>
    </w:p>
    <w:p w14:paraId="43DC9580">
      <w:pPr>
        <w:rPr>
          <w:color w:val="auto"/>
          <w:highlight w:val="none"/>
        </w:rPr>
      </w:pPr>
    </w:p>
    <w:p w14:paraId="00603508">
      <w:pPr>
        <w:rPr>
          <w:color w:val="auto"/>
          <w:highlight w:val="none"/>
        </w:rPr>
      </w:pPr>
    </w:p>
    <w:sectPr>
      <w:pgSz w:w="11906" w:h="16838"/>
      <w:pgMar w:top="1440" w:right="1080" w:bottom="1440" w:left="1080" w:header="567" w:footer="567"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7FB8897-082B-4FC2-8781-F53959A39D1C}"/>
  </w:font>
  <w:font w:name="黑体">
    <w:panose1 w:val="02010609060101010101"/>
    <w:charset w:val="86"/>
    <w:family w:val="auto"/>
    <w:pitch w:val="default"/>
    <w:sig w:usb0="800002BF" w:usb1="38CF7CFA" w:usb2="00000016" w:usb3="00000000" w:csb0="00040001" w:csb1="00000000"/>
    <w:embedRegular r:id="rId2" w:fontKey="{E5C23CDD-8FA0-4BA2-BC4A-AE8A9F83B694}"/>
  </w:font>
  <w:font w:name="Courier New">
    <w:panose1 w:val="02070309020205020404"/>
    <w:charset w:val="01"/>
    <w:family w:val="modern"/>
    <w:pitch w:val="default"/>
    <w:sig w:usb0="E0002EFF" w:usb1="C0007843" w:usb2="00000009" w:usb3="00000000" w:csb0="400001FF" w:csb1="FFFF0000"/>
    <w:embedRegular r:id="rId3" w:fontKey="{1F9167CF-9B0E-46AF-B765-86540ED6820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F74E3216-AF79-4E15-BB63-F2DD11087265}"/>
  </w:font>
  <w:font w:name="MS Sans Serif">
    <w:altName w:val="Arial"/>
    <w:panose1 w:val="00000000000000000000"/>
    <w:charset w:val="00"/>
    <w:family w:val="swiss"/>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仿宋_GB2312">
    <w:panose1 w:val="02010609030101010101"/>
    <w:charset w:val="86"/>
    <w:family w:val="auto"/>
    <w:pitch w:val="default"/>
    <w:sig w:usb0="00000001" w:usb1="080E0000" w:usb2="00000000" w:usb3="00000000" w:csb0="00040000" w:csb1="00000000"/>
    <w:embedRegular r:id="rId5" w:fontKey="{B9EA6531-4B62-4475-B3B5-727CE2100A36}"/>
  </w:font>
  <w:font w:name="Cambria">
    <w:panose1 w:val="02040503050406030204"/>
    <w:charset w:val="00"/>
    <w:family w:val="roman"/>
    <w:pitch w:val="default"/>
    <w:sig w:usb0="E00006FF" w:usb1="420024FF" w:usb2="0200000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Calisto MT">
    <w:altName w:val="Segoe Print"/>
    <w:panose1 w:val="02040603050505030304"/>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embedRegular r:id="rId6" w:fontKey="{E8A9B6B5-E211-47BF-88D5-911EBC9DAC3C}"/>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FuturaA Bk BT">
    <w:altName w:val="Segoe Print"/>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Invensys Andale">
    <w:altName w:val="Franklin Gothic Medium"/>
    <w:panose1 w:val="00000000000000000000"/>
    <w:charset w:val="00"/>
    <w:family w:val="swiss"/>
    <w:pitch w:val="default"/>
    <w:sig w:usb0="00000000" w:usb1="00000000" w:usb2="00000000" w:usb3="00000000" w:csb0="00000001" w:csb1="00000000"/>
  </w:font>
  <w:font w:name="Franklin Gothic Medium">
    <w:panose1 w:val="020B0603020102020204"/>
    <w:charset w:val="00"/>
    <w:family w:val="auto"/>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0" w:usb3="00000000" w:csb0="00000093" w:csb1="00000000"/>
    <w:embedRegular r:id="rId7" w:fontKey="{F3E06DEF-72C0-4FC6-BAE8-FA60A6A2DC08}"/>
  </w:font>
  <w:font w:name="Arial Black">
    <w:panose1 w:val="020B0A04020102020204"/>
    <w:charset w:val="00"/>
    <w:family w:val="swiss"/>
    <w:pitch w:val="default"/>
    <w:sig w:usb0="A00002AF" w:usb1="400078FB" w:usb2="00000000" w:usb3="00000000" w:csb0="6000009F" w:csb1="DFD70000"/>
  </w:font>
  <w:font w:name="Arial Narrow">
    <w:panose1 w:val="020B0606020202030204"/>
    <w:charset w:val="00"/>
    <w:family w:val="swiss"/>
    <w:pitch w:val="default"/>
    <w:sig w:usb0="00000287" w:usb1="00000800" w:usb2="00000000" w:usb3="00000000" w:csb0="2000009F" w:csb1="DFD70000"/>
  </w:font>
  <w:font w:name="MS UI Gothic">
    <w:panose1 w:val="020B0600070205080204"/>
    <w:charset w:val="80"/>
    <w:family w:val="swiss"/>
    <w:pitch w:val="default"/>
    <w:sig w:usb0="E00002FF" w:usb1="6AC7FDFB" w:usb2="08000012" w:usb3="00000000" w:csb0="4002009F" w:csb1="DFD70000"/>
  </w:font>
  <w:font w:name="隶书">
    <w:panose1 w:val="02010509060101010101"/>
    <w:charset w:val="86"/>
    <w:family w:val="modern"/>
    <w:pitch w:val="default"/>
    <w:sig w:usb0="00000001" w:usb1="080E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Swis721 BlkOul BT">
    <w:altName w:val="Gabriola"/>
    <w:panose1 w:val="04020905030B03040203"/>
    <w:charset w:val="00"/>
    <w:family w:val="decorative"/>
    <w:pitch w:val="default"/>
    <w:sig w:usb0="00000000" w:usb1="00000000" w:usb2="00000000" w:usb3="00000000" w:csb0="0000001B" w:csb1="00000000"/>
  </w:font>
  <w:font w:name="Gabriola">
    <w:panose1 w:val="04040605051002020D02"/>
    <w:charset w:val="00"/>
    <w:family w:val="auto"/>
    <w:pitch w:val="default"/>
    <w:sig w:usb0="E00002EF" w:usb1="5000204B" w:usb2="00000000" w:usb3="00000000" w:csb0="2000009F" w:csb1="00000000"/>
  </w:font>
  <w:font w:name="Sim Sun">
    <w:altName w:val="宋体"/>
    <w:panose1 w:val="00000000000000000000"/>
    <w:charset w:val="86"/>
    <w:family w:val="auto"/>
    <w:pitch w:val="default"/>
    <w:sig w:usb0="00000000" w:usb1="00000000" w:usb2="00000010" w:usb3="00000000" w:csb0="00040000" w:csb1="00000000"/>
  </w:font>
  <w:font w:name="Lucida Grande">
    <w:altName w:val="Microsoft Sans Serif"/>
    <w:panose1 w:val="00000000000000000000"/>
    <w:charset w:val="00"/>
    <w:family w:val="roman"/>
    <w:pitch w:val="default"/>
    <w:sig w:usb0="00000000" w:usb1="00000000" w:usb2="00000000" w:usb3="00000000" w:csb0="00000001" w:csb1="00000000"/>
  </w:font>
  <w:font w:name="Microsoft Sans Serif">
    <w:panose1 w:val="020B0604020202020204"/>
    <w:charset w:val="00"/>
    <w:family w:val="auto"/>
    <w:pitch w:val="default"/>
    <w:sig w:usb0="E5002EFF" w:usb1="C000605B" w:usb2="00000029" w:usb3="00000000" w:csb0="200101FF" w:csb1="20280000"/>
  </w:font>
  <w:font w:name="ヒラギノ角ゴ Pro W3">
    <w:altName w:val="Yu Gothic"/>
    <w:panose1 w:val="00000000000000000000"/>
    <w:charset w:val="00"/>
    <w:family w:val="roman"/>
    <w:pitch w:val="default"/>
    <w:sig w:usb0="00000000" w:usb1="00000000" w:usb2="00000000" w:usb3="00000000" w:csb0="00040001" w:csb1="00000000"/>
  </w:font>
  <w:font w:name="Yu Gothic">
    <w:panose1 w:val="020B0400000000000000"/>
    <w:charset w:val="80"/>
    <w:family w:val="auto"/>
    <w:pitch w:val="default"/>
    <w:sig w:usb0="E00002FF" w:usb1="2AC7FDFF" w:usb2="00000016" w:usb3="00000000" w:csb0="2002009F" w:csb1="00000000"/>
  </w:font>
  <w:font w:name="Courier">
    <w:altName w:val="Courier New"/>
    <w:panose1 w:val="02070409020205020404"/>
    <w:charset w:val="00"/>
    <w:family w:val="modern"/>
    <w:pitch w:val="default"/>
    <w:sig w:usb0="00000000" w:usb1="00000000" w:usb2="00000000" w:usb3="00000000" w:csb0="00000093" w:csb1="00000000"/>
  </w:font>
  <w:font w:name="_GB2312">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embedRegular r:id="rId8" w:fontKey="{DB7D8054-143D-49F3-B5EB-A71C8948D800}"/>
  </w:font>
  <w:font w:name="Segoe UI Symbol">
    <w:panose1 w:val="020B0502040204020203"/>
    <w:charset w:val="00"/>
    <w:family w:val="swiss"/>
    <w:pitch w:val="default"/>
    <w:sig w:usb0="800001E3" w:usb1="1200FFEF" w:usb2="00040000" w:usb3="04000000" w:csb0="00000001" w:csb1="40000000"/>
    <w:embedRegular r:id="rId9" w:fontKey="{EF4D2C4C-3B5D-424E-AA32-21B53465ECBD}"/>
  </w:font>
  <w:font w:name="方正小标宋简体">
    <w:panose1 w:val="03000509000000000000"/>
    <w:charset w:val="86"/>
    <w:family w:val="auto"/>
    <w:pitch w:val="default"/>
    <w:sig w:usb0="00000001" w:usb1="080E0000" w:usb2="00000000" w:usb3="00000000" w:csb0="00040000" w:csb1="00000000"/>
    <w:embedRegular r:id="rId10" w:fontKey="{462B7D57-3884-4904-95F0-AEF0BEEF4D0B}"/>
  </w:font>
  <w:font w:name="微软雅黑">
    <w:panose1 w:val="020B0503020204020204"/>
    <w:charset w:val="86"/>
    <w:family w:val="auto"/>
    <w:pitch w:val="default"/>
    <w:sig w:usb0="80000287" w:usb1="2ACF3C50" w:usb2="00000016" w:usb3="00000000" w:csb0="0004001F" w:csb1="00000000"/>
    <w:embedRegular r:id="rId11" w:fontKey="{39DF13EE-03F4-4589-BA4D-605E2C6CD8AA}"/>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B3BA7">
    <w:pPr>
      <w:pStyle w:val="4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1677"/>
                          </w:sdtPr>
                          <w:sdtContent>
                            <w:p w14:paraId="5918168C">
                              <w:pPr>
                                <w:pStyle w:val="40"/>
                              </w:pPr>
                              <w:r>
                                <w:fldChar w:fldCharType="begin"/>
                              </w:r>
                              <w:r>
                                <w:instrText xml:space="preserve">PAGE   \* MERGEFORMAT</w:instrText>
                              </w:r>
                              <w:r>
                                <w:fldChar w:fldCharType="separate"/>
                              </w:r>
                              <w:r>
                                <w:rPr>
                                  <w:lang w:val="zh-CN"/>
                                </w:rPr>
                                <w:t>1</w:t>
                              </w:r>
                              <w:r>
                                <w:fldChar w:fldCharType="end"/>
                              </w:r>
                            </w:p>
                          </w:sdtContent>
                        </w:sdt>
                        <w:p w14:paraId="6DC5653C"/>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51677"/>
                    </w:sdtPr>
                    <w:sdtContent>
                      <w:p w14:paraId="5918168C">
                        <w:pPr>
                          <w:pStyle w:val="40"/>
                        </w:pPr>
                        <w:r>
                          <w:fldChar w:fldCharType="begin"/>
                        </w:r>
                        <w:r>
                          <w:instrText xml:space="preserve">PAGE   \* MERGEFORMAT</w:instrText>
                        </w:r>
                        <w:r>
                          <w:fldChar w:fldCharType="separate"/>
                        </w:r>
                        <w:r>
                          <w:rPr>
                            <w:lang w:val="zh-CN"/>
                          </w:rPr>
                          <w:t>1</w:t>
                        </w:r>
                        <w:r>
                          <w:fldChar w:fldCharType="end"/>
                        </w:r>
                      </w:p>
                    </w:sdtContent>
                  </w:sdt>
                  <w:p w14:paraId="6DC5653C"/>
                </w:txbxContent>
              </v:textbox>
            </v:shape>
          </w:pict>
        </mc:Fallback>
      </mc:AlternateContent>
    </w:r>
  </w:p>
  <w:p w14:paraId="556C4A7C">
    <w:pPr>
      <w:pStyle w:val="40"/>
      <w:tabs>
        <w:tab w:val="center" w:pos="4873"/>
        <w:tab w:val="clear" w:pos="4153"/>
        <w:tab w:val="clear" w:pos="8306"/>
      </w:tabs>
      <w:jc w:val="both"/>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9D9B3"/>
    <w:multiLevelType w:val="multilevel"/>
    <w:tmpl w:val="BDF9D9B3"/>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
    <w:nsid w:val="00000001"/>
    <w:multiLevelType w:val="singleLevel"/>
    <w:tmpl w:val="00000001"/>
    <w:lvl w:ilvl="0" w:tentative="0">
      <w:start w:val="2"/>
      <w:numFmt w:val="chineseCounting"/>
      <w:pStyle w:val="136"/>
      <w:suff w:val="nothing"/>
      <w:lvlText w:val="%1、"/>
      <w:lvlJc w:val="left"/>
    </w:lvl>
  </w:abstractNum>
  <w:abstractNum w:abstractNumId="2">
    <w:nsid w:val="0011D1F0"/>
    <w:multiLevelType w:val="multilevel"/>
    <w:tmpl w:val="0011D1F0"/>
    <w:lvl w:ilvl="0" w:tentative="0">
      <w:start w:val="1"/>
      <w:numFmt w:val="decimal"/>
      <w:suff w:val="space"/>
      <w:lvlText w:val="%1."/>
      <w:lvlJc w:val="left"/>
      <w:pPr>
        <w:ind w:left="425" w:hanging="425"/>
      </w:pPr>
      <w:rPr>
        <w:rFonts w:hint="default" w:ascii="黑体" w:hAnsi="黑体" w:eastAsia="黑体" w:cs="黑体"/>
        <w:b w:val="0"/>
        <w:bCs w:val="0"/>
      </w:rPr>
    </w:lvl>
    <w:lvl w:ilvl="1" w:tentative="0">
      <w:start w:val="1"/>
      <w:numFmt w:val="decimal"/>
      <w:suff w:val="space"/>
      <w:lvlText w:val="%1.%2."/>
      <w:lvlJc w:val="left"/>
      <w:pPr>
        <w:ind w:left="420" w:leftChars="0" w:hanging="420" w:firstLineChars="0"/>
      </w:pPr>
      <w:rPr>
        <w:rFonts w:hint="default" w:ascii="宋体" w:hAnsi="宋体" w:eastAsia="宋体" w:cs="宋体"/>
        <w:color w:val="000000"/>
      </w:rPr>
    </w:lvl>
    <w:lvl w:ilvl="2" w:tentative="0">
      <w:start w:val="1"/>
      <w:numFmt w:val="decimal"/>
      <w:suff w:val="space"/>
      <w:lvlText w:val="%1.%2.%3."/>
      <w:lvlJc w:val="left"/>
      <w:pPr>
        <w:ind w:left="709" w:hanging="709"/>
      </w:pPr>
      <w:rPr>
        <w:rFonts w:hint="default" w:ascii="宋体" w:hAnsi="宋体" w:eastAsia="宋体" w:cs="宋体"/>
        <w:b w:val="0"/>
        <w:bCs w:val="0"/>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1553948"/>
    <w:multiLevelType w:val="multilevel"/>
    <w:tmpl w:val="01553948"/>
    <w:lvl w:ilvl="0" w:tentative="0">
      <w:start w:val="1"/>
      <w:numFmt w:val="decimal"/>
      <w:lvlText w:val="（%1）"/>
      <w:lvlJc w:val="left"/>
      <w:pPr>
        <w:tabs>
          <w:tab w:val="left" w:pos="945"/>
        </w:tabs>
        <w:ind w:left="945" w:hanging="420"/>
      </w:pPr>
      <w:rPr>
        <w:rFonts w:hint="eastAsia"/>
        <w:lang w:val="en-US"/>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4">
    <w:nsid w:val="039227CA"/>
    <w:multiLevelType w:val="multilevel"/>
    <w:tmpl w:val="039227CA"/>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
    <w:nsid w:val="15FF16AE"/>
    <w:multiLevelType w:val="multilevel"/>
    <w:tmpl w:val="15FF16AE"/>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6">
    <w:nsid w:val="1F385935"/>
    <w:multiLevelType w:val="multilevel"/>
    <w:tmpl w:val="1F385935"/>
    <w:lvl w:ilvl="0" w:tentative="0">
      <w:start w:val="1"/>
      <w:numFmt w:val="bullet"/>
      <w:pStyle w:val="886"/>
      <w:lvlText w:val=""/>
      <w:lvlJc w:val="left"/>
      <w:pPr>
        <w:tabs>
          <w:tab w:val="left" w:pos="2896"/>
        </w:tabs>
        <w:ind w:left="2896" w:hanging="420"/>
      </w:pPr>
      <w:rPr>
        <w:rFonts w:hint="default" w:ascii="Wingdings" w:hAnsi="Wingdings"/>
      </w:rPr>
    </w:lvl>
    <w:lvl w:ilvl="1" w:tentative="0">
      <w:start w:val="1"/>
      <w:numFmt w:val="bullet"/>
      <w:lvlText w:val=""/>
      <w:lvlJc w:val="left"/>
      <w:pPr>
        <w:tabs>
          <w:tab w:val="left" w:pos="3316"/>
        </w:tabs>
        <w:ind w:left="3316" w:hanging="420"/>
      </w:pPr>
      <w:rPr>
        <w:rFonts w:hint="default" w:ascii="Wingdings" w:hAnsi="Wingdings"/>
      </w:rPr>
    </w:lvl>
    <w:lvl w:ilvl="2" w:tentative="0">
      <w:start w:val="1"/>
      <w:numFmt w:val="bullet"/>
      <w:lvlText w:val=""/>
      <w:lvlJc w:val="left"/>
      <w:pPr>
        <w:tabs>
          <w:tab w:val="left" w:pos="3736"/>
        </w:tabs>
        <w:ind w:left="3736" w:hanging="420"/>
      </w:pPr>
      <w:rPr>
        <w:rFonts w:hint="default" w:ascii="Wingdings" w:hAnsi="Wingdings"/>
      </w:rPr>
    </w:lvl>
    <w:lvl w:ilvl="3" w:tentative="0">
      <w:start w:val="1"/>
      <w:numFmt w:val="bullet"/>
      <w:lvlText w:val=""/>
      <w:lvlJc w:val="left"/>
      <w:pPr>
        <w:tabs>
          <w:tab w:val="left" w:pos="4156"/>
        </w:tabs>
        <w:ind w:left="4156" w:hanging="420"/>
      </w:pPr>
      <w:rPr>
        <w:rFonts w:hint="default" w:ascii="Wingdings" w:hAnsi="Wingdings"/>
      </w:rPr>
    </w:lvl>
    <w:lvl w:ilvl="4" w:tentative="0">
      <w:start w:val="1"/>
      <w:numFmt w:val="bullet"/>
      <w:lvlText w:val=""/>
      <w:lvlJc w:val="left"/>
      <w:pPr>
        <w:tabs>
          <w:tab w:val="left" w:pos="4576"/>
        </w:tabs>
        <w:ind w:left="4576" w:hanging="420"/>
      </w:pPr>
      <w:rPr>
        <w:rFonts w:hint="default" w:ascii="Wingdings" w:hAnsi="Wingdings"/>
      </w:rPr>
    </w:lvl>
    <w:lvl w:ilvl="5" w:tentative="0">
      <w:start w:val="1"/>
      <w:numFmt w:val="bullet"/>
      <w:lvlText w:val=""/>
      <w:lvlJc w:val="left"/>
      <w:pPr>
        <w:tabs>
          <w:tab w:val="left" w:pos="4996"/>
        </w:tabs>
        <w:ind w:left="4996" w:hanging="420"/>
      </w:pPr>
      <w:rPr>
        <w:rFonts w:hint="default" w:ascii="Wingdings" w:hAnsi="Wingdings"/>
      </w:rPr>
    </w:lvl>
    <w:lvl w:ilvl="6" w:tentative="0">
      <w:start w:val="1"/>
      <w:numFmt w:val="bullet"/>
      <w:lvlText w:val=""/>
      <w:lvlJc w:val="left"/>
      <w:pPr>
        <w:tabs>
          <w:tab w:val="left" w:pos="5416"/>
        </w:tabs>
        <w:ind w:left="5416" w:hanging="420"/>
      </w:pPr>
      <w:rPr>
        <w:rFonts w:hint="default" w:ascii="Wingdings" w:hAnsi="Wingdings"/>
      </w:rPr>
    </w:lvl>
    <w:lvl w:ilvl="7" w:tentative="0">
      <w:start w:val="1"/>
      <w:numFmt w:val="bullet"/>
      <w:lvlText w:val=""/>
      <w:lvlJc w:val="left"/>
      <w:pPr>
        <w:tabs>
          <w:tab w:val="left" w:pos="5836"/>
        </w:tabs>
        <w:ind w:left="5836" w:hanging="420"/>
      </w:pPr>
      <w:rPr>
        <w:rFonts w:hint="default" w:ascii="Wingdings" w:hAnsi="Wingdings"/>
      </w:rPr>
    </w:lvl>
    <w:lvl w:ilvl="8" w:tentative="0">
      <w:start w:val="1"/>
      <w:numFmt w:val="bullet"/>
      <w:lvlText w:val=""/>
      <w:lvlJc w:val="left"/>
      <w:pPr>
        <w:tabs>
          <w:tab w:val="left" w:pos="6256"/>
        </w:tabs>
        <w:ind w:left="6256" w:hanging="420"/>
      </w:pPr>
      <w:rPr>
        <w:rFonts w:hint="default" w:ascii="Wingdings" w:hAnsi="Wingdings"/>
      </w:rPr>
    </w:lvl>
  </w:abstractNum>
  <w:abstractNum w:abstractNumId="7">
    <w:nsid w:val="27159705"/>
    <w:multiLevelType w:val="singleLevel"/>
    <w:tmpl w:val="27159705"/>
    <w:lvl w:ilvl="0" w:tentative="0">
      <w:start w:val="3"/>
      <w:numFmt w:val="chineseCounting"/>
      <w:suff w:val="nothing"/>
      <w:lvlText w:val="%1、"/>
      <w:lvlJc w:val="left"/>
      <w:rPr>
        <w:rFonts w:hint="eastAsia"/>
      </w:rPr>
    </w:lvl>
  </w:abstractNum>
  <w:abstractNum w:abstractNumId="8">
    <w:nsid w:val="298B64A2"/>
    <w:multiLevelType w:val="multilevel"/>
    <w:tmpl w:val="298B64A2"/>
    <w:lvl w:ilvl="0" w:tentative="0">
      <w:start w:val="1"/>
      <w:numFmt w:val="bullet"/>
      <w:pStyle w:val="806"/>
      <w:lvlText w:val=""/>
      <w:lvlJc w:val="left"/>
      <w:pPr>
        <w:tabs>
          <w:tab w:val="left" w:pos="2297"/>
        </w:tabs>
        <w:ind w:left="2297" w:hanging="420"/>
      </w:pPr>
      <w:rPr>
        <w:rFonts w:hint="default" w:ascii="Wingdings" w:hAnsi="Wingdings"/>
      </w:rPr>
    </w:lvl>
    <w:lvl w:ilvl="1" w:tentative="0">
      <w:start w:val="1"/>
      <w:numFmt w:val="bullet"/>
      <w:lvlText w:val=""/>
      <w:lvlJc w:val="left"/>
      <w:pPr>
        <w:tabs>
          <w:tab w:val="left" w:pos="2717"/>
        </w:tabs>
        <w:ind w:left="2717" w:hanging="420"/>
      </w:pPr>
      <w:rPr>
        <w:rFonts w:hint="default" w:ascii="Wingdings" w:hAnsi="Wingdings"/>
      </w:rPr>
    </w:lvl>
    <w:lvl w:ilvl="2" w:tentative="0">
      <w:start w:val="1"/>
      <w:numFmt w:val="bullet"/>
      <w:lvlText w:val=""/>
      <w:lvlJc w:val="left"/>
      <w:pPr>
        <w:tabs>
          <w:tab w:val="left" w:pos="3137"/>
        </w:tabs>
        <w:ind w:left="3137" w:hanging="420"/>
      </w:pPr>
      <w:rPr>
        <w:rFonts w:hint="default" w:ascii="Wingdings" w:hAnsi="Wingdings"/>
      </w:rPr>
    </w:lvl>
    <w:lvl w:ilvl="3" w:tentative="0">
      <w:start w:val="1"/>
      <w:numFmt w:val="bullet"/>
      <w:lvlText w:val=""/>
      <w:lvlJc w:val="left"/>
      <w:pPr>
        <w:tabs>
          <w:tab w:val="left" w:pos="3557"/>
        </w:tabs>
        <w:ind w:left="3557" w:hanging="420"/>
      </w:pPr>
      <w:rPr>
        <w:rFonts w:hint="default" w:ascii="Wingdings" w:hAnsi="Wingdings"/>
      </w:rPr>
    </w:lvl>
    <w:lvl w:ilvl="4" w:tentative="0">
      <w:start w:val="1"/>
      <w:numFmt w:val="bullet"/>
      <w:lvlText w:val=""/>
      <w:lvlJc w:val="left"/>
      <w:pPr>
        <w:tabs>
          <w:tab w:val="left" w:pos="3977"/>
        </w:tabs>
        <w:ind w:left="3977" w:hanging="420"/>
      </w:pPr>
      <w:rPr>
        <w:rFonts w:hint="default" w:ascii="Wingdings" w:hAnsi="Wingdings"/>
      </w:rPr>
    </w:lvl>
    <w:lvl w:ilvl="5" w:tentative="0">
      <w:start w:val="1"/>
      <w:numFmt w:val="bullet"/>
      <w:lvlText w:val=""/>
      <w:lvlJc w:val="left"/>
      <w:pPr>
        <w:tabs>
          <w:tab w:val="left" w:pos="4397"/>
        </w:tabs>
        <w:ind w:left="4397" w:hanging="420"/>
      </w:pPr>
      <w:rPr>
        <w:rFonts w:hint="default" w:ascii="Wingdings" w:hAnsi="Wingdings"/>
      </w:rPr>
    </w:lvl>
    <w:lvl w:ilvl="6" w:tentative="0">
      <w:start w:val="1"/>
      <w:numFmt w:val="bullet"/>
      <w:lvlText w:val=""/>
      <w:lvlJc w:val="left"/>
      <w:pPr>
        <w:tabs>
          <w:tab w:val="left" w:pos="4817"/>
        </w:tabs>
        <w:ind w:left="4817" w:hanging="420"/>
      </w:pPr>
      <w:rPr>
        <w:rFonts w:hint="default" w:ascii="Wingdings" w:hAnsi="Wingdings"/>
      </w:rPr>
    </w:lvl>
    <w:lvl w:ilvl="7" w:tentative="0">
      <w:start w:val="1"/>
      <w:numFmt w:val="bullet"/>
      <w:lvlText w:val=""/>
      <w:lvlJc w:val="left"/>
      <w:pPr>
        <w:tabs>
          <w:tab w:val="left" w:pos="5237"/>
        </w:tabs>
        <w:ind w:left="5237" w:hanging="420"/>
      </w:pPr>
      <w:rPr>
        <w:rFonts w:hint="default" w:ascii="Wingdings" w:hAnsi="Wingdings"/>
      </w:rPr>
    </w:lvl>
    <w:lvl w:ilvl="8" w:tentative="0">
      <w:start w:val="1"/>
      <w:numFmt w:val="bullet"/>
      <w:lvlText w:val=""/>
      <w:lvlJc w:val="left"/>
      <w:pPr>
        <w:tabs>
          <w:tab w:val="left" w:pos="5657"/>
        </w:tabs>
        <w:ind w:left="5657" w:hanging="420"/>
      </w:pPr>
      <w:rPr>
        <w:rFonts w:hint="default" w:ascii="Wingdings" w:hAnsi="Wingdings"/>
      </w:rPr>
    </w:lvl>
  </w:abstractNum>
  <w:abstractNum w:abstractNumId="9">
    <w:nsid w:val="2C5917C3"/>
    <w:multiLevelType w:val="multilevel"/>
    <w:tmpl w:val="2C5917C3"/>
    <w:lvl w:ilvl="0" w:tentative="0">
      <w:start w:val="1"/>
      <w:numFmt w:val="none"/>
      <w:pStyle w:val="1233"/>
      <w:suff w:val="nothing"/>
      <w:lvlText w:val="%1——"/>
      <w:lvlJc w:val="left"/>
      <w:pPr>
        <w:ind w:left="833" w:hanging="408"/>
      </w:pPr>
      <w:rPr>
        <w:rFonts w:hint="eastAsia"/>
      </w:rPr>
    </w:lvl>
    <w:lvl w:ilvl="1" w:tentative="0">
      <w:start w:val="1"/>
      <w:numFmt w:val="bullet"/>
      <w:pStyle w:val="1131"/>
      <w:lvlText w:val=""/>
      <w:lvlJc w:val="left"/>
      <w:pPr>
        <w:tabs>
          <w:tab w:val="left" w:pos="760"/>
        </w:tabs>
        <w:ind w:left="1264" w:hanging="413"/>
      </w:pPr>
      <w:rPr>
        <w:rFonts w:hint="default" w:ascii="Symbol" w:hAnsi="Symbol"/>
        <w:color w:val="auto"/>
      </w:rPr>
    </w:lvl>
    <w:lvl w:ilvl="2" w:tentative="0">
      <w:start w:val="1"/>
      <w:numFmt w:val="bullet"/>
      <w:pStyle w:val="753"/>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0">
    <w:nsid w:val="34805B96"/>
    <w:multiLevelType w:val="singleLevel"/>
    <w:tmpl w:val="34805B96"/>
    <w:lvl w:ilvl="0" w:tentative="0">
      <w:start w:val="0"/>
      <w:numFmt w:val="bullet"/>
      <w:pStyle w:val="913"/>
      <w:lvlText w:val=""/>
      <w:lvlJc w:val="left"/>
      <w:pPr>
        <w:tabs>
          <w:tab w:val="left" w:pos="644"/>
        </w:tabs>
        <w:ind w:left="0" w:firstLine="284"/>
      </w:pPr>
      <w:rPr>
        <w:rFonts w:hint="default" w:ascii="Symbol" w:hAnsi="Symbol"/>
      </w:rPr>
    </w:lvl>
  </w:abstractNum>
  <w:abstractNum w:abstractNumId="11">
    <w:nsid w:val="350A068D"/>
    <w:multiLevelType w:val="singleLevel"/>
    <w:tmpl w:val="350A068D"/>
    <w:lvl w:ilvl="0" w:tentative="0">
      <w:start w:val="1"/>
      <w:numFmt w:val="decimal"/>
      <w:suff w:val="nothing"/>
      <w:lvlText w:val="%1、"/>
      <w:lvlJc w:val="left"/>
    </w:lvl>
  </w:abstractNum>
  <w:abstractNum w:abstractNumId="12">
    <w:nsid w:val="44C50F90"/>
    <w:multiLevelType w:val="multilevel"/>
    <w:tmpl w:val="44C50F90"/>
    <w:lvl w:ilvl="0" w:tentative="0">
      <w:start w:val="1"/>
      <w:numFmt w:val="lowerLetter"/>
      <w:pStyle w:val="771"/>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1234"/>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1235"/>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13">
    <w:nsid w:val="47D62287"/>
    <w:multiLevelType w:val="multilevel"/>
    <w:tmpl w:val="47D62287"/>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14">
    <w:nsid w:val="49310F0C"/>
    <w:multiLevelType w:val="multilevel"/>
    <w:tmpl w:val="49310F0C"/>
    <w:lvl w:ilvl="0" w:tentative="0">
      <w:start w:val="1"/>
      <w:numFmt w:val="bullet"/>
      <w:pStyle w:val="383"/>
      <w:lvlText w:val=""/>
      <w:lvlJc w:val="left"/>
      <w:pPr>
        <w:tabs>
          <w:tab w:val="left" w:pos="1134"/>
        </w:tabs>
        <w:ind w:left="1134" w:hanging="567"/>
      </w:pPr>
      <w:rPr>
        <w:rFonts w:hint="default" w:ascii="Wingdings" w:hAnsi="Wingdings"/>
      </w:rPr>
    </w:lvl>
    <w:lvl w:ilvl="1" w:tentative="0">
      <w:start w:val="1"/>
      <w:numFmt w:val="bullet"/>
      <w:lvlText w:val=""/>
      <w:lvlJc w:val="left"/>
      <w:pPr>
        <w:tabs>
          <w:tab w:val="left" w:pos="2100"/>
        </w:tabs>
        <w:ind w:left="2100" w:hanging="420"/>
      </w:pPr>
      <w:rPr>
        <w:rFonts w:hint="default" w:ascii="Wingdings" w:hAnsi="Wingdings"/>
      </w:rPr>
    </w:lvl>
    <w:lvl w:ilvl="2" w:tentative="0">
      <w:start w:val="1"/>
      <w:numFmt w:val="bullet"/>
      <w:lvlText w:val=""/>
      <w:lvlJc w:val="left"/>
      <w:pPr>
        <w:tabs>
          <w:tab w:val="left" w:pos="2520"/>
        </w:tabs>
        <w:ind w:left="2520" w:hanging="420"/>
      </w:pPr>
      <w:rPr>
        <w:rFonts w:hint="default" w:ascii="Wingdings" w:hAnsi="Wingdings"/>
      </w:rPr>
    </w:lvl>
    <w:lvl w:ilvl="3" w:tentative="0">
      <w:start w:val="1"/>
      <w:numFmt w:val="bullet"/>
      <w:lvlText w:val=""/>
      <w:lvlJc w:val="left"/>
      <w:pPr>
        <w:tabs>
          <w:tab w:val="left" w:pos="2940"/>
        </w:tabs>
        <w:ind w:left="2940" w:hanging="420"/>
      </w:pPr>
      <w:rPr>
        <w:rFonts w:hint="default" w:ascii="Wingdings" w:hAnsi="Wingdings"/>
      </w:rPr>
    </w:lvl>
    <w:lvl w:ilvl="4" w:tentative="0">
      <w:start w:val="1"/>
      <w:numFmt w:val="bullet"/>
      <w:lvlText w:val=""/>
      <w:lvlJc w:val="left"/>
      <w:pPr>
        <w:tabs>
          <w:tab w:val="left" w:pos="3360"/>
        </w:tabs>
        <w:ind w:left="3360" w:hanging="420"/>
      </w:pPr>
      <w:rPr>
        <w:rFonts w:hint="default" w:ascii="Wingdings" w:hAnsi="Wingdings"/>
      </w:rPr>
    </w:lvl>
    <w:lvl w:ilvl="5" w:tentative="0">
      <w:start w:val="1"/>
      <w:numFmt w:val="bullet"/>
      <w:lvlText w:val=""/>
      <w:lvlJc w:val="left"/>
      <w:pPr>
        <w:tabs>
          <w:tab w:val="left" w:pos="3780"/>
        </w:tabs>
        <w:ind w:left="3780" w:hanging="420"/>
      </w:pPr>
      <w:rPr>
        <w:rFonts w:hint="default" w:ascii="Wingdings" w:hAnsi="Wingdings"/>
      </w:rPr>
    </w:lvl>
    <w:lvl w:ilvl="6" w:tentative="0">
      <w:start w:val="1"/>
      <w:numFmt w:val="bullet"/>
      <w:lvlText w:val=""/>
      <w:lvlJc w:val="left"/>
      <w:pPr>
        <w:tabs>
          <w:tab w:val="left" w:pos="4200"/>
        </w:tabs>
        <w:ind w:left="4200" w:hanging="420"/>
      </w:pPr>
      <w:rPr>
        <w:rFonts w:hint="default" w:ascii="Wingdings" w:hAnsi="Wingdings"/>
      </w:rPr>
    </w:lvl>
    <w:lvl w:ilvl="7" w:tentative="0">
      <w:start w:val="1"/>
      <w:numFmt w:val="bullet"/>
      <w:lvlText w:val=""/>
      <w:lvlJc w:val="left"/>
      <w:pPr>
        <w:tabs>
          <w:tab w:val="left" w:pos="4620"/>
        </w:tabs>
        <w:ind w:left="4620" w:hanging="420"/>
      </w:pPr>
      <w:rPr>
        <w:rFonts w:hint="default" w:ascii="Wingdings" w:hAnsi="Wingdings"/>
      </w:rPr>
    </w:lvl>
    <w:lvl w:ilvl="8" w:tentative="0">
      <w:start w:val="1"/>
      <w:numFmt w:val="bullet"/>
      <w:lvlText w:val=""/>
      <w:lvlJc w:val="left"/>
      <w:pPr>
        <w:tabs>
          <w:tab w:val="left" w:pos="5040"/>
        </w:tabs>
        <w:ind w:left="5040" w:hanging="420"/>
      </w:pPr>
      <w:rPr>
        <w:rFonts w:hint="default" w:ascii="Wingdings" w:hAnsi="Wingdings"/>
      </w:rPr>
    </w:lvl>
  </w:abstractNum>
  <w:abstractNum w:abstractNumId="15">
    <w:nsid w:val="4D127B90"/>
    <w:multiLevelType w:val="multilevel"/>
    <w:tmpl w:val="4D127B90"/>
    <w:lvl w:ilvl="0" w:tentative="0">
      <w:start w:val="1"/>
      <w:numFmt w:val="decimal"/>
      <w:lvlText w:val="（%1）"/>
      <w:lvlJc w:val="left"/>
      <w:pPr>
        <w:tabs>
          <w:tab w:val="left" w:pos="857"/>
        </w:tabs>
        <w:ind w:left="1141" w:hanging="574"/>
      </w:pPr>
      <w:rPr>
        <w:rFonts w:hint="eastAsia"/>
      </w:rPr>
    </w:lvl>
    <w:lvl w:ilvl="1" w:tentative="0">
      <w:start w:val="1"/>
      <w:numFmt w:val="lowerLetter"/>
      <w:lvlText w:val="%2."/>
      <w:lvlJc w:val="left"/>
      <w:pPr>
        <w:tabs>
          <w:tab w:val="left" w:pos="927"/>
        </w:tabs>
        <w:ind w:left="927" w:hanging="360"/>
      </w:pPr>
      <w:rPr>
        <w:rFonts w:hint="eastAsia"/>
      </w:rPr>
    </w:lvl>
    <w:lvl w:ilvl="2" w:tentative="0">
      <w:start w:val="1"/>
      <w:numFmt w:val="lowerRoman"/>
      <w:lvlText w:val="%3."/>
      <w:lvlJc w:val="right"/>
      <w:pPr>
        <w:tabs>
          <w:tab w:val="left" w:pos="1407"/>
        </w:tabs>
        <w:ind w:left="1407" w:hanging="420"/>
      </w:pPr>
      <w:rPr>
        <w:rFonts w:hint="eastAsia"/>
      </w:rPr>
    </w:lvl>
    <w:lvl w:ilvl="3" w:tentative="0">
      <w:start w:val="1"/>
      <w:numFmt w:val="decimal"/>
      <w:lvlText w:val="%4."/>
      <w:lvlJc w:val="left"/>
      <w:pPr>
        <w:tabs>
          <w:tab w:val="left" w:pos="1827"/>
        </w:tabs>
        <w:ind w:left="1827" w:hanging="420"/>
      </w:pPr>
      <w:rPr>
        <w:rFonts w:hint="eastAsia"/>
      </w:rPr>
    </w:lvl>
    <w:lvl w:ilvl="4" w:tentative="0">
      <w:start w:val="1"/>
      <w:numFmt w:val="lowerLetter"/>
      <w:lvlText w:val="%5)"/>
      <w:lvlJc w:val="left"/>
      <w:pPr>
        <w:tabs>
          <w:tab w:val="left" w:pos="2247"/>
        </w:tabs>
        <w:ind w:left="2247" w:hanging="420"/>
      </w:pPr>
      <w:rPr>
        <w:rFonts w:hint="eastAsia"/>
      </w:rPr>
    </w:lvl>
    <w:lvl w:ilvl="5" w:tentative="0">
      <w:start w:val="1"/>
      <w:numFmt w:val="lowerRoman"/>
      <w:lvlText w:val="%6."/>
      <w:lvlJc w:val="right"/>
      <w:pPr>
        <w:tabs>
          <w:tab w:val="left" w:pos="2667"/>
        </w:tabs>
        <w:ind w:left="2667" w:hanging="420"/>
      </w:pPr>
      <w:rPr>
        <w:rFonts w:hint="eastAsia"/>
      </w:rPr>
    </w:lvl>
    <w:lvl w:ilvl="6" w:tentative="0">
      <w:start w:val="1"/>
      <w:numFmt w:val="decimal"/>
      <w:lvlText w:val="%7."/>
      <w:lvlJc w:val="left"/>
      <w:pPr>
        <w:tabs>
          <w:tab w:val="left" w:pos="3087"/>
        </w:tabs>
        <w:ind w:left="3087" w:hanging="420"/>
      </w:pPr>
      <w:rPr>
        <w:rFonts w:hint="eastAsia"/>
      </w:rPr>
    </w:lvl>
    <w:lvl w:ilvl="7" w:tentative="0">
      <w:start w:val="1"/>
      <w:numFmt w:val="lowerLetter"/>
      <w:lvlText w:val="%8)"/>
      <w:lvlJc w:val="left"/>
      <w:pPr>
        <w:tabs>
          <w:tab w:val="left" w:pos="3507"/>
        </w:tabs>
        <w:ind w:left="3507" w:hanging="420"/>
      </w:pPr>
      <w:rPr>
        <w:rFonts w:hint="eastAsia"/>
      </w:rPr>
    </w:lvl>
    <w:lvl w:ilvl="8" w:tentative="0">
      <w:start w:val="1"/>
      <w:numFmt w:val="lowerRoman"/>
      <w:lvlText w:val="%9."/>
      <w:lvlJc w:val="right"/>
      <w:pPr>
        <w:tabs>
          <w:tab w:val="left" w:pos="3927"/>
        </w:tabs>
        <w:ind w:left="3927" w:hanging="420"/>
      </w:pPr>
      <w:rPr>
        <w:rFonts w:hint="eastAsia"/>
      </w:rPr>
    </w:lvl>
  </w:abstractNum>
  <w:abstractNum w:abstractNumId="16">
    <w:nsid w:val="532D24A0"/>
    <w:multiLevelType w:val="multilevel"/>
    <w:tmpl w:val="532D24A0"/>
    <w:lvl w:ilvl="0" w:tentative="0">
      <w:start w:val="1"/>
      <w:numFmt w:val="bullet"/>
      <w:pStyle w:val="841"/>
      <w:lvlText w:val=""/>
      <w:lvlJc w:val="left"/>
      <w:pPr>
        <w:tabs>
          <w:tab w:val="left" w:pos="1687"/>
        </w:tabs>
        <w:ind w:left="16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7">
    <w:nsid w:val="5EFF1E7E"/>
    <w:multiLevelType w:val="multilevel"/>
    <w:tmpl w:val="5EFF1E7E"/>
    <w:lvl w:ilvl="0" w:tentative="0">
      <w:start w:val="1"/>
      <w:numFmt w:val="decimal"/>
      <w:pStyle w:val="807"/>
      <w:lvlText w:val="%1"/>
      <w:lvlJc w:val="left"/>
      <w:pPr>
        <w:tabs>
          <w:tab w:val="left" w:pos="425"/>
        </w:tabs>
        <w:ind w:left="425" w:hanging="42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16"/>
        <w:szCs w:val="0"/>
        <w:u w:val="none" w:color="000000"/>
        <w:shd w:val="clear" w:color="000000" w:fill="000000"/>
        <w:vertAlign w:val="baseline"/>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8">
    <w:nsid w:val="652E6C3F"/>
    <w:multiLevelType w:val="multilevel"/>
    <w:tmpl w:val="652E6C3F"/>
    <w:lvl w:ilvl="0" w:tentative="0">
      <w:start w:val="1"/>
      <w:numFmt w:val="decimal"/>
      <w:lvlText w:val="（%1）"/>
      <w:lvlJc w:val="left"/>
      <w:pPr>
        <w:tabs>
          <w:tab w:val="left" w:pos="945"/>
        </w:tabs>
        <w:ind w:left="945" w:hanging="420"/>
      </w:pPr>
      <w:rPr>
        <w:rFonts w:hint="eastAsia"/>
        <w:lang w:val="en-US"/>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9">
    <w:nsid w:val="76E90DCF"/>
    <w:multiLevelType w:val="multilevel"/>
    <w:tmpl w:val="76E90DCF"/>
    <w:lvl w:ilvl="0" w:tentative="0">
      <w:start w:val="1"/>
      <w:numFmt w:val="bullet"/>
      <w:pStyle w:val="1156"/>
      <w:lvlText w:val=""/>
      <w:lvlJc w:val="left"/>
      <w:pPr>
        <w:tabs>
          <w:tab w:val="left" w:pos="1500"/>
        </w:tabs>
        <w:ind w:left="1500" w:hanging="420"/>
      </w:pPr>
      <w:rPr>
        <w:rFonts w:hint="default" w:ascii="Wingdings" w:hAnsi="Wingdings"/>
      </w:rPr>
    </w:lvl>
    <w:lvl w:ilvl="1" w:tentative="0">
      <w:start w:val="1"/>
      <w:numFmt w:val="bullet"/>
      <w:lvlText w:val=""/>
      <w:lvlJc w:val="left"/>
      <w:pPr>
        <w:tabs>
          <w:tab w:val="left" w:pos="1640"/>
        </w:tabs>
        <w:ind w:left="1640" w:hanging="420"/>
      </w:pPr>
      <w:rPr>
        <w:rFonts w:hint="default" w:ascii="Wingdings" w:hAnsi="Wingdings"/>
      </w:rPr>
    </w:lvl>
    <w:lvl w:ilvl="2" w:tentative="0">
      <w:start w:val="1"/>
      <w:numFmt w:val="bullet"/>
      <w:lvlText w:val=""/>
      <w:lvlJc w:val="left"/>
      <w:pPr>
        <w:tabs>
          <w:tab w:val="left" w:pos="2060"/>
        </w:tabs>
        <w:ind w:left="2060" w:hanging="420"/>
      </w:pPr>
      <w:rPr>
        <w:rFonts w:hint="default" w:ascii="Wingdings" w:hAnsi="Wingdings"/>
      </w:rPr>
    </w:lvl>
    <w:lvl w:ilvl="3" w:tentative="0">
      <w:start w:val="1"/>
      <w:numFmt w:val="bullet"/>
      <w:lvlText w:val=""/>
      <w:lvlJc w:val="left"/>
      <w:pPr>
        <w:tabs>
          <w:tab w:val="left" w:pos="2480"/>
        </w:tabs>
        <w:ind w:left="2480" w:hanging="420"/>
      </w:pPr>
      <w:rPr>
        <w:rFonts w:hint="default" w:ascii="Wingdings" w:hAnsi="Wingdings"/>
      </w:rPr>
    </w:lvl>
    <w:lvl w:ilvl="4" w:tentative="0">
      <w:start w:val="1"/>
      <w:numFmt w:val="bullet"/>
      <w:lvlText w:val=""/>
      <w:lvlJc w:val="left"/>
      <w:pPr>
        <w:tabs>
          <w:tab w:val="left" w:pos="2900"/>
        </w:tabs>
        <w:ind w:left="2900" w:hanging="420"/>
      </w:pPr>
      <w:rPr>
        <w:rFonts w:hint="default" w:ascii="Wingdings" w:hAnsi="Wingdings"/>
      </w:rPr>
    </w:lvl>
    <w:lvl w:ilvl="5" w:tentative="0">
      <w:start w:val="1"/>
      <w:numFmt w:val="bullet"/>
      <w:lvlText w:val=""/>
      <w:lvlJc w:val="left"/>
      <w:pPr>
        <w:tabs>
          <w:tab w:val="left" w:pos="3320"/>
        </w:tabs>
        <w:ind w:left="3320" w:hanging="420"/>
      </w:pPr>
      <w:rPr>
        <w:rFonts w:hint="default" w:ascii="Wingdings" w:hAnsi="Wingdings"/>
      </w:rPr>
    </w:lvl>
    <w:lvl w:ilvl="6" w:tentative="0">
      <w:start w:val="1"/>
      <w:numFmt w:val="bullet"/>
      <w:lvlText w:val=""/>
      <w:lvlJc w:val="left"/>
      <w:pPr>
        <w:tabs>
          <w:tab w:val="left" w:pos="3740"/>
        </w:tabs>
        <w:ind w:left="3740" w:hanging="420"/>
      </w:pPr>
      <w:rPr>
        <w:rFonts w:hint="default" w:ascii="Wingdings" w:hAnsi="Wingdings"/>
      </w:rPr>
    </w:lvl>
    <w:lvl w:ilvl="7" w:tentative="0">
      <w:start w:val="1"/>
      <w:numFmt w:val="bullet"/>
      <w:lvlText w:val=""/>
      <w:lvlJc w:val="left"/>
      <w:pPr>
        <w:tabs>
          <w:tab w:val="left" w:pos="4160"/>
        </w:tabs>
        <w:ind w:left="4160" w:hanging="420"/>
      </w:pPr>
      <w:rPr>
        <w:rFonts w:hint="default" w:ascii="Wingdings" w:hAnsi="Wingdings"/>
      </w:rPr>
    </w:lvl>
    <w:lvl w:ilvl="8" w:tentative="0">
      <w:start w:val="1"/>
      <w:numFmt w:val="bullet"/>
      <w:lvlText w:val=""/>
      <w:lvlJc w:val="left"/>
      <w:pPr>
        <w:tabs>
          <w:tab w:val="left" w:pos="4580"/>
        </w:tabs>
        <w:ind w:left="4580" w:hanging="420"/>
      </w:pPr>
      <w:rPr>
        <w:rFonts w:hint="default" w:ascii="Wingdings" w:hAnsi="Wingdings"/>
      </w:rPr>
    </w:lvl>
  </w:abstractNum>
  <w:abstractNum w:abstractNumId="20">
    <w:nsid w:val="7DC129B6"/>
    <w:multiLevelType w:val="multilevel"/>
    <w:tmpl w:val="7DC129B6"/>
    <w:lvl w:ilvl="0" w:tentative="0">
      <w:start w:val="1"/>
      <w:numFmt w:val="decimal"/>
      <w:lvlText w:val="%1"/>
      <w:lvlJc w:val="left"/>
      <w:pPr>
        <w:tabs>
          <w:tab w:val="left" w:pos="0"/>
        </w:tabs>
        <w:ind w:left="425" w:hanging="425"/>
      </w:pPr>
      <w:rPr>
        <w:rFonts w:hint="default"/>
      </w:rPr>
    </w:lvl>
    <w:lvl w:ilvl="1" w:tentative="0">
      <w:start w:val="1"/>
      <w:numFmt w:val="decimal"/>
      <w:pStyle w:val="1236"/>
      <w:lvlText w:val="%1.%2"/>
      <w:lvlJc w:val="left"/>
      <w:pPr>
        <w:tabs>
          <w:tab w:val="left" w:pos="0"/>
        </w:tabs>
        <w:ind w:left="0" w:firstLine="0"/>
      </w:pPr>
      <w:rPr>
        <w:rFonts w:hint="default"/>
      </w:rPr>
    </w:lvl>
    <w:lvl w:ilvl="2" w:tentative="0">
      <w:start w:val="1"/>
      <w:numFmt w:val="decimal"/>
      <w:lvlText w:val="%1.%2.%3"/>
      <w:lvlJc w:val="left"/>
      <w:pPr>
        <w:tabs>
          <w:tab w:val="left" w:pos="0"/>
        </w:tabs>
        <w:ind w:left="1418" w:hanging="1418"/>
      </w:pPr>
      <w:rPr>
        <w:rFonts w:hint="default"/>
      </w:rPr>
    </w:lvl>
    <w:lvl w:ilvl="3" w:tentative="0">
      <w:start w:val="1"/>
      <w:numFmt w:val="decimal"/>
      <w:lvlText w:val="%1.%2.%3.%4"/>
      <w:lvlJc w:val="left"/>
      <w:pPr>
        <w:tabs>
          <w:tab w:val="left" w:pos="0"/>
        </w:tabs>
        <w:ind w:left="1984" w:hanging="708"/>
      </w:pPr>
      <w:rPr>
        <w:rFonts w:hint="default"/>
      </w:rPr>
    </w:lvl>
    <w:lvl w:ilvl="4" w:tentative="0">
      <w:start w:val="1"/>
      <w:numFmt w:val="decimal"/>
      <w:lvlText w:val="%1.%2.%3.%4.%5"/>
      <w:lvlJc w:val="left"/>
      <w:pPr>
        <w:tabs>
          <w:tab w:val="left" w:pos="0"/>
        </w:tabs>
        <w:ind w:left="2551" w:hanging="850"/>
      </w:pPr>
      <w:rPr>
        <w:rFonts w:hint="default"/>
      </w:rPr>
    </w:lvl>
    <w:lvl w:ilvl="5" w:tentative="0">
      <w:start w:val="1"/>
      <w:numFmt w:val="decimal"/>
      <w:lvlText w:val="%1.%2.%3.%4.%5.%6"/>
      <w:lvlJc w:val="left"/>
      <w:pPr>
        <w:tabs>
          <w:tab w:val="left" w:pos="0"/>
        </w:tabs>
        <w:ind w:left="3260" w:hanging="1134"/>
      </w:pPr>
      <w:rPr>
        <w:rFonts w:hint="default"/>
      </w:rPr>
    </w:lvl>
    <w:lvl w:ilvl="6" w:tentative="0">
      <w:start w:val="1"/>
      <w:numFmt w:val="decimal"/>
      <w:lvlText w:val="%1.%2.%3.%4.%5.%6.%7"/>
      <w:lvlJc w:val="left"/>
      <w:pPr>
        <w:tabs>
          <w:tab w:val="left" w:pos="0"/>
        </w:tabs>
        <w:ind w:left="3827" w:hanging="1276"/>
      </w:pPr>
      <w:rPr>
        <w:rFonts w:hint="default"/>
      </w:rPr>
    </w:lvl>
    <w:lvl w:ilvl="7" w:tentative="0">
      <w:start w:val="1"/>
      <w:numFmt w:val="decimal"/>
      <w:lvlText w:val="%1.%2.%3.%4.%5.%6.%7.%8"/>
      <w:lvlJc w:val="left"/>
      <w:pPr>
        <w:tabs>
          <w:tab w:val="left" w:pos="0"/>
        </w:tabs>
        <w:ind w:left="4394" w:hanging="1418"/>
      </w:pPr>
      <w:rPr>
        <w:rFonts w:hint="default"/>
      </w:rPr>
    </w:lvl>
    <w:lvl w:ilvl="8" w:tentative="0">
      <w:start w:val="1"/>
      <w:numFmt w:val="decimal"/>
      <w:lvlText w:val="%1.%2.%3.%4.%5.%6.%7.%8.%9"/>
      <w:lvlJc w:val="left"/>
      <w:pPr>
        <w:tabs>
          <w:tab w:val="left" w:pos="0"/>
        </w:tabs>
        <w:ind w:left="5102" w:hanging="1700"/>
      </w:pPr>
      <w:rPr>
        <w:rFonts w:hint="default"/>
      </w:rPr>
    </w:lvl>
  </w:abstractNum>
  <w:num w:numId="1">
    <w:abstractNumId w:val="1"/>
  </w:num>
  <w:num w:numId="2">
    <w:abstractNumId w:val="14"/>
  </w:num>
  <w:num w:numId="3">
    <w:abstractNumId w:val="9"/>
  </w:num>
  <w:num w:numId="4">
    <w:abstractNumId w:val="12"/>
  </w:num>
  <w:num w:numId="5">
    <w:abstractNumId w:val="8"/>
  </w:num>
  <w:num w:numId="6">
    <w:abstractNumId w:val="17"/>
  </w:num>
  <w:num w:numId="7">
    <w:abstractNumId w:val="16"/>
  </w:num>
  <w:num w:numId="8">
    <w:abstractNumId w:val="6"/>
  </w:num>
  <w:num w:numId="9">
    <w:abstractNumId w:val="10"/>
  </w:num>
  <w:num w:numId="10">
    <w:abstractNumId w:val="19"/>
  </w:num>
  <w:num w:numId="11">
    <w:abstractNumId w:val="20"/>
  </w:num>
  <w:num w:numId="12">
    <w:abstractNumId w:val="2"/>
  </w:num>
  <w:num w:numId="13">
    <w:abstractNumId w:val="4"/>
  </w:num>
  <w:num w:numId="14">
    <w:abstractNumId w:val="5"/>
  </w:num>
  <w:num w:numId="15">
    <w:abstractNumId w:val="15"/>
  </w:num>
  <w:num w:numId="16">
    <w:abstractNumId w:val="13"/>
  </w:num>
  <w:num w:numId="17">
    <w:abstractNumId w:val="0"/>
  </w:num>
  <w:num w:numId="18">
    <w:abstractNumId w:val="18"/>
  </w:num>
  <w:num w:numId="19">
    <w:abstractNumId w:val="3"/>
  </w:num>
  <w:num w:numId="20">
    <w:abstractNumId w:val="11"/>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documentProtection w:edit="trackedChanges"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xMmFmN2Q5MDc5OGE2M2JiZWJkNzA3NDZjZTJlZmQifQ=="/>
  </w:docVars>
  <w:rsids>
    <w:rsidRoot w:val="000812E4"/>
    <w:rsid w:val="00000191"/>
    <w:rsid w:val="00000AAF"/>
    <w:rsid w:val="00000F70"/>
    <w:rsid w:val="000022E1"/>
    <w:rsid w:val="00003096"/>
    <w:rsid w:val="00003681"/>
    <w:rsid w:val="00003C3C"/>
    <w:rsid w:val="000101CC"/>
    <w:rsid w:val="000110C4"/>
    <w:rsid w:val="00011612"/>
    <w:rsid w:val="00012241"/>
    <w:rsid w:val="0001391D"/>
    <w:rsid w:val="00014A63"/>
    <w:rsid w:val="00016DBC"/>
    <w:rsid w:val="00017B34"/>
    <w:rsid w:val="000212E5"/>
    <w:rsid w:val="0002132F"/>
    <w:rsid w:val="00021944"/>
    <w:rsid w:val="00021A9A"/>
    <w:rsid w:val="00021BAC"/>
    <w:rsid w:val="00022C71"/>
    <w:rsid w:val="00024265"/>
    <w:rsid w:val="000258A8"/>
    <w:rsid w:val="00025EF0"/>
    <w:rsid w:val="00026089"/>
    <w:rsid w:val="000266ED"/>
    <w:rsid w:val="00027C96"/>
    <w:rsid w:val="00030862"/>
    <w:rsid w:val="0003734E"/>
    <w:rsid w:val="000405DB"/>
    <w:rsid w:val="00040BAD"/>
    <w:rsid w:val="000426DB"/>
    <w:rsid w:val="000433B1"/>
    <w:rsid w:val="00043901"/>
    <w:rsid w:val="00043D4F"/>
    <w:rsid w:val="00045086"/>
    <w:rsid w:val="00046E68"/>
    <w:rsid w:val="00047144"/>
    <w:rsid w:val="0004756B"/>
    <w:rsid w:val="00051AF6"/>
    <w:rsid w:val="00051F16"/>
    <w:rsid w:val="000534F5"/>
    <w:rsid w:val="00055B63"/>
    <w:rsid w:val="0005602B"/>
    <w:rsid w:val="000560EA"/>
    <w:rsid w:val="0006468A"/>
    <w:rsid w:val="0006562C"/>
    <w:rsid w:val="00071451"/>
    <w:rsid w:val="00072D82"/>
    <w:rsid w:val="00073B28"/>
    <w:rsid w:val="00075372"/>
    <w:rsid w:val="00076806"/>
    <w:rsid w:val="0008042D"/>
    <w:rsid w:val="000812E4"/>
    <w:rsid w:val="00081DC6"/>
    <w:rsid w:val="000829AA"/>
    <w:rsid w:val="000835BF"/>
    <w:rsid w:val="00083C9D"/>
    <w:rsid w:val="00086BC7"/>
    <w:rsid w:val="00091688"/>
    <w:rsid w:val="000962CE"/>
    <w:rsid w:val="00096E1A"/>
    <w:rsid w:val="000A13EA"/>
    <w:rsid w:val="000A1673"/>
    <w:rsid w:val="000A1814"/>
    <w:rsid w:val="000A1C83"/>
    <w:rsid w:val="000A3388"/>
    <w:rsid w:val="000A3C61"/>
    <w:rsid w:val="000A400D"/>
    <w:rsid w:val="000A6168"/>
    <w:rsid w:val="000A6210"/>
    <w:rsid w:val="000A6CFA"/>
    <w:rsid w:val="000A71EC"/>
    <w:rsid w:val="000B0A46"/>
    <w:rsid w:val="000B0B4F"/>
    <w:rsid w:val="000B0FB9"/>
    <w:rsid w:val="000B2D74"/>
    <w:rsid w:val="000B3055"/>
    <w:rsid w:val="000B32A5"/>
    <w:rsid w:val="000B39DC"/>
    <w:rsid w:val="000B75E5"/>
    <w:rsid w:val="000B7B69"/>
    <w:rsid w:val="000C0209"/>
    <w:rsid w:val="000C1F8C"/>
    <w:rsid w:val="000C2FA5"/>
    <w:rsid w:val="000C4DD9"/>
    <w:rsid w:val="000C5370"/>
    <w:rsid w:val="000C6E3D"/>
    <w:rsid w:val="000C7087"/>
    <w:rsid w:val="000D08F2"/>
    <w:rsid w:val="000D4359"/>
    <w:rsid w:val="000D4A52"/>
    <w:rsid w:val="000D4E4D"/>
    <w:rsid w:val="000D557D"/>
    <w:rsid w:val="000D7576"/>
    <w:rsid w:val="000D777E"/>
    <w:rsid w:val="000D7BFF"/>
    <w:rsid w:val="000E071E"/>
    <w:rsid w:val="000E0DB7"/>
    <w:rsid w:val="000E4B21"/>
    <w:rsid w:val="000E5BFF"/>
    <w:rsid w:val="000E5DA2"/>
    <w:rsid w:val="000E761F"/>
    <w:rsid w:val="000F0CE8"/>
    <w:rsid w:val="000F0E7C"/>
    <w:rsid w:val="000F160A"/>
    <w:rsid w:val="000F383F"/>
    <w:rsid w:val="000F3DB5"/>
    <w:rsid w:val="000F5EB8"/>
    <w:rsid w:val="000F6DEA"/>
    <w:rsid w:val="000F7655"/>
    <w:rsid w:val="000F7670"/>
    <w:rsid w:val="000F7EC8"/>
    <w:rsid w:val="00101707"/>
    <w:rsid w:val="00104E99"/>
    <w:rsid w:val="00106FC1"/>
    <w:rsid w:val="00107CE0"/>
    <w:rsid w:val="00111273"/>
    <w:rsid w:val="0011179B"/>
    <w:rsid w:val="00115476"/>
    <w:rsid w:val="0011617F"/>
    <w:rsid w:val="00116A6A"/>
    <w:rsid w:val="00116D08"/>
    <w:rsid w:val="00117DD7"/>
    <w:rsid w:val="00120027"/>
    <w:rsid w:val="001205E2"/>
    <w:rsid w:val="00124445"/>
    <w:rsid w:val="00125186"/>
    <w:rsid w:val="00125E93"/>
    <w:rsid w:val="00126602"/>
    <w:rsid w:val="001270D1"/>
    <w:rsid w:val="00127754"/>
    <w:rsid w:val="00130D94"/>
    <w:rsid w:val="00131347"/>
    <w:rsid w:val="0013340D"/>
    <w:rsid w:val="001343D1"/>
    <w:rsid w:val="00135CD1"/>
    <w:rsid w:val="00136C33"/>
    <w:rsid w:val="00136EB2"/>
    <w:rsid w:val="00137C68"/>
    <w:rsid w:val="001408EC"/>
    <w:rsid w:val="00141389"/>
    <w:rsid w:val="00145B1F"/>
    <w:rsid w:val="001467B6"/>
    <w:rsid w:val="00147087"/>
    <w:rsid w:val="00150C9D"/>
    <w:rsid w:val="00152AF2"/>
    <w:rsid w:val="00153BA2"/>
    <w:rsid w:val="00156A13"/>
    <w:rsid w:val="0016106D"/>
    <w:rsid w:val="00161F12"/>
    <w:rsid w:val="00162E82"/>
    <w:rsid w:val="0016460C"/>
    <w:rsid w:val="00164919"/>
    <w:rsid w:val="001653CB"/>
    <w:rsid w:val="0016713F"/>
    <w:rsid w:val="00167AC3"/>
    <w:rsid w:val="00172FEB"/>
    <w:rsid w:val="00176B9D"/>
    <w:rsid w:val="00177BB3"/>
    <w:rsid w:val="00180B4C"/>
    <w:rsid w:val="00180F32"/>
    <w:rsid w:val="0018662F"/>
    <w:rsid w:val="0019361F"/>
    <w:rsid w:val="00193635"/>
    <w:rsid w:val="00195ACA"/>
    <w:rsid w:val="00195CAB"/>
    <w:rsid w:val="001960E2"/>
    <w:rsid w:val="00196551"/>
    <w:rsid w:val="001A1C7C"/>
    <w:rsid w:val="001A238B"/>
    <w:rsid w:val="001A2852"/>
    <w:rsid w:val="001A2959"/>
    <w:rsid w:val="001A3A09"/>
    <w:rsid w:val="001A69FC"/>
    <w:rsid w:val="001B0C16"/>
    <w:rsid w:val="001B16A1"/>
    <w:rsid w:val="001B31D4"/>
    <w:rsid w:val="001B549D"/>
    <w:rsid w:val="001C011F"/>
    <w:rsid w:val="001C2D13"/>
    <w:rsid w:val="001C37DB"/>
    <w:rsid w:val="001C4565"/>
    <w:rsid w:val="001C5895"/>
    <w:rsid w:val="001D17A4"/>
    <w:rsid w:val="001D18BE"/>
    <w:rsid w:val="001D2035"/>
    <w:rsid w:val="001D246B"/>
    <w:rsid w:val="001D2E93"/>
    <w:rsid w:val="001D2EF0"/>
    <w:rsid w:val="001D6E82"/>
    <w:rsid w:val="001E10FA"/>
    <w:rsid w:val="001E2396"/>
    <w:rsid w:val="001E355B"/>
    <w:rsid w:val="001E5157"/>
    <w:rsid w:val="001E6D87"/>
    <w:rsid w:val="001F03BB"/>
    <w:rsid w:val="001F2B65"/>
    <w:rsid w:val="001F3A29"/>
    <w:rsid w:val="001F4DC3"/>
    <w:rsid w:val="001F6564"/>
    <w:rsid w:val="001F747F"/>
    <w:rsid w:val="001F79E3"/>
    <w:rsid w:val="001F7BBE"/>
    <w:rsid w:val="00201785"/>
    <w:rsid w:val="00202032"/>
    <w:rsid w:val="00203E1A"/>
    <w:rsid w:val="00205052"/>
    <w:rsid w:val="002060BC"/>
    <w:rsid w:val="0020652D"/>
    <w:rsid w:val="00213C4C"/>
    <w:rsid w:val="002159BE"/>
    <w:rsid w:val="00217999"/>
    <w:rsid w:val="00220207"/>
    <w:rsid w:val="00220668"/>
    <w:rsid w:val="0022320C"/>
    <w:rsid w:val="00223528"/>
    <w:rsid w:val="0022598C"/>
    <w:rsid w:val="00225F7D"/>
    <w:rsid w:val="00226468"/>
    <w:rsid w:val="00227EF6"/>
    <w:rsid w:val="0023128A"/>
    <w:rsid w:val="0023167E"/>
    <w:rsid w:val="00231749"/>
    <w:rsid w:val="00234220"/>
    <w:rsid w:val="00234D8F"/>
    <w:rsid w:val="00236EE0"/>
    <w:rsid w:val="00237804"/>
    <w:rsid w:val="00241A49"/>
    <w:rsid w:val="00241A4E"/>
    <w:rsid w:val="00241FD2"/>
    <w:rsid w:val="00242F9C"/>
    <w:rsid w:val="00243714"/>
    <w:rsid w:val="002459DB"/>
    <w:rsid w:val="0025208A"/>
    <w:rsid w:val="002545D1"/>
    <w:rsid w:val="0025488F"/>
    <w:rsid w:val="00255608"/>
    <w:rsid w:val="002556D6"/>
    <w:rsid w:val="002560D2"/>
    <w:rsid w:val="00256C99"/>
    <w:rsid w:val="00257155"/>
    <w:rsid w:val="0025780B"/>
    <w:rsid w:val="00260093"/>
    <w:rsid w:val="002613D2"/>
    <w:rsid w:val="00261AEB"/>
    <w:rsid w:val="002647A8"/>
    <w:rsid w:val="002657F2"/>
    <w:rsid w:val="002664D6"/>
    <w:rsid w:val="00266C9F"/>
    <w:rsid w:val="00267E5F"/>
    <w:rsid w:val="00270CCF"/>
    <w:rsid w:val="00271339"/>
    <w:rsid w:val="00272B5E"/>
    <w:rsid w:val="0027383A"/>
    <w:rsid w:val="00274AEB"/>
    <w:rsid w:val="00275B89"/>
    <w:rsid w:val="00277757"/>
    <w:rsid w:val="0028077F"/>
    <w:rsid w:val="002812EA"/>
    <w:rsid w:val="00281312"/>
    <w:rsid w:val="00282288"/>
    <w:rsid w:val="00282759"/>
    <w:rsid w:val="00282949"/>
    <w:rsid w:val="002836D4"/>
    <w:rsid w:val="0028388B"/>
    <w:rsid w:val="002839A5"/>
    <w:rsid w:val="00284853"/>
    <w:rsid w:val="00285506"/>
    <w:rsid w:val="00286B96"/>
    <w:rsid w:val="00287461"/>
    <w:rsid w:val="00287DD2"/>
    <w:rsid w:val="002905AB"/>
    <w:rsid w:val="00291778"/>
    <w:rsid w:val="00291B7B"/>
    <w:rsid w:val="0029429E"/>
    <w:rsid w:val="00294C58"/>
    <w:rsid w:val="0029712C"/>
    <w:rsid w:val="002A06EA"/>
    <w:rsid w:val="002A3C02"/>
    <w:rsid w:val="002A54C2"/>
    <w:rsid w:val="002A7E96"/>
    <w:rsid w:val="002B1454"/>
    <w:rsid w:val="002B3B5A"/>
    <w:rsid w:val="002B7DC8"/>
    <w:rsid w:val="002C0258"/>
    <w:rsid w:val="002C3FDD"/>
    <w:rsid w:val="002C7F6B"/>
    <w:rsid w:val="002D109B"/>
    <w:rsid w:val="002D140A"/>
    <w:rsid w:val="002D1579"/>
    <w:rsid w:val="002D181D"/>
    <w:rsid w:val="002D3961"/>
    <w:rsid w:val="002D4E6B"/>
    <w:rsid w:val="002D56FA"/>
    <w:rsid w:val="002D582D"/>
    <w:rsid w:val="002D63C7"/>
    <w:rsid w:val="002D647B"/>
    <w:rsid w:val="002D6A78"/>
    <w:rsid w:val="002D7D85"/>
    <w:rsid w:val="002D7EA3"/>
    <w:rsid w:val="002E03DF"/>
    <w:rsid w:val="002E2B6A"/>
    <w:rsid w:val="002E2F4F"/>
    <w:rsid w:val="002E41AD"/>
    <w:rsid w:val="002E5F31"/>
    <w:rsid w:val="002E68E3"/>
    <w:rsid w:val="002F2C9E"/>
    <w:rsid w:val="002F3415"/>
    <w:rsid w:val="002F4B86"/>
    <w:rsid w:val="002F4C6A"/>
    <w:rsid w:val="002F6509"/>
    <w:rsid w:val="002F6B89"/>
    <w:rsid w:val="002F7FE5"/>
    <w:rsid w:val="00302638"/>
    <w:rsid w:val="00302C29"/>
    <w:rsid w:val="00304AEC"/>
    <w:rsid w:val="00304BCF"/>
    <w:rsid w:val="00304CB9"/>
    <w:rsid w:val="00304DFA"/>
    <w:rsid w:val="0030653F"/>
    <w:rsid w:val="003118CB"/>
    <w:rsid w:val="0031249D"/>
    <w:rsid w:val="00312DDC"/>
    <w:rsid w:val="003151C3"/>
    <w:rsid w:val="003155F9"/>
    <w:rsid w:val="003156B0"/>
    <w:rsid w:val="003161D1"/>
    <w:rsid w:val="00316B68"/>
    <w:rsid w:val="003177B5"/>
    <w:rsid w:val="00323E7F"/>
    <w:rsid w:val="00325AE2"/>
    <w:rsid w:val="003275CD"/>
    <w:rsid w:val="0033253A"/>
    <w:rsid w:val="00332A37"/>
    <w:rsid w:val="00333A5E"/>
    <w:rsid w:val="003400FD"/>
    <w:rsid w:val="00341640"/>
    <w:rsid w:val="00341D63"/>
    <w:rsid w:val="0034243B"/>
    <w:rsid w:val="00342440"/>
    <w:rsid w:val="00344567"/>
    <w:rsid w:val="003456C3"/>
    <w:rsid w:val="00345D2C"/>
    <w:rsid w:val="00347D7A"/>
    <w:rsid w:val="00350685"/>
    <w:rsid w:val="0035075E"/>
    <w:rsid w:val="00350EC3"/>
    <w:rsid w:val="003515B8"/>
    <w:rsid w:val="003520B1"/>
    <w:rsid w:val="003543BD"/>
    <w:rsid w:val="003552BB"/>
    <w:rsid w:val="0035568A"/>
    <w:rsid w:val="00355C0A"/>
    <w:rsid w:val="00355F5F"/>
    <w:rsid w:val="00357B24"/>
    <w:rsid w:val="00360AB3"/>
    <w:rsid w:val="0036173C"/>
    <w:rsid w:val="00362233"/>
    <w:rsid w:val="003624A0"/>
    <w:rsid w:val="00362D38"/>
    <w:rsid w:val="00363113"/>
    <w:rsid w:val="00365CB3"/>
    <w:rsid w:val="003668B4"/>
    <w:rsid w:val="00367BE2"/>
    <w:rsid w:val="00367CDF"/>
    <w:rsid w:val="00375045"/>
    <w:rsid w:val="003752C7"/>
    <w:rsid w:val="00375A59"/>
    <w:rsid w:val="00375BCD"/>
    <w:rsid w:val="00375FD8"/>
    <w:rsid w:val="00376FAF"/>
    <w:rsid w:val="00381F1A"/>
    <w:rsid w:val="003847CA"/>
    <w:rsid w:val="00384C41"/>
    <w:rsid w:val="00384FA5"/>
    <w:rsid w:val="00386715"/>
    <w:rsid w:val="00387000"/>
    <w:rsid w:val="0038780A"/>
    <w:rsid w:val="00390690"/>
    <w:rsid w:val="003918D8"/>
    <w:rsid w:val="0039254D"/>
    <w:rsid w:val="00392A0E"/>
    <w:rsid w:val="0039528F"/>
    <w:rsid w:val="00396BD2"/>
    <w:rsid w:val="00396F86"/>
    <w:rsid w:val="00397A75"/>
    <w:rsid w:val="00397D5A"/>
    <w:rsid w:val="003A25EC"/>
    <w:rsid w:val="003A2C16"/>
    <w:rsid w:val="003A3A2E"/>
    <w:rsid w:val="003A3B88"/>
    <w:rsid w:val="003A3DEF"/>
    <w:rsid w:val="003A4216"/>
    <w:rsid w:val="003A5C82"/>
    <w:rsid w:val="003A6832"/>
    <w:rsid w:val="003A69D5"/>
    <w:rsid w:val="003B3CDC"/>
    <w:rsid w:val="003B4B2B"/>
    <w:rsid w:val="003B517B"/>
    <w:rsid w:val="003B6162"/>
    <w:rsid w:val="003B7D04"/>
    <w:rsid w:val="003C084D"/>
    <w:rsid w:val="003C2C9B"/>
    <w:rsid w:val="003C4E5A"/>
    <w:rsid w:val="003C52AC"/>
    <w:rsid w:val="003C7CDD"/>
    <w:rsid w:val="003D0404"/>
    <w:rsid w:val="003D0F5D"/>
    <w:rsid w:val="003D0FB2"/>
    <w:rsid w:val="003D432F"/>
    <w:rsid w:val="003D48A7"/>
    <w:rsid w:val="003E30D5"/>
    <w:rsid w:val="003E3400"/>
    <w:rsid w:val="003E37E3"/>
    <w:rsid w:val="003E54A3"/>
    <w:rsid w:val="003E665B"/>
    <w:rsid w:val="003E7425"/>
    <w:rsid w:val="003F1470"/>
    <w:rsid w:val="003F1999"/>
    <w:rsid w:val="003F1AE9"/>
    <w:rsid w:val="003F2B9B"/>
    <w:rsid w:val="003F2FD8"/>
    <w:rsid w:val="003F332B"/>
    <w:rsid w:val="003F3433"/>
    <w:rsid w:val="003F3441"/>
    <w:rsid w:val="003F54FD"/>
    <w:rsid w:val="003F5E33"/>
    <w:rsid w:val="003F6F19"/>
    <w:rsid w:val="003F72F1"/>
    <w:rsid w:val="004023CA"/>
    <w:rsid w:val="00402B73"/>
    <w:rsid w:val="00402BD5"/>
    <w:rsid w:val="00402C9C"/>
    <w:rsid w:val="00411361"/>
    <w:rsid w:val="00411E8F"/>
    <w:rsid w:val="00414057"/>
    <w:rsid w:val="0041463D"/>
    <w:rsid w:val="00414AD4"/>
    <w:rsid w:val="004156C6"/>
    <w:rsid w:val="00416F2C"/>
    <w:rsid w:val="00417D42"/>
    <w:rsid w:val="004201BE"/>
    <w:rsid w:val="00420A65"/>
    <w:rsid w:val="00421207"/>
    <w:rsid w:val="00421389"/>
    <w:rsid w:val="0042275C"/>
    <w:rsid w:val="004231CF"/>
    <w:rsid w:val="0042533E"/>
    <w:rsid w:val="00426507"/>
    <w:rsid w:val="00427A52"/>
    <w:rsid w:val="0043048E"/>
    <w:rsid w:val="0043506D"/>
    <w:rsid w:val="0043586B"/>
    <w:rsid w:val="00435E67"/>
    <w:rsid w:val="00436918"/>
    <w:rsid w:val="0044008C"/>
    <w:rsid w:val="004412A7"/>
    <w:rsid w:val="0044158D"/>
    <w:rsid w:val="00442749"/>
    <w:rsid w:val="00443B17"/>
    <w:rsid w:val="00444DF8"/>
    <w:rsid w:val="00450313"/>
    <w:rsid w:val="00450A1A"/>
    <w:rsid w:val="004521DB"/>
    <w:rsid w:val="00453829"/>
    <w:rsid w:val="004550E0"/>
    <w:rsid w:val="00455106"/>
    <w:rsid w:val="00455B59"/>
    <w:rsid w:val="0045725A"/>
    <w:rsid w:val="0046049F"/>
    <w:rsid w:val="004606B9"/>
    <w:rsid w:val="00460BE1"/>
    <w:rsid w:val="004620E7"/>
    <w:rsid w:val="00462BCE"/>
    <w:rsid w:val="00463832"/>
    <w:rsid w:val="0046439B"/>
    <w:rsid w:val="004664E3"/>
    <w:rsid w:val="0046661C"/>
    <w:rsid w:val="00467C6A"/>
    <w:rsid w:val="00470EBB"/>
    <w:rsid w:val="00471926"/>
    <w:rsid w:val="00472A5F"/>
    <w:rsid w:val="00472CB3"/>
    <w:rsid w:val="00472E9E"/>
    <w:rsid w:val="00475B2E"/>
    <w:rsid w:val="0048128B"/>
    <w:rsid w:val="00483820"/>
    <w:rsid w:val="00484170"/>
    <w:rsid w:val="00487AF0"/>
    <w:rsid w:val="004906FB"/>
    <w:rsid w:val="00492FE1"/>
    <w:rsid w:val="0049540C"/>
    <w:rsid w:val="00495A87"/>
    <w:rsid w:val="004966C6"/>
    <w:rsid w:val="00496C00"/>
    <w:rsid w:val="00496CBC"/>
    <w:rsid w:val="00497544"/>
    <w:rsid w:val="004A1F4E"/>
    <w:rsid w:val="004A2BF9"/>
    <w:rsid w:val="004A48D8"/>
    <w:rsid w:val="004A5FF2"/>
    <w:rsid w:val="004B0533"/>
    <w:rsid w:val="004B3F74"/>
    <w:rsid w:val="004B484E"/>
    <w:rsid w:val="004B52A2"/>
    <w:rsid w:val="004B7577"/>
    <w:rsid w:val="004C2C8E"/>
    <w:rsid w:val="004C3D4A"/>
    <w:rsid w:val="004C46D3"/>
    <w:rsid w:val="004C4C81"/>
    <w:rsid w:val="004D05A9"/>
    <w:rsid w:val="004D05FE"/>
    <w:rsid w:val="004D0663"/>
    <w:rsid w:val="004D19C8"/>
    <w:rsid w:val="004D3C0E"/>
    <w:rsid w:val="004D4077"/>
    <w:rsid w:val="004D4F29"/>
    <w:rsid w:val="004D5A29"/>
    <w:rsid w:val="004D7203"/>
    <w:rsid w:val="004D7821"/>
    <w:rsid w:val="004E1E09"/>
    <w:rsid w:val="004E3642"/>
    <w:rsid w:val="004E67E6"/>
    <w:rsid w:val="004E78F9"/>
    <w:rsid w:val="004F20FE"/>
    <w:rsid w:val="004F5021"/>
    <w:rsid w:val="004F5D95"/>
    <w:rsid w:val="004F611B"/>
    <w:rsid w:val="005002F2"/>
    <w:rsid w:val="0050072A"/>
    <w:rsid w:val="00501E25"/>
    <w:rsid w:val="00504733"/>
    <w:rsid w:val="00504803"/>
    <w:rsid w:val="00504E43"/>
    <w:rsid w:val="00506708"/>
    <w:rsid w:val="00506849"/>
    <w:rsid w:val="00506C73"/>
    <w:rsid w:val="0051227F"/>
    <w:rsid w:val="00512901"/>
    <w:rsid w:val="00512EE5"/>
    <w:rsid w:val="0051348C"/>
    <w:rsid w:val="00513924"/>
    <w:rsid w:val="00514BFE"/>
    <w:rsid w:val="00514F63"/>
    <w:rsid w:val="00515962"/>
    <w:rsid w:val="00517F7B"/>
    <w:rsid w:val="00520D25"/>
    <w:rsid w:val="00521325"/>
    <w:rsid w:val="00522100"/>
    <w:rsid w:val="00522A47"/>
    <w:rsid w:val="0052356B"/>
    <w:rsid w:val="00525752"/>
    <w:rsid w:val="00527787"/>
    <w:rsid w:val="00530338"/>
    <w:rsid w:val="005317E8"/>
    <w:rsid w:val="0053247B"/>
    <w:rsid w:val="005324A0"/>
    <w:rsid w:val="00534246"/>
    <w:rsid w:val="00534CF1"/>
    <w:rsid w:val="00536E30"/>
    <w:rsid w:val="00536EC4"/>
    <w:rsid w:val="00540F76"/>
    <w:rsid w:val="00544E41"/>
    <w:rsid w:val="00545A17"/>
    <w:rsid w:val="005505D4"/>
    <w:rsid w:val="00551A79"/>
    <w:rsid w:val="005557B4"/>
    <w:rsid w:val="00556C6F"/>
    <w:rsid w:val="0056065C"/>
    <w:rsid w:val="00561F9C"/>
    <w:rsid w:val="0056288D"/>
    <w:rsid w:val="00563BC9"/>
    <w:rsid w:val="00565AAD"/>
    <w:rsid w:val="00565EAE"/>
    <w:rsid w:val="00566AF3"/>
    <w:rsid w:val="00567779"/>
    <w:rsid w:val="0057103A"/>
    <w:rsid w:val="00572CEC"/>
    <w:rsid w:val="005741D3"/>
    <w:rsid w:val="005756DD"/>
    <w:rsid w:val="0057610E"/>
    <w:rsid w:val="00577076"/>
    <w:rsid w:val="0058106E"/>
    <w:rsid w:val="005825C6"/>
    <w:rsid w:val="00584568"/>
    <w:rsid w:val="00585DF4"/>
    <w:rsid w:val="00590B5D"/>
    <w:rsid w:val="00590E50"/>
    <w:rsid w:val="005929BB"/>
    <w:rsid w:val="005A0823"/>
    <w:rsid w:val="005A0FE7"/>
    <w:rsid w:val="005A1A48"/>
    <w:rsid w:val="005A2D78"/>
    <w:rsid w:val="005A30F9"/>
    <w:rsid w:val="005A40BC"/>
    <w:rsid w:val="005B0087"/>
    <w:rsid w:val="005B0503"/>
    <w:rsid w:val="005B2A83"/>
    <w:rsid w:val="005B65C8"/>
    <w:rsid w:val="005B74EC"/>
    <w:rsid w:val="005B7834"/>
    <w:rsid w:val="005C1E62"/>
    <w:rsid w:val="005C3467"/>
    <w:rsid w:val="005C3A8F"/>
    <w:rsid w:val="005C44B9"/>
    <w:rsid w:val="005C4A53"/>
    <w:rsid w:val="005C6975"/>
    <w:rsid w:val="005D1322"/>
    <w:rsid w:val="005D1956"/>
    <w:rsid w:val="005D1BED"/>
    <w:rsid w:val="005D1F3B"/>
    <w:rsid w:val="005D2294"/>
    <w:rsid w:val="005D26A0"/>
    <w:rsid w:val="005D2DD6"/>
    <w:rsid w:val="005D4506"/>
    <w:rsid w:val="005D4D95"/>
    <w:rsid w:val="005D5749"/>
    <w:rsid w:val="005D6ADB"/>
    <w:rsid w:val="005E2CE0"/>
    <w:rsid w:val="005E38B6"/>
    <w:rsid w:val="005E569F"/>
    <w:rsid w:val="005E5B11"/>
    <w:rsid w:val="005E69D8"/>
    <w:rsid w:val="005F481F"/>
    <w:rsid w:val="005F4926"/>
    <w:rsid w:val="005F502D"/>
    <w:rsid w:val="005F5358"/>
    <w:rsid w:val="005F615C"/>
    <w:rsid w:val="0060082B"/>
    <w:rsid w:val="00603B62"/>
    <w:rsid w:val="006056B0"/>
    <w:rsid w:val="006060EE"/>
    <w:rsid w:val="00606AA5"/>
    <w:rsid w:val="00606C2C"/>
    <w:rsid w:val="00607F22"/>
    <w:rsid w:val="00611FB4"/>
    <w:rsid w:val="0061332C"/>
    <w:rsid w:val="00613D40"/>
    <w:rsid w:val="00613DE6"/>
    <w:rsid w:val="00615354"/>
    <w:rsid w:val="00615D29"/>
    <w:rsid w:val="00616933"/>
    <w:rsid w:val="00617296"/>
    <w:rsid w:val="00617E8F"/>
    <w:rsid w:val="006215CB"/>
    <w:rsid w:val="00623291"/>
    <w:rsid w:val="00623F80"/>
    <w:rsid w:val="00625472"/>
    <w:rsid w:val="00625571"/>
    <w:rsid w:val="006255F7"/>
    <w:rsid w:val="00625BBA"/>
    <w:rsid w:val="00626641"/>
    <w:rsid w:val="00630AF9"/>
    <w:rsid w:val="00630BD2"/>
    <w:rsid w:val="006324D6"/>
    <w:rsid w:val="00633C0E"/>
    <w:rsid w:val="00635255"/>
    <w:rsid w:val="00636ADF"/>
    <w:rsid w:val="0064003B"/>
    <w:rsid w:val="0064246F"/>
    <w:rsid w:val="00642E8D"/>
    <w:rsid w:val="006434E1"/>
    <w:rsid w:val="006437A9"/>
    <w:rsid w:val="00644DA0"/>
    <w:rsid w:val="00645500"/>
    <w:rsid w:val="00646551"/>
    <w:rsid w:val="00646BE0"/>
    <w:rsid w:val="0064777E"/>
    <w:rsid w:val="0065125C"/>
    <w:rsid w:val="00651768"/>
    <w:rsid w:val="006531D5"/>
    <w:rsid w:val="00657313"/>
    <w:rsid w:val="006614CA"/>
    <w:rsid w:val="00666E6B"/>
    <w:rsid w:val="00670DEC"/>
    <w:rsid w:val="0067238A"/>
    <w:rsid w:val="006779E6"/>
    <w:rsid w:val="006836AB"/>
    <w:rsid w:val="006842CA"/>
    <w:rsid w:val="0068490D"/>
    <w:rsid w:val="0068571D"/>
    <w:rsid w:val="00685834"/>
    <w:rsid w:val="00687B38"/>
    <w:rsid w:val="006904B5"/>
    <w:rsid w:val="00690862"/>
    <w:rsid w:val="006927CE"/>
    <w:rsid w:val="00693050"/>
    <w:rsid w:val="00693195"/>
    <w:rsid w:val="006939DE"/>
    <w:rsid w:val="0069403C"/>
    <w:rsid w:val="00694BB7"/>
    <w:rsid w:val="00694D7B"/>
    <w:rsid w:val="00696663"/>
    <w:rsid w:val="006972AB"/>
    <w:rsid w:val="00697631"/>
    <w:rsid w:val="006A0360"/>
    <w:rsid w:val="006A0C3F"/>
    <w:rsid w:val="006A14F7"/>
    <w:rsid w:val="006A3FD0"/>
    <w:rsid w:val="006A3FE9"/>
    <w:rsid w:val="006A4222"/>
    <w:rsid w:val="006A4C1C"/>
    <w:rsid w:val="006A5F64"/>
    <w:rsid w:val="006A727B"/>
    <w:rsid w:val="006A7E9C"/>
    <w:rsid w:val="006B2A26"/>
    <w:rsid w:val="006B4F02"/>
    <w:rsid w:val="006B51F5"/>
    <w:rsid w:val="006B5A64"/>
    <w:rsid w:val="006B6374"/>
    <w:rsid w:val="006C19B9"/>
    <w:rsid w:val="006C1D5D"/>
    <w:rsid w:val="006C20C2"/>
    <w:rsid w:val="006C3389"/>
    <w:rsid w:val="006C3F82"/>
    <w:rsid w:val="006C6DD4"/>
    <w:rsid w:val="006D104E"/>
    <w:rsid w:val="006D14AF"/>
    <w:rsid w:val="006D3D37"/>
    <w:rsid w:val="006D583D"/>
    <w:rsid w:val="006D723F"/>
    <w:rsid w:val="006E34C7"/>
    <w:rsid w:val="006E3CEE"/>
    <w:rsid w:val="006E69FD"/>
    <w:rsid w:val="006E7A4A"/>
    <w:rsid w:val="006E7D80"/>
    <w:rsid w:val="006F0016"/>
    <w:rsid w:val="006F0C68"/>
    <w:rsid w:val="006F2852"/>
    <w:rsid w:val="006F2C7B"/>
    <w:rsid w:val="006F35BE"/>
    <w:rsid w:val="006F586E"/>
    <w:rsid w:val="006F622F"/>
    <w:rsid w:val="006F76A8"/>
    <w:rsid w:val="00701506"/>
    <w:rsid w:val="00702B3E"/>
    <w:rsid w:val="007034FB"/>
    <w:rsid w:val="00703B7B"/>
    <w:rsid w:val="00703DA6"/>
    <w:rsid w:val="00704B43"/>
    <w:rsid w:val="00704CD7"/>
    <w:rsid w:val="007116BC"/>
    <w:rsid w:val="007121DB"/>
    <w:rsid w:val="007151B4"/>
    <w:rsid w:val="00716D2B"/>
    <w:rsid w:val="007173F7"/>
    <w:rsid w:val="00720873"/>
    <w:rsid w:val="0072133C"/>
    <w:rsid w:val="00721D0C"/>
    <w:rsid w:val="007232D9"/>
    <w:rsid w:val="0072350A"/>
    <w:rsid w:val="007248E8"/>
    <w:rsid w:val="00727075"/>
    <w:rsid w:val="00727E72"/>
    <w:rsid w:val="00730152"/>
    <w:rsid w:val="00731C76"/>
    <w:rsid w:val="00731DFD"/>
    <w:rsid w:val="00732232"/>
    <w:rsid w:val="00735662"/>
    <w:rsid w:val="00736CAC"/>
    <w:rsid w:val="00737F52"/>
    <w:rsid w:val="00740D20"/>
    <w:rsid w:val="0074103D"/>
    <w:rsid w:val="0074196D"/>
    <w:rsid w:val="00743E77"/>
    <w:rsid w:val="0074413A"/>
    <w:rsid w:val="0074496D"/>
    <w:rsid w:val="00746965"/>
    <w:rsid w:val="007478BB"/>
    <w:rsid w:val="007501B3"/>
    <w:rsid w:val="00751626"/>
    <w:rsid w:val="00751A0D"/>
    <w:rsid w:val="00753685"/>
    <w:rsid w:val="0075404D"/>
    <w:rsid w:val="007557FB"/>
    <w:rsid w:val="00756719"/>
    <w:rsid w:val="007573AB"/>
    <w:rsid w:val="007634AB"/>
    <w:rsid w:val="00763829"/>
    <w:rsid w:val="00764048"/>
    <w:rsid w:val="007640DA"/>
    <w:rsid w:val="00765369"/>
    <w:rsid w:val="00767B5A"/>
    <w:rsid w:val="00767C62"/>
    <w:rsid w:val="00770CB0"/>
    <w:rsid w:val="007720B8"/>
    <w:rsid w:val="007724CC"/>
    <w:rsid w:val="007740AC"/>
    <w:rsid w:val="00775611"/>
    <w:rsid w:val="00775B71"/>
    <w:rsid w:val="00776DD2"/>
    <w:rsid w:val="00784824"/>
    <w:rsid w:val="00785C0F"/>
    <w:rsid w:val="0078743F"/>
    <w:rsid w:val="0079195D"/>
    <w:rsid w:val="007922B3"/>
    <w:rsid w:val="007954CA"/>
    <w:rsid w:val="00795EEC"/>
    <w:rsid w:val="007960BA"/>
    <w:rsid w:val="007A264B"/>
    <w:rsid w:val="007A2DE7"/>
    <w:rsid w:val="007A4AE5"/>
    <w:rsid w:val="007A59C4"/>
    <w:rsid w:val="007A5C27"/>
    <w:rsid w:val="007A6C5E"/>
    <w:rsid w:val="007A758C"/>
    <w:rsid w:val="007B41DE"/>
    <w:rsid w:val="007C1437"/>
    <w:rsid w:val="007C31A8"/>
    <w:rsid w:val="007C3EF8"/>
    <w:rsid w:val="007C5533"/>
    <w:rsid w:val="007C5704"/>
    <w:rsid w:val="007C653C"/>
    <w:rsid w:val="007C66F6"/>
    <w:rsid w:val="007C739A"/>
    <w:rsid w:val="007D3210"/>
    <w:rsid w:val="007D3521"/>
    <w:rsid w:val="007D398B"/>
    <w:rsid w:val="007D3F73"/>
    <w:rsid w:val="007D42DD"/>
    <w:rsid w:val="007D4C04"/>
    <w:rsid w:val="007D4DCE"/>
    <w:rsid w:val="007D527E"/>
    <w:rsid w:val="007D7F06"/>
    <w:rsid w:val="007E01F3"/>
    <w:rsid w:val="007E15D6"/>
    <w:rsid w:val="007E1EF9"/>
    <w:rsid w:val="007E2184"/>
    <w:rsid w:val="007E247B"/>
    <w:rsid w:val="007E3FB7"/>
    <w:rsid w:val="007E43BE"/>
    <w:rsid w:val="007E5343"/>
    <w:rsid w:val="007E5779"/>
    <w:rsid w:val="007E7BDF"/>
    <w:rsid w:val="007E7CF5"/>
    <w:rsid w:val="007F08B8"/>
    <w:rsid w:val="007F13B3"/>
    <w:rsid w:val="007F2234"/>
    <w:rsid w:val="007F2391"/>
    <w:rsid w:val="007F5CA1"/>
    <w:rsid w:val="007F5F60"/>
    <w:rsid w:val="008000DD"/>
    <w:rsid w:val="008003C4"/>
    <w:rsid w:val="00801E64"/>
    <w:rsid w:val="0080356A"/>
    <w:rsid w:val="00804E42"/>
    <w:rsid w:val="0080506C"/>
    <w:rsid w:val="0080645B"/>
    <w:rsid w:val="008115F6"/>
    <w:rsid w:val="008138FE"/>
    <w:rsid w:val="008145C0"/>
    <w:rsid w:val="00815441"/>
    <w:rsid w:val="00815638"/>
    <w:rsid w:val="00820306"/>
    <w:rsid w:val="00820E2A"/>
    <w:rsid w:val="0082159F"/>
    <w:rsid w:val="0082263D"/>
    <w:rsid w:val="00822F83"/>
    <w:rsid w:val="00825A0C"/>
    <w:rsid w:val="008270B5"/>
    <w:rsid w:val="008279E6"/>
    <w:rsid w:val="00831D82"/>
    <w:rsid w:val="00837165"/>
    <w:rsid w:val="0084159B"/>
    <w:rsid w:val="00841BA2"/>
    <w:rsid w:val="008452C6"/>
    <w:rsid w:val="0084617E"/>
    <w:rsid w:val="00846DA3"/>
    <w:rsid w:val="0085045F"/>
    <w:rsid w:val="00855014"/>
    <w:rsid w:val="00856675"/>
    <w:rsid w:val="00856C22"/>
    <w:rsid w:val="0085764A"/>
    <w:rsid w:val="0085765A"/>
    <w:rsid w:val="008577EB"/>
    <w:rsid w:val="008579EB"/>
    <w:rsid w:val="00857B19"/>
    <w:rsid w:val="008603AB"/>
    <w:rsid w:val="00861E70"/>
    <w:rsid w:val="008631DC"/>
    <w:rsid w:val="0086371F"/>
    <w:rsid w:val="008651E4"/>
    <w:rsid w:val="00866029"/>
    <w:rsid w:val="0086706F"/>
    <w:rsid w:val="00870BBF"/>
    <w:rsid w:val="0087144E"/>
    <w:rsid w:val="00872590"/>
    <w:rsid w:val="0087409B"/>
    <w:rsid w:val="00874FA1"/>
    <w:rsid w:val="00875327"/>
    <w:rsid w:val="00876AB3"/>
    <w:rsid w:val="008772BD"/>
    <w:rsid w:val="00877320"/>
    <w:rsid w:val="0088042C"/>
    <w:rsid w:val="00881067"/>
    <w:rsid w:val="00883946"/>
    <w:rsid w:val="00885482"/>
    <w:rsid w:val="008868A2"/>
    <w:rsid w:val="00891CF4"/>
    <w:rsid w:val="00892386"/>
    <w:rsid w:val="00892521"/>
    <w:rsid w:val="0089306E"/>
    <w:rsid w:val="0089360F"/>
    <w:rsid w:val="0089400E"/>
    <w:rsid w:val="00894F6A"/>
    <w:rsid w:val="008958DA"/>
    <w:rsid w:val="00895997"/>
    <w:rsid w:val="00896F44"/>
    <w:rsid w:val="00897C4C"/>
    <w:rsid w:val="00897CA8"/>
    <w:rsid w:val="008A172B"/>
    <w:rsid w:val="008A2FB4"/>
    <w:rsid w:val="008A4D0A"/>
    <w:rsid w:val="008A6BF0"/>
    <w:rsid w:val="008A7C3C"/>
    <w:rsid w:val="008A7E02"/>
    <w:rsid w:val="008B0BF1"/>
    <w:rsid w:val="008B11A1"/>
    <w:rsid w:val="008B2825"/>
    <w:rsid w:val="008B40C0"/>
    <w:rsid w:val="008B52C8"/>
    <w:rsid w:val="008B6676"/>
    <w:rsid w:val="008C0B95"/>
    <w:rsid w:val="008C0F5B"/>
    <w:rsid w:val="008C104E"/>
    <w:rsid w:val="008C1D28"/>
    <w:rsid w:val="008C224D"/>
    <w:rsid w:val="008C2584"/>
    <w:rsid w:val="008C2C13"/>
    <w:rsid w:val="008C4372"/>
    <w:rsid w:val="008C45FD"/>
    <w:rsid w:val="008C5CE7"/>
    <w:rsid w:val="008D1A10"/>
    <w:rsid w:val="008D25F9"/>
    <w:rsid w:val="008D2ECD"/>
    <w:rsid w:val="008D3668"/>
    <w:rsid w:val="008D3942"/>
    <w:rsid w:val="008D3D34"/>
    <w:rsid w:val="008D51A6"/>
    <w:rsid w:val="008D6E09"/>
    <w:rsid w:val="008E3B9B"/>
    <w:rsid w:val="008E516C"/>
    <w:rsid w:val="008E633E"/>
    <w:rsid w:val="008E720C"/>
    <w:rsid w:val="008F070C"/>
    <w:rsid w:val="008F165D"/>
    <w:rsid w:val="008F418C"/>
    <w:rsid w:val="008F436E"/>
    <w:rsid w:val="008F5F4A"/>
    <w:rsid w:val="00900A91"/>
    <w:rsid w:val="0090109E"/>
    <w:rsid w:val="00902380"/>
    <w:rsid w:val="0090275C"/>
    <w:rsid w:val="009049ED"/>
    <w:rsid w:val="00906AC4"/>
    <w:rsid w:val="00907E26"/>
    <w:rsid w:val="00911026"/>
    <w:rsid w:val="009110BA"/>
    <w:rsid w:val="00911248"/>
    <w:rsid w:val="0091131C"/>
    <w:rsid w:val="00911C7D"/>
    <w:rsid w:val="009148DB"/>
    <w:rsid w:val="00914DDF"/>
    <w:rsid w:val="00915314"/>
    <w:rsid w:val="009227EB"/>
    <w:rsid w:val="009242A3"/>
    <w:rsid w:val="009257D6"/>
    <w:rsid w:val="00925DF8"/>
    <w:rsid w:val="0092624C"/>
    <w:rsid w:val="00926445"/>
    <w:rsid w:val="00926B1F"/>
    <w:rsid w:val="0092708A"/>
    <w:rsid w:val="00927C84"/>
    <w:rsid w:val="00930A3B"/>
    <w:rsid w:val="00930E36"/>
    <w:rsid w:val="0093203D"/>
    <w:rsid w:val="00932516"/>
    <w:rsid w:val="00933889"/>
    <w:rsid w:val="0093555D"/>
    <w:rsid w:val="00935FDA"/>
    <w:rsid w:val="009362B4"/>
    <w:rsid w:val="00937A8C"/>
    <w:rsid w:val="00937BB5"/>
    <w:rsid w:val="009438FC"/>
    <w:rsid w:val="009442E3"/>
    <w:rsid w:val="00944FD1"/>
    <w:rsid w:val="00946355"/>
    <w:rsid w:val="009477E7"/>
    <w:rsid w:val="00950052"/>
    <w:rsid w:val="00950C06"/>
    <w:rsid w:val="00951716"/>
    <w:rsid w:val="00953B0A"/>
    <w:rsid w:val="00954427"/>
    <w:rsid w:val="00954C70"/>
    <w:rsid w:val="0096090D"/>
    <w:rsid w:val="00962065"/>
    <w:rsid w:val="009661FD"/>
    <w:rsid w:val="00966F0C"/>
    <w:rsid w:val="00972036"/>
    <w:rsid w:val="009724B3"/>
    <w:rsid w:val="00974950"/>
    <w:rsid w:val="00976370"/>
    <w:rsid w:val="00981041"/>
    <w:rsid w:val="00985161"/>
    <w:rsid w:val="00992D49"/>
    <w:rsid w:val="00995C6D"/>
    <w:rsid w:val="009969F1"/>
    <w:rsid w:val="009970DF"/>
    <w:rsid w:val="009A25E6"/>
    <w:rsid w:val="009A2AC4"/>
    <w:rsid w:val="009A35B5"/>
    <w:rsid w:val="009A3612"/>
    <w:rsid w:val="009A399B"/>
    <w:rsid w:val="009A5857"/>
    <w:rsid w:val="009B03C3"/>
    <w:rsid w:val="009B1330"/>
    <w:rsid w:val="009B150A"/>
    <w:rsid w:val="009B27DC"/>
    <w:rsid w:val="009B323F"/>
    <w:rsid w:val="009B41CC"/>
    <w:rsid w:val="009B42F8"/>
    <w:rsid w:val="009B4FAC"/>
    <w:rsid w:val="009B5E74"/>
    <w:rsid w:val="009C0102"/>
    <w:rsid w:val="009C658E"/>
    <w:rsid w:val="009D1140"/>
    <w:rsid w:val="009D3968"/>
    <w:rsid w:val="009D4BA3"/>
    <w:rsid w:val="009D6484"/>
    <w:rsid w:val="009D738A"/>
    <w:rsid w:val="009D7944"/>
    <w:rsid w:val="009E0846"/>
    <w:rsid w:val="009E17CD"/>
    <w:rsid w:val="009E4333"/>
    <w:rsid w:val="009E4F7C"/>
    <w:rsid w:val="009E715E"/>
    <w:rsid w:val="009E7726"/>
    <w:rsid w:val="009F1786"/>
    <w:rsid w:val="009F1850"/>
    <w:rsid w:val="009F2029"/>
    <w:rsid w:val="009F24E8"/>
    <w:rsid w:val="009F38E6"/>
    <w:rsid w:val="009F5F0C"/>
    <w:rsid w:val="009F67C2"/>
    <w:rsid w:val="00A00AEF"/>
    <w:rsid w:val="00A00BD7"/>
    <w:rsid w:val="00A01F11"/>
    <w:rsid w:val="00A03A39"/>
    <w:rsid w:val="00A07BFF"/>
    <w:rsid w:val="00A07D13"/>
    <w:rsid w:val="00A10033"/>
    <w:rsid w:val="00A100C3"/>
    <w:rsid w:val="00A154B4"/>
    <w:rsid w:val="00A1656E"/>
    <w:rsid w:val="00A17546"/>
    <w:rsid w:val="00A17BA5"/>
    <w:rsid w:val="00A17FF1"/>
    <w:rsid w:val="00A21F82"/>
    <w:rsid w:val="00A24372"/>
    <w:rsid w:val="00A2480B"/>
    <w:rsid w:val="00A24B17"/>
    <w:rsid w:val="00A2565D"/>
    <w:rsid w:val="00A25689"/>
    <w:rsid w:val="00A256BC"/>
    <w:rsid w:val="00A310EA"/>
    <w:rsid w:val="00A31FD7"/>
    <w:rsid w:val="00A327EF"/>
    <w:rsid w:val="00A3356B"/>
    <w:rsid w:val="00A33879"/>
    <w:rsid w:val="00A349D6"/>
    <w:rsid w:val="00A35E61"/>
    <w:rsid w:val="00A362C3"/>
    <w:rsid w:val="00A376C8"/>
    <w:rsid w:val="00A41A78"/>
    <w:rsid w:val="00A425BC"/>
    <w:rsid w:val="00A44A0C"/>
    <w:rsid w:val="00A44A83"/>
    <w:rsid w:val="00A44FBB"/>
    <w:rsid w:val="00A472B3"/>
    <w:rsid w:val="00A47B59"/>
    <w:rsid w:val="00A50AA4"/>
    <w:rsid w:val="00A523CA"/>
    <w:rsid w:val="00A545C7"/>
    <w:rsid w:val="00A547C7"/>
    <w:rsid w:val="00A573A4"/>
    <w:rsid w:val="00A57EB2"/>
    <w:rsid w:val="00A60383"/>
    <w:rsid w:val="00A606B1"/>
    <w:rsid w:val="00A61F84"/>
    <w:rsid w:val="00A623CF"/>
    <w:rsid w:val="00A627AC"/>
    <w:rsid w:val="00A629E0"/>
    <w:rsid w:val="00A62E39"/>
    <w:rsid w:val="00A642F3"/>
    <w:rsid w:val="00A64971"/>
    <w:rsid w:val="00A6551D"/>
    <w:rsid w:val="00A65BD3"/>
    <w:rsid w:val="00A7123B"/>
    <w:rsid w:val="00A71A9D"/>
    <w:rsid w:val="00A75307"/>
    <w:rsid w:val="00A7564F"/>
    <w:rsid w:val="00A770F6"/>
    <w:rsid w:val="00A81F22"/>
    <w:rsid w:val="00A83A94"/>
    <w:rsid w:val="00A91294"/>
    <w:rsid w:val="00A9185E"/>
    <w:rsid w:val="00A91FF4"/>
    <w:rsid w:val="00A92603"/>
    <w:rsid w:val="00A94984"/>
    <w:rsid w:val="00A95224"/>
    <w:rsid w:val="00A95F1D"/>
    <w:rsid w:val="00A96FDD"/>
    <w:rsid w:val="00A975C6"/>
    <w:rsid w:val="00AA1109"/>
    <w:rsid w:val="00AA28FB"/>
    <w:rsid w:val="00AA367B"/>
    <w:rsid w:val="00AA4417"/>
    <w:rsid w:val="00AA56E2"/>
    <w:rsid w:val="00AA6384"/>
    <w:rsid w:val="00AB0CD7"/>
    <w:rsid w:val="00AB234E"/>
    <w:rsid w:val="00AB2F1E"/>
    <w:rsid w:val="00AB4F3B"/>
    <w:rsid w:val="00AB5042"/>
    <w:rsid w:val="00AB506B"/>
    <w:rsid w:val="00AB50DF"/>
    <w:rsid w:val="00AB564A"/>
    <w:rsid w:val="00AB7468"/>
    <w:rsid w:val="00AB7A48"/>
    <w:rsid w:val="00AC1A58"/>
    <w:rsid w:val="00AC1CCB"/>
    <w:rsid w:val="00AC3B0D"/>
    <w:rsid w:val="00AC66D1"/>
    <w:rsid w:val="00AC754A"/>
    <w:rsid w:val="00AC7D58"/>
    <w:rsid w:val="00AD09CD"/>
    <w:rsid w:val="00AD0B8C"/>
    <w:rsid w:val="00AD21A6"/>
    <w:rsid w:val="00AD22AB"/>
    <w:rsid w:val="00AD2D35"/>
    <w:rsid w:val="00AD4F65"/>
    <w:rsid w:val="00AD666D"/>
    <w:rsid w:val="00AE1974"/>
    <w:rsid w:val="00AE22F5"/>
    <w:rsid w:val="00AE2CC3"/>
    <w:rsid w:val="00AE4613"/>
    <w:rsid w:val="00AE7BD8"/>
    <w:rsid w:val="00AF01E6"/>
    <w:rsid w:val="00AF0ED2"/>
    <w:rsid w:val="00AF17B9"/>
    <w:rsid w:val="00AF5055"/>
    <w:rsid w:val="00AF7770"/>
    <w:rsid w:val="00B00E09"/>
    <w:rsid w:val="00B00E3C"/>
    <w:rsid w:val="00B00E5F"/>
    <w:rsid w:val="00B0111D"/>
    <w:rsid w:val="00B015D4"/>
    <w:rsid w:val="00B0242D"/>
    <w:rsid w:val="00B02616"/>
    <w:rsid w:val="00B04CC2"/>
    <w:rsid w:val="00B05B01"/>
    <w:rsid w:val="00B05E8D"/>
    <w:rsid w:val="00B0624F"/>
    <w:rsid w:val="00B071FD"/>
    <w:rsid w:val="00B12B4B"/>
    <w:rsid w:val="00B12F51"/>
    <w:rsid w:val="00B13669"/>
    <w:rsid w:val="00B15E65"/>
    <w:rsid w:val="00B1638F"/>
    <w:rsid w:val="00B206E1"/>
    <w:rsid w:val="00B20BB6"/>
    <w:rsid w:val="00B2121C"/>
    <w:rsid w:val="00B2264B"/>
    <w:rsid w:val="00B2397C"/>
    <w:rsid w:val="00B25BAB"/>
    <w:rsid w:val="00B261B3"/>
    <w:rsid w:val="00B304C3"/>
    <w:rsid w:val="00B315ED"/>
    <w:rsid w:val="00B323CA"/>
    <w:rsid w:val="00B32474"/>
    <w:rsid w:val="00B34578"/>
    <w:rsid w:val="00B42C80"/>
    <w:rsid w:val="00B4353F"/>
    <w:rsid w:val="00B508B9"/>
    <w:rsid w:val="00B51672"/>
    <w:rsid w:val="00B518D8"/>
    <w:rsid w:val="00B54357"/>
    <w:rsid w:val="00B54855"/>
    <w:rsid w:val="00B54C59"/>
    <w:rsid w:val="00B55343"/>
    <w:rsid w:val="00B55497"/>
    <w:rsid w:val="00B55E5A"/>
    <w:rsid w:val="00B57EEB"/>
    <w:rsid w:val="00B600A4"/>
    <w:rsid w:val="00B654A6"/>
    <w:rsid w:val="00B6606E"/>
    <w:rsid w:val="00B66512"/>
    <w:rsid w:val="00B669D4"/>
    <w:rsid w:val="00B71A8D"/>
    <w:rsid w:val="00B71DD5"/>
    <w:rsid w:val="00B7481F"/>
    <w:rsid w:val="00B76C30"/>
    <w:rsid w:val="00B77520"/>
    <w:rsid w:val="00B80EFD"/>
    <w:rsid w:val="00B82358"/>
    <w:rsid w:val="00B86934"/>
    <w:rsid w:val="00B8760C"/>
    <w:rsid w:val="00B91EF4"/>
    <w:rsid w:val="00B9207B"/>
    <w:rsid w:val="00B93996"/>
    <w:rsid w:val="00B95E1C"/>
    <w:rsid w:val="00BA000C"/>
    <w:rsid w:val="00BA0A2B"/>
    <w:rsid w:val="00BA1609"/>
    <w:rsid w:val="00BA1FAD"/>
    <w:rsid w:val="00BA24FA"/>
    <w:rsid w:val="00BA54D0"/>
    <w:rsid w:val="00BA79DA"/>
    <w:rsid w:val="00BA7F0E"/>
    <w:rsid w:val="00BB06CF"/>
    <w:rsid w:val="00BB0C83"/>
    <w:rsid w:val="00BB0E5C"/>
    <w:rsid w:val="00BB28B3"/>
    <w:rsid w:val="00BB2F4F"/>
    <w:rsid w:val="00BB57D3"/>
    <w:rsid w:val="00BB5DDF"/>
    <w:rsid w:val="00BB798F"/>
    <w:rsid w:val="00BC3ACF"/>
    <w:rsid w:val="00BC3B26"/>
    <w:rsid w:val="00BC5CDA"/>
    <w:rsid w:val="00BC66B1"/>
    <w:rsid w:val="00BD276E"/>
    <w:rsid w:val="00BD44DE"/>
    <w:rsid w:val="00BD482F"/>
    <w:rsid w:val="00BD598C"/>
    <w:rsid w:val="00BD5CB6"/>
    <w:rsid w:val="00BD7853"/>
    <w:rsid w:val="00BE12D2"/>
    <w:rsid w:val="00BE538D"/>
    <w:rsid w:val="00BE7E3D"/>
    <w:rsid w:val="00BE7FC6"/>
    <w:rsid w:val="00BF07B4"/>
    <w:rsid w:val="00BF2ED4"/>
    <w:rsid w:val="00BF4624"/>
    <w:rsid w:val="00C002C4"/>
    <w:rsid w:val="00C003B6"/>
    <w:rsid w:val="00C027A5"/>
    <w:rsid w:val="00C02A93"/>
    <w:rsid w:val="00C04BD1"/>
    <w:rsid w:val="00C0636D"/>
    <w:rsid w:val="00C06655"/>
    <w:rsid w:val="00C107BF"/>
    <w:rsid w:val="00C1254D"/>
    <w:rsid w:val="00C13337"/>
    <w:rsid w:val="00C14824"/>
    <w:rsid w:val="00C15DDF"/>
    <w:rsid w:val="00C17643"/>
    <w:rsid w:val="00C17F40"/>
    <w:rsid w:val="00C201E1"/>
    <w:rsid w:val="00C22C78"/>
    <w:rsid w:val="00C237B0"/>
    <w:rsid w:val="00C253CB"/>
    <w:rsid w:val="00C26653"/>
    <w:rsid w:val="00C276C5"/>
    <w:rsid w:val="00C3180B"/>
    <w:rsid w:val="00C33205"/>
    <w:rsid w:val="00C34E4D"/>
    <w:rsid w:val="00C35836"/>
    <w:rsid w:val="00C373BF"/>
    <w:rsid w:val="00C3745F"/>
    <w:rsid w:val="00C4036F"/>
    <w:rsid w:val="00C41B37"/>
    <w:rsid w:val="00C41D54"/>
    <w:rsid w:val="00C4379B"/>
    <w:rsid w:val="00C46280"/>
    <w:rsid w:val="00C47E06"/>
    <w:rsid w:val="00C52E60"/>
    <w:rsid w:val="00C52FA3"/>
    <w:rsid w:val="00C53430"/>
    <w:rsid w:val="00C55942"/>
    <w:rsid w:val="00C643FD"/>
    <w:rsid w:val="00C649B0"/>
    <w:rsid w:val="00C66AA4"/>
    <w:rsid w:val="00C7022C"/>
    <w:rsid w:val="00C720B1"/>
    <w:rsid w:val="00C74418"/>
    <w:rsid w:val="00C767DD"/>
    <w:rsid w:val="00C822AE"/>
    <w:rsid w:val="00C870C2"/>
    <w:rsid w:val="00C8774B"/>
    <w:rsid w:val="00C91AAE"/>
    <w:rsid w:val="00C95A42"/>
    <w:rsid w:val="00C95FE2"/>
    <w:rsid w:val="00C9698D"/>
    <w:rsid w:val="00C96E4D"/>
    <w:rsid w:val="00C97830"/>
    <w:rsid w:val="00CA0A83"/>
    <w:rsid w:val="00CA18CF"/>
    <w:rsid w:val="00CA190F"/>
    <w:rsid w:val="00CA2CF3"/>
    <w:rsid w:val="00CA38A1"/>
    <w:rsid w:val="00CA41C2"/>
    <w:rsid w:val="00CA43A9"/>
    <w:rsid w:val="00CA4494"/>
    <w:rsid w:val="00CA5351"/>
    <w:rsid w:val="00CA65FE"/>
    <w:rsid w:val="00CB0CD1"/>
    <w:rsid w:val="00CB19DF"/>
    <w:rsid w:val="00CB3254"/>
    <w:rsid w:val="00CB3479"/>
    <w:rsid w:val="00CB4CB3"/>
    <w:rsid w:val="00CB5A74"/>
    <w:rsid w:val="00CB69D1"/>
    <w:rsid w:val="00CB7EE6"/>
    <w:rsid w:val="00CB7FEF"/>
    <w:rsid w:val="00CC1E1E"/>
    <w:rsid w:val="00CC251F"/>
    <w:rsid w:val="00CC3097"/>
    <w:rsid w:val="00CC30E0"/>
    <w:rsid w:val="00CC3463"/>
    <w:rsid w:val="00CC7221"/>
    <w:rsid w:val="00CD0FFF"/>
    <w:rsid w:val="00CD1304"/>
    <w:rsid w:val="00CD2C39"/>
    <w:rsid w:val="00CD5E81"/>
    <w:rsid w:val="00CD60E5"/>
    <w:rsid w:val="00CD67AD"/>
    <w:rsid w:val="00CE6299"/>
    <w:rsid w:val="00CF0238"/>
    <w:rsid w:val="00CF1FF8"/>
    <w:rsid w:val="00CF3BAE"/>
    <w:rsid w:val="00CF52CF"/>
    <w:rsid w:val="00CF6C99"/>
    <w:rsid w:val="00D00EBF"/>
    <w:rsid w:val="00D01629"/>
    <w:rsid w:val="00D026CA"/>
    <w:rsid w:val="00D02B26"/>
    <w:rsid w:val="00D04043"/>
    <w:rsid w:val="00D05235"/>
    <w:rsid w:val="00D0599B"/>
    <w:rsid w:val="00D060AD"/>
    <w:rsid w:val="00D06CBC"/>
    <w:rsid w:val="00D07C6C"/>
    <w:rsid w:val="00D10231"/>
    <w:rsid w:val="00D10D4F"/>
    <w:rsid w:val="00D10F00"/>
    <w:rsid w:val="00D10FDE"/>
    <w:rsid w:val="00D1217B"/>
    <w:rsid w:val="00D122CA"/>
    <w:rsid w:val="00D13D3B"/>
    <w:rsid w:val="00D16FD9"/>
    <w:rsid w:val="00D20911"/>
    <w:rsid w:val="00D22A75"/>
    <w:rsid w:val="00D243B9"/>
    <w:rsid w:val="00D24FEA"/>
    <w:rsid w:val="00D268F7"/>
    <w:rsid w:val="00D2704E"/>
    <w:rsid w:val="00D276E9"/>
    <w:rsid w:val="00D32427"/>
    <w:rsid w:val="00D3376A"/>
    <w:rsid w:val="00D34B90"/>
    <w:rsid w:val="00D35488"/>
    <w:rsid w:val="00D35ED4"/>
    <w:rsid w:val="00D403D2"/>
    <w:rsid w:val="00D404EE"/>
    <w:rsid w:val="00D4116A"/>
    <w:rsid w:val="00D448FF"/>
    <w:rsid w:val="00D4662A"/>
    <w:rsid w:val="00D514D5"/>
    <w:rsid w:val="00D5167C"/>
    <w:rsid w:val="00D51859"/>
    <w:rsid w:val="00D51FFD"/>
    <w:rsid w:val="00D52472"/>
    <w:rsid w:val="00D543E7"/>
    <w:rsid w:val="00D56837"/>
    <w:rsid w:val="00D60062"/>
    <w:rsid w:val="00D605A9"/>
    <w:rsid w:val="00D61190"/>
    <w:rsid w:val="00D618A1"/>
    <w:rsid w:val="00D62281"/>
    <w:rsid w:val="00D649A4"/>
    <w:rsid w:val="00D67FFE"/>
    <w:rsid w:val="00D703C3"/>
    <w:rsid w:val="00D71F2A"/>
    <w:rsid w:val="00D7590B"/>
    <w:rsid w:val="00D7751E"/>
    <w:rsid w:val="00D807BD"/>
    <w:rsid w:val="00D80944"/>
    <w:rsid w:val="00D81A57"/>
    <w:rsid w:val="00D83972"/>
    <w:rsid w:val="00D842D6"/>
    <w:rsid w:val="00D8513D"/>
    <w:rsid w:val="00D866CD"/>
    <w:rsid w:val="00D90430"/>
    <w:rsid w:val="00D91143"/>
    <w:rsid w:val="00D944F7"/>
    <w:rsid w:val="00D96BBB"/>
    <w:rsid w:val="00DA3608"/>
    <w:rsid w:val="00DA4581"/>
    <w:rsid w:val="00DA4FAC"/>
    <w:rsid w:val="00DA673A"/>
    <w:rsid w:val="00DA7908"/>
    <w:rsid w:val="00DB02C9"/>
    <w:rsid w:val="00DB1C11"/>
    <w:rsid w:val="00DB2390"/>
    <w:rsid w:val="00DB2972"/>
    <w:rsid w:val="00DB2CA5"/>
    <w:rsid w:val="00DB2F20"/>
    <w:rsid w:val="00DB45EE"/>
    <w:rsid w:val="00DB5C5B"/>
    <w:rsid w:val="00DB680F"/>
    <w:rsid w:val="00DB7515"/>
    <w:rsid w:val="00DC5898"/>
    <w:rsid w:val="00DD003E"/>
    <w:rsid w:val="00DD1742"/>
    <w:rsid w:val="00DD4CDD"/>
    <w:rsid w:val="00DD4E48"/>
    <w:rsid w:val="00DD77AA"/>
    <w:rsid w:val="00DE017A"/>
    <w:rsid w:val="00DE21F0"/>
    <w:rsid w:val="00DE304D"/>
    <w:rsid w:val="00DF12AD"/>
    <w:rsid w:val="00DF18FB"/>
    <w:rsid w:val="00DF1BD5"/>
    <w:rsid w:val="00DF323C"/>
    <w:rsid w:val="00E00203"/>
    <w:rsid w:val="00E00D07"/>
    <w:rsid w:val="00E053C8"/>
    <w:rsid w:val="00E07756"/>
    <w:rsid w:val="00E105C1"/>
    <w:rsid w:val="00E13B27"/>
    <w:rsid w:val="00E14797"/>
    <w:rsid w:val="00E150C0"/>
    <w:rsid w:val="00E15E94"/>
    <w:rsid w:val="00E17C48"/>
    <w:rsid w:val="00E20345"/>
    <w:rsid w:val="00E20BAE"/>
    <w:rsid w:val="00E26203"/>
    <w:rsid w:val="00E265F1"/>
    <w:rsid w:val="00E26A1A"/>
    <w:rsid w:val="00E27C9D"/>
    <w:rsid w:val="00E31D8A"/>
    <w:rsid w:val="00E32132"/>
    <w:rsid w:val="00E3263B"/>
    <w:rsid w:val="00E345BE"/>
    <w:rsid w:val="00E34F35"/>
    <w:rsid w:val="00E3709A"/>
    <w:rsid w:val="00E42987"/>
    <w:rsid w:val="00E42E00"/>
    <w:rsid w:val="00E42F41"/>
    <w:rsid w:val="00E4384B"/>
    <w:rsid w:val="00E459D9"/>
    <w:rsid w:val="00E46203"/>
    <w:rsid w:val="00E46E78"/>
    <w:rsid w:val="00E508FD"/>
    <w:rsid w:val="00E50F0B"/>
    <w:rsid w:val="00E5321A"/>
    <w:rsid w:val="00E53B22"/>
    <w:rsid w:val="00E53CA5"/>
    <w:rsid w:val="00E57296"/>
    <w:rsid w:val="00E572C4"/>
    <w:rsid w:val="00E637E3"/>
    <w:rsid w:val="00E6481A"/>
    <w:rsid w:val="00E657A3"/>
    <w:rsid w:val="00E665BD"/>
    <w:rsid w:val="00E6695D"/>
    <w:rsid w:val="00E677CD"/>
    <w:rsid w:val="00E76256"/>
    <w:rsid w:val="00E76FDB"/>
    <w:rsid w:val="00E77B2B"/>
    <w:rsid w:val="00E805F2"/>
    <w:rsid w:val="00E82A7C"/>
    <w:rsid w:val="00E82DF0"/>
    <w:rsid w:val="00E82E91"/>
    <w:rsid w:val="00E838E3"/>
    <w:rsid w:val="00E84AB4"/>
    <w:rsid w:val="00E85E36"/>
    <w:rsid w:val="00E878A6"/>
    <w:rsid w:val="00E87C31"/>
    <w:rsid w:val="00E9004B"/>
    <w:rsid w:val="00E9127E"/>
    <w:rsid w:val="00E92A2C"/>
    <w:rsid w:val="00E931A7"/>
    <w:rsid w:val="00E94A06"/>
    <w:rsid w:val="00E95011"/>
    <w:rsid w:val="00E95A33"/>
    <w:rsid w:val="00E962F3"/>
    <w:rsid w:val="00E96B19"/>
    <w:rsid w:val="00E97BD4"/>
    <w:rsid w:val="00EA008E"/>
    <w:rsid w:val="00EA0D1B"/>
    <w:rsid w:val="00EA16E7"/>
    <w:rsid w:val="00EA197F"/>
    <w:rsid w:val="00EA3D19"/>
    <w:rsid w:val="00EA4B5A"/>
    <w:rsid w:val="00EA6353"/>
    <w:rsid w:val="00EA6ACF"/>
    <w:rsid w:val="00EA7F94"/>
    <w:rsid w:val="00EB0799"/>
    <w:rsid w:val="00EB188F"/>
    <w:rsid w:val="00EB1D67"/>
    <w:rsid w:val="00EB4E32"/>
    <w:rsid w:val="00EB4E34"/>
    <w:rsid w:val="00EB5449"/>
    <w:rsid w:val="00EB557B"/>
    <w:rsid w:val="00EB5756"/>
    <w:rsid w:val="00EB5E4D"/>
    <w:rsid w:val="00EC138C"/>
    <w:rsid w:val="00EC16D7"/>
    <w:rsid w:val="00ED0B16"/>
    <w:rsid w:val="00ED1606"/>
    <w:rsid w:val="00ED204F"/>
    <w:rsid w:val="00ED7775"/>
    <w:rsid w:val="00EE0202"/>
    <w:rsid w:val="00EE16AC"/>
    <w:rsid w:val="00EE1A6D"/>
    <w:rsid w:val="00EE1BA2"/>
    <w:rsid w:val="00EE1D7C"/>
    <w:rsid w:val="00EE36F6"/>
    <w:rsid w:val="00EE3805"/>
    <w:rsid w:val="00EE4526"/>
    <w:rsid w:val="00EF1F98"/>
    <w:rsid w:val="00EF35BC"/>
    <w:rsid w:val="00EF3E70"/>
    <w:rsid w:val="00EF49C9"/>
    <w:rsid w:val="00EF4E25"/>
    <w:rsid w:val="00EF51AD"/>
    <w:rsid w:val="00EF565B"/>
    <w:rsid w:val="00EF6AF0"/>
    <w:rsid w:val="00EF7454"/>
    <w:rsid w:val="00EF7950"/>
    <w:rsid w:val="00EF7E9C"/>
    <w:rsid w:val="00F0082F"/>
    <w:rsid w:val="00F00B96"/>
    <w:rsid w:val="00F00D38"/>
    <w:rsid w:val="00F023F7"/>
    <w:rsid w:val="00F02B13"/>
    <w:rsid w:val="00F03CC8"/>
    <w:rsid w:val="00F0424C"/>
    <w:rsid w:val="00F0677C"/>
    <w:rsid w:val="00F068E4"/>
    <w:rsid w:val="00F0724E"/>
    <w:rsid w:val="00F11EB6"/>
    <w:rsid w:val="00F15908"/>
    <w:rsid w:val="00F15F15"/>
    <w:rsid w:val="00F16B29"/>
    <w:rsid w:val="00F210AD"/>
    <w:rsid w:val="00F227DA"/>
    <w:rsid w:val="00F22EBA"/>
    <w:rsid w:val="00F244CC"/>
    <w:rsid w:val="00F269EB"/>
    <w:rsid w:val="00F26C28"/>
    <w:rsid w:val="00F30393"/>
    <w:rsid w:val="00F34B77"/>
    <w:rsid w:val="00F36184"/>
    <w:rsid w:val="00F37305"/>
    <w:rsid w:val="00F37476"/>
    <w:rsid w:val="00F40D00"/>
    <w:rsid w:val="00F42B63"/>
    <w:rsid w:val="00F43E8C"/>
    <w:rsid w:val="00F472EF"/>
    <w:rsid w:val="00F47EBE"/>
    <w:rsid w:val="00F51B96"/>
    <w:rsid w:val="00F5209C"/>
    <w:rsid w:val="00F52C96"/>
    <w:rsid w:val="00F54638"/>
    <w:rsid w:val="00F54783"/>
    <w:rsid w:val="00F55055"/>
    <w:rsid w:val="00F5573D"/>
    <w:rsid w:val="00F6102C"/>
    <w:rsid w:val="00F64268"/>
    <w:rsid w:val="00F647C9"/>
    <w:rsid w:val="00F6548A"/>
    <w:rsid w:val="00F66885"/>
    <w:rsid w:val="00F66F9A"/>
    <w:rsid w:val="00F7142A"/>
    <w:rsid w:val="00F73150"/>
    <w:rsid w:val="00F75471"/>
    <w:rsid w:val="00F75926"/>
    <w:rsid w:val="00F82238"/>
    <w:rsid w:val="00F857B4"/>
    <w:rsid w:val="00F857B9"/>
    <w:rsid w:val="00F860AB"/>
    <w:rsid w:val="00F86927"/>
    <w:rsid w:val="00F86F14"/>
    <w:rsid w:val="00F87F3C"/>
    <w:rsid w:val="00F95AE1"/>
    <w:rsid w:val="00F95C57"/>
    <w:rsid w:val="00F97C40"/>
    <w:rsid w:val="00FA1945"/>
    <w:rsid w:val="00FA26A4"/>
    <w:rsid w:val="00FA373B"/>
    <w:rsid w:val="00FA38EB"/>
    <w:rsid w:val="00FA46DD"/>
    <w:rsid w:val="00FA6A78"/>
    <w:rsid w:val="00FB00B1"/>
    <w:rsid w:val="00FB0F61"/>
    <w:rsid w:val="00FB142F"/>
    <w:rsid w:val="00FB224B"/>
    <w:rsid w:val="00FB41B9"/>
    <w:rsid w:val="00FB726D"/>
    <w:rsid w:val="00FC0932"/>
    <w:rsid w:val="00FC208B"/>
    <w:rsid w:val="00FC2785"/>
    <w:rsid w:val="00FC2B6C"/>
    <w:rsid w:val="00FC67A4"/>
    <w:rsid w:val="00FC7B7B"/>
    <w:rsid w:val="00FD225E"/>
    <w:rsid w:val="00FD2D03"/>
    <w:rsid w:val="00FD3F50"/>
    <w:rsid w:val="00FD4292"/>
    <w:rsid w:val="00FD78FE"/>
    <w:rsid w:val="00FE050C"/>
    <w:rsid w:val="00FE499E"/>
    <w:rsid w:val="00FE51AF"/>
    <w:rsid w:val="00FE6023"/>
    <w:rsid w:val="00FE65D1"/>
    <w:rsid w:val="00FE6B2D"/>
    <w:rsid w:val="00FE6C02"/>
    <w:rsid w:val="00FE6F9D"/>
    <w:rsid w:val="00FF178C"/>
    <w:rsid w:val="00FF1A47"/>
    <w:rsid w:val="00FF3058"/>
    <w:rsid w:val="00FF49B4"/>
    <w:rsid w:val="00FF52D8"/>
    <w:rsid w:val="01064C3E"/>
    <w:rsid w:val="01135199"/>
    <w:rsid w:val="01287101"/>
    <w:rsid w:val="01514E47"/>
    <w:rsid w:val="01B70956"/>
    <w:rsid w:val="01CC5EE4"/>
    <w:rsid w:val="01D06400"/>
    <w:rsid w:val="01D84888"/>
    <w:rsid w:val="01D87237"/>
    <w:rsid w:val="01E27032"/>
    <w:rsid w:val="01FC45AB"/>
    <w:rsid w:val="02006853"/>
    <w:rsid w:val="020236B3"/>
    <w:rsid w:val="021E3140"/>
    <w:rsid w:val="02296D76"/>
    <w:rsid w:val="022A4CFA"/>
    <w:rsid w:val="023A109F"/>
    <w:rsid w:val="02535CBD"/>
    <w:rsid w:val="02660CA5"/>
    <w:rsid w:val="02666D64"/>
    <w:rsid w:val="02750329"/>
    <w:rsid w:val="027A149C"/>
    <w:rsid w:val="027F1691"/>
    <w:rsid w:val="0284056C"/>
    <w:rsid w:val="0293255D"/>
    <w:rsid w:val="02C40969"/>
    <w:rsid w:val="02D95AEB"/>
    <w:rsid w:val="02DF39F5"/>
    <w:rsid w:val="02E84657"/>
    <w:rsid w:val="03192A63"/>
    <w:rsid w:val="03303212"/>
    <w:rsid w:val="03310013"/>
    <w:rsid w:val="03315E6F"/>
    <w:rsid w:val="033736CD"/>
    <w:rsid w:val="033A0C2B"/>
    <w:rsid w:val="033A51ED"/>
    <w:rsid w:val="033B6E7D"/>
    <w:rsid w:val="034B543C"/>
    <w:rsid w:val="034E6452"/>
    <w:rsid w:val="03542DB4"/>
    <w:rsid w:val="035C6DF3"/>
    <w:rsid w:val="0385668B"/>
    <w:rsid w:val="039444C8"/>
    <w:rsid w:val="03D57FD3"/>
    <w:rsid w:val="03D90444"/>
    <w:rsid w:val="03FC5DE4"/>
    <w:rsid w:val="04022CF4"/>
    <w:rsid w:val="040903E2"/>
    <w:rsid w:val="040E27E3"/>
    <w:rsid w:val="041651F4"/>
    <w:rsid w:val="043013E0"/>
    <w:rsid w:val="043B3AD0"/>
    <w:rsid w:val="043E2923"/>
    <w:rsid w:val="04461F7D"/>
    <w:rsid w:val="044C330C"/>
    <w:rsid w:val="0450113F"/>
    <w:rsid w:val="0453474B"/>
    <w:rsid w:val="045C62D8"/>
    <w:rsid w:val="046606CE"/>
    <w:rsid w:val="046C0B9A"/>
    <w:rsid w:val="04725E21"/>
    <w:rsid w:val="048605CC"/>
    <w:rsid w:val="04B073F7"/>
    <w:rsid w:val="04CD419E"/>
    <w:rsid w:val="04D8694C"/>
    <w:rsid w:val="04E600BC"/>
    <w:rsid w:val="04F80D9E"/>
    <w:rsid w:val="04FB74DF"/>
    <w:rsid w:val="05157BA2"/>
    <w:rsid w:val="05203DB4"/>
    <w:rsid w:val="05257DE5"/>
    <w:rsid w:val="052D4EEB"/>
    <w:rsid w:val="053B774B"/>
    <w:rsid w:val="053D6980"/>
    <w:rsid w:val="054304DC"/>
    <w:rsid w:val="0544686A"/>
    <w:rsid w:val="056A6230"/>
    <w:rsid w:val="057B128C"/>
    <w:rsid w:val="05932B49"/>
    <w:rsid w:val="05960F51"/>
    <w:rsid w:val="05AA2098"/>
    <w:rsid w:val="05AA653C"/>
    <w:rsid w:val="05AE2D3C"/>
    <w:rsid w:val="05B31F16"/>
    <w:rsid w:val="05BF5074"/>
    <w:rsid w:val="05DB04A3"/>
    <w:rsid w:val="05F17CC7"/>
    <w:rsid w:val="061C2EDD"/>
    <w:rsid w:val="064A73D7"/>
    <w:rsid w:val="064E4658"/>
    <w:rsid w:val="065F76C6"/>
    <w:rsid w:val="06947F95"/>
    <w:rsid w:val="06A80768"/>
    <w:rsid w:val="06A967F3"/>
    <w:rsid w:val="06B34F7C"/>
    <w:rsid w:val="06B956E0"/>
    <w:rsid w:val="06C51AED"/>
    <w:rsid w:val="06D975E0"/>
    <w:rsid w:val="06DC788F"/>
    <w:rsid w:val="06DF0467"/>
    <w:rsid w:val="06E93094"/>
    <w:rsid w:val="06FF6413"/>
    <w:rsid w:val="07080FDE"/>
    <w:rsid w:val="072E61D2"/>
    <w:rsid w:val="07331E42"/>
    <w:rsid w:val="07345168"/>
    <w:rsid w:val="074B1659"/>
    <w:rsid w:val="07585B24"/>
    <w:rsid w:val="075F5104"/>
    <w:rsid w:val="077E1034"/>
    <w:rsid w:val="07B23677"/>
    <w:rsid w:val="07CC09EB"/>
    <w:rsid w:val="07F77D37"/>
    <w:rsid w:val="07F817E1"/>
    <w:rsid w:val="082C4FE6"/>
    <w:rsid w:val="08344E44"/>
    <w:rsid w:val="08445E28"/>
    <w:rsid w:val="08682F5A"/>
    <w:rsid w:val="08752E31"/>
    <w:rsid w:val="088178C1"/>
    <w:rsid w:val="088309BE"/>
    <w:rsid w:val="08843074"/>
    <w:rsid w:val="08A92ADB"/>
    <w:rsid w:val="08B0518A"/>
    <w:rsid w:val="08B374B6"/>
    <w:rsid w:val="08B678BB"/>
    <w:rsid w:val="08B84B03"/>
    <w:rsid w:val="08D74823"/>
    <w:rsid w:val="08EE6740"/>
    <w:rsid w:val="08FF2ADA"/>
    <w:rsid w:val="092803B7"/>
    <w:rsid w:val="092D2F3E"/>
    <w:rsid w:val="0947404D"/>
    <w:rsid w:val="09531D27"/>
    <w:rsid w:val="09660FF7"/>
    <w:rsid w:val="09675321"/>
    <w:rsid w:val="096E1EAB"/>
    <w:rsid w:val="096E2F05"/>
    <w:rsid w:val="09783D33"/>
    <w:rsid w:val="09815AA0"/>
    <w:rsid w:val="0986420B"/>
    <w:rsid w:val="099472E7"/>
    <w:rsid w:val="09A908B8"/>
    <w:rsid w:val="09BE25B6"/>
    <w:rsid w:val="09BF42BB"/>
    <w:rsid w:val="09CB082F"/>
    <w:rsid w:val="09D05F18"/>
    <w:rsid w:val="0A0B17A3"/>
    <w:rsid w:val="0A1C1CB1"/>
    <w:rsid w:val="0A3208AE"/>
    <w:rsid w:val="0A40121D"/>
    <w:rsid w:val="0A474C82"/>
    <w:rsid w:val="0A4A0473"/>
    <w:rsid w:val="0A5A06EC"/>
    <w:rsid w:val="0A870EAC"/>
    <w:rsid w:val="0A8735B1"/>
    <w:rsid w:val="0A930C6D"/>
    <w:rsid w:val="0AB25304"/>
    <w:rsid w:val="0ACA0AB6"/>
    <w:rsid w:val="0AD007F3"/>
    <w:rsid w:val="0AD656DD"/>
    <w:rsid w:val="0ADB316A"/>
    <w:rsid w:val="0AF70E5C"/>
    <w:rsid w:val="0AF95070"/>
    <w:rsid w:val="0B0F225E"/>
    <w:rsid w:val="0B1B7739"/>
    <w:rsid w:val="0B26152B"/>
    <w:rsid w:val="0B58593E"/>
    <w:rsid w:val="0B634F0A"/>
    <w:rsid w:val="0B723658"/>
    <w:rsid w:val="0B7A075E"/>
    <w:rsid w:val="0BAC5EA2"/>
    <w:rsid w:val="0BB53770"/>
    <w:rsid w:val="0BB84DE3"/>
    <w:rsid w:val="0BEF6A57"/>
    <w:rsid w:val="0C1C1816"/>
    <w:rsid w:val="0C3A7D58"/>
    <w:rsid w:val="0C3C5A14"/>
    <w:rsid w:val="0C41127C"/>
    <w:rsid w:val="0C6F5DE9"/>
    <w:rsid w:val="0C760F26"/>
    <w:rsid w:val="0C9F66CF"/>
    <w:rsid w:val="0CC17274"/>
    <w:rsid w:val="0CDD1929"/>
    <w:rsid w:val="0CF4009D"/>
    <w:rsid w:val="0D4E2AC5"/>
    <w:rsid w:val="0D5075F5"/>
    <w:rsid w:val="0D5811D5"/>
    <w:rsid w:val="0D786CD8"/>
    <w:rsid w:val="0D8E5957"/>
    <w:rsid w:val="0D94148A"/>
    <w:rsid w:val="0D976F41"/>
    <w:rsid w:val="0D9E198A"/>
    <w:rsid w:val="0DC3019B"/>
    <w:rsid w:val="0DD4230C"/>
    <w:rsid w:val="0DDA2E6D"/>
    <w:rsid w:val="0DF02F5A"/>
    <w:rsid w:val="0E2A1FC8"/>
    <w:rsid w:val="0E2C4099"/>
    <w:rsid w:val="0E3E5A73"/>
    <w:rsid w:val="0E4B0190"/>
    <w:rsid w:val="0E575E21"/>
    <w:rsid w:val="0E745939"/>
    <w:rsid w:val="0EAA5178"/>
    <w:rsid w:val="0EAE69D7"/>
    <w:rsid w:val="0EAE7A39"/>
    <w:rsid w:val="0EBE6BB4"/>
    <w:rsid w:val="0ED25369"/>
    <w:rsid w:val="0EE06B2A"/>
    <w:rsid w:val="0EE16F91"/>
    <w:rsid w:val="0EE839D6"/>
    <w:rsid w:val="0EEB206A"/>
    <w:rsid w:val="0EEF48C8"/>
    <w:rsid w:val="0EEF4FBF"/>
    <w:rsid w:val="0EF935B0"/>
    <w:rsid w:val="0F064C92"/>
    <w:rsid w:val="0F220EF1"/>
    <w:rsid w:val="0F340C24"/>
    <w:rsid w:val="0F44355D"/>
    <w:rsid w:val="0F7A7DE6"/>
    <w:rsid w:val="0F817487"/>
    <w:rsid w:val="0FAD3722"/>
    <w:rsid w:val="0FAD59BE"/>
    <w:rsid w:val="0FB51D65"/>
    <w:rsid w:val="0FBD0AEF"/>
    <w:rsid w:val="0FD46AE0"/>
    <w:rsid w:val="101B15D9"/>
    <w:rsid w:val="10401F77"/>
    <w:rsid w:val="105D3B61"/>
    <w:rsid w:val="105F6317"/>
    <w:rsid w:val="107615E8"/>
    <w:rsid w:val="10CB7366"/>
    <w:rsid w:val="10CD30DE"/>
    <w:rsid w:val="10D06497"/>
    <w:rsid w:val="10D531AB"/>
    <w:rsid w:val="10D601E5"/>
    <w:rsid w:val="10D97201"/>
    <w:rsid w:val="110C0637"/>
    <w:rsid w:val="11194576"/>
    <w:rsid w:val="11496C09"/>
    <w:rsid w:val="118412AE"/>
    <w:rsid w:val="118B6533"/>
    <w:rsid w:val="118E6D12"/>
    <w:rsid w:val="11D74C6E"/>
    <w:rsid w:val="11E7550F"/>
    <w:rsid w:val="12010F98"/>
    <w:rsid w:val="12135469"/>
    <w:rsid w:val="122D02D9"/>
    <w:rsid w:val="12462065"/>
    <w:rsid w:val="12505D75"/>
    <w:rsid w:val="12810338"/>
    <w:rsid w:val="12AA7B7B"/>
    <w:rsid w:val="12C21CB9"/>
    <w:rsid w:val="12C6794B"/>
    <w:rsid w:val="12CA2458"/>
    <w:rsid w:val="12CF6B79"/>
    <w:rsid w:val="12E7492B"/>
    <w:rsid w:val="12E82452"/>
    <w:rsid w:val="12F1447A"/>
    <w:rsid w:val="13032866"/>
    <w:rsid w:val="13093F07"/>
    <w:rsid w:val="1329679A"/>
    <w:rsid w:val="13491142"/>
    <w:rsid w:val="136046DE"/>
    <w:rsid w:val="136A2E67"/>
    <w:rsid w:val="137A493A"/>
    <w:rsid w:val="13880AC9"/>
    <w:rsid w:val="13974BA2"/>
    <w:rsid w:val="13BD52C5"/>
    <w:rsid w:val="13EF3D04"/>
    <w:rsid w:val="141C2AFB"/>
    <w:rsid w:val="143218C6"/>
    <w:rsid w:val="14396F66"/>
    <w:rsid w:val="14480BD5"/>
    <w:rsid w:val="1449490E"/>
    <w:rsid w:val="14580BAC"/>
    <w:rsid w:val="145A737F"/>
    <w:rsid w:val="14720828"/>
    <w:rsid w:val="14770391"/>
    <w:rsid w:val="14914190"/>
    <w:rsid w:val="14A20054"/>
    <w:rsid w:val="14C41E07"/>
    <w:rsid w:val="14D47131"/>
    <w:rsid w:val="14DB1F47"/>
    <w:rsid w:val="14DE3B0C"/>
    <w:rsid w:val="14E1651E"/>
    <w:rsid w:val="14EB22D9"/>
    <w:rsid w:val="14F556FD"/>
    <w:rsid w:val="14FA5E28"/>
    <w:rsid w:val="152C3F5B"/>
    <w:rsid w:val="15350FA8"/>
    <w:rsid w:val="15361C7A"/>
    <w:rsid w:val="1537321C"/>
    <w:rsid w:val="154537CD"/>
    <w:rsid w:val="15520056"/>
    <w:rsid w:val="155A72F3"/>
    <w:rsid w:val="15714980"/>
    <w:rsid w:val="15735EBE"/>
    <w:rsid w:val="158A3C94"/>
    <w:rsid w:val="158C17BA"/>
    <w:rsid w:val="15915022"/>
    <w:rsid w:val="159266A5"/>
    <w:rsid w:val="159D4B97"/>
    <w:rsid w:val="15A026A2"/>
    <w:rsid w:val="15AF6F5A"/>
    <w:rsid w:val="15BB5BFB"/>
    <w:rsid w:val="15C057C1"/>
    <w:rsid w:val="15C2342E"/>
    <w:rsid w:val="15D25496"/>
    <w:rsid w:val="15D675C9"/>
    <w:rsid w:val="15F1786F"/>
    <w:rsid w:val="16136495"/>
    <w:rsid w:val="16157745"/>
    <w:rsid w:val="16175528"/>
    <w:rsid w:val="162238AB"/>
    <w:rsid w:val="16335F28"/>
    <w:rsid w:val="16492A93"/>
    <w:rsid w:val="165A11A2"/>
    <w:rsid w:val="16610551"/>
    <w:rsid w:val="166C5148"/>
    <w:rsid w:val="166D15EC"/>
    <w:rsid w:val="167B184C"/>
    <w:rsid w:val="16997B0C"/>
    <w:rsid w:val="16B56AEF"/>
    <w:rsid w:val="16CB7192"/>
    <w:rsid w:val="16E96798"/>
    <w:rsid w:val="16F027EB"/>
    <w:rsid w:val="17016603"/>
    <w:rsid w:val="17062181"/>
    <w:rsid w:val="172766C2"/>
    <w:rsid w:val="1729606D"/>
    <w:rsid w:val="172C5003"/>
    <w:rsid w:val="17306175"/>
    <w:rsid w:val="173638DF"/>
    <w:rsid w:val="17395494"/>
    <w:rsid w:val="174564E4"/>
    <w:rsid w:val="175C6F6A"/>
    <w:rsid w:val="176F01C3"/>
    <w:rsid w:val="17702A02"/>
    <w:rsid w:val="178564C1"/>
    <w:rsid w:val="178C5AA1"/>
    <w:rsid w:val="17A0779F"/>
    <w:rsid w:val="17DA05FC"/>
    <w:rsid w:val="17DB7288"/>
    <w:rsid w:val="17EA65DF"/>
    <w:rsid w:val="17F23B35"/>
    <w:rsid w:val="18106581"/>
    <w:rsid w:val="18153CE9"/>
    <w:rsid w:val="185356B4"/>
    <w:rsid w:val="187802C9"/>
    <w:rsid w:val="188D67FA"/>
    <w:rsid w:val="18933500"/>
    <w:rsid w:val="18A32F71"/>
    <w:rsid w:val="18B96FBF"/>
    <w:rsid w:val="18BA03EC"/>
    <w:rsid w:val="18E02028"/>
    <w:rsid w:val="18F3109C"/>
    <w:rsid w:val="18FA4C8D"/>
    <w:rsid w:val="190F1184"/>
    <w:rsid w:val="19173A91"/>
    <w:rsid w:val="193C5E60"/>
    <w:rsid w:val="19597C05"/>
    <w:rsid w:val="198F3627"/>
    <w:rsid w:val="19E464D6"/>
    <w:rsid w:val="19EC0A79"/>
    <w:rsid w:val="19EE425D"/>
    <w:rsid w:val="1A115971"/>
    <w:rsid w:val="1A227E1D"/>
    <w:rsid w:val="1A2824BE"/>
    <w:rsid w:val="1A316FEF"/>
    <w:rsid w:val="1A444411"/>
    <w:rsid w:val="1A7F369B"/>
    <w:rsid w:val="1A8D4613"/>
    <w:rsid w:val="1AD338B5"/>
    <w:rsid w:val="1ADF10FC"/>
    <w:rsid w:val="1ADF238C"/>
    <w:rsid w:val="1AF2676E"/>
    <w:rsid w:val="1AF73852"/>
    <w:rsid w:val="1AF851FC"/>
    <w:rsid w:val="1B173010"/>
    <w:rsid w:val="1B2A7AAB"/>
    <w:rsid w:val="1B4B7A22"/>
    <w:rsid w:val="1B5A7552"/>
    <w:rsid w:val="1B6A2CCE"/>
    <w:rsid w:val="1BB050DF"/>
    <w:rsid w:val="1BB266FE"/>
    <w:rsid w:val="1BCD620C"/>
    <w:rsid w:val="1BCE65E9"/>
    <w:rsid w:val="1BCF489B"/>
    <w:rsid w:val="1BF21EC0"/>
    <w:rsid w:val="1BF75C9B"/>
    <w:rsid w:val="1C0320AA"/>
    <w:rsid w:val="1C0E2F29"/>
    <w:rsid w:val="1C2E6CD8"/>
    <w:rsid w:val="1C365FDC"/>
    <w:rsid w:val="1C4534C0"/>
    <w:rsid w:val="1C4E1577"/>
    <w:rsid w:val="1C534DE0"/>
    <w:rsid w:val="1C5B1EE6"/>
    <w:rsid w:val="1C5D5307"/>
    <w:rsid w:val="1C654B13"/>
    <w:rsid w:val="1C6B037B"/>
    <w:rsid w:val="1C7848C2"/>
    <w:rsid w:val="1C8A6328"/>
    <w:rsid w:val="1CAE20F2"/>
    <w:rsid w:val="1CCA679A"/>
    <w:rsid w:val="1CD469BA"/>
    <w:rsid w:val="1CE16C9B"/>
    <w:rsid w:val="1CFA16FF"/>
    <w:rsid w:val="1D004ACA"/>
    <w:rsid w:val="1D156539"/>
    <w:rsid w:val="1D1722B1"/>
    <w:rsid w:val="1D2809C9"/>
    <w:rsid w:val="1D320E99"/>
    <w:rsid w:val="1D383FD6"/>
    <w:rsid w:val="1D44622C"/>
    <w:rsid w:val="1D507571"/>
    <w:rsid w:val="1D72500D"/>
    <w:rsid w:val="1DB7314C"/>
    <w:rsid w:val="1DD50D1F"/>
    <w:rsid w:val="1DE5415D"/>
    <w:rsid w:val="1DF12B02"/>
    <w:rsid w:val="1DF52D6B"/>
    <w:rsid w:val="1E1277F1"/>
    <w:rsid w:val="1E1467F1"/>
    <w:rsid w:val="1E1F79FD"/>
    <w:rsid w:val="1E5815DB"/>
    <w:rsid w:val="1E5D1F90"/>
    <w:rsid w:val="1E5F2261"/>
    <w:rsid w:val="1E605592"/>
    <w:rsid w:val="1E6A51C3"/>
    <w:rsid w:val="1E7F3BD0"/>
    <w:rsid w:val="1E876FC3"/>
    <w:rsid w:val="1E9D2342"/>
    <w:rsid w:val="1EB17E6B"/>
    <w:rsid w:val="1EC43D73"/>
    <w:rsid w:val="1ECB3234"/>
    <w:rsid w:val="1ECB3353"/>
    <w:rsid w:val="1ED02718"/>
    <w:rsid w:val="1EF23CC3"/>
    <w:rsid w:val="1EF87EC0"/>
    <w:rsid w:val="1F03656B"/>
    <w:rsid w:val="1F043C0A"/>
    <w:rsid w:val="1F132835"/>
    <w:rsid w:val="1F1D7927"/>
    <w:rsid w:val="1F1E6B2D"/>
    <w:rsid w:val="1F220A99"/>
    <w:rsid w:val="1F264A2D"/>
    <w:rsid w:val="1F283E3A"/>
    <w:rsid w:val="1F310CB4"/>
    <w:rsid w:val="1F4E5D32"/>
    <w:rsid w:val="1F530AFF"/>
    <w:rsid w:val="1F78690B"/>
    <w:rsid w:val="1F950286"/>
    <w:rsid w:val="1F9757DB"/>
    <w:rsid w:val="1FB525B4"/>
    <w:rsid w:val="1FB74DC5"/>
    <w:rsid w:val="1FC36C9B"/>
    <w:rsid w:val="1FE30229"/>
    <w:rsid w:val="1FE950BE"/>
    <w:rsid w:val="1FF335A5"/>
    <w:rsid w:val="1FFD3795"/>
    <w:rsid w:val="20014E6C"/>
    <w:rsid w:val="20015151"/>
    <w:rsid w:val="20084133"/>
    <w:rsid w:val="201347A9"/>
    <w:rsid w:val="202D1DEC"/>
    <w:rsid w:val="20346CD6"/>
    <w:rsid w:val="20475E9B"/>
    <w:rsid w:val="205A00B2"/>
    <w:rsid w:val="205B2147"/>
    <w:rsid w:val="205C7FDB"/>
    <w:rsid w:val="20631369"/>
    <w:rsid w:val="206655AB"/>
    <w:rsid w:val="20875058"/>
    <w:rsid w:val="20A26336"/>
    <w:rsid w:val="20A57BD4"/>
    <w:rsid w:val="20A976C4"/>
    <w:rsid w:val="20B11042"/>
    <w:rsid w:val="20B80F45"/>
    <w:rsid w:val="20BC5FF7"/>
    <w:rsid w:val="20BF0C96"/>
    <w:rsid w:val="20C84600"/>
    <w:rsid w:val="20DD55C0"/>
    <w:rsid w:val="20E56222"/>
    <w:rsid w:val="20F667B9"/>
    <w:rsid w:val="20FB2DCE"/>
    <w:rsid w:val="20FD531A"/>
    <w:rsid w:val="210D0C9A"/>
    <w:rsid w:val="2110329F"/>
    <w:rsid w:val="21115269"/>
    <w:rsid w:val="211D3C0E"/>
    <w:rsid w:val="21254871"/>
    <w:rsid w:val="215B1C9D"/>
    <w:rsid w:val="215B41C9"/>
    <w:rsid w:val="216D65AE"/>
    <w:rsid w:val="219247F3"/>
    <w:rsid w:val="21BC3427"/>
    <w:rsid w:val="21C31FF6"/>
    <w:rsid w:val="21DC5877"/>
    <w:rsid w:val="21DC7625"/>
    <w:rsid w:val="21EE732A"/>
    <w:rsid w:val="21F42FAB"/>
    <w:rsid w:val="21F96720"/>
    <w:rsid w:val="2210347D"/>
    <w:rsid w:val="221E19EC"/>
    <w:rsid w:val="2220010D"/>
    <w:rsid w:val="222A2A7E"/>
    <w:rsid w:val="222B243E"/>
    <w:rsid w:val="224156DA"/>
    <w:rsid w:val="22486A69"/>
    <w:rsid w:val="22676060"/>
    <w:rsid w:val="2283134D"/>
    <w:rsid w:val="228E4DC3"/>
    <w:rsid w:val="22A073F7"/>
    <w:rsid w:val="22AA7723"/>
    <w:rsid w:val="22AB4844"/>
    <w:rsid w:val="22AF0896"/>
    <w:rsid w:val="22B1477A"/>
    <w:rsid w:val="22CA1B70"/>
    <w:rsid w:val="22E26142"/>
    <w:rsid w:val="22EB44B3"/>
    <w:rsid w:val="231D6147"/>
    <w:rsid w:val="231D7EF5"/>
    <w:rsid w:val="232B6D9D"/>
    <w:rsid w:val="232E3EB1"/>
    <w:rsid w:val="23430E9B"/>
    <w:rsid w:val="23457394"/>
    <w:rsid w:val="23490CEA"/>
    <w:rsid w:val="23503E27"/>
    <w:rsid w:val="236505DE"/>
    <w:rsid w:val="236C49D9"/>
    <w:rsid w:val="23C076C4"/>
    <w:rsid w:val="24172B97"/>
    <w:rsid w:val="24637007"/>
    <w:rsid w:val="24763D61"/>
    <w:rsid w:val="247E2C16"/>
    <w:rsid w:val="2480073C"/>
    <w:rsid w:val="24A939BC"/>
    <w:rsid w:val="24AF4B7D"/>
    <w:rsid w:val="24B5330F"/>
    <w:rsid w:val="24BC2757"/>
    <w:rsid w:val="25024CC6"/>
    <w:rsid w:val="25055E1C"/>
    <w:rsid w:val="253F4153"/>
    <w:rsid w:val="25761B3F"/>
    <w:rsid w:val="258204E4"/>
    <w:rsid w:val="25856AF2"/>
    <w:rsid w:val="25B2496A"/>
    <w:rsid w:val="25B35A2B"/>
    <w:rsid w:val="25BA7C7E"/>
    <w:rsid w:val="25C82369"/>
    <w:rsid w:val="25E92392"/>
    <w:rsid w:val="25F70468"/>
    <w:rsid w:val="25F72C80"/>
    <w:rsid w:val="260C3C88"/>
    <w:rsid w:val="260F3F68"/>
    <w:rsid w:val="261C6242"/>
    <w:rsid w:val="261E6D67"/>
    <w:rsid w:val="2626787B"/>
    <w:rsid w:val="265005E2"/>
    <w:rsid w:val="26914E82"/>
    <w:rsid w:val="269331FD"/>
    <w:rsid w:val="270F7B55"/>
    <w:rsid w:val="271B474C"/>
    <w:rsid w:val="27207FB4"/>
    <w:rsid w:val="272D21CE"/>
    <w:rsid w:val="274A2671"/>
    <w:rsid w:val="27624129"/>
    <w:rsid w:val="27871DE1"/>
    <w:rsid w:val="27A40F3F"/>
    <w:rsid w:val="27B40AA4"/>
    <w:rsid w:val="27C50568"/>
    <w:rsid w:val="27CD02D3"/>
    <w:rsid w:val="27DA63B5"/>
    <w:rsid w:val="27DC0A92"/>
    <w:rsid w:val="27DD1037"/>
    <w:rsid w:val="27E17743"/>
    <w:rsid w:val="28017DE6"/>
    <w:rsid w:val="281A0EA7"/>
    <w:rsid w:val="282427DC"/>
    <w:rsid w:val="283850E7"/>
    <w:rsid w:val="284F6272"/>
    <w:rsid w:val="28546F4E"/>
    <w:rsid w:val="2875456B"/>
    <w:rsid w:val="28941932"/>
    <w:rsid w:val="28A55BE0"/>
    <w:rsid w:val="28B906C0"/>
    <w:rsid w:val="29045FF1"/>
    <w:rsid w:val="290A2FA2"/>
    <w:rsid w:val="29141E5F"/>
    <w:rsid w:val="291C6C94"/>
    <w:rsid w:val="294F4B81"/>
    <w:rsid w:val="295D5F15"/>
    <w:rsid w:val="296C3141"/>
    <w:rsid w:val="29874AC2"/>
    <w:rsid w:val="29A15AAB"/>
    <w:rsid w:val="29A924E3"/>
    <w:rsid w:val="29AE7AF9"/>
    <w:rsid w:val="29B80744"/>
    <w:rsid w:val="29BA63AA"/>
    <w:rsid w:val="29BD5F8E"/>
    <w:rsid w:val="29EF3B80"/>
    <w:rsid w:val="29FF65A7"/>
    <w:rsid w:val="2A0C4820"/>
    <w:rsid w:val="2A21651D"/>
    <w:rsid w:val="2A494365"/>
    <w:rsid w:val="2A4D7312"/>
    <w:rsid w:val="2A5109EF"/>
    <w:rsid w:val="2A571F3F"/>
    <w:rsid w:val="2A817C0C"/>
    <w:rsid w:val="2A976071"/>
    <w:rsid w:val="2AAE6230"/>
    <w:rsid w:val="2AFB6D6E"/>
    <w:rsid w:val="2B0B0BA7"/>
    <w:rsid w:val="2B0F1BF2"/>
    <w:rsid w:val="2B536421"/>
    <w:rsid w:val="2B5A2D5E"/>
    <w:rsid w:val="2B640A98"/>
    <w:rsid w:val="2B6A706C"/>
    <w:rsid w:val="2B9E594C"/>
    <w:rsid w:val="2BBC3B7F"/>
    <w:rsid w:val="2BCE6231"/>
    <w:rsid w:val="2BD27A22"/>
    <w:rsid w:val="2BDB26FC"/>
    <w:rsid w:val="2BF122DB"/>
    <w:rsid w:val="2BF57C61"/>
    <w:rsid w:val="2C043A01"/>
    <w:rsid w:val="2C1B1B52"/>
    <w:rsid w:val="2C297732"/>
    <w:rsid w:val="2C575F58"/>
    <w:rsid w:val="2C5D4EB5"/>
    <w:rsid w:val="2C620A7A"/>
    <w:rsid w:val="2C630D27"/>
    <w:rsid w:val="2C7C5C8D"/>
    <w:rsid w:val="2C7F41FC"/>
    <w:rsid w:val="2C9254B0"/>
    <w:rsid w:val="2C9A5E8A"/>
    <w:rsid w:val="2CAB6572"/>
    <w:rsid w:val="2CAD5655"/>
    <w:rsid w:val="2CF55CFC"/>
    <w:rsid w:val="2CF577ED"/>
    <w:rsid w:val="2CF63B3C"/>
    <w:rsid w:val="2D2F2CFF"/>
    <w:rsid w:val="2D363ACE"/>
    <w:rsid w:val="2D6776EA"/>
    <w:rsid w:val="2D6A01DB"/>
    <w:rsid w:val="2D6D1A79"/>
    <w:rsid w:val="2D80355B"/>
    <w:rsid w:val="2D8B35C7"/>
    <w:rsid w:val="2D967D41"/>
    <w:rsid w:val="2DA30B52"/>
    <w:rsid w:val="2DBD1EAF"/>
    <w:rsid w:val="2DBE68CC"/>
    <w:rsid w:val="2DC65565"/>
    <w:rsid w:val="2DCE3A86"/>
    <w:rsid w:val="2DE735DA"/>
    <w:rsid w:val="2E1E504D"/>
    <w:rsid w:val="2E3F51C4"/>
    <w:rsid w:val="2E3F6F72"/>
    <w:rsid w:val="2E666BF4"/>
    <w:rsid w:val="2E692422"/>
    <w:rsid w:val="2E7806D6"/>
    <w:rsid w:val="2E7D7A9A"/>
    <w:rsid w:val="2E861045"/>
    <w:rsid w:val="2E9B6172"/>
    <w:rsid w:val="2EB035D6"/>
    <w:rsid w:val="2EBF00B3"/>
    <w:rsid w:val="2EC517F7"/>
    <w:rsid w:val="2EE23DA1"/>
    <w:rsid w:val="2EE31FF3"/>
    <w:rsid w:val="2EEE0998"/>
    <w:rsid w:val="2F00500B"/>
    <w:rsid w:val="2F283EAA"/>
    <w:rsid w:val="2F4D1B62"/>
    <w:rsid w:val="2F546A4D"/>
    <w:rsid w:val="2F722CBC"/>
    <w:rsid w:val="2F776BDF"/>
    <w:rsid w:val="2F89718F"/>
    <w:rsid w:val="2F8D01B1"/>
    <w:rsid w:val="2F8F3F29"/>
    <w:rsid w:val="2FBF16EA"/>
    <w:rsid w:val="2FCA31B3"/>
    <w:rsid w:val="2FDF26AE"/>
    <w:rsid w:val="300A7A53"/>
    <w:rsid w:val="30406FD1"/>
    <w:rsid w:val="304A588E"/>
    <w:rsid w:val="306345FD"/>
    <w:rsid w:val="30893E07"/>
    <w:rsid w:val="309263B4"/>
    <w:rsid w:val="30A05CC2"/>
    <w:rsid w:val="30A43A04"/>
    <w:rsid w:val="30B70B85"/>
    <w:rsid w:val="30EC2E30"/>
    <w:rsid w:val="30F420C6"/>
    <w:rsid w:val="30F8356E"/>
    <w:rsid w:val="30FA7AC8"/>
    <w:rsid w:val="31137412"/>
    <w:rsid w:val="31217ED3"/>
    <w:rsid w:val="312C6B6C"/>
    <w:rsid w:val="312F6722"/>
    <w:rsid w:val="313308E4"/>
    <w:rsid w:val="314657DC"/>
    <w:rsid w:val="314702EA"/>
    <w:rsid w:val="31540F86"/>
    <w:rsid w:val="31556AAC"/>
    <w:rsid w:val="31662A68"/>
    <w:rsid w:val="317B29B7"/>
    <w:rsid w:val="31C13557"/>
    <w:rsid w:val="31C528D7"/>
    <w:rsid w:val="31DE1DCF"/>
    <w:rsid w:val="320A3D3B"/>
    <w:rsid w:val="3218542A"/>
    <w:rsid w:val="322F44D8"/>
    <w:rsid w:val="32384404"/>
    <w:rsid w:val="32527C83"/>
    <w:rsid w:val="32543208"/>
    <w:rsid w:val="325F4087"/>
    <w:rsid w:val="32707B6E"/>
    <w:rsid w:val="32843C93"/>
    <w:rsid w:val="32A7158A"/>
    <w:rsid w:val="32C0264B"/>
    <w:rsid w:val="32CE6B16"/>
    <w:rsid w:val="32E93CD4"/>
    <w:rsid w:val="32F81DE5"/>
    <w:rsid w:val="3304730D"/>
    <w:rsid w:val="33080A00"/>
    <w:rsid w:val="332C1831"/>
    <w:rsid w:val="33631954"/>
    <w:rsid w:val="337F131A"/>
    <w:rsid w:val="3389568E"/>
    <w:rsid w:val="33990175"/>
    <w:rsid w:val="339B7340"/>
    <w:rsid w:val="33A87AFE"/>
    <w:rsid w:val="33D4015C"/>
    <w:rsid w:val="33E81E5A"/>
    <w:rsid w:val="33FC76B3"/>
    <w:rsid w:val="34034EE6"/>
    <w:rsid w:val="341E3ACD"/>
    <w:rsid w:val="34270BD4"/>
    <w:rsid w:val="342E20E5"/>
    <w:rsid w:val="342F7A89"/>
    <w:rsid w:val="34370555"/>
    <w:rsid w:val="344057F2"/>
    <w:rsid w:val="345614B9"/>
    <w:rsid w:val="345D63A4"/>
    <w:rsid w:val="345F514A"/>
    <w:rsid w:val="3474193F"/>
    <w:rsid w:val="347B7DC5"/>
    <w:rsid w:val="34B54432"/>
    <w:rsid w:val="34C93A39"/>
    <w:rsid w:val="34CB1EA8"/>
    <w:rsid w:val="34D66D82"/>
    <w:rsid w:val="34DB5522"/>
    <w:rsid w:val="34FF3B4E"/>
    <w:rsid w:val="351E58A4"/>
    <w:rsid w:val="35347ACA"/>
    <w:rsid w:val="355F7EFA"/>
    <w:rsid w:val="35673502"/>
    <w:rsid w:val="357F67EE"/>
    <w:rsid w:val="35AF3FC9"/>
    <w:rsid w:val="35CF507F"/>
    <w:rsid w:val="35D3395E"/>
    <w:rsid w:val="35D94150"/>
    <w:rsid w:val="35DA3A24"/>
    <w:rsid w:val="35DF0EE6"/>
    <w:rsid w:val="36127D4D"/>
    <w:rsid w:val="36332A86"/>
    <w:rsid w:val="363539C9"/>
    <w:rsid w:val="36354A0F"/>
    <w:rsid w:val="36453593"/>
    <w:rsid w:val="364C34CF"/>
    <w:rsid w:val="36667136"/>
    <w:rsid w:val="3672575E"/>
    <w:rsid w:val="36774923"/>
    <w:rsid w:val="36B14785"/>
    <w:rsid w:val="36CA5847"/>
    <w:rsid w:val="36DF7544"/>
    <w:rsid w:val="36E25286"/>
    <w:rsid w:val="36E56B24"/>
    <w:rsid w:val="36E7289C"/>
    <w:rsid w:val="36F65FC0"/>
    <w:rsid w:val="370B5CD1"/>
    <w:rsid w:val="371262C9"/>
    <w:rsid w:val="37135440"/>
    <w:rsid w:val="373C4996"/>
    <w:rsid w:val="37425D25"/>
    <w:rsid w:val="374645B5"/>
    <w:rsid w:val="375325B8"/>
    <w:rsid w:val="375A4E1C"/>
    <w:rsid w:val="3764263A"/>
    <w:rsid w:val="376B4DCD"/>
    <w:rsid w:val="37817BB0"/>
    <w:rsid w:val="37823DFC"/>
    <w:rsid w:val="37857422"/>
    <w:rsid w:val="379D5444"/>
    <w:rsid w:val="37A76BF7"/>
    <w:rsid w:val="37A97B52"/>
    <w:rsid w:val="37C656D6"/>
    <w:rsid w:val="37D7646D"/>
    <w:rsid w:val="37DC468E"/>
    <w:rsid w:val="380A4A95"/>
    <w:rsid w:val="381315A0"/>
    <w:rsid w:val="383175C4"/>
    <w:rsid w:val="383F6D8B"/>
    <w:rsid w:val="3873101D"/>
    <w:rsid w:val="38826329"/>
    <w:rsid w:val="389976A1"/>
    <w:rsid w:val="389F332A"/>
    <w:rsid w:val="38A64B9C"/>
    <w:rsid w:val="38B03902"/>
    <w:rsid w:val="38B21E9E"/>
    <w:rsid w:val="38C32995"/>
    <w:rsid w:val="38E30E42"/>
    <w:rsid w:val="391B4A7F"/>
    <w:rsid w:val="39287CB5"/>
    <w:rsid w:val="3945673A"/>
    <w:rsid w:val="3950297B"/>
    <w:rsid w:val="39736669"/>
    <w:rsid w:val="39A16D33"/>
    <w:rsid w:val="39AE0D81"/>
    <w:rsid w:val="39CA2854"/>
    <w:rsid w:val="39D55651"/>
    <w:rsid w:val="39F85ABE"/>
    <w:rsid w:val="3A185FD8"/>
    <w:rsid w:val="3A3A508B"/>
    <w:rsid w:val="3A48560A"/>
    <w:rsid w:val="3A515A24"/>
    <w:rsid w:val="3A5A5133"/>
    <w:rsid w:val="3A7B370C"/>
    <w:rsid w:val="3A881CA1"/>
    <w:rsid w:val="3A8D1EDA"/>
    <w:rsid w:val="3A8D67DF"/>
    <w:rsid w:val="3A971EE4"/>
    <w:rsid w:val="3A995BDD"/>
    <w:rsid w:val="3A9A1385"/>
    <w:rsid w:val="3ADC3D9A"/>
    <w:rsid w:val="3AE70CAD"/>
    <w:rsid w:val="3B015523"/>
    <w:rsid w:val="3B1654FE"/>
    <w:rsid w:val="3B331C7A"/>
    <w:rsid w:val="3B3B31B7"/>
    <w:rsid w:val="3B3E6803"/>
    <w:rsid w:val="3B3F2CA7"/>
    <w:rsid w:val="3B593B4E"/>
    <w:rsid w:val="3B61689A"/>
    <w:rsid w:val="3B815CB3"/>
    <w:rsid w:val="3B8E19CD"/>
    <w:rsid w:val="3B9A7EDD"/>
    <w:rsid w:val="3B9C5D81"/>
    <w:rsid w:val="3BB515CC"/>
    <w:rsid w:val="3BD3519D"/>
    <w:rsid w:val="3BE0124A"/>
    <w:rsid w:val="3BF23494"/>
    <w:rsid w:val="3C093D7D"/>
    <w:rsid w:val="3C0D06AF"/>
    <w:rsid w:val="3C3245BA"/>
    <w:rsid w:val="3C65673D"/>
    <w:rsid w:val="3C6F3516"/>
    <w:rsid w:val="3C76636D"/>
    <w:rsid w:val="3C7B5E77"/>
    <w:rsid w:val="3CA4693B"/>
    <w:rsid w:val="3CD90124"/>
    <w:rsid w:val="3CD9217F"/>
    <w:rsid w:val="3CE60F00"/>
    <w:rsid w:val="3CED6733"/>
    <w:rsid w:val="3CFE624A"/>
    <w:rsid w:val="3D123589"/>
    <w:rsid w:val="3D1E0379"/>
    <w:rsid w:val="3D361E88"/>
    <w:rsid w:val="3D600CB3"/>
    <w:rsid w:val="3D6A7D83"/>
    <w:rsid w:val="3D83463F"/>
    <w:rsid w:val="3D98044D"/>
    <w:rsid w:val="3DB80AEF"/>
    <w:rsid w:val="3DBD4357"/>
    <w:rsid w:val="3DC15625"/>
    <w:rsid w:val="3DE00969"/>
    <w:rsid w:val="3DE90CA8"/>
    <w:rsid w:val="3DF338D5"/>
    <w:rsid w:val="3DF77869"/>
    <w:rsid w:val="3E03620E"/>
    <w:rsid w:val="3E080A5F"/>
    <w:rsid w:val="3E4F5935"/>
    <w:rsid w:val="3E574A8A"/>
    <w:rsid w:val="3E646581"/>
    <w:rsid w:val="3E8331E8"/>
    <w:rsid w:val="3E970704"/>
    <w:rsid w:val="3EAA48DB"/>
    <w:rsid w:val="3EBC016B"/>
    <w:rsid w:val="3EC84D62"/>
    <w:rsid w:val="3ECC0DED"/>
    <w:rsid w:val="3ECC5B40"/>
    <w:rsid w:val="3ED93346"/>
    <w:rsid w:val="3EF54430"/>
    <w:rsid w:val="3EFE0783"/>
    <w:rsid w:val="3F0B43EB"/>
    <w:rsid w:val="3F0D670E"/>
    <w:rsid w:val="3F6438B9"/>
    <w:rsid w:val="3F8844F1"/>
    <w:rsid w:val="3F95733A"/>
    <w:rsid w:val="3F97289B"/>
    <w:rsid w:val="3FAF240E"/>
    <w:rsid w:val="3FB84DD6"/>
    <w:rsid w:val="3FCC0881"/>
    <w:rsid w:val="3FCE4462"/>
    <w:rsid w:val="3FD214AB"/>
    <w:rsid w:val="3FD75D24"/>
    <w:rsid w:val="3FE860C6"/>
    <w:rsid w:val="3FE9631B"/>
    <w:rsid w:val="400973E0"/>
    <w:rsid w:val="400C5122"/>
    <w:rsid w:val="40100ABF"/>
    <w:rsid w:val="403C2F01"/>
    <w:rsid w:val="40414DCB"/>
    <w:rsid w:val="40644F98"/>
    <w:rsid w:val="407973F2"/>
    <w:rsid w:val="408B4B24"/>
    <w:rsid w:val="40A37834"/>
    <w:rsid w:val="40AC04E0"/>
    <w:rsid w:val="40AC4B93"/>
    <w:rsid w:val="40B90E06"/>
    <w:rsid w:val="40C80671"/>
    <w:rsid w:val="40CB6D8B"/>
    <w:rsid w:val="40DC2D46"/>
    <w:rsid w:val="40DD1661"/>
    <w:rsid w:val="40DF6392"/>
    <w:rsid w:val="40E84B79"/>
    <w:rsid w:val="410339CA"/>
    <w:rsid w:val="41055DF9"/>
    <w:rsid w:val="4106357B"/>
    <w:rsid w:val="411053AE"/>
    <w:rsid w:val="411E3CB2"/>
    <w:rsid w:val="41320BB8"/>
    <w:rsid w:val="41436921"/>
    <w:rsid w:val="41664FC6"/>
    <w:rsid w:val="41872EA5"/>
    <w:rsid w:val="418A4CA6"/>
    <w:rsid w:val="41A5138A"/>
    <w:rsid w:val="41A8726C"/>
    <w:rsid w:val="41D85470"/>
    <w:rsid w:val="41EC092C"/>
    <w:rsid w:val="41F67E38"/>
    <w:rsid w:val="420626EA"/>
    <w:rsid w:val="42097F4F"/>
    <w:rsid w:val="422B5D96"/>
    <w:rsid w:val="422E5823"/>
    <w:rsid w:val="4250131F"/>
    <w:rsid w:val="425863FC"/>
    <w:rsid w:val="426834EE"/>
    <w:rsid w:val="42784CF1"/>
    <w:rsid w:val="429B5DF7"/>
    <w:rsid w:val="42A96C58"/>
    <w:rsid w:val="42AD499A"/>
    <w:rsid w:val="42B60A25"/>
    <w:rsid w:val="42BD2703"/>
    <w:rsid w:val="42CE040F"/>
    <w:rsid w:val="42D7607D"/>
    <w:rsid w:val="42E105D1"/>
    <w:rsid w:val="43065FFD"/>
    <w:rsid w:val="43080CF1"/>
    <w:rsid w:val="43136F88"/>
    <w:rsid w:val="4331095F"/>
    <w:rsid w:val="43386557"/>
    <w:rsid w:val="434F15AD"/>
    <w:rsid w:val="437C6AB4"/>
    <w:rsid w:val="438213E1"/>
    <w:rsid w:val="438576C5"/>
    <w:rsid w:val="439B4DE6"/>
    <w:rsid w:val="43A15B81"/>
    <w:rsid w:val="43C85C52"/>
    <w:rsid w:val="43FD1BB4"/>
    <w:rsid w:val="441D5B50"/>
    <w:rsid w:val="442C7C59"/>
    <w:rsid w:val="443B7384"/>
    <w:rsid w:val="444838D0"/>
    <w:rsid w:val="444E782B"/>
    <w:rsid w:val="446352F2"/>
    <w:rsid w:val="447C0AC8"/>
    <w:rsid w:val="44842596"/>
    <w:rsid w:val="44885118"/>
    <w:rsid w:val="448D4A83"/>
    <w:rsid w:val="44944B08"/>
    <w:rsid w:val="44957494"/>
    <w:rsid w:val="449F5FB2"/>
    <w:rsid w:val="44DD13BA"/>
    <w:rsid w:val="44DF052E"/>
    <w:rsid w:val="44E130BF"/>
    <w:rsid w:val="44EB3421"/>
    <w:rsid w:val="45036AF3"/>
    <w:rsid w:val="45050ABD"/>
    <w:rsid w:val="4512549B"/>
    <w:rsid w:val="45145D43"/>
    <w:rsid w:val="451707F1"/>
    <w:rsid w:val="451A208F"/>
    <w:rsid w:val="45332F74"/>
    <w:rsid w:val="454F7F8B"/>
    <w:rsid w:val="45685F44"/>
    <w:rsid w:val="458D0AB3"/>
    <w:rsid w:val="459040FF"/>
    <w:rsid w:val="45A65EC6"/>
    <w:rsid w:val="45B778DE"/>
    <w:rsid w:val="45E05087"/>
    <w:rsid w:val="45F13B3D"/>
    <w:rsid w:val="45F14B9E"/>
    <w:rsid w:val="46004DE1"/>
    <w:rsid w:val="461054C4"/>
    <w:rsid w:val="461A4815"/>
    <w:rsid w:val="461C221A"/>
    <w:rsid w:val="46222FA9"/>
    <w:rsid w:val="463E49BE"/>
    <w:rsid w:val="46433032"/>
    <w:rsid w:val="468A4F4F"/>
    <w:rsid w:val="468C48C7"/>
    <w:rsid w:val="4698770F"/>
    <w:rsid w:val="46B031DF"/>
    <w:rsid w:val="46CE68E9"/>
    <w:rsid w:val="46DE2AC4"/>
    <w:rsid w:val="46ED22CA"/>
    <w:rsid w:val="470C0D70"/>
    <w:rsid w:val="47156C25"/>
    <w:rsid w:val="471A797B"/>
    <w:rsid w:val="47331EA0"/>
    <w:rsid w:val="474357DC"/>
    <w:rsid w:val="474927B8"/>
    <w:rsid w:val="4757261E"/>
    <w:rsid w:val="475A49C5"/>
    <w:rsid w:val="47727F60"/>
    <w:rsid w:val="47B85F60"/>
    <w:rsid w:val="47C307BC"/>
    <w:rsid w:val="47CD33E9"/>
    <w:rsid w:val="47F44E19"/>
    <w:rsid w:val="4803505C"/>
    <w:rsid w:val="480A4B3F"/>
    <w:rsid w:val="484E7D9D"/>
    <w:rsid w:val="485954B0"/>
    <w:rsid w:val="48600287"/>
    <w:rsid w:val="48747EFA"/>
    <w:rsid w:val="487A309F"/>
    <w:rsid w:val="489D7F04"/>
    <w:rsid w:val="48A613C5"/>
    <w:rsid w:val="48A6462D"/>
    <w:rsid w:val="48AB372A"/>
    <w:rsid w:val="48AE321A"/>
    <w:rsid w:val="48D31818"/>
    <w:rsid w:val="48D40079"/>
    <w:rsid w:val="48DD21D8"/>
    <w:rsid w:val="48EE7C9A"/>
    <w:rsid w:val="48F94ED4"/>
    <w:rsid w:val="48FD5F50"/>
    <w:rsid w:val="48FF5824"/>
    <w:rsid w:val="490C3889"/>
    <w:rsid w:val="4929464F"/>
    <w:rsid w:val="493A54AC"/>
    <w:rsid w:val="493F20C4"/>
    <w:rsid w:val="49440A9B"/>
    <w:rsid w:val="49673DE6"/>
    <w:rsid w:val="4970227E"/>
    <w:rsid w:val="497F6965"/>
    <w:rsid w:val="49852670"/>
    <w:rsid w:val="4A03697C"/>
    <w:rsid w:val="4A05330E"/>
    <w:rsid w:val="4A0C12B4"/>
    <w:rsid w:val="4A0F1A96"/>
    <w:rsid w:val="4A113A61"/>
    <w:rsid w:val="4A431740"/>
    <w:rsid w:val="4A642911"/>
    <w:rsid w:val="4A68376A"/>
    <w:rsid w:val="4A7364C9"/>
    <w:rsid w:val="4A780584"/>
    <w:rsid w:val="4A896958"/>
    <w:rsid w:val="4A9F0D2E"/>
    <w:rsid w:val="4AAC5F9F"/>
    <w:rsid w:val="4AB4373D"/>
    <w:rsid w:val="4AC77ED3"/>
    <w:rsid w:val="4B0F492C"/>
    <w:rsid w:val="4B102A00"/>
    <w:rsid w:val="4B3A6FE7"/>
    <w:rsid w:val="4B4B6AFE"/>
    <w:rsid w:val="4B5C6F5D"/>
    <w:rsid w:val="4B864AC1"/>
    <w:rsid w:val="4B920BD1"/>
    <w:rsid w:val="4BA33AB6"/>
    <w:rsid w:val="4BA60042"/>
    <w:rsid w:val="4BB51722"/>
    <w:rsid w:val="4BC37D22"/>
    <w:rsid w:val="4BCC2004"/>
    <w:rsid w:val="4BE13907"/>
    <w:rsid w:val="4BE965F2"/>
    <w:rsid w:val="4BFB49C8"/>
    <w:rsid w:val="4C4162F7"/>
    <w:rsid w:val="4C4A14AC"/>
    <w:rsid w:val="4C520360"/>
    <w:rsid w:val="4C59524B"/>
    <w:rsid w:val="4C720679"/>
    <w:rsid w:val="4C9170DB"/>
    <w:rsid w:val="4CBD1D79"/>
    <w:rsid w:val="4CDF3385"/>
    <w:rsid w:val="4CE74F4D"/>
    <w:rsid w:val="4CF634B1"/>
    <w:rsid w:val="4D063625"/>
    <w:rsid w:val="4D151ABA"/>
    <w:rsid w:val="4D183358"/>
    <w:rsid w:val="4D236F66"/>
    <w:rsid w:val="4D3F5550"/>
    <w:rsid w:val="4D6F109A"/>
    <w:rsid w:val="4D9A1FBF"/>
    <w:rsid w:val="4DA42E3E"/>
    <w:rsid w:val="4DA92202"/>
    <w:rsid w:val="4DA96327"/>
    <w:rsid w:val="4DE65C14"/>
    <w:rsid w:val="4DF536BA"/>
    <w:rsid w:val="4E3E7C8C"/>
    <w:rsid w:val="4E451F2B"/>
    <w:rsid w:val="4E5E123E"/>
    <w:rsid w:val="4E6332C9"/>
    <w:rsid w:val="4E802F63"/>
    <w:rsid w:val="4EAD6955"/>
    <w:rsid w:val="4ED5642F"/>
    <w:rsid w:val="4ED60DD5"/>
    <w:rsid w:val="4F450352"/>
    <w:rsid w:val="4F4E4EE9"/>
    <w:rsid w:val="4F6B0F1D"/>
    <w:rsid w:val="4FB15659"/>
    <w:rsid w:val="4FBA6948"/>
    <w:rsid w:val="4FC25C77"/>
    <w:rsid w:val="4FED4628"/>
    <w:rsid w:val="4FF254C9"/>
    <w:rsid w:val="50271D66"/>
    <w:rsid w:val="50550238"/>
    <w:rsid w:val="505508C7"/>
    <w:rsid w:val="50555FCA"/>
    <w:rsid w:val="509448C9"/>
    <w:rsid w:val="5097222A"/>
    <w:rsid w:val="50C17863"/>
    <w:rsid w:val="50C356AB"/>
    <w:rsid w:val="50C404AC"/>
    <w:rsid w:val="50E1107E"/>
    <w:rsid w:val="50ED6E18"/>
    <w:rsid w:val="510559A1"/>
    <w:rsid w:val="51094E7C"/>
    <w:rsid w:val="510B41AC"/>
    <w:rsid w:val="510F6820"/>
    <w:rsid w:val="511E4CB5"/>
    <w:rsid w:val="51304AB3"/>
    <w:rsid w:val="513102F9"/>
    <w:rsid w:val="51351627"/>
    <w:rsid w:val="51453FF0"/>
    <w:rsid w:val="514F7CC7"/>
    <w:rsid w:val="51524645"/>
    <w:rsid w:val="51583D23"/>
    <w:rsid w:val="51867B55"/>
    <w:rsid w:val="51894824"/>
    <w:rsid w:val="518C7E71"/>
    <w:rsid w:val="519B27EC"/>
    <w:rsid w:val="519D67AC"/>
    <w:rsid w:val="51A76A58"/>
    <w:rsid w:val="51A923EB"/>
    <w:rsid w:val="51C07B1A"/>
    <w:rsid w:val="51CD4B2D"/>
    <w:rsid w:val="520B6FE7"/>
    <w:rsid w:val="52263E21"/>
    <w:rsid w:val="522925FF"/>
    <w:rsid w:val="522953F5"/>
    <w:rsid w:val="522E717A"/>
    <w:rsid w:val="52320A18"/>
    <w:rsid w:val="525E7A5F"/>
    <w:rsid w:val="526910A0"/>
    <w:rsid w:val="526F3A1A"/>
    <w:rsid w:val="52734B8D"/>
    <w:rsid w:val="529357A1"/>
    <w:rsid w:val="52A3324D"/>
    <w:rsid w:val="52AA0819"/>
    <w:rsid w:val="52B82B22"/>
    <w:rsid w:val="52E613F1"/>
    <w:rsid w:val="52F33509"/>
    <w:rsid w:val="5311092D"/>
    <w:rsid w:val="5316175A"/>
    <w:rsid w:val="53195A1E"/>
    <w:rsid w:val="5325232B"/>
    <w:rsid w:val="533E519B"/>
    <w:rsid w:val="534E0BF2"/>
    <w:rsid w:val="534F73A8"/>
    <w:rsid w:val="535B7B08"/>
    <w:rsid w:val="537D7FE3"/>
    <w:rsid w:val="538C4158"/>
    <w:rsid w:val="53A53D67"/>
    <w:rsid w:val="53B17824"/>
    <w:rsid w:val="53CC27A6"/>
    <w:rsid w:val="53DF421F"/>
    <w:rsid w:val="53E07A9A"/>
    <w:rsid w:val="53F02939"/>
    <w:rsid w:val="53FF2DEF"/>
    <w:rsid w:val="54043E50"/>
    <w:rsid w:val="540939FA"/>
    <w:rsid w:val="541C1980"/>
    <w:rsid w:val="543755E9"/>
    <w:rsid w:val="545729B8"/>
    <w:rsid w:val="5474356A"/>
    <w:rsid w:val="548412D3"/>
    <w:rsid w:val="54A43723"/>
    <w:rsid w:val="54B47613"/>
    <w:rsid w:val="54DB1ED7"/>
    <w:rsid w:val="54E65AEA"/>
    <w:rsid w:val="54E84DAA"/>
    <w:rsid w:val="54EB4EAE"/>
    <w:rsid w:val="55053439"/>
    <w:rsid w:val="550A17D8"/>
    <w:rsid w:val="5517212A"/>
    <w:rsid w:val="553F6765"/>
    <w:rsid w:val="555800FC"/>
    <w:rsid w:val="55682443"/>
    <w:rsid w:val="5583158B"/>
    <w:rsid w:val="559A32D4"/>
    <w:rsid w:val="559D43FA"/>
    <w:rsid w:val="55AD03B6"/>
    <w:rsid w:val="55C55CCE"/>
    <w:rsid w:val="55DF543F"/>
    <w:rsid w:val="56076719"/>
    <w:rsid w:val="56150435"/>
    <w:rsid w:val="562C577E"/>
    <w:rsid w:val="56362899"/>
    <w:rsid w:val="5641208E"/>
    <w:rsid w:val="564B16AA"/>
    <w:rsid w:val="565D002E"/>
    <w:rsid w:val="567815EA"/>
    <w:rsid w:val="56A02D18"/>
    <w:rsid w:val="56B51C18"/>
    <w:rsid w:val="56C34335"/>
    <w:rsid w:val="56D23C13"/>
    <w:rsid w:val="56D57BC4"/>
    <w:rsid w:val="56EB388B"/>
    <w:rsid w:val="571050A0"/>
    <w:rsid w:val="571959DC"/>
    <w:rsid w:val="57246832"/>
    <w:rsid w:val="57324EB7"/>
    <w:rsid w:val="574C257C"/>
    <w:rsid w:val="576A4258"/>
    <w:rsid w:val="576F118C"/>
    <w:rsid w:val="57925AB5"/>
    <w:rsid w:val="57AC2BE5"/>
    <w:rsid w:val="57BF2D4E"/>
    <w:rsid w:val="57D04F5B"/>
    <w:rsid w:val="57D63BF4"/>
    <w:rsid w:val="57E666CC"/>
    <w:rsid w:val="580236B0"/>
    <w:rsid w:val="58030BB1"/>
    <w:rsid w:val="581B55AB"/>
    <w:rsid w:val="581C7EDC"/>
    <w:rsid w:val="582F7ABC"/>
    <w:rsid w:val="58702B5F"/>
    <w:rsid w:val="58716105"/>
    <w:rsid w:val="587B56EC"/>
    <w:rsid w:val="588145EA"/>
    <w:rsid w:val="58927621"/>
    <w:rsid w:val="589917F1"/>
    <w:rsid w:val="58A73B83"/>
    <w:rsid w:val="58CA7BFC"/>
    <w:rsid w:val="58E93DFA"/>
    <w:rsid w:val="58ED7447"/>
    <w:rsid w:val="59022B40"/>
    <w:rsid w:val="59030B22"/>
    <w:rsid w:val="591D1E28"/>
    <w:rsid w:val="592E0313"/>
    <w:rsid w:val="593257A1"/>
    <w:rsid w:val="593A7C41"/>
    <w:rsid w:val="59464DA9"/>
    <w:rsid w:val="59543F1F"/>
    <w:rsid w:val="595666A3"/>
    <w:rsid w:val="597903DF"/>
    <w:rsid w:val="59827B2D"/>
    <w:rsid w:val="598F4AC5"/>
    <w:rsid w:val="59A815C0"/>
    <w:rsid w:val="59B14918"/>
    <w:rsid w:val="59BB11BD"/>
    <w:rsid w:val="59C676F6"/>
    <w:rsid w:val="59DB1995"/>
    <w:rsid w:val="59E003A7"/>
    <w:rsid w:val="59E03F84"/>
    <w:rsid w:val="59FB2037"/>
    <w:rsid w:val="5A1026E8"/>
    <w:rsid w:val="5A275F63"/>
    <w:rsid w:val="5A4C342B"/>
    <w:rsid w:val="5A6455A5"/>
    <w:rsid w:val="5A6776CD"/>
    <w:rsid w:val="5A70032F"/>
    <w:rsid w:val="5A7944A9"/>
    <w:rsid w:val="5A795282"/>
    <w:rsid w:val="5A7C1BE0"/>
    <w:rsid w:val="5A826950"/>
    <w:rsid w:val="5A987886"/>
    <w:rsid w:val="5A9E3D30"/>
    <w:rsid w:val="5AAC5678"/>
    <w:rsid w:val="5ACD036B"/>
    <w:rsid w:val="5AD22E26"/>
    <w:rsid w:val="5ADC3C17"/>
    <w:rsid w:val="5AE97AC0"/>
    <w:rsid w:val="5AEB3E5A"/>
    <w:rsid w:val="5AF07965"/>
    <w:rsid w:val="5AFF3461"/>
    <w:rsid w:val="5B024087"/>
    <w:rsid w:val="5B092687"/>
    <w:rsid w:val="5B0D5DE5"/>
    <w:rsid w:val="5B1433B1"/>
    <w:rsid w:val="5B164869"/>
    <w:rsid w:val="5B280177"/>
    <w:rsid w:val="5B2F4344"/>
    <w:rsid w:val="5B9F6DA6"/>
    <w:rsid w:val="5BC2115E"/>
    <w:rsid w:val="5BC82196"/>
    <w:rsid w:val="5BCF72D8"/>
    <w:rsid w:val="5BEB789A"/>
    <w:rsid w:val="5BF20FC8"/>
    <w:rsid w:val="5BF705DC"/>
    <w:rsid w:val="5BFD2811"/>
    <w:rsid w:val="5C1473E0"/>
    <w:rsid w:val="5C311D40"/>
    <w:rsid w:val="5C322F32"/>
    <w:rsid w:val="5C3B2BBF"/>
    <w:rsid w:val="5C3D06E5"/>
    <w:rsid w:val="5C680D58"/>
    <w:rsid w:val="5CA8431F"/>
    <w:rsid w:val="5CAA5B38"/>
    <w:rsid w:val="5D042FB1"/>
    <w:rsid w:val="5D0B433F"/>
    <w:rsid w:val="5D231DB7"/>
    <w:rsid w:val="5D504448"/>
    <w:rsid w:val="5D532A5E"/>
    <w:rsid w:val="5D6803B0"/>
    <w:rsid w:val="5D812692"/>
    <w:rsid w:val="5D9B5A9B"/>
    <w:rsid w:val="5DA14CA4"/>
    <w:rsid w:val="5DAF5613"/>
    <w:rsid w:val="5DB420CA"/>
    <w:rsid w:val="5DBF512A"/>
    <w:rsid w:val="5DD547E8"/>
    <w:rsid w:val="5DE84681"/>
    <w:rsid w:val="5DEA03F9"/>
    <w:rsid w:val="5E114B41"/>
    <w:rsid w:val="5E192A8C"/>
    <w:rsid w:val="5E225DE5"/>
    <w:rsid w:val="5E3C677A"/>
    <w:rsid w:val="5E4B16FA"/>
    <w:rsid w:val="5E5D6E1D"/>
    <w:rsid w:val="5E6A778C"/>
    <w:rsid w:val="5E765BD7"/>
    <w:rsid w:val="5E7E5B10"/>
    <w:rsid w:val="5EA85F2A"/>
    <w:rsid w:val="5EC455DD"/>
    <w:rsid w:val="5EDF7832"/>
    <w:rsid w:val="5EE63DAB"/>
    <w:rsid w:val="5EF534F9"/>
    <w:rsid w:val="5EF7101F"/>
    <w:rsid w:val="5EFA28BD"/>
    <w:rsid w:val="5F092B01"/>
    <w:rsid w:val="5F1119B5"/>
    <w:rsid w:val="5F2142EE"/>
    <w:rsid w:val="5F23068E"/>
    <w:rsid w:val="5F4B4EC7"/>
    <w:rsid w:val="5F555D46"/>
    <w:rsid w:val="5F5F4E16"/>
    <w:rsid w:val="5F702B80"/>
    <w:rsid w:val="5F8E1258"/>
    <w:rsid w:val="5F92666A"/>
    <w:rsid w:val="5F9938E7"/>
    <w:rsid w:val="5FAC3111"/>
    <w:rsid w:val="5FAF18FA"/>
    <w:rsid w:val="5FDF3EB5"/>
    <w:rsid w:val="5FF76DFD"/>
    <w:rsid w:val="5FFC3EF2"/>
    <w:rsid w:val="603552AE"/>
    <w:rsid w:val="60490A2C"/>
    <w:rsid w:val="607466A0"/>
    <w:rsid w:val="60794CC3"/>
    <w:rsid w:val="609D1752"/>
    <w:rsid w:val="609E54CA"/>
    <w:rsid w:val="60A76A75"/>
    <w:rsid w:val="60EF05DD"/>
    <w:rsid w:val="60F31CBA"/>
    <w:rsid w:val="60FC7A3D"/>
    <w:rsid w:val="61073070"/>
    <w:rsid w:val="61093C77"/>
    <w:rsid w:val="6113099A"/>
    <w:rsid w:val="611A32BF"/>
    <w:rsid w:val="612E7718"/>
    <w:rsid w:val="614B7400"/>
    <w:rsid w:val="614E344B"/>
    <w:rsid w:val="617D1584"/>
    <w:rsid w:val="618D5C6B"/>
    <w:rsid w:val="61926DDD"/>
    <w:rsid w:val="61975313"/>
    <w:rsid w:val="619A3ADC"/>
    <w:rsid w:val="61A30FEA"/>
    <w:rsid w:val="61B256D1"/>
    <w:rsid w:val="61B551E4"/>
    <w:rsid w:val="61D66F77"/>
    <w:rsid w:val="61DB1700"/>
    <w:rsid w:val="61E241E7"/>
    <w:rsid w:val="61E6537B"/>
    <w:rsid w:val="61FB1E8E"/>
    <w:rsid w:val="620B1CA4"/>
    <w:rsid w:val="62283DAA"/>
    <w:rsid w:val="622F18BD"/>
    <w:rsid w:val="624556F9"/>
    <w:rsid w:val="62471456"/>
    <w:rsid w:val="624C1682"/>
    <w:rsid w:val="62593D9F"/>
    <w:rsid w:val="625978FB"/>
    <w:rsid w:val="625D0FB1"/>
    <w:rsid w:val="62695F3F"/>
    <w:rsid w:val="627E3805"/>
    <w:rsid w:val="628030DA"/>
    <w:rsid w:val="628F77C1"/>
    <w:rsid w:val="62A0377C"/>
    <w:rsid w:val="62AD7C47"/>
    <w:rsid w:val="62B31701"/>
    <w:rsid w:val="62B9310E"/>
    <w:rsid w:val="62CC5E81"/>
    <w:rsid w:val="62D93AF5"/>
    <w:rsid w:val="62D96C8E"/>
    <w:rsid w:val="62DA219F"/>
    <w:rsid w:val="62E33669"/>
    <w:rsid w:val="62EC29D7"/>
    <w:rsid w:val="62FA10DE"/>
    <w:rsid w:val="63091321"/>
    <w:rsid w:val="630E06E5"/>
    <w:rsid w:val="630E1509"/>
    <w:rsid w:val="63102565"/>
    <w:rsid w:val="632048BD"/>
    <w:rsid w:val="632857BE"/>
    <w:rsid w:val="63427E1C"/>
    <w:rsid w:val="634467FD"/>
    <w:rsid w:val="63B22EF2"/>
    <w:rsid w:val="63C93177"/>
    <w:rsid w:val="63E74D4D"/>
    <w:rsid w:val="63EB04F2"/>
    <w:rsid w:val="64131EB4"/>
    <w:rsid w:val="642234C3"/>
    <w:rsid w:val="64264155"/>
    <w:rsid w:val="64340620"/>
    <w:rsid w:val="643D39B1"/>
    <w:rsid w:val="64524F45"/>
    <w:rsid w:val="64562516"/>
    <w:rsid w:val="6457430E"/>
    <w:rsid w:val="645E569D"/>
    <w:rsid w:val="646F1658"/>
    <w:rsid w:val="64755141"/>
    <w:rsid w:val="647C5B23"/>
    <w:rsid w:val="64844AD2"/>
    <w:rsid w:val="649920C4"/>
    <w:rsid w:val="64994927"/>
    <w:rsid w:val="64A23067"/>
    <w:rsid w:val="64E2694D"/>
    <w:rsid w:val="64E72306"/>
    <w:rsid w:val="64EC2212"/>
    <w:rsid w:val="651947B7"/>
    <w:rsid w:val="654301AA"/>
    <w:rsid w:val="65444892"/>
    <w:rsid w:val="65510D5D"/>
    <w:rsid w:val="656E121B"/>
    <w:rsid w:val="657209EB"/>
    <w:rsid w:val="65806EBF"/>
    <w:rsid w:val="658206A1"/>
    <w:rsid w:val="65891518"/>
    <w:rsid w:val="65B85B4E"/>
    <w:rsid w:val="65C366A8"/>
    <w:rsid w:val="65E46075"/>
    <w:rsid w:val="65F07AC3"/>
    <w:rsid w:val="65FC516D"/>
    <w:rsid w:val="66285F62"/>
    <w:rsid w:val="66337E5B"/>
    <w:rsid w:val="663440AA"/>
    <w:rsid w:val="66393CFE"/>
    <w:rsid w:val="664B2406"/>
    <w:rsid w:val="665A6708"/>
    <w:rsid w:val="665C20B0"/>
    <w:rsid w:val="665F1CD5"/>
    <w:rsid w:val="66612892"/>
    <w:rsid w:val="667D0992"/>
    <w:rsid w:val="669E0497"/>
    <w:rsid w:val="66A14DE6"/>
    <w:rsid w:val="66B27F22"/>
    <w:rsid w:val="66BB0B84"/>
    <w:rsid w:val="66C739CD"/>
    <w:rsid w:val="66D21781"/>
    <w:rsid w:val="66E022D0"/>
    <w:rsid w:val="671E44FE"/>
    <w:rsid w:val="672506F4"/>
    <w:rsid w:val="673C73BF"/>
    <w:rsid w:val="67781CD8"/>
    <w:rsid w:val="67841B88"/>
    <w:rsid w:val="679B09B6"/>
    <w:rsid w:val="67A56C08"/>
    <w:rsid w:val="67C3195E"/>
    <w:rsid w:val="67E656EE"/>
    <w:rsid w:val="67FA1B80"/>
    <w:rsid w:val="67FD51CC"/>
    <w:rsid w:val="680F4939"/>
    <w:rsid w:val="68420E31"/>
    <w:rsid w:val="684F1F9E"/>
    <w:rsid w:val="685E210F"/>
    <w:rsid w:val="68731DAB"/>
    <w:rsid w:val="68842338"/>
    <w:rsid w:val="688E444A"/>
    <w:rsid w:val="689620AA"/>
    <w:rsid w:val="68A11FFC"/>
    <w:rsid w:val="68A43DD0"/>
    <w:rsid w:val="68D777CC"/>
    <w:rsid w:val="691F73AF"/>
    <w:rsid w:val="692A45F1"/>
    <w:rsid w:val="69584DB0"/>
    <w:rsid w:val="6958641A"/>
    <w:rsid w:val="698711F2"/>
    <w:rsid w:val="698A0CE2"/>
    <w:rsid w:val="69AF24F6"/>
    <w:rsid w:val="69D01878"/>
    <w:rsid w:val="69E043AA"/>
    <w:rsid w:val="69F9496F"/>
    <w:rsid w:val="6A215A77"/>
    <w:rsid w:val="6A2D7FEB"/>
    <w:rsid w:val="6A32349A"/>
    <w:rsid w:val="6A3B5CC8"/>
    <w:rsid w:val="6A421022"/>
    <w:rsid w:val="6A572E84"/>
    <w:rsid w:val="6A6D03E7"/>
    <w:rsid w:val="6A766D7E"/>
    <w:rsid w:val="6A8B2F63"/>
    <w:rsid w:val="6A8D751D"/>
    <w:rsid w:val="6AA638F9"/>
    <w:rsid w:val="6AB26EA7"/>
    <w:rsid w:val="6AB41AF4"/>
    <w:rsid w:val="6AE3243F"/>
    <w:rsid w:val="6AED1528"/>
    <w:rsid w:val="6B080F0F"/>
    <w:rsid w:val="6B186FE6"/>
    <w:rsid w:val="6B2904EB"/>
    <w:rsid w:val="6B3A73C5"/>
    <w:rsid w:val="6B572E46"/>
    <w:rsid w:val="6B663E10"/>
    <w:rsid w:val="6B770D1D"/>
    <w:rsid w:val="6B821356"/>
    <w:rsid w:val="6B9B3608"/>
    <w:rsid w:val="6B9F5125"/>
    <w:rsid w:val="6BB60D0E"/>
    <w:rsid w:val="6BBD1168"/>
    <w:rsid w:val="6BC404DB"/>
    <w:rsid w:val="6BDC5564"/>
    <w:rsid w:val="6C037203"/>
    <w:rsid w:val="6C697734"/>
    <w:rsid w:val="6C757A27"/>
    <w:rsid w:val="6C9C440C"/>
    <w:rsid w:val="6CA36096"/>
    <w:rsid w:val="6CA47CF5"/>
    <w:rsid w:val="6CE768E6"/>
    <w:rsid w:val="6D257CC6"/>
    <w:rsid w:val="6D3C22F3"/>
    <w:rsid w:val="6D4B1F5D"/>
    <w:rsid w:val="6D4F0278"/>
    <w:rsid w:val="6D6535F8"/>
    <w:rsid w:val="6D6655C2"/>
    <w:rsid w:val="6D6F091A"/>
    <w:rsid w:val="6D7B72BF"/>
    <w:rsid w:val="6D885538"/>
    <w:rsid w:val="6D937F64"/>
    <w:rsid w:val="6DA70636"/>
    <w:rsid w:val="6DAF6F69"/>
    <w:rsid w:val="6DB05BFE"/>
    <w:rsid w:val="6DBD275F"/>
    <w:rsid w:val="6DC90E2B"/>
    <w:rsid w:val="6DE65D62"/>
    <w:rsid w:val="6E07347E"/>
    <w:rsid w:val="6E1F1804"/>
    <w:rsid w:val="6E240780"/>
    <w:rsid w:val="6E301E58"/>
    <w:rsid w:val="6E3A4B90"/>
    <w:rsid w:val="6E3F02ED"/>
    <w:rsid w:val="6E5E554C"/>
    <w:rsid w:val="6E7A612A"/>
    <w:rsid w:val="6E7C32EF"/>
    <w:rsid w:val="6E8F2483"/>
    <w:rsid w:val="6E967BE7"/>
    <w:rsid w:val="6E984079"/>
    <w:rsid w:val="6E9B4EA5"/>
    <w:rsid w:val="6EB063B1"/>
    <w:rsid w:val="6EB56801"/>
    <w:rsid w:val="6EB73331"/>
    <w:rsid w:val="6EB94846"/>
    <w:rsid w:val="6ECE54C2"/>
    <w:rsid w:val="6EEA5EB5"/>
    <w:rsid w:val="6EF015E7"/>
    <w:rsid w:val="6F022250"/>
    <w:rsid w:val="6F421595"/>
    <w:rsid w:val="6F5456E0"/>
    <w:rsid w:val="6F571666"/>
    <w:rsid w:val="6F885CC3"/>
    <w:rsid w:val="6F92269E"/>
    <w:rsid w:val="6F946416"/>
    <w:rsid w:val="6F9B77A5"/>
    <w:rsid w:val="6FA63992"/>
    <w:rsid w:val="6FF62778"/>
    <w:rsid w:val="701D0108"/>
    <w:rsid w:val="70297AC4"/>
    <w:rsid w:val="70390E66"/>
    <w:rsid w:val="704A0F3A"/>
    <w:rsid w:val="70513D7C"/>
    <w:rsid w:val="70801449"/>
    <w:rsid w:val="70B825D8"/>
    <w:rsid w:val="70EA1CC2"/>
    <w:rsid w:val="710B095A"/>
    <w:rsid w:val="710B2708"/>
    <w:rsid w:val="710C022E"/>
    <w:rsid w:val="713E488C"/>
    <w:rsid w:val="71453949"/>
    <w:rsid w:val="714C7301"/>
    <w:rsid w:val="714F2EE5"/>
    <w:rsid w:val="715C7408"/>
    <w:rsid w:val="71661EA8"/>
    <w:rsid w:val="717209D9"/>
    <w:rsid w:val="719D323C"/>
    <w:rsid w:val="71A04AA8"/>
    <w:rsid w:val="71AB08AF"/>
    <w:rsid w:val="71AD7C63"/>
    <w:rsid w:val="71C20FC9"/>
    <w:rsid w:val="71CD5C10"/>
    <w:rsid w:val="71D368CA"/>
    <w:rsid w:val="71F14DC5"/>
    <w:rsid w:val="7204053A"/>
    <w:rsid w:val="7206737C"/>
    <w:rsid w:val="720F447A"/>
    <w:rsid w:val="722964A7"/>
    <w:rsid w:val="7235658B"/>
    <w:rsid w:val="725956F5"/>
    <w:rsid w:val="727442DD"/>
    <w:rsid w:val="727E6F0A"/>
    <w:rsid w:val="729D0AB4"/>
    <w:rsid w:val="729D341C"/>
    <w:rsid w:val="72B33C84"/>
    <w:rsid w:val="72B62B48"/>
    <w:rsid w:val="72B8241C"/>
    <w:rsid w:val="72DD1E82"/>
    <w:rsid w:val="72F47337"/>
    <w:rsid w:val="73194551"/>
    <w:rsid w:val="73262D27"/>
    <w:rsid w:val="732B0E40"/>
    <w:rsid w:val="733E6DC5"/>
    <w:rsid w:val="735F726A"/>
    <w:rsid w:val="736F3422"/>
    <w:rsid w:val="739015EB"/>
    <w:rsid w:val="73B72185"/>
    <w:rsid w:val="73BD3A7A"/>
    <w:rsid w:val="73C117A4"/>
    <w:rsid w:val="73CF7C8C"/>
    <w:rsid w:val="73D74B24"/>
    <w:rsid w:val="73E32E08"/>
    <w:rsid w:val="73E7745D"/>
    <w:rsid w:val="73F85B5B"/>
    <w:rsid w:val="74037EE1"/>
    <w:rsid w:val="74273CFD"/>
    <w:rsid w:val="743C5BB1"/>
    <w:rsid w:val="74442825"/>
    <w:rsid w:val="74653B94"/>
    <w:rsid w:val="747D4E6E"/>
    <w:rsid w:val="749C555E"/>
    <w:rsid w:val="74BC597D"/>
    <w:rsid w:val="74F04B62"/>
    <w:rsid w:val="75102F42"/>
    <w:rsid w:val="751A5610"/>
    <w:rsid w:val="75297601"/>
    <w:rsid w:val="7530273D"/>
    <w:rsid w:val="7547295E"/>
    <w:rsid w:val="75695B45"/>
    <w:rsid w:val="75800B89"/>
    <w:rsid w:val="75811B46"/>
    <w:rsid w:val="75911025"/>
    <w:rsid w:val="75C46B61"/>
    <w:rsid w:val="75C95703"/>
    <w:rsid w:val="75CC3053"/>
    <w:rsid w:val="75DD44BC"/>
    <w:rsid w:val="75E132B3"/>
    <w:rsid w:val="75E654F2"/>
    <w:rsid w:val="7601057E"/>
    <w:rsid w:val="762C5D3C"/>
    <w:rsid w:val="763155F6"/>
    <w:rsid w:val="764A5A81"/>
    <w:rsid w:val="76551C9D"/>
    <w:rsid w:val="76677F73"/>
    <w:rsid w:val="76746FA2"/>
    <w:rsid w:val="767840E2"/>
    <w:rsid w:val="7682521B"/>
    <w:rsid w:val="76866FD1"/>
    <w:rsid w:val="76A806B3"/>
    <w:rsid w:val="76B850E0"/>
    <w:rsid w:val="76BC5033"/>
    <w:rsid w:val="76BD44A5"/>
    <w:rsid w:val="76E539FB"/>
    <w:rsid w:val="76F61765"/>
    <w:rsid w:val="76FA1A37"/>
    <w:rsid w:val="770172F3"/>
    <w:rsid w:val="77093988"/>
    <w:rsid w:val="77106CCA"/>
    <w:rsid w:val="771D38C5"/>
    <w:rsid w:val="7727782A"/>
    <w:rsid w:val="773B361B"/>
    <w:rsid w:val="77613082"/>
    <w:rsid w:val="77640DC4"/>
    <w:rsid w:val="776667BC"/>
    <w:rsid w:val="776D152D"/>
    <w:rsid w:val="77835557"/>
    <w:rsid w:val="77963707"/>
    <w:rsid w:val="77B75398"/>
    <w:rsid w:val="77F812DC"/>
    <w:rsid w:val="77FF0498"/>
    <w:rsid w:val="781C63F2"/>
    <w:rsid w:val="782642CC"/>
    <w:rsid w:val="782D3AB7"/>
    <w:rsid w:val="782E6041"/>
    <w:rsid w:val="783A3737"/>
    <w:rsid w:val="78676109"/>
    <w:rsid w:val="78AF230E"/>
    <w:rsid w:val="78B4083F"/>
    <w:rsid w:val="78C22246"/>
    <w:rsid w:val="78C37D6C"/>
    <w:rsid w:val="78CF3E39"/>
    <w:rsid w:val="78EC7724"/>
    <w:rsid w:val="791F7C53"/>
    <w:rsid w:val="792C5064"/>
    <w:rsid w:val="79315470"/>
    <w:rsid w:val="794123F7"/>
    <w:rsid w:val="795E73A6"/>
    <w:rsid w:val="797715D3"/>
    <w:rsid w:val="797D7F1B"/>
    <w:rsid w:val="798B05A7"/>
    <w:rsid w:val="798E2128"/>
    <w:rsid w:val="79A501FE"/>
    <w:rsid w:val="79B829CF"/>
    <w:rsid w:val="79C62F74"/>
    <w:rsid w:val="79D55477"/>
    <w:rsid w:val="79D833A4"/>
    <w:rsid w:val="79E52231"/>
    <w:rsid w:val="79FE5AD3"/>
    <w:rsid w:val="7A09738A"/>
    <w:rsid w:val="7A1171B3"/>
    <w:rsid w:val="7A195E96"/>
    <w:rsid w:val="7A2575BC"/>
    <w:rsid w:val="7A385EE3"/>
    <w:rsid w:val="7A401675"/>
    <w:rsid w:val="7A553954"/>
    <w:rsid w:val="7A636071"/>
    <w:rsid w:val="7A903C7E"/>
    <w:rsid w:val="7A9C77BD"/>
    <w:rsid w:val="7ADC6EC3"/>
    <w:rsid w:val="7AE069B4"/>
    <w:rsid w:val="7AE27470"/>
    <w:rsid w:val="7AF565E1"/>
    <w:rsid w:val="7AF97A75"/>
    <w:rsid w:val="7B090F95"/>
    <w:rsid w:val="7B184918"/>
    <w:rsid w:val="7B425C0B"/>
    <w:rsid w:val="7B615FC1"/>
    <w:rsid w:val="7B707AC5"/>
    <w:rsid w:val="7B713AB0"/>
    <w:rsid w:val="7B7D4202"/>
    <w:rsid w:val="7B867CD0"/>
    <w:rsid w:val="7B8A79B4"/>
    <w:rsid w:val="7B8B4B71"/>
    <w:rsid w:val="7B9228B5"/>
    <w:rsid w:val="7BA31605"/>
    <w:rsid w:val="7BAC637B"/>
    <w:rsid w:val="7BBB374B"/>
    <w:rsid w:val="7BD209F2"/>
    <w:rsid w:val="7BD247CD"/>
    <w:rsid w:val="7BD36518"/>
    <w:rsid w:val="7BD7173D"/>
    <w:rsid w:val="7BDC1BFA"/>
    <w:rsid w:val="7BE41C3E"/>
    <w:rsid w:val="7BEE1DFE"/>
    <w:rsid w:val="7BF47678"/>
    <w:rsid w:val="7C0A6A61"/>
    <w:rsid w:val="7C4925A9"/>
    <w:rsid w:val="7C610C91"/>
    <w:rsid w:val="7C6C4155"/>
    <w:rsid w:val="7C871D83"/>
    <w:rsid w:val="7C991510"/>
    <w:rsid w:val="7C9D1B23"/>
    <w:rsid w:val="7CA129B3"/>
    <w:rsid w:val="7CB21BAC"/>
    <w:rsid w:val="7CB52BA1"/>
    <w:rsid w:val="7CD74ABE"/>
    <w:rsid w:val="7CE9753D"/>
    <w:rsid w:val="7CEC3C16"/>
    <w:rsid w:val="7CF624BE"/>
    <w:rsid w:val="7D00333D"/>
    <w:rsid w:val="7D0F17D2"/>
    <w:rsid w:val="7D384197"/>
    <w:rsid w:val="7D3B25C7"/>
    <w:rsid w:val="7D3E79C1"/>
    <w:rsid w:val="7D425704"/>
    <w:rsid w:val="7D426C50"/>
    <w:rsid w:val="7D495EEB"/>
    <w:rsid w:val="7D4F1BCF"/>
    <w:rsid w:val="7D7004C3"/>
    <w:rsid w:val="7D715FE9"/>
    <w:rsid w:val="7D8801AD"/>
    <w:rsid w:val="7D996C29"/>
    <w:rsid w:val="7DA2520F"/>
    <w:rsid w:val="7DA71A0B"/>
    <w:rsid w:val="7DC1538C"/>
    <w:rsid w:val="7DD10836"/>
    <w:rsid w:val="7DD87E16"/>
    <w:rsid w:val="7E10135E"/>
    <w:rsid w:val="7E186464"/>
    <w:rsid w:val="7E1A042F"/>
    <w:rsid w:val="7E1E7F1F"/>
    <w:rsid w:val="7E747B3F"/>
    <w:rsid w:val="7E7F64E4"/>
    <w:rsid w:val="7EAB552B"/>
    <w:rsid w:val="7EB268B9"/>
    <w:rsid w:val="7ECC6E4E"/>
    <w:rsid w:val="7EDD3C89"/>
    <w:rsid w:val="7EDE76AE"/>
    <w:rsid w:val="7EEA1BAF"/>
    <w:rsid w:val="7EEC4F35"/>
    <w:rsid w:val="7F071BB5"/>
    <w:rsid w:val="7F1B13EF"/>
    <w:rsid w:val="7F452D63"/>
    <w:rsid w:val="7F564C45"/>
    <w:rsid w:val="7F795344"/>
    <w:rsid w:val="7F8C2C66"/>
    <w:rsid w:val="7F9F6BE1"/>
    <w:rsid w:val="7FAB3A34"/>
    <w:rsid w:val="7FBF0819"/>
    <w:rsid w:val="7FC05006"/>
    <w:rsid w:val="7FCA5219"/>
    <w:rsid w:val="7FDA46EF"/>
    <w:rsid w:val="7FDD1714"/>
    <w:rsid w:val="7FEC5DFB"/>
    <w:rsid w:val="7FFC5BA5"/>
    <w:rsid w:val="EA4B607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qFormat="1" w:uiPriority="0" w:semiHidden="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iPriority="0" w:semiHidden="0" w:name="Table Grid"/>
    <w:lsdException w:qFormat="1" w:unhideWhenUsed="0" w:uiPriority="0" w:semiHidden="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3"/>
    <w:link w:val="82"/>
    <w:qFormat/>
    <w:uiPriority w:val="9"/>
    <w:pPr>
      <w:keepNext/>
      <w:widowControl/>
      <w:tabs>
        <w:tab w:val="left" w:pos="885"/>
      </w:tabs>
      <w:ind w:left="885" w:hanging="885"/>
      <w:outlineLvl w:val="0"/>
    </w:pPr>
    <w:rPr>
      <w:rFonts w:ascii="黑体" w:eastAsia="黑体"/>
      <w:sz w:val="52"/>
    </w:rPr>
  </w:style>
  <w:style w:type="paragraph" w:styleId="4">
    <w:name w:val="heading 2"/>
    <w:basedOn w:val="1"/>
    <w:next w:val="3"/>
    <w:link w:val="81"/>
    <w:qFormat/>
    <w:uiPriority w:val="9"/>
    <w:pPr>
      <w:keepNext/>
      <w:keepLines/>
      <w:widowControl/>
      <w:spacing w:before="260" w:after="260" w:line="413" w:lineRule="auto"/>
      <w:jc w:val="center"/>
      <w:outlineLvl w:val="1"/>
    </w:pPr>
    <w:rPr>
      <w:rFonts w:ascii="Arial" w:hAnsi="Arial" w:eastAsia="黑体"/>
      <w:b/>
      <w:kern w:val="0"/>
      <w:sz w:val="44"/>
    </w:rPr>
  </w:style>
  <w:style w:type="paragraph" w:styleId="5">
    <w:name w:val="heading 3"/>
    <w:basedOn w:val="1"/>
    <w:next w:val="3"/>
    <w:link w:val="89"/>
    <w:qFormat/>
    <w:uiPriority w:val="9"/>
    <w:pPr>
      <w:keepNext/>
      <w:keepLines/>
      <w:widowControl/>
      <w:spacing w:before="120" w:after="120" w:line="360" w:lineRule="auto"/>
      <w:jc w:val="center"/>
      <w:outlineLvl w:val="2"/>
    </w:pPr>
    <w:rPr>
      <w:b/>
      <w:kern w:val="0"/>
      <w:sz w:val="32"/>
    </w:rPr>
  </w:style>
  <w:style w:type="paragraph" w:styleId="6">
    <w:name w:val="heading 4"/>
    <w:basedOn w:val="1"/>
    <w:next w:val="3"/>
    <w:link w:val="90"/>
    <w:qFormat/>
    <w:uiPriority w:val="0"/>
    <w:pPr>
      <w:keepNext/>
      <w:keepLines/>
      <w:widowControl/>
      <w:spacing w:before="120" w:after="120" w:line="360" w:lineRule="auto"/>
      <w:jc w:val="center"/>
      <w:outlineLvl w:val="3"/>
    </w:pPr>
    <w:rPr>
      <w:rFonts w:ascii="Arial" w:hAnsi="Arial" w:eastAsia="黑体"/>
      <w:sz w:val="28"/>
      <w:szCs w:val="24"/>
    </w:rPr>
  </w:style>
  <w:style w:type="paragraph" w:styleId="7">
    <w:name w:val="heading 5"/>
    <w:basedOn w:val="1"/>
    <w:next w:val="1"/>
    <w:link w:val="91"/>
    <w:qFormat/>
    <w:uiPriority w:val="0"/>
    <w:pPr>
      <w:keepNext/>
      <w:keepLines/>
      <w:widowControl/>
      <w:spacing w:before="120" w:after="120" w:line="360" w:lineRule="auto"/>
      <w:ind w:firstLine="499"/>
      <w:jc w:val="left"/>
      <w:outlineLvl w:val="4"/>
    </w:pPr>
    <w:rPr>
      <w:rFonts w:ascii="宋体" w:hAnsi="宋体"/>
      <w:b/>
      <w:kern w:val="0"/>
      <w:sz w:val="24"/>
    </w:rPr>
  </w:style>
  <w:style w:type="paragraph" w:styleId="8">
    <w:name w:val="heading 6"/>
    <w:basedOn w:val="1"/>
    <w:next w:val="9"/>
    <w:link w:val="92"/>
    <w:qFormat/>
    <w:uiPriority w:val="0"/>
    <w:pPr>
      <w:keepNext/>
      <w:tabs>
        <w:tab w:val="left" w:pos="1152"/>
      </w:tabs>
      <w:spacing w:before="240" w:after="64" w:line="320" w:lineRule="auto"/>
      <w:ind w:left="1152" w:hanging="1152"/>
      <w:outlineLvl w:val="5"/>
    </w:pPr>
    <w:rPr>
      <w:rFonts w:ascii="Arial" w:hAnsi="Arial" w:eastAsia="黑体"/>
      <w:b/>
      <w:sz w:val="24"/>
      <w:szCs w:val="24"/>
    </w:rPr>
  </w:style>
  <w:style w:type="paragraph" w:styleId="10">
    <w:name w:val="heading 7"/>
    <w:basedOn w:val="1"/>
    <w:next w:val="9"/>
    <w:link w:val="93"/>
    <w:qFormat/>
    <w:uiPriority w:val="0"/>
    <w:pPr>
      <w:keepNext/>
      <w:keepLines/>
      <w:spacing w:before="240" w:after="64" w:line="320" w:lineRule="auto"/>
      <w:outlineLvl w:val="6"/>
    </w:pPr>
    <w:rPr>
      <w:b/>
      <w:sz w:val="24"/>
    </w:rPr>
  </w:style>
  <w:style w:type="paragraph" w:styleId="11">
    <w:name w:val="heading 8"/>
    <w:basedOn w:val="1"/>
    <w:next w:val="9"/>
    <w:link w:val="94"/>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9"/>
    <w:link w:val="95"/>
    <w:qFormat/>
    <w:uiPriority w:val="0"/>
    <w:pPr>
      <w:keepNext/>
      <w:keepLines/>
      <w:spacing w:before="240" w:after="64" w:line="320" w:lineRule="auto"/>
      <w:outlineLvl w:val="8"/>
    </w:pPr>
    <w:rPr>
      <w:rFonts w:ascii="Arial" w:hAnsi="Arial" w:eastAsia="黑体"/>
    </w:rPr>
  </w:style>
  <w:style w:type="character" w:default="1" w:styleId="70">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8"/>
    <w:qFormat/>
    <w:uiPriority w:val="99"/>
    <w:pPr>
      <w:spacing w:after="120"/>
    </w:pPr>
  </w:style>
  <w:style w:type="paragraph" w:styleId="9">
    <w:name w:val="Normal Indent"/>
    <w:basedOn w:val="1"/>
    <w:link w:val="88"/>
    <w:qFormat/>
    <w:uiPriority w:val="0"/>
    <w:pPr>
      <w:widowControl/>
      <w:ind w:firstLine="420"/>
      <w:jc w:val="left"/>
    </w:pPr>
    <w:rPr>
      <w:kern w:val="0"/>
      <w:sz w:val="20"/>
    </w:rPr>
  </w:style>
  <w:style w:type="paragraph" w:styleId="13">
    <w:name w:val="List 3"/>
    <w:basedOn w:val="1"/>
    <w:qFormat/>
    <w:uiPriority w:val="0"/>
    <w:pPr>
      <w:widowControl/>
      <w:spacing w:before="120" w:after="120"/>
      <w:ind w:left="1843" w:hanging="283"/>
      <w:jc w:val="left"/>
    </w:pPr>
    <w:rPr>
      <w:rFonts w:ascii="Arial" w:hAnsi="Arial"/>
      <w:kern w:val="0"/>
      <w:sz w:val="24"/>
      <w:lang w:val="en-GB" w:eastAsia="en-US" w:bidi="en-US"/>
    </w:rPr>
  </w:style>
  <w:style w:type="paragraph" w:styleId="14">
    <w:name w:val="toc 7"/>
    <w:basedOn w:val="1"/>
    <w:next w:val="1"/>
    <w:qFormat/>
    <w:uiPriority w:val="0"/>
    <w:pPr>
      <w:ind w:left="1260"/>
      <w:jc w:val="left"/>
    </w:pPr>
    <w:rPr>
      <w:rFonts w:hint="eastAsia"/>
      <w:sz w:val="18"/>
    </w:rPr>
  </w:style>
  <w:style w:type="paragraph" w:styleId="15">
    <w:name w:val="Note Heading"/>
    <w:basedOn w:val="1"/>
    <w:next w:val="1"/>
    <w:link w:val="397"/>
    <w:qFormat/>
    <w:uiPriority w:val="0"/>
    <w:pPr>
      <w:jc w:val="center"/>
    </w:pPr>
    <w:rPr>
      <w:kern w:val="0"/>
      <w:sz w:val="20"/>
    </w:rPr>
  </w:style>
  <w:style w:type="paragraph" w:styleId="16">
    <w:name w:val="index 8"/>
    <w:basedOn w:val="1"/>
    <w:next w:val="1"/>
    <w:qFormat/>
    <w:uiPriority w:val="0"/>
    <w:pPr>
      <w:ind w:left="2940"/>
    </w:pPr>
    <w:rPr>
      <w:rFonts w:hint="eastAsia"/>
    </w:rPr>
  </w:style>
  <w:style w:type="paragraph" w:styleId="17">
    <w:name w:val="caption"/>
    <w:basedOn w:val="1"/>
    <w:next w:val="1"/>
    <w:link w:val="399"/>
    <w:qFormat/>
    <w:uiPriority w:val="0"/>
    <w:pPr>
      <w:spacing w:before="152" w:after="160"/>
    </w:pPr>
    <w:rPr>
      <w:rFonts w:hint="eastAsia" w:ascii="Arial" w:hAnsi="Arial" w:eastAsia="黑体"/>
      <w:sz w:val="20"/>
    </w:rPr>
  </w:style>
  <w:style w:type="paragraph" w:styleId="18">
    <w:name w:val="index 5"/>
    <w:basedOn w:val="1"/>
    <w:next w:val="1"/>
    <w:qFormat/>
    <w:uiPriority w:val="0"/>
    <w:pPr>
      <w:ind w:left="1680"/>
    </w:pPr>
    <w:rPr>
      <w:rFonts w:hint="eastAsia"/>
    </w:rPr>
  </w:style>
  <w:style w:type="paragraph" w:styleId="19">
    <w:name w:val="List Bullet"/>
    <w:basedOn w:val="1"/>
    <w:qFormat/>
    <w:uiPriority w:val="0"/>
    <w:pPr>
      <w:ind w:left="100" w:leftChars="200" w:hanging="200" w:hangingChars="200"/>
    </w:pPr>
    <w:rPr>
      <w:rFonts w:hint="eastAsia"/>
    </w:rPr>
  </w:style>
  <w:style w:type="paragraph" w:styleId="20">
    <w:name w:val="Document Map"/>
    <w:basedOn w:val="1"/>
    <w:link w:val="96"/>
    <w:qFormat/>
    <w:uiPriority w:val="99"/>
    <w:pPr>
      <w:shd w:val="clear" w:color="auto" w:fill="000080"/>
    </w:pPr>
  </w:style>
  <w:style w:type="paragraph" w:styleId="21">
    <w:name w:val="toa heading"/>
    <w:basedOn w:val="1"/>
    <w:next w:val="1"/>
    <w:qFormat/>
    <w:uiPriority w:val="0"/>
    <w:pPr>
      <w:spacing w:before="120"/>
    </w:pPr>
    <w:rPr>
      <w:rFonts w:hint="eastAsia" w:ascii="Arial" w:hAnsi="Arial"/>
    </w:rPr>
  </w:style>
  <w:style w:type="paragraph" w:styleId="22">
    <w:name w:val="annotation text"/>
    <w:basedOn w:val="1"/>
    <w:link w:val="380"/>
    <w:qFormat/>
    <w:uiPriority w:val="99"/>
    <w:pPr>
      <w:jc w:val="left"/>
    </w:pPr>
    <w:rPr>
      <w:szCs w:val="24"/>
    </w:rPr>
  </w:style>
  <w:style w:type="paragraph" w:styleId="23">
    <w:name w:val="index 6"/>
    <w:basedOn w:val="1"/>
    <w:next w:val="1"/>
    <w:qFormat/>
    <w:uiPriority w:val="0"/>
    <w:pPr>
      <w:ind w:left="2100"/>
    </w:pPr>
    <w:rPr>
      <w:rFonts w:hint="eastAsia"/>
    </w:rPr>
  </w:style>
  <w:style w:type="paragraph" w:styleId="24">
    <w:name w:val="Body Text 3"/>
    <w:basedOn w:val="1"/>
    <w:link w:val="97"/>
    <w:qFormat/>
    <w:uiPriority w:val="0"/>
    <w:pPr>
      <w:widowControl/>
      <w:jc w:val="left"/>
    </w:pPr>
    <w:rPr>
      <w:b/>
      <w:bCs/>
      <w:color w:val="FF0000"/>
      <w:kern w:val="0"/>
      <w:sz w:val="24"/>
    </w:rPr>
  </w:style>
  <w:style w:type="paragraph" w:styleId="25">
    <w:name w:val="Body Text Indent"/>
    <w:basedOn w:val="1"/>
    <w:next w:val="26"/>
    <w:link w:val="84"/>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26">
    <w:name w:val="annotation subject"/>
    <w:basedOn w:val="22"/>
    <w:next w:val="1"/>
    <w:link w:val="86"/>
    <w:qFormat/>
    <w:uiPriority w:val="99"/>
    <w:rPr>
      <w:b/>
      <w:bCs/>
    </w:rPr>
  </w:style>
  <w:style w:type="paragraph" w:styleId="27">
    <w:name w:val="List 2"/>
    <w:qFormat/>
    <w:uiPriority w:val="0"/>
    <w:pPr>
      <w:spacing w:line="400" w:lineRule="exact"/>
      <w:jc w:val="center"/>
    </w:pPr>
    <w:rPr>
      <w:rFonts w:ascii="Arial" w:hAnsi="Arial" w:eastAsia="宋体" w:cs="Times New Roman"/>
      <w:sz w:val="24"/>
      <w:lang w:val="en-US" w:eastAsia="zh-CN" w:bidi="ar-SA"/>
    </w:rPr>
  </w:style>
  <w:style w:type="paragraph" w:styleId="28">
    <w:name w:val="Block Text"/>
    <w:basedOn w:val="1"/>
    <w:qFormat/>
    <w:uiPriority w:val="0"/>
    <w:pPr>
      <w:widowControl/>
      <w:ind w:left="9" w:leftChars="4" w:right="121" w:rightChars="55" w:firstLine="1"/>
      <w:jc w:val="left"/>
    </w:pPr>
    <w:rPr>
      <w:rFonts w:ascii="Arial" w:hAnsi="Arial" w:eastAsia="PMingLiU"/>
      <w:bCs/>
      <w:kern w:val="0"/>
      <w:sz w:val="18"/>
      <w:szCs w:val="18"/>
      <w:lang w:eastAsia="en-US" w:bidi="en-US"/>
    </w:rPr>
  </w:style>
  <w:style w:type="paragraph" w:styleId="29">
    <w:name w:val="List Bullet 2"/>
    <w:basedOn w:val="1"/>
    <w:qFormat/>
    <w:uiPriority w:val="0"/>
    <w:pPr>
      <w:tabs>
        <w:tab w:val="left" w:pos="780"/>
      </w:tabs>
      <w:ind w:left="780" w:leftChars="200" w:hanging="360" w:hangingChars="200"/>
    </w:pPr>
    <w:rPr>
      <w:szCs w:val="24"/>
    </w:rPr>
  </w:style>
  <w:style w:type="paragraph" w:styleId="30">
    <w:name w:val="index 4"/>
    <w:basedOn w:val="1"/>
    <w:next w:val="1"/>
    <w:qFormat/>
    <w:uiPriority w:val="0"/>
    <w:pPr>
      <w:ind w:left="1260"/>
    </w:pPr>
    <w:rPr>
      <w:rFonts w:hint="eastAsia"/>
    </w:rPr>
  </w:style>
  <w:style w:type="paragraph" w:styleId="31">
    <w:name w:val="toc 5"/>
    <w:basedOn w:val="1"/>
    <w:next w:val="1"/>
    <w:qFormat/>
    <w:uiPriority w:val="0"/>
    <w:pPr>
      <w:ind w:left="840"/>
      <w:jc w:val="left"/>
    </w:pPr>
    <w:rPr>
      <w:rFonts w:hint="eastAsia"/>
      <w:sz w:val="18"/>
    </w:rPr>
  </w:style>
  <w:style w:type="paragraph" w:styleId="32">
    <w:name w:val="toc 3"/>
    <w:basedOn w:val="1"/>
    <w:next w:val="1"/>
    <w:qFormat/>
    <w:uiPriority w:val="0"/>
    <w:pPr>
      <w:ind w:left="420"/>
      <w:jc w:val="left"/>
    </w:pPr>
    <w:rPr>
      <w:i/>
      <w:iCs/>
      <w:sz w:val="20"/>
    </w:rPr>
  </w:style>
  <w:style w:type="paragraph" w:styleId="33">
    <w:name w:val="Plain Text"/>
    <w:basedOn w:val="1"/>
    <w:link w:val="99"/>
    <w:qFormat/>
    <w:uiPriority w:val="0"/>
    <w:rPr>
      <w:rFonts w:ascii="宋体" w:hAnsi="Courier New"/>
    </w:rPr>
  </w:style>
  <w:style w:type="paragraph" w:styleId="34">
    <w:name w:val="toc 8"/>
    <w:basedOn w:val="1"/>
    <w:next w:val="1"/>
    <w:qFormat/>
    <w:uiPriority w:val="0"/>
    <w:pPr>
      <w:ind w:left="1470"/>
      <w:jc w:val="left"/>
    </w:pPr>
    <w:rPr>
      <w:rFonts w:hint="eastAsia"/>
      <w:sz w:val="18"/>
    </w:rPr>
  </w:style>
  <w:style w:type="paragraph" w:styleId="35">
    <w:name w:val="index 3"/>
    <w:basedOn w:val="1"/>
    <w:next w:val="1"/>
    <w:qFormat/>
    <w:uiPriority w:val="0"/>
    <w:pPr>
      <w:ind w:left="840"/>
    </w:pPr>
    <w:rPr>
      <w:rFonts w:hint="eastAsia"/>
    </w:rPr>
  </w:style>
  <w:style w:type="paragraph" w:styleId="36">
    <w:name w:val="Date"/>
    <w:basedOn w:val="1"/>
    <w:next w:val="1"/>
    <w:link w:val="100"/>
    <w:qFormat/>
    <w:uiPriority w:val="0"/>
    <w:pPr>
      <w:ind w:left="100" w:leftChars="2500"/>
    </w:pPr>
    <w:rPr>
      <w:kern w:val="0"/>
      <w:sz w:val="24"/>
    </w:rPr>
  </w:style>
  <w:style w:type="paragraph" w:styleId="37">
    <w:name w:val="Body Text Indent 2"/>
    <w:basedOn w:val="1"/>
    <w:link w:val="101"/>
    <w:qFormat/>
    <w:uiPriority w:val="99"/>
    <w:pPr>
      <w:tabs>
        <w:tab w:val="left" w:pos="360"/>
      </w:tabs>
      <w:spacing w:line="400" w:lineRule="exact"/>
      <w:ind w:left="1" w:firstLine="480" w:firstLineChars="200"/>
    </w:pPr>
    <w:rPr>
      <w:sz w:val="24"/>
      <w:szCs w:val="24"/>
    </w:rPr>
  </w:style>
  <w:style w:type="paragraph" w:styleId="38">
    <w:name w:val="endnote text"/>
    <w:basedOn w:val="1"/>
    <w:link w:val="408"/>
    <w:qFormat/>
    <w:uiPriority w:val="0"/>
    <w:pPr>
      <w:snapToGrid w:val="0"/>
      <w:jc w:val="left"/>
    </w:pPr>
    <w:rPr>
      <w:kern w:val="0"/>
      <w:sz w:val="20"/>
    </w:rPr>
  </w:style>
  <w:style w:type="paragraph" w:styleId="39">
    <w:name w:val="Balloon Text"/>
    <w:basedOn w:val="1"/>
    <w:link w:val="102"/>
    <w:qFormat/>
    <w:uiPriority w:val="99"/>
    <w:rPr>
      <w:sz w:val="18"/>
      <w:szCs w:val="18"/>
    </w:rPr>
  </w:style>
  <w:style w:type="paragraph" w:styleId="40">
    <w:name w:val="footer"/>
    <w:basedOn w:val="1"/>
    <w:link w:val="103"/>
    <w:qFormat/>
    <w:uiPriority w:val="99"/>
    <w:pPr>
      <w:widowControl/>
      <w:tabs>
        <w:tab w:val="center" w:pos="4153"/>
        <w:tab w:val="right" w:pos="8306"/>
      </w:tabs>
      <w:snapToGrid w:val="0"/>
      <w:jc w:val="center"/>
    </w:pPr>
    <w:rPr>
      <w:kern w:val="0"/>
      <w:sz w:val="18"/>
    </w:rPr>
  </w:style>
  <w:style w:type="paragraph" w:styleId="41">
    <w:name w:val="header"/>
    <w:basedOn w:val="1"/>
    <w:link w:val="104"/>
    <w:qFormat/>
    <w:uiPriority w:val="99"/>
    <w:pPr>
      <w:widowControl/>
      <w:pBdr>
        <w:bottom w:val="single" w:color="auto" w:sz="6" w:space="1"/>
      </w:pBdr>
      <w:tabs>
        <w:tab w:val="center" w:pos="4153"/>
        <w:tab w:val="right" w:pos="8306"/>
      </w:tabs>
      <w:snapToGrid w:val="0"/>
      <w:jc w:val="center"/>
    </w:pPr>
    <w:rPr>
      <w:sz w:val="18"/>
      <w:szCs w:val="24"/>
    </w:rPr>
  </w:style>
  <w:style w:type="paragraph" w:styleId="42">
    <w:name w:val="toc 1"/>
    <w:basedOn w:val="1"/>
    <w:next w:val="1"/>
    <w:qFormat/>
    <w:uiPriority w:val="39"/>
    <w:pPr>
      <w:spacing w:before="120" w:after="120"/>
      <w:jc w:val="left"/>
    </w:pPr>
    <w:rPr>
      <w:b/>
      <w:bCs/>
      <w:caps/>
    </w:rPr>
  </w:style>
  <w:style w:type="paragraph" w:styleId="43">
    <w:name w:val="toc 4"/>
    <w:basedOn w:val="1"/>
    <w:next w:val="1"/>
    <w:qFormat/>
    <w:uiPriority w:val="0"/>
    <w:pPr>
      <w:ind w:left="630"/>
      <w:jc w:val="left"/>
    </w:pPr>
    <w:rPr>
      <w:rFonts w:hint="eastAsia"/>
      <w:sz w:val="18"/>
    </w:rPr>
  </w:style>
  <w:style w:type="paragraph" w:styleId="44">
    <w:name w:val="index heading"/>
    <w:basedOn w:val="1"/>
    <w:next w:val="45"/>
    <w:qFormat/>
    <w:uiPriority w:val="0"/>
    <w:rPr>
      <w:szCs w:val="24"/>
    </w:rPr>
  </w:style>
  <w:style w:type="paragraph" w:styleId="45">
    <w:name w:val="index 1"/>
    <w:basedOn w:val="1"/>
    <w:next w:val="1"/>
    <w:qFormat/>
    <w:uiPriority w:val="0"/>
    <w:pPr>
      <w:spacing w:line="320" w:lineRule="exact"/>
    </w:pPr>
    <w:rPr>
      <w:rFonts w:ascii="仿宋_GB2312" w:hAnsi="宋体" w:eastAsia="仿宋_GB2312"/>
      <w:color w:val="000000"/>
      <w:szCs w:val="21"/>
    </w:rPr>
  </w:style>
  <w:style w:type="paragraph" w:styleId="46">
    <w:name w:val="Subtitle"/>
    <w:basedOn w:val="1"/>
    <w:next w:val="1"/>
    <w:link w:val="105"/>
    <w:qFormat/>
    <w:uiPriority w:val="0"/>
    <w:pPr>
      <w:spacing w:before="240" w:after="60" w:line="312" w:lineRule="auto"/>
      <w:jc w:val="left"/>
      <w:outlineLvl w:val="1"/>
    </w:pPr>
    <w:rPr>
      <w:rFonts w:ascii="仿宋_GB2312" w:hAnsi="Cambria" w:eastAsia="仿宋_GB2312"/>
      <w:b/>
      <w:bCs/>
      <w:kern w:val="28"/>
      <w:sz w:val="32"/>
      <w:szCs w:val="32"/>
    </w:rPr>
  </w:style>
  <w:style w:type="paragraph" w:styleId="47">
    <w:name w:val="List"/>
    <w:basedOn w:val="1"/>
    <w:qFormat/>
    <w:uiPriority w:val="0"/>
    <w:pPr>
      <w:ind w:left="200" w:hanging="200" w:hangingChars="200"/>
    </w:pPr>
    <w:rPr>
      <w:rFonts w:hint="eastAsia"/>
    </w:rPr>
  </w:style>
  <w:style w:type="paragraph" w:styleId="48">
    <w:name w:val="footnote text"/>
    <w:basedOn w:val="1"/>
    <w:link w:val="106"/>
    <w:qFormat/>
    <w:uiPriority w:val="0"/>
    <w:pPr>
      <w:tabs>
        <w:tab w:val="left" w:pos="560"/>
        <w:tab w:val="center" w:pos="8400"/>
      </w:tabs>
      <w:jc w:val="left"/>
    </w:pPr>
    <w:rPr>
      <w:sz w:val="18"/>
    </w:rPr>
  </w:style>
  <w:style w:type="paragraph" w:styleId="49">
    <w:name w:val="toc 6"/>
    <w:basedOn w:val="1"/>
    <w:next w:val="1"/>
    <w:qFormat/>
    <w:uiPriority w:val="0"/>
    <w:pPr>
      <w:ind w:left="1050"/>
      <w:jc w:val="left"/>
    </w:pPr>
    <w:rPr>
      <w:rFonts w:hint="eastAsia"/>
      <w:sz w:val="18"/>
    </w:rPr>
  </w:style>
  <w:style w:type="paragraph" w:styleId="50">
    <w:name w:val="List 5"/>
    <w:basedOn w:val="1"/>
    <w:qFormat/>
    <w:uiPriority w:val="0"/>
    <w:pPr>
      <w:tabs>
        <w:tab w:val="left" w:pos="780"/>
      </w:tabs>
      <w:ind w:left="780" w:leftChars="200" w:hanging="360" w:hangingChars="200"/>
    </w:pPr>
    <w:rPr>
      <w:rFonts w:hint="eastAsia"/>
    </w:rPr>
  </w:style>
  <w:style w:type="paragraph" w:styleId="51">
    <w:name w:val="Body Text Indent 3"/>
    <w:basedOn w:val="1"/>
    <w:link w:val="107"/>
    <w:qFormat/>
    <w:uiPriority w:val="0"/>
    <w:pPr>
      <w:spacing w:after="120"/>
      <w:ind w:left="420" w:leftChars="200"/>
    </w:pPr>
    <w:rPr>
      <w:sz w:val="16"/>
      <w:szCs w:val="16"/>
    </w:rPr>
  </w:style>
  <w:style w:type="paragraph" w:styleId="52">
    <w:name w:val="index 7"/>
    <w:basedOn w:val="1"/>
    <w:next w:val="1"/>
    <w:qFormat/>
    <w:uiPriority w:val="0"/>
    <w:pPr>
      <w:ind w:left="2520"/>
    </w:pPr>
    <w:rPr>
      <w:rFonts w:hint="eastAsia"/>
    </w:rPr>
  </w:style>
  <w:style w:type="paragraph" w:styleId="53">
    <w:name w:val="index 9"/>
    <w:basedOn w:val="1"/>
    <w:next w:val="1"/>
    <w:qFormat/>
    <w:uiPriority w:val="0"/>
    <w:pPr>
      <w:ind w:left="3360"/>
    </w:pPr>
    <w:rPr>
      <w:rFonts w:hint="eastAsia"/>
    </w:rPr>
  </w:style>
  <w:style w:type="paragraph" w:styleId="54">
    <w:name w:val="table of figures"/>
    <w:basedOn w:val="1"/>
    <w:next w:val="1"/>
    <w:qFormat/>
    <w:uiPriority w:val="0"/>
    <w:pPr>
      <w:widowControl/>
      <w:tabs>
        <w:tab w:val="right" w:leader="dot" w:pos="9072"/>
      </w:tabs>
      <w:spacing w:before="120"/>
      <w:ind w:left="480" w:hanging="480"/>
      <w:jc w:val="left"/>
    </w:pPr>
    <w:rPr>
      <w:rFonts w:ascii="Arial" w:hAnsi="Arial"/>
      <w:i/>
      <w:kern w:val="0"/>
      <w:sz w:val="20"/>
      <w:lang w:val="en-GB" w:eastAsia="en-US" w:bidi="en-US"/>
    </w:rPr>
  </w:style>
  <w:style w:type="paragraph" w:styleId="55">
    <w:name w:val="toc 2"/>
    <w:basedOn w:val="1"/>
    <w:next w:val="1"/>
    <w:qFormat/>
    <w:uiPriority w:val="0"/>
    <w:pPr>
      <w:ind w:left="210"/>
      <w:jc w:val="left"/>
    </w:pPr>
    <w:rPr>
      <w:smallCaps/>
    </w:rPr>
  </w:style>
  <w:style w:type="paragraph" w:styleId="56">
    <w:name w:val="toc 9"/>
    <w:basedOn w:val="1"/>
    <w:next w:val="1"/>
    <w:qFormat/>
    <w:uiPriority w:val="0"/>
    <w:pPr>
      <w:ind w:left="1680"/>
      <w:jc w:val="left"/>
    </w:pPr>
    <w:rPr>
      <w:rFonts w:hint="eastAsia"/>
      <w:sz w:val="18"/>
    </w:rPr>
  </w:style>
  <w:style w:type="paragraph" w:styleId="57">
    <w:name w:val="Body Text 2"/>
    <w:basedOn w:val="1"/>
    <w:link w:val="108"/>
    <w:qFormat/>
    <w:uiPriority w:val="0"/>
    <w:pPr>
      <w:widowControl/>
    </w:pPr>
    <w:rPr>
      <w:rFonts w:ascii="宋体" w:hAnsi="宋体"/>
      <w:b/>
      <w:bCs/>
      <w:color w:val="FF0000"/>
      <w:kern w:val="0"/>
      <w:sz w:val="28"/>
    </w:rPr>
  </w:style>
  <w:style w:type="paragraph" w:styleId="58">
    <w:name w:val="HTML Preformatted"/>
    <w:basedOn w:val="1"/>
    <w:link w:val="41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0"/>
    </w:rPr>
  </w:style>
  <w:style w:type="paragraph" w:styleId="5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60">
    <w:name w:val="index 2"/>
    <w:basedOn w:val="1"/>
    <w:next w:val="1"/>
    <w:qFormat/>
    <w:uiPriority w:val="0"/>
    <w:pPr>
      <w:ind w:left="420"/>
    </w:pPr>
    <w:rPr>
      <w:rFonts w:hint="eastAsia"/>
    </w:rPr>
  </w:style>
  <w:style w:type="paragraph" w:styleId="61">
    <w:name w:val="Title"/>
    <w:basedOn w:val="1"/>
    <w:next w:val="1"/>
    <w:link w:val="109"/>
    <w:qFormat/>
    <w:uiPriority w:val="0"/>
    <w:pPr>
      <w:spacing w:before="120" w:after="60"/>
      <w:jc w:val="center"/>
    </w:pPr>
    <w:rPr>
      <w:rFonts w:ascii="Arial" w:hAnsi="Arial"/>
      <w:b/>
      <w:sz w:val="44"/>
      <w:szCs w:val="24"/>
    </w:rPr>
  </w:style>
  <w:style w:type="paragraph" w:styleId="62">
    <w:name w:val="Body Text First Indent"/>
    <w:basedOn w:val="3"/>
    <w:link w:val="110"/>
    <w:qFormat/>
    <w:uiPriority w:val="0"/>
    <w:pPr>
      <w:ind w:firstLine="420"/>
    </w:pPr>
  </w:style>
  <w:style w:type="paragraph" w:styleId="63">
    <w:name w:val="Body Text First Indent 2"/>
    <w:basedOn w:val="25"/>
    <w:next w:val="9"/>
    <w:link w:val="87"/>
    <w:unhideWhenUsed/>
    <w:qFormat/>
    <w:uiPriority w:val="0"/>
  </w:style>
  <w:style w:type="table" w:styleId="65">
    <w:name w:val="Table Grid"/>
    <w:basedOn w:val="64"/>
    <w:unhideWhenUsed/>
    <w:qFormat/>
    <w:uiPriority w:val="0"/>
    <w:pPr>
      <w:widowControl w:val="0"/>
      <w:jc w:val="both"/>
    </w:pPr>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6">
    <w:name w:val="Table Theme"/>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7">
    <w:name w:val="Table Elegant"/>
    <w:basedOn w:val="64"/>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8">
    <w:name w:val="Table List 5"/>
    <w:basedOn w:val="64"/>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9">
    <w:name w:val="Light Shading Accent 3"/>
    <w:basedOn w:val="64"/>
    <w:unhideWhenUsed/>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character" w:styleId="71">
    <w:name w:val="Strong"/>
    <w:qFormat/>
    <w:uiPriority w:val="0"/>
    <w:rPr>
      <w:b/>
      <w:bCs/>
    </w:rPr>
  </w:style>
  <w:style w:type="character" w:styleId="72">
    <w:name w:val="endnote reference"/>
    <w:qFormat/>
    <w:uiPriority w:val="0"/>
    <w:rPr>
      <w:vertAlign w:val="superscript"/>
    </w:rPr>
  </w:style>
  <w:style w:type="character" w:styleId="73">
    <w:name w:val="page number"/>
    <w:qFormat/>
    <w:uiPriority w:val="0"/>
    <w:rPr>
      <w:rFonts w:eastAsia="宋体"/>
      <w:kern w:val="2"/>
      <w:sz w:val="24"/>
      <w:szCs w:val="24"/>
      <w:lang w:val="en-US" w:eastAsia="zh-CN" w:bidi="ar-SA"/>
    </w:rPr>
  </w:style>
  <w:style w:type="character" w:styleId="74">
    <w:name w:val="FollowedHyperlink"/>
    <w:qFormat/>
    <w:uiPriority w:val="99"/>
    <w:rPr>
      <w:rFonts w:eastAsia="宋体"/>
      <w:color w:val="000000"/>
      <w:kern w:val="2"/>
      <w:sz w:val="24"/>
      <w:szCs w:val="24"/>
      <w:u w:val="none"/>
      <w:lang w:val="en-US" w:eastAsia="zh-CN" w:bidi="ar-SA"/>
    </w:rPr>
  </w:style>
  <w:style w:type="character" w:styleId="75">
    <w:name w:val="Emphasis"/>
    <w:qFormat/>
    <w:uiPriority w:val="0"/>
    <w:rPr>
      <w:i/>
      <w:iCs/>
    </w:rPr>
  </w:style>
  <w:style w:type="character" w:styleId="76">
    <w:name w:val="line number"/>
    <w:qFormat/>
    <w:uiPriority w:val="0"/>
  </w:style>
  <w:style w:type="character" w:styleId="77">
    <w:name w:val="Hyperlink"/>
    <w:basedOn w:val="70"/>
    <w:qFormat/>
    <w:uiPriority w:val="99"/>
    <w:rPr>
      <w:rFonts w:eastAsia="宋体"/>
      <w:color w:val="333333"/>
      <w:kern w:val="2"/>
      <w:sz w:val="24"/>
      <w:szCs w:val="24"/>
      <w:u w:val="none"/>
      <w:lang w:val="en-US" w:eastAsia="zh-CN" w:bidi="ar-SA"/>
    </w:rPr>
  </w:style>
  <w:style w:type="character" w:styleId="78">
    <w:name w:val="annotation reference"/>
    <w:qFormat/>
    <w:uiPriority w:val="0"/>
    <w:rPr>
      <w:rFonts w:eastAsia="宋体"/>
      <w:kern w:val="2"/>
      <w:sz w:val="21"/>
      <w:szCs w:val="21"/>
      <w:lang w:val="en-US" w:eastAsia="zh-CN" w:bidi="ar-SA"/>
    </w:rPr>
  </w:style>
  <w:style w:type="character" w:styleId="79">
    <w:name w:val="footnote reference"/>
    <w:qFormat/>
    <w:uiPriority w:val="0"/>
    <w:rPr>
      <w:vertAlign w:val="superscript"/>
    </w:rPr>
  </w:style>
  <w:style w:type="paragraph" w:styleId="80">
    <w:name w:val="List Paragraph"/>
    <w:basedOn w:val="1"/>
    <w:qFormat/>
    <w:uiPriority w:val="34"/>
    <w:pPr>
      <w:ind w:firstLine="420" w:firstLineChars="200"/>
    </w:pPr>
  </w:style>
  <w:style w:type="character" w:customStyle="1" w:styleId="81">
    <w:name w:val="标题 2 字符"/>
    <w:link w:val="4"/>
    <w:qFormat/>
    <w:uiPriority w:val="9"/>
    <w:rPr>
      <w:rFonts w:ascii="Arial" w:hAnsi="Arial" w:eastAsia="黑体"/>
      <w:b/>
      <w:sz w:val="44"/>
    </w:rPr>
  </w:style>
  <w:style w:type="character" w:customStyle="1" w:styleId="82">
    <w:name w:val="标题 1 字符"/>
    <w:link w:val="2"/>
    <w:qFormat/>
    <w:uiPriority w:val="9"/>
    <w:rPr>
      <w:rFonts w:ascii="黑体" w:hAnsi="Arial" w:eastAsia="黑体"/>
      <w:b/>
      <w:kern w:val="2"/>
      <w:sz w:val="52"/>
      <w:szCs w:val="24"/>
    </w:rPr>
  </w:style>
  <w:style w:type="paragraph" w:customStyle="1" w:styleId="83">
    <w:name w:val="文档正文"/>
    <w:qFormat/>
    <w:uiPriority w:val="99"/>
    <w:pPr>
      <w:widowControl w:val="0"/>
      <w:adjustRightInd w:val="0"/>
      <w:spacing w:line="480" w:lineRule="atLeast"/>
      <w:ind w:firstLine="567" w:firstLineChars="200"/>
      <w:textAlignment w:val="baseline"/>
    </w:pPr>
    <w:rPr>
      <w:rFonts w:ascii="长城仿宋" w:hAnsi="Times New Roman" w:eastAsia="宋体" w:cs="Times New Roman"/>
      <w:sz w:val="21"/>
      <w:lang w:val="en-US" w:eastAsia="zh-CN" w:bidi="ar-SA"/>
    </w:rPr>
  </w:style>
  <w:style w:type="character" w:customStyle="1" w:styleId="84">
    <w:name w:val="正文文本缩进 字符2"/>
    <w:link w:val="25"/>
    <w:qFormat/>
    <w:uiPriority w:val="0"/>
    <w:rPr>
      <w:rFonts w:ascii="宋体" w:hAnsi="MS Sans Serif"/>
      <w:spacing w:val="12"/>
      <w:sz w:val="24"/>
    </w:rPr>
  </w:style>
  <w:style w:type="character" w:customStyle="1" w:styleId="85">
    <w:name w:val="批注文字 Char2"/>
    <w:basedOn w:val="70"/>
    <w:qFormat/>
    <w:uiPriority w:val="99"/>
    <w:rPr>
      <w:szCs w:val="24"/>
    </w:rPr>
  </w:style>
  <w:style w:type="character" w:customStyle="1" w:styleId="86">
    <w:name w:val="批注主题 字符2"/>
    <w:link w:val="26"/>
    <w:qFormat/>
    <w:uiPriority w:val="99"/>
    <w:rPr>
      <w:b/>
      <w:bCs/>
      <w:kern w:val="2"/>
      <w:sz w:val="21"/>
      <w:szCs w:val="24"/>
    </w:rPr>
  </w:style>
  <w:style w:type="character" w:customStyle="1" w:styleId="87">
    <w:name w:val="正文文本首行缩进 2 字符2"/>
    <w:link w:val="63"/>
    <w:qFormat/>
    <w:uiPriority w:val="0"/>
    <w:rPr>
      <w:rFonts w:ascii="宋体" w:hAnsi="MS Sans Serif"/>
      <w:spacing w:val="12"/>
      <w:sz w:val="24"/>
    </w:rPr>
  </w:style>
  <w:style w:type="character" w:customStyle="1" w:styleId="88">
    <w:name w:val="正文缩进 字符"/>
    <w:link w:val="9"/>
    <w:qFormat/>
    <w:uiPriority w:val="0"/>
  </w:style>
  <w:style w:type="character" w:customStyle="1" w:styleId="89">
    <w:name w:val="标题 3 字符2"/>
    <w:link w:val="5"/>
    <w:qFormat/>
    <w:uiPriority w:val="9"/>
    <w:rPr>
      <w:b/>
      <w:sz w:val="32"/>
    </w:rPr>
  </w:style>
  <w:style w:type="character" w:customStyle="1" w:styleId="90">
    <w:name w:val="标题 4 字符2"/>
    <w:link w:val="6"/>
    <w:qFormat/>
    <w:uiPriority w:val="0"/>
    <w:rPr>
      <w:rFonts w:ascii="Arial" w:hAnsi="Arial" w:eastAsia="黑体"/>
      <w:kern w:val="2"/>
      <w:sz w:val="28"/>
      <w:szCs w:val="24"/>
    </w:rPr>
  </w:style>
  <w:style w:type="character" w:customStyle="1" w:styleId="91">
    <w:name w:val="标题 5 字符2"/>
    <w:link w:val="7"/>
    <w:qFormat/>
    <w:uiPriority w:val="0"/>
    <w:rPr>
      <w:rFonts w:ascii="宋体" w:hAnsi="宋体"/>
      <w:b/>
      <w:sz w:val="24"/>
    </w:rPr>
  </w:style>
  <w:style w:type="character" w:customStyle="1" w:styleId="92">
    <w:name w:val="标题 6 字符2"/>
    <w:link w:val="8"/>
    <w:qFormat/>
    <w:uiPriority w:val="0"/>
    <w:rPr>
      <w:rFonts w:ascii="Arial" w:hAnsi="Arial" w:eastAsia="黑体"/>
      <w:b/>
      <w:kern w:val="2"/>
      <w:sz w:val="24"/>
      <w:szCs w:val="24"/>
    </w:rPr>
  </w:style>
  <w:style w:type="character" w:customStyle="1" w:styleId="93">
    <w:name w:val="标题 7 字符2"/>
    <w:link w:val="10"/>
    <w:qFormat/>
    <w:uiPriority w:val="0"/>
    <w:rPr>
      <w:b/>
      <w:kern w:val="2"/>
      <w:sz w:val="24"/>
    </w:rPr>
  </w:style>
  <w:style w:type="character" w:customStyle="1" w:styleId="94">
    <w:name w:val="标题 8 字符2"/>
    <w:link w:val="11"/>
    <w:qFormat/>
    <w:uiPriority w:val="0"/>
    <w:rPr>
      <w:rFonts w:ascii="Arial" w:hAnsi="Arial" w:eastAsia="黑体"/>
      <w:kern w:val="2"/>
      <w:sz w:val="24"/>
    </w:rPr>
  </w:style>
  <w:style w:type="character" w:customStyle="1" w:styleId="95">
    <w:name w:val="标题 9 字符2"/>
    <w:link w:val="12"/>
    <w:qFormat/>
    <w:uiPriority w:val="0"/>
    <w:rPr>
      <w:rFonts w:ascii="Arial" w:hAnsi="Arial" w:eastAsia="黑体"/>
      <w:kern w:val="2"/>
      <w:sz w:val="21"/>
    </w:rPr>
  </w:style>
  <w:style w:type="character" w:customStyle="1" w:styleId="96">
    <w:name w:val="文档结构图 字符2"/>
    <w:link w:val="20"/>
    <w:qFormat/>
    <w:uiPriority w:val="99"/>
    <w:rPr>
      <w:kern w:val="2"/>
      <w:sz w:val="21"/>
      <w:shd w:val="clear" w:color="auto" w:fill="000080"/>
    </w:rPr>
  </w:style>
  <w:style w:type="character" w:customStyle="1" w:styleId="97">
    <w:name w:val="正文文本 3 字符2"/>
    <w:link w:val="24"/>
    <w:qFormat/>
    <w:uiPriority w:val="0"/>
    <w:rPr>
      <w:b/>
      <w:bCs/>
      <w:color w:val="FF0000"/>
      <w:sz w:val="24"/>
    </w:rPr>
  </w:style>
  <w:style w:type="character" w:customStyle="1" w:styleId="98">
    <w:name w:val="正文文本 字符"/>
    <w:link w:val="3"/>
    <w:qFormat/>
    <w:uiPriority w:val="0"/>
    <w:rPr>
      <w:kern w:val="2"/>
      <w:sz w:val="21"/>
    </w:rPr>
  </w:style>
  <w:style w:type="character" w:customStyle="1" w:styleId="99">
    <w:name w:val="纯文本 字符2"/>
    <w:link w:val="33"/>
    <w:qFormat/>
    <w:uiPriority w:val="0"/>
    <w:rPr>
      <w:rFonts w:ascii="宋体" w:hAnsi="Courier New"/>
      <w:kern w:val="2"/>
      <w:sz w:val="21"/>
    </w:rPr>
  </w:style>
  <w:style w:type="character" w:customStyle="1" w:styleId="100">
    <w:name w:val="日期 字符"/>
    <w:link w:val="36"/>
    <w:qFormat/>
    <w:uiPriority w:val="0"/>
    <w:rPr>
      <w:sz w:val="24"/>
    </w:rPr>
  </w:style>
  <w:style w:type="character" w:customStyle="1" w:styleId="101">
    <w:name w:val="正文文本缩进 2 字符2"/>
    <w:link w:val="37"/>
    <w:qFormat/>
    <w:uiPriority w:val="99"/>
    <w:rPr>
      <w:kern w:val="2"/>
      <w:sz w:val="24"/>
      <w:szCs w:val="24"/>
    </w:rPr>
  </w:style>
  <w:style w:type="character" w:customStyle="1" w:styleId="102">
    <w:name w:val="批注框文本 字符2"/>
    <w:link w:val="39"/>
    <w:qFormat/>
    <w:uiPriority w:val="99"/>
    <w:rPr>
      <w:kern w:val="2"/>
      <w:sz w:val="18"/>
      <w:szCs w:val="18"/>
    </w:rPr>
  </w:style>
  <w:style w:type="character" w:customStyle="1" w:styleId="103">
    <w:name w:val="页脚 字符"/>
    <w:link w:val="40"/>
    <w:qFormat/>
    <w:uiPriority w:val="99"/>
    <w:rPr>
      <w:sz w:val="18"/>
    </w:rPr>
  </w:style>
  <w:style w:type="character" w:customStyle="1" w:styleId="104">
    <w:name w:val="页眉 字符"/>
    <w:link w:val="41"/>
    <w:qFormat/>
    <w:uiPriority w:val="99"/>
    <w:rPr>
      <w:kern w:val="2"/>
      <w:sz w:val="18"/>
      <w:szCs w:val="24"/>
    </w:rPr>
  </w:style>
  <w:style w:type="character" w:customStyle="1" w:styleId="105">
    <w:name w:val="副标题 字符2"/>
    <w:link w:val="46"/>
    <w:qFormat/>
    <w:uiPriority w:val="0"/>
    <w:rPr>
      <w:rFonts w:ascii="仿宋_GB2312" w:hAnsi="Cambria" w:eastAsia="仿宋_GB2312"/>
      <w:b/>
      <w:bCs/>
      <w:kern w:val="28"/>
      <w:sz w:val="32"/>
      <w:szCs w:val="32"/>
    </w:rPr>
  </w:style>
  <w:style w:type="character" w:customStyle="1" w:styleId="106">
    <w:name w:val="脚注文本 字符2"/>
    <w:link w:val="48"/>
    <w:qFormat/>
    <w:uiPriority w:val="0"/>
    <w:rPr>
      <w:kern w:val="2"/>
      <w:sz w:val="18"/>
    </w:rPr>
  </w:style>
  <w:style w:type="character" w:customStyle="1" w:styleId="107">
    <w:name w:val="正文文本缩进 3 字符2"/>
    <w:link w:val="51"/>
    <w:qFormat/>
    <w:uiPriority w:val="0"/>
    <w:rPr>
      <w:kern w:val="2"/>
      <w:sz w:val="16"/>
      <w:szCs w:val="16"/>
    </w:rPr>
  </w:style>
  <w:style w:type="character" w:customStyle="1" w:styleId="108">
    <w:name w:val="正文文本 2 字符2"/>
    <w:link w:val="57"/>
    <w:qFormat/>
    <w:uiPriority w:val="0"/>
    <w:rPr>
      <w:rFonts w:ascii="宋体" w:hAnsi="宋体"/>
      <w:b/>
      <w:bCs/>
      <w:color w:val="FF0000"/>
      <w:sz w:val="28"/>
    </w:rPr>
  </w:style>
  <w:style w:type="character" w:customStyle="1" w:styleId="109">
    <w:name w:val="标题 字符"/>
    <w:link w:val="61"/>
    <w:qFormat/>
    <w:uiPriority w:val="0"/>
    <w:rPr>
      <w:rFonts w:ascii="Arial" w:hAnsi="Arial"/>
      <w:b/>
      <w:kern w:val="2"/>
      <w:sz w:val="44"/>
      <w:szCs w:val="24"/>
    </w:rPr>
  </w:style>
  <w:style w:type="character" w:customStyle="1" w:styleId="110">
    <w:name w:val="正文文本首行缩进 字符2"/>
    <w:link w:val="62"/>
    <w:qFormat/>
    <w:uiPriority w:val="0"/>
    <w:rPr>
      <w:kern w:val="2"/>
      <w:sz w:val="21"/>
    </w:rPr>
  </w:style>
  <w:style w:type="paragraph" w:customStyle="1" w:styleId="111">
    <w:name w:val="Table Paragraph"/>
    <w:basedOn w:val="1"/>
    <w:qFormat/>
    <w:uiPriority w:val="1"/>
    <w:pPr>
      <w:jc w:val="left"/>
    </w:pPr>
    <w:rPr>
      <w:rFonts w:ascii="宋体" w:hAnsi="宋体" w:cs="宋体"/>
      <w:kern w:val="0"/>
      <w:sz w:val="22"/>
      <w:szCs w:val="22"/>
      <w:lang w:eastAsia="en-US"/>
    </w:rPr>
  </w:style>
  <w:style w:type="paragraph" w:customStyle="1" w:styleId="112">
    <w:name w:val="样式2"/>
    <w:basedOn w:val="1"/>
    <w:link w:val="501"/>
    <w:qFormat/>
    <w:uiPriority w:val="0"/>
    <w:pPr>
      <w:pBdr>
        <w:bottom w:val="thickThinSmallGap" w:color="auto" w:sz="12" w:space="1"/>
      </w:pBdr>
    </w:pPr>
    <w:rPr>
      <w:szCs w:val="24"/>
    </w:rPr>
  </w:style>
  <w:style w:type="paragraph" w:customStyle="1" w:styleId="113">
    <w:name w:val="样式1"/>
    <w:basedOn w:val="1"/>
    <w:qFormat/>
    <w:uiPriority w:val="0"/>
    <w:pPr>
      <w:tabs>
        <w:tab w:val="left" w:pos="760"/>
      </w:tabs>
      <w:spacing w:line="360" w:lineRule="auto"/>
      <w:jc w:val="left"/>
    </w:pPr>
    <w:rPr>
      <w:rFonts w:ascii="黑体" w:hAnsi="黑体" w:eastAsia="黑体"/>
      <w:b/>
      <w:sz w:val="32"/>
      <w:szCs w:val="22"/>
    </w:rPr>
  </w:style>
  <w:style w:type="character" w:customStyle="1" w:styleId="114">
    <w:name w:val="t31"/>
    <w:qFormat/>
    <w:uiPriority w:val="0"/>
    <w:rPr>
      <w:rFonts w:hint="default"/>
      <w:color w:val="000000"/>
    </w:rPr>
  </w:style>
  <w:style w:type="character" w:customStyle="1" w:styleId="115">
    <w:name w:val="Char Char1"/>
    <w:link w:val="116"/>
    <w:qFormat/>
    <w:uiPriority w:val="0"/>
    <w:rPr>
      <w:b/>
      <w:kern w:val="2"/>
      <w:sz w:val="28"/>
    </w:rPr>
  </w:style>
  <w:style w:type="paragraph" w:customStyle="1" w:styleId="116">
    <w:name w:val="批注主题1"/>
    <w:basedOn w:val="22"/>
    <w:next w:val="22"/>
    <w:link w:val="115"/>
    <w:qFormat/>
    <w:uiPriority w:val="0"/>
    <w:pPr>
      <w:tabs>
        <w:tab w:val="left" w:pos="560"/>
        <w:tab w:val="center" w:pos="8400"/>
      </w:tabs>
    </w:pPr>
    <w:rPr>
      <w:b/>
      <w:sz w:val="28"/>
      <w:szCs w:val="20"/>
    </w:rPr>
  </w:style>
  <w:style w:type="character" w:customStyle="1" w:styleId="117">
    <w:name w:val="font81"/>
    <w:qFormat/>
    <w:uiPriority w:val="0"/>
    <w:rPr>
      <w:rFonts w:hint="default" w:ascii="Times New Roman" w:hAnsi="Times New Roman" w:cs="Times New Roman"/>
      <w:color w:val="000000"/>
      <w:sz w:val="18"/>
      <w:szCs w:val="18"/>
      <w:u w:val="none"/>
    </w:rPr>
  </w:style>
  <w:style w:type="character" w:customStyle="1" w:styleId="118">
    <w:name w:val="ind:txt Char"/>
    <w:qFormat/>
    <w:uiPriority w:val="0"/>
    <w:rPr>
      <w:rFonts w:eastAsia="宋体"/>
      <w:kern w:val="2"/>
      <w:sz w:val="21"/>
      <w:lang w:val="en-US" w:eastAsia="zh-CN" w:bidi="ar-SA"/>
    </w:rPr>
  </w:style>
  <w:style w:type="character" w:customStyle="1" w:styleId="119">
    <w:name w:val="默认段落字体1"/>
    <w:qFormat/>
    <w:uiPriority w:val="0"/>
    <w:rPr>
      <w:rFonts w:hint="default"/>
    </w:rPr>
  </w:style>
  <w:style w:type="character" w:customStyle="1" w:styleId="120">
    <w:name w:val="font21"/>
    <w:qFormat/>
    <w:uiPriority w:val="0"/>
    <w:rPr>
      <w:rFonts w:hint="eastAsia" w:ascii="宋体" w:hAnsi="宋体" w:eastAsia="宋体" w:cs="宋体"/>
      <w:color w:val="000000"/>
      <w:kern w:val="2"/>
      <w:sz w:val="21"/>
      <w:szCs w:val="21"/>
      <w:u w:val="single"/>
      <w:lang w:val="en-US" w:eastAsia="zh-CN" w:bidi="ar-SA"/>
    </w:rPr>
  </w:style>
  <w:style w:type="character" w:customStyle="1" w:styleId="121">
    <w:name w:val="标题 4 Char Char"/>
    <w:qFormat/>
    <w:uiPriority w:val="0"/>
    <w:rPr>
      <w:rFonts w:ascii="Arial" w:hAnsi="Arial" w:eastAsia="黑体"/>
      <w:kern w:val="2"/>
      <w:sz w:val="28"/>
      <w:szCs w:val="24"/>
      <w:lang w:val="en-US" w:eastAsia="zh-CN" w:bidi="ar-SA"/>
    </w:rPr>
  </w:style>
  <w:style w:type="character" w:customStyle="1" w:styleId="122">
    <w:name w:val="正文文字缩进 2 Char Char"/>
    <w:link w:val="123"/>
    <w:qFormat/>
    <w:uiPriority w:val="0"/>
    <w:rPr>
      <w:rFonts w:ascii="宋体"/>
      <w:color w:val="000000"/>
      <w:sz w:val="21"/>
    </w:rPr>
  </w:style>
  <w:style w:type="paragraph" w:customStyle="1" w:styleId="123">
    <w:name w:val="正文文本缩进 21"/>
    <w:basedOn w:val="1"/>
    <w:link w:val="122"/>
    <w:qFormat/>
    <w:uiPriority w:val="0"/>
    <w:pPr>
      <w:ind w:left="1021"/>
    </w:pPr>
    <w:rPr>
      <w:rFonts w:ascii="宋体"/>
      <w:color w:val="000000"/>
      <w:kern w:val="0"/>
    </w:rPr>
  </w:style>
  <w:style w:type="character" w:customStyle="1" w:styleId="124">
    <w:name w:val="style11"/>
    <w:qFormat/>
    <w:uiPriority w:val="0"/>
    <w:rPr>
      <w:rFonts w:hint="default"/>
      <w:b/>
      <w:color w:val="FFFFFF"/>
    </w:rPr>
  </w:style>
  <w:style w:type="character" w:customStyle="1" w:styleId="125">
    <w:name w:val="11111正式正文 Char Char"/>
    <w:link w:val="126"/>
    <w:qFormat/>
    <w:uiPriority w:val="0"/>
    <w:rPr>
      <w:rFonts w:ascii="宋体" w:hAnsi="宋体" w:eastAsia="Times New Roman"/>
      <w:kern w:val="2"/>
      <w:sz w:val="26"/>
      <w:szCs w:val="28"/>
      <w:lang w:val="en-US" w:eastAsia="zh-CN" w:bidi="ar-SA"/>
    </w:rPr>
  </w:style>
  <w:style w:type="paragraph" w:customStyle="1" w:styleId="126">
    <w:name w:val="11111正式正文"/>
    <w:link w:val="125"/>
    <w:qFormat/>
    <w:uiPriority w:val="0"/>
    <w:pPr>
      <w:spacing w:line="520" w:lineRule="exact"/>
      <w:ind w:firstLine="200" w:firstLineChars="200"/>
    </w:pPr>
    <w:rPr>
      <w:rFonts w:ascii="宋体" w:hAnsi="宋体" w:eastAsia="Times New Roman" w:cs="Times New Roman"/>
      <w:kern w:val="2"/>
      <w:sz w:val="26"/>
      <w:szCs w:val="28"/>
      <w:lang w:val="en-US" w:eastAsia="zh-CN" w:bidi="ar-SA"/>
    </w:rPr>
  </w:style>
  <w:style w:type="character" w:customStyle="1" w:styleId="127">
    <w:name w:val="current2"/>
    <w:qFormat/>
    <w:uiPriority w:val="0"/>
    <w:rPr>
      <w:rFonts w:eastAsia="宋体"/>
      <w:b/>
      <w:color w:val="FF0084"/>
      <w:kern w:val="2"/>
      <w:sz w:val="24"/>
      <w:szCs w:val="24"/>
      <w:lang w:val="en-US" w:eastAsia="zh-CN" w:bidi="ar-SA"/>
    </w:rPr>
  </w:style>
  <w:style w:type="character" w:customStyle="1" w:styleId="128">
    <w:name w:val="current5"/>
    <w:qFormat/>
    <w:uiPriority w:val="0"/>
    <w:rPr>
      <w:rFonts w:eastAsia="宋体"/>
      <w:b/>
      <w:color w:val="FFFFFF"/>
      <w:kern w:val="2"/>
      <w:sz w:val="24"/>
      <w:szCs w:val="24"/>
      <w:bdr w:val="single" w:color="FF5A00" w:sz="12" w:space="0"/>
      <w:shd w:val="clear" w:color="auto" w:fill="FF6C16"/>
      <w:lang w:val="en-US" w:eastAsia="zh-CN" w:bidi="ar-SA"/>
    </w:rPr>
  </w:style>
  <w:style w:type="character" w:customStyle="1" w:styleId="129">
    <w:name w:val="批注文字 Char1"/>
    <w:qFormat/>
    <w:uiPriority w:val="0"/>
    <w:rPr>
      <w:kern w:val="2"/>
      <w:sz w:val="21"/>
    </w:rPr>
  </w:style>
  <w:style w:type="character" w:customStyle="1" w:styleId="130">
    <w:name w:val="公文正文 Char Char"/>
    <w:link w:val="131"/>
    <w:qFormat/>
    <w:uiPriority w:val="0"/>
    <w:rPr>
      <w:rFonts w:ascii="仿宋_GB2312" w:hAnsi="Calisto MT" w:eastAsia="仿宋_GB2312"/>
      <w:color w:val="000000"/>
      <w:sz w:val="32"/>
      <w:lang w:val="en-US" w:eastAsia="zh-CN" w:bidi="ar-SA"/>
    </w:rPr>
  </w:style>
  <w:style w:type="paragraph" w:customStyle="1" w:styleId="131">
    <w:name w:val="公文正文"/>
    <w:link w:val="130"/>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character" w:customStyle="1" w:styleId="132">
    <w:name w:val="页脚 Char1"/>
    <w:qFormat/>
    <w:uiPriority w:val="0"/>
    <w:rPr>
      <w:kern w:val="2"/>
      <w:sz w:val="18"/>
      <w:szCs w:val="18"/>
    </w:rPr>
  </w:style>
  <w:style w:type="character" w:customStyle="1" w:styleId="133">
    <w:name w:val="样式 标题 2标题 1.1第一层条第二层论文标题 1Para2Title1H2h22l2list + ch...1 Char Char"/>
    <w:link w:val="134"/>
    <w:qFormat/>
    <w:uiPriority w:val="0"/>
    <w:rPr>
      <w:rFonts w:ascii="Arial" w:hAnsi="Arial" w:cs="宋体"/>
      <w:b/>
      <w:color w:val="000000"/>
      <w:kern w:val="2"/>
      <w:sz w:val="24"/>
      <w:szCs w:val="24"/>
    </w:rPr>
  </w:style>
  <w:style w:type="paragraph" w:customStyle="1" w:styleId="134">
    <w:name w:val="样式 标题 2标题 1.1第一层条第二层论文标题 1Para2Title1H2h22l2list + ch...1"/>
    <w:basedOn w:val="4"/>
    <w:link w:val="133"/>
    <w:qFormat/>
    <w:uiPriority w:val="0"/>
    <w:pPr>
      <w:widowControl w:val="0"/>
      <w:tabs>
        <w:tab w:val="left" w:pos="840"/>
      </w:tabs>
      <w:adjustRightInd w:val="0"/>
      <w:spacing w:before="0" w:after="0" w:line="360" w:lineRule="auto"/>
      <w:ind w:right="50" w:rightChars="50"/>
      <w:jc w:val="both"/>
      <w:textAlignment w:val="baseline"/>
    </w:pPr>
    <w:rPr>
      <w:rFonts w:eastAsia="宋体"/>
      <w:color w:val="000000"/>
      <w:kern w:val="2"/>
      <w:sz w:val="24"/>
      <w:szCs w:val="24"/>
    </w:rPr>
  </w:style>
  <w:style w:type="character" w:customStyle="1" w:styleId="135">
    <w:name w:val="标题 1 1 Char"/>
    <w:link w:val="136"/>
    <w:qFormat/>
    <w:uiPriority w:val="0"/>
    <w:rPr>
      <w:b/>
      <w:kern w:val="2"/>
      <w:sz w:val="24"/>
    </w:rPr>
  </w:style>
  <w:style w:type="paragraph" w:customStyle="1" w:styleId="136">
    <w:name w:val="标题 11"/>
    <w:basedOn w:val="1"/>
    <w:next w:val="1"/>
    <w:link w:val="135"/>
    <w:qFormat/>
    <w:uiPriority w:val="0"/>
    <w:pPr>
      <w:numPr>
        <w:ilvl w:val="0"/>
        <w:numId w:val="1"/>
      </w:numPr>
      <w:tabs>
        <w:tab w:val="left" w:pos="470"/>
      </w:tabs>
      <w:spacing w:before="240"/>
      <w:outlineLvl w:val="0"/>
    </w:pPr>
    <w:rPr>
      <w:b/>
      <w:sz w:val="24"/>
    </w:rPr>
  </w:style>
  <w:style w:type="character" w:customStyle="1" w:styleId="137">
    <w:name w:val="标题 1.1 Char"/>
    <w:link w:val="138"/>
    <w:qFormat/>
    <w:uiPriority w:val="0"/>
    <w:rPr>
      <w:rFonts w:ascii="宋体" w:hAnsi="宋体"/>
      <w:b/>
      <w:snapToGrid w:val="0"/>
      <w:sz w:val="28"/>
    </w:rPr>
  </w:style>
  <w:style w:type="paragraph" w:customStyle="1" w:styleId="138">
    <w:name w:val="标题 21"/>
    <w:basedOn w:val="1"/>
    <w:next w:val="139"/>
    <w:link w:val="137"/>
    <w:qFormat/>
    <w:uiPriority w:val="0"/>
    <w:pPr>
      <w:spacing w:before="240" w:line="300" w:lineRule="auto"/>
      <w:outlineLvl w:val="1"/>
    </w:pPr>
    <w:rPr>
      <w:rFonts w:ascii="宋体" w:hAnsi="宋体"/>
      <w:b/>
      <w:snapToGrid w:val="0"/>
      <w:kern w:val="0"/>
      <w:sz w:val="28"/>
    </w:rPr>
  </w:style>
  <w:style w:type="paragraph" w:customStyle="1" w:styleId="139">
    <w:name w:val="正文缩进1"/>
    <w:basedOn w:val="1"/>
    <w:qFormat/>
    <w:uiPriority w:val="0"/>
    <w:pPr>
      <w:tabs>
        <w:tab w:val="left" w:pos="720"/>
      </w:tabs>
      <w:ind w:left="624" w:hanging="624"/>
      <w:textAlignment w:val="baseline"/>
    </w:pPr>
    <w:rPr>
      <w:rFonts w:hint="eastAsia" w:ascii="宋体"/>
    </w:rPr>
  </w:style>
  <w:style w:type="character" w:customStyle="1" w:styleId="140">
    <w:name w:val="列表框1 Char Char"/>
    <w:link w:val="141"/>
    <w:qFormat/>
    <w:uiPriority w:val="0"/>
    <w:rPr>
      <w:rFonts w:ascii="Arial" w:hAnsi="Arial" w:eastAsia="楷体_GB2312" w:cs="Arial"/>
      <w:spacing w:val="10"/>
      <w:kern w:val="2"/>
      <w:sz w:val="21"/>
      <w:szCs w:val="24"/>
    </w:rPr>
  </w:style>
  <w:style w:type="paragraph" w:customStyle="1" w:styleId="141">
    <w:name w:val="列表框1"/>
    <w:basedOn w:val="142"/>
    <w:next w:val="142"/>
    <w:link w:val="140"/>
    <w:qFormat/>
    <w:uiPriority w:val="0"/>
    <w:pPr>
      <w:tabs>
        <w:tab w:val="left" w:pos="360"/>
        <w:tab w:val="left" w:pos="420"/>
        <w:tab w:val="left" w:pos="795"/>
        <w:tab w:val="left" w:pos="965"/>
        <w:tab w:val="left" w:pos="1628"/>
        <w:tab w:val="left" w:pos="2086"/>
      </w:tabs>
      <w:snapToGrid w:val="0"/>
      <w:ind w:left="1637" w:leftChars="500" w:hanging="437" w:hangingChars="190"/>
    </w:pPr>
  </w:style>
  <w:style w:type="paragraph" w:customStyle="1" w:styleId="142">
    <w:name w:val="应答文本"/>
    <w:basedOn w:val="1"/>
    <w:link w:val="143"/>
    <w:qFormat/>
    <w:uiPriority w:val="0"/>
    <w:pPr>
      <w:adjustRightInd w:val="0"/>
      <w:spacing w:afterLines="50" w:line="320" w:lineRule="exact"/>
      <w:ind w:left="720" w:leftChars="300" w:firstLine="460" w:firstLineChars="200"/>
    </w:pPr>
    <w:rPr>
      <w:rFonts w:ascii="Arial" w:hAnsi="Arial" w:eastAsia="楷体_GB2312"/>
      <w:spacing w:val="10"/>
      <w:szCs w:val="24"/>
    </w:rPr>
  </w:style>
  <w:style w:type="character" w:customStyle="1" w:styleId="143">
    <w:name w:val="应答文本 Char Char"/>
    <w:link w:val="142"/>
    <w:qFormat/>
    <w:uiPriority w:val="0"/>
    <w:rPr>
      <w:rFonts w:ascii="Arial" w:hAnsi="Arial" w:eastAsia="楷体_GB2312" w:cs="宋体"/>
      <w:spacing w:val="10"/>
      <w:kern w:val="2"/>
      <w:sz w:val="21"/>
      <w:szCs w:val="24"/>
    </w:rPr>
  </w:style>
  <w:style w:type="character" w:customStyle="1" w:styleId="144">
    <w:name w:val="标题 4 Char Char Char Char"/>
    <w:link w:val="145"/>
    <w:qFormat/>
    <w:uiPriority w:val="0"/>
    <w:rPr>
      <w:snapToGrid w:val="0"/>
      <w:color w:val="000000"/>
      <w:sz w:val="24"/>
    </w:rPr>
  </w:style>
  <w:style w:type="paragraph" w:customStyle="1" w:styleId="145">
    <w:name w:val="标题 41"/>
    <w:basedOn w:val="1"/>
    <w:next w:val="139"/>
    <w:link w:val="144"/>
    <w:qFormat/>
    <w:uiPriority w:val="0"/>
    <w:pPr>
      <w:tabs>
        <w:tab w:val="left" w:pos="1021"/>
        <w:tab w:val="left" w:pos="1175"/>
      </w:tabs>
      <w:ind w:left="2" w:firstLine="2"/>
      <w:outlineLvl w:val="3"/>
    </w:pPr>
    <w:rPr>
      <w:snapToGrid w:val="0"/>
      <w:color w:val="000000"/>
      <w:kern w:val="0"/>
      <w:sz w:val="24"/>
    </w:rPr>
  </w:style>
  <w:style w:type="character" w:customStyle="1" w:styleId="146">
    <w:name w:val="正文文字缩进 Char Char"/>
    <w:link w:val="147"/>
    <w:qFormat/>
    <w:uiPriority w:val="0"/>
    <w:rPr>
      <w:rFonts w:ascii="宋体"/>
      <w:color w:val="000000"/>
      <w:sz w:val="21"/>
    </w:rPr>
  </w:style>
  <w:style w:type="paragraph" w:customStyle="1" w:styleId="147">
    <w:name w:val="正文文本缩进1"/>
    <w:basedOn w:val="1"/>
    <w:link w:val="146"/>
    <w:qFormat/>
    <w:uiPriority w:val="0"/>
    <w:pPr>
      <w:ind w:left="851"/>
    </w:pPr>
    <w:rPr>
      <w:rFonts w:ascii="宋体"/>
      <w:color w:val="000000"/>
      <w:kern w:val="0"/>
    </w:rPr>
  </w:style>
  <w:style w:type="character" w:customStyle="1" w:styleId="148">
    <w:name w:val="Footer-Even Char Char"/>
    <w:qFormat/>
    <w:uiPriority w:val="0"/>
    <w:rPr>
      <w:rFonts w:eastAsia="宋体"/>
      <w:kern w:val="2"/>
      <w:sz w:val="18"/>
      <w:szCs w:val="18"/>
      <w:lang w:val="en-US" w:eastAsia="zh-CN" w:bidi="ar-SA"/>
    </w:rPr>
  </w:style>
  <w:style w:type="character" w:customStyle="1" w:styleId="149">
    <w:name w:val="批注框文本 Char1"/>
    <w:qFormat/>
    <w:uiPriority w:val="99"/>
    <w:rPr>
      <w:kern w:val="2"/>
      <w:sz w:val="18"/>
      <w:szCs w:val="18"/>
    </w:rPr>
  </w:style>
  <w:style w:type="character" w:customStyle="1" w:styleId="150">
    <w:name w:val="Char Char141"/>
    <w:qFormat/>
    <w:uiPriority w:val="0"/>
    <w:rPr>
      <w:rFonts w:hint="eastAsia" w:ascii="Arial" w:hAnsi="Arial" w:eastAsia="黑体"/>
      <w:snapToGrid w:val="0"/>
      <w:color w:val="000000"/>
      <w:sz w:val="24"/>
      <w:lang w:val="en-US" w:eastAsia="zh-CN"/>
    </w:rPr>
  </w:style>
  <w:style w:type="character" w:customStyle="1" w:styleId="151">
    <w:name w:val="font71"/>
    <w:qFormat/>
    <w:uiPriority w:val="0"/>
    <w:rPr>
      <w:rFonts w:hint="eastAsia" w:ascii="宋体" w:hAnsi="宋体" w:eastAsia="宋体" w:cs="宋体"/>
      <w:color w:val="000000"/>
      <w:sz w:val="18"/>
      <w:szCs w:val="18"/>
      <w:u w:val="none"/>
    </w:rPr>
  </w:style>
  <w:style w:type="character" w:customStyle="1" w:styleId="152">
    <w:name w:val="text12st_hs1"/>
    <w:qFormat/>
    <w:uiPriority w:val="0"/>
    <w:rPr>
      <w:rFonts w:hint="default"/>
      <w:color w:val="000000"/>
      <w:sz w:val="19"/>
    </w:rPr>
  </w:style>
  <w:style w:type="character" w:customStyle="1" w:styleId="153">
    <w:name w:val="Char Char18"/>
    <w:qFormat/>
    <w:uiPriority w:val="0"/>
    <w:rPr>
      <w:rFonts w:ascii="Times New Roman" w:hAnsi="Times New Roman" w:eastAsia="宋体" w:cs="Times New Roman"/>
      <w:szCs w:val="20"/>
    </w:rPr>
  </w:style>
  <w:style w:type="character" w:customStyle="1" w:styleId="154">
    <w:name w:val="纯文本 Char2"/>
    <w:qFormat/>
    <w:uiPriority w:val="99"/>
    <w:rPr>
      <w:rFonts w:ascii="宋体" w:hAnsi="Courier New" w:cs="Courier New"/>
      <w:kern w:val="2"/>
      <w:sz w:val="21"/>
      <w:szCs w:val="21"/>
    </w:rPr>
  </w:style>
  <w:style w:type="character" w:customStyle="1" w:styleId="155">
    <w:name w:val="t101"/>
    <w:qFormat/>
    <w:uiPriority w:val="0"/>
    <w:rPr>
      <w:rFonts w:hint="default"/>
    </w:rPr>
  </w:style>
  <w:style w:type="character" w:customStyle="1" w:styleId="156">
    <w:name w:val="普通文字 Char2"/>
    <w:qFormat/>
    <w:uiPriority w:val="0"/>
    <w:rPr>
      <w:rFonts w:ascii="宋体" w:hAnsi="Courier New" w:eastAsia="宋体"/>
      <w:kern w:val="2"/>
      <w:sz w:val="21"/>
      <w:lang w:val="en-US" w:eastAsia="zh-CN" w:bidi="ar-SA"/>
    </w:rPr>
  </w:style>
  <w:style w:type="character" w:customStyle="1" w:styleId="157">
    <w:name w:val="style131"/>
    <w:qFormat/>
    <w:uiPriority w:val="0"/>
    <w:rPr>
      <w:rFonts w:eastAsia="宋体"/>
      <w:kern w:val="2"/>
      <w:sz w:val="24"/>
      <w:szCs w:val="24"/>
      <w:lang w:val="en-US" w:eastAsia="zh-CN" w:bidi="ar-SA"/>
    </w:rPr>
  </w:style>
  <w:style w:type="character" w:customStyle="1" w:styleId="158">
    <w:name w:val="even Char Char"/>
    <w:qFormat/>
    <w:uiPriority w:val="0"/>
    <w:rPr>
      <w:rFonts w:eastAsia="宋体"/>
      <w:kern w:val="2"/>
      <w:sz w:val="18"/>
      <w:szCs w:val="24"/>
      <w:lang w:val="en-US" w:eastAsia="zh-CN" w:bidi="ar-SA"/>
    </w:rPr>
  </w:style>
  <w:style w:type="character" w:customStyle="1" w:styleId="159">
    <w:name w:val="纯文本 Char1"/>
    <w:qFormat/>
    <w:uiPriority w:val="0"/>
    <w:rPr>
      <w:rFonts w:ascii="宋体" w:hAnsi="Courier New"/>
    </w:rPr>
  </w:style>
  <w:style w:type="character" w:customStyle="1" w:styleId="160">
    <w:name w:val="7 sub-style Char"/>
    <w:link w:val="161"/>
    <w:qFormat/>
    <w:uiPriority w:val="0"/>
    <w:rPr>
      <w:b/>
      <w:kern w:val="2"/>
      <w:sz w:val="24"/>
    </w:rPr>
  </w:style>
  <w:style w:type="paragraph" w:customStyle="1" w:styleId="161">
    <w:name w:val="标题 71"/>
    <w:basedOn w:val="1"/>
    <w:next w:val="139"/>
    <w:link w:val="160"/>
    <w:qFormat/>
    <w:uiPriority w:val="0"/>
    <w:pPr>
      <w:keepNext/>
      <w:tabs>
        <w:tab w:val="left" w:pos="1296"/>
      </w:tabs>
      <w:spacing w:before="240" w:after="64" w:line="320" w:lineRule="auto"/>
      <w:outlineLvl w:val="6"/>
    </w:pPr>
    <w:rPr>
      <w:b/>
      <w:sz w:val="24"/>
    </w:rPr>
  </w:style>
  <w:style w:type="character" w:customStyle="1" w:styleId="162">
    <w:name w:val="正文（首行缩进两字） Char"/>
    <w:qFormat/>
    <w:uiPriority w:val="0"/>
    <w:rPr>
      <w:rFonts w:hint="eastAsia" w:ascii="宋体" w:eastAsia="宋体"/>
      <w:snapToGrid w:val="0"/>
      <w:color w:val="000000"/>
      <w:sz w:val="21"/>
      <w:lang w:val="en-US" w:eastAsia="zh-CN"/>
    </w:rPr>
  </w:style>
  <w:style w:type="character" w:customStyle="1" w:styleId="163">
    <w:name w:val="批注文字 Char"/>
    <w:qFormat/>
    <w:uiPriority w:val="99"/>
    <w:rPr>
      <w:kern w:val="2"/>
      <w:sz w:val="21"/>
      <w:szCs w:val="24"/>
    </w:rPr>
  </w:style>
  <w:style w:type="character" w:customStyle="1" w:styleId="164">
    <w:name w:val="副标题 Char2"/>
    <w:qFormat/>
    <w:uiPriority w:val="0"/>
    <w:rPr>
      <w:rFonts w:ascii="Cambria" w:hAnsi="Cambria" w:cs="Times New Roman"/>
      <w:b/>
      <w:bCs/>
      <w:kern w:val="28"/>
      <w:sz w:val="32"/>
      <w:szCs w:val="32"/>
    </w:rPr>
  </w:style>
  <w:style w:type="character" w:customStyle="1" w:styleId="165">
    <w:name w:val="页眉 Char1"/>
    <w:qFormat/>
    <w:uiPriority w:val="0"/>
    <w:rPr>
      <w:kern w:val="2"/>
      <w:sz w:val="18"/>
      <w:szCs w:val="18"/>
    </w:rPr>
  </w:style>
  <w:style w:type="character" w:customStyle="1" w:styleId="166">
    <w:name w:val="Char Char Char Char Char"/>
    <w:qFormat/>
    <w:uiPriority w:val="0"/>
    <w:rPr>
      <w:rFonts w:ascii="宋体"/>
      <w:snapToGrid/>
      <w:sz w:val="24"/>
    </w:rPr>
  </w:style>
  <w:style w:type="character" w:customStyle="1" w:styleId="167">
    <w:name w:val="标题 Char1"/>
    <w:qFormat/>
    <w:uiPriority w:val="0"/>
    <w:rPr>
      <w:rFonts w:ascii="Cambria" w:hAnsi="Cambria" w:cs="Times New Roman"/>
      <w:b/>
      <w:bCs/>
      <w:kern w:val="2"/>
      <w:sz w:val="32"/>
      <w:szCs w:val="32"/>
    </w:rPr>
  </w:style>
  <w:style w:type="character" w:customStyle="1" w:styleId="168">
    <w:name w:val="font31"/>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69">
    <w:name w:val="Char Char17"/>
    <w:qFormat/>
    <w:uiPriority w:val="99"/>
    <w:rPr>
      <w:rFonts w:hint="eastAsia" w:ascii="宋体" w:eastAsia="宋体"/>
      <w:b/>
      <w:snapToGrid w:val="0"/>
      <w:color w:val="000000"/>
      <w:sz w:val="28"/>
      <w:lang w:val="en-US" w:eastAsia="zh-CN"/>
    </w:rPr>
  </w:style>
  <w:style w:type="character" w:customStyle="1" w:styleId="170">
    <w:name w:val="font51"/>
    <w:qFormat/>
    <w:uiPriority w:val="0"/>
    <w:rPr>
      <w:rFonts w:hint="eastAsia" w:ascii="宋体" w:hAnsi="宋体" w:eastAsia="宋体" w:cs="宋体"/>
      <w:b/>
      <w:color w:val="000000"/>
      <w:kern w:val="2"/>
      <w:sz w:val="21"/>
      <w:szCs w:val="21"/>
      <w:u w:val="none"/>
      <w:lang w:val="en-US" w:eastAsia="zh-CN" w:bidi="ar-SA"/>
    </w:rPr>
  </w:style>
  <w:style w:type="character" w:customStyle="1" w:styleId="171">
    <w:name w:val="样式 标题 4Para4CDR_Lev 4Title3h44 dashddash + (符号) 宋体 加粗 Char Char"/>
    <w:link w:val="172"/>
    <w:qFormat/>
    <w:uiPriority w:val="0"/>
    <w:rPr>
      <w:rFonts w:ascii="Arial" w:hAnsi="Arial" w:eastAsia="黑体"/>
      <w:snapToGrid w:val="0"/>
      <w:kern w:val="2"/>
      <w:sz w:val="28"/>
      <w:szCs w:val="24"/>
    </w:rPr>
  </w:style>
  <w:style w:type="paragraph" w:customStyle="1" w:styleId="172">
    <w:name w:val="样式 标题 4Para4CDR_Lev 4Title3h44 dashddash + (符号) 宋体 加粗"/>
    <w:basedOn w:val="6"/>
    <w:link w:val="171"/>
    <w:qFormat/>
    <w:uiPriority w:val="0"/>
    <w:pPr>
      <w:keepNext w:val="0"/>
      <w:keepLines w:val="0"/>
      <w:widowControl w:val="0"/>
      <w:tabs>
        <w:tab w:val="left" w:pos="907"/>
      </w:tabs>
      <w:autoSpaceDE w:val="0"/>
      <w:autoSpaceDN w:val="0"/>
      <w:adjustRightInd w:val="0"/>
      <w:snapToGrid w:val="0"/>
      <w:spacing w:before="0" w:after="0"/>
      <w:ind w:left="1644" w:hanging="1644"/>
      <w:jc w:val="both"/>
      <w:textAlignment w:val="baseline"/>
    </w:pPr>
    <w:rPr>
      <w:snapToGrid w:val="0"/>
    </w:rPr>
  </w:style>
  <w:style w:type="character" w:customStyle="1" w:styleId="173">
    <w:name w:val="font01"/>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74">
    <w:name w:val="unnamed11"/>
    <w:qFormat/>
    <w:uiPriority w:val="0"/>
    <w:rPr>
      <w:color w:val="000000"/>
      <w:sz w:val="18"/>
      <w:szCs w:val="18"/>
    </w:rPr>
  </w:style>
  <w:style w:type="character" w:customStyle="1" w:styleId="175">
    <w:name w:val="列表编号3 Char"/>
    <w:link w:val="176"/>
    <w:qFormat/>
    <w:uiPriority w:val="0"/>
    <w:rPr>
      <w:rFonts w:ascii="宋体" w:hAnsi="宋体"/>
      <w:snapToGrid w:val="0"/>
      <w:sz w:val="24"/>
    </w:rPr>
  </w:style>
  <w:style w:type="paragraph" w:customStyle="1" w:styleId="176">
    <w:name w:val="标题 31"/>
    <w:basedOn w:val="1"/>
    <w:next w:val="139"/>
    <w:link w:val="175"/>
    <w:qFormat/>
    <w:uiPriority w:val="0"/>
    <w:pPr>
      <w:spacing w:before="60" w:line="300" w:lineRule="auto"/>
      <w:outlineLvl w:val="2"/>
    </w:pPr>
    <w:rPr>
      <w:rFonts w:ascii="宋体" w:hAnsi="宋体"/>
      <w:snapToGrid w:val="0"/>
      <w:kern w:val="0"/>
      <w:sz w:val="24"/>
    </w:rPr>
  </w:style>
  <w:style w:type="character" w:customStyle="1" w:styleId="177">
    <w:name w:val="current1"/>
    <w:qFormat/>
    <w:uiPriority w:val="0"/>
    <w:rPr>
      <w:rFonts w:hint="eastAsia" w:ascii="宋体" w:hAnsi="宋体" w:eastAsia="宋体" w:cs="宋体"/>
      <w:b/>
      <w:color w:val="FF6500"/>
      <w:kern w:val="2"/>
      <w:sz w:val="18"/>
      <w:szCs w:val="18"/>
      <w:bdr w:val="single" w:color="FF6500" w:sz="6" w:space="0"/>
      <w:shd w:val="clear" w:color="auto" w:fill="FFBE94"/>
      <w:lang w:val="en-US" w:eastAsia="zh-CN" w:bidi="ar-SA"/>
    </w:rPr>
  </w:style>
  <w:style w:type="character" w:customStyle="1" w:styleId="178">
    <w:name w:val="apple-converted-space"/>
    <w:qFormat/>
    <w:uiPriority w:val="0"/>
  </w:style>
  <w:style w:type="character" w:customStyle="1" w:styleId="179">
    <w:name w:val="current4"/>
    <w:qFormat/>
    <w:uiPriority w:val="0"/>
    <w:rPr>
      <w:rFonts w:eastAsia="宋体"/>
      <w:b/>
      <w:color w:val="FFFFFF"/>
      <w:kern w:val="2"/>
      <w:sz w:val="24"/>
      <w:szCs w:val="24"/>
      <w:bdr w:val="single" w:color="FFFFFF" w:sz="6" w:space="0"/>
      <w:shd w:val="clear" w:color="auto" w:fill="606060"/>
      <w:lang w:val="en-US" w:eastAsia="zh-CN" w:bidi="ar-SA"/>
    </w:rPr>
  </w:style>
  <w:style w:type="character" w:customStyle="1" w:styleId="180">
    <w:name w:val="cjHD正文 Char"/>
    <w:link w:val="181"/>
    <w:qFormat/>
    <w:uiPriority w:val="0"/>
    <w:rPr>
      <w:rFonts w:ascii="宋体" w:hAnsi="宋体"/>
      <w:sz w:val="24"/>
      <w:szCs w:val="28"/>
    </w:rPr>
  </w:style>
  <w:style w:type="paragraph" w:customStyle="1" w:styleId="181">
    <w:name w:val="cjHD正文"/>
    <w:basedOn w:val="1"/>
    <w:link w:val="180"/>
    <w:qFormat/>
    <w:uiPriority w:val="0"/>
    <w:pPr>
      <w:widowControl/>
      <w:spacing w:line="360" w:lineRule="auto"/>
      <w:ind w:firstLine="200" w:firstLineChars="200"/>
      <w:jc w:val="left"/>
    </w:pPr>
    <w:rPr>
      <w:rFonts w:ascii="宋体" w:hAnsi="宋体"/>
      <w:kern w:val="0"/>
      <w:sz w:val="24"/>
      <w:szCs w:val="28"/>
    </w:rPr>
  </w:style>
  <w:style w:type="character" w:customStyle="1" w:styleId="182">
    <w:name w:val="正文文本 Char"/>
    <w:qFormat/>
    <w:uiPriority w:val="0"/>
    <w:rPr>
      <w:kern w:val="2"/>
      <w:sz w:val="21"/>
      <w:szCs w:val="24"/>
    </w:rPr>
  </w:style>
  <w:style w:type="character" w:customStyle="1" w:styleId="183">
    <w:name w:val="正文（首行缩进两字） Char Char"/>
    <w:qFormat/>
    <w:uiPriority w:val="0"/>
    <w:rPr>
      <w:rFonts w:hint="eastAsia" w:ascii="宋体" w:eastAsia="宋体"/>
      <w:snapToGrid w:val="0"/>
      <w:color w:val="000000"/>
      <w:sz w:val="21"/>
      <w:lang w:val="en-US" w:eastAsia="zh-CN"/>
    </w:rPr>
  </w:style>
  <w:style w:type="character" w:customStyle="1" w:styleId="184">
    <w:name w:val="style5"/>
    <w:qFormat/>
    <w:uiPriority w:val="0"/>
    <w:rPr>
      <w:rFonts w:hint="default"/>
    </w:rPr>
  </w:style>
  <w:style w:type="character" w:customStyle="1" w:styleId="185">
    <w:name w:val="正文文字缩进 3 Char Char"/>
    <w:link w:val="186"/>
    <w:qFormat/>
    <w:uiPriority w:val="0"/>
    <w:rPr>
      <w:rFonts w:ascii="宋体"/>
      <w:color w:val="000000"/>
      <w:sz w:val="21"/>
    </w:rPr>
  </w:style>
  <w:style w:type="paragraph" w:customStyle="1" w:styleId="186">
    <w:name w:val="正文文本缩进 31"/>
    <w:basedOn w:val="1"/>
    <w:link w:val="185"/>
    <w:qFormat/>
    <w:uiPriority w:val="0"/>
    <w:pPr>
      <w:ind w:left="851"/>
    </w:pPr>
    <w:rPr>
      <w:rFonts w:ascii="宋体"/>
      <w:color w:val="000000"/>
      <w:kern w:val="0"/>
    </w:rPr>
  </w:style>
  <w:style w:type="character" w:customStyle="1" w:styleId="187">
    <w:name w:val="6 style Char"/>
    <w:link w:val="188"/>
    <w:qFormat/>
    <w:uiPriority w:val="0"/>
    <w:rPr>
      <w:rFonts w:ascii="Arial" w:hAnsi="Arial" w:eastAsia="黑体"/>
      <w:b/>
      <w:kern w:val="2"/>
      <w:sz w:val="24"/>
    </w:rPr>
  </w:style>
  <w:style w:type="paragraph" w:customStyle="1" w:styleId="188">
    <w:name w:val="标题 61"/>
    <w:basedOn w:val="1"/>
    <w:next w:val="139"/>
    <w:link w:val="187"/>
    <w:qFormat/>
    <w:uiPriority w:val="0"/>
    <w:pPr>
      <w:keepNext/>
      <w:tabs>
        <w:tab w:val="left" w:pos="1152"/>
      </w:tabs>
      <w:spacing w:before="240" w:after="64" w:line="320" w:lineRule="auto"/>
      <w:outlineLvl w:val="5"/>
    </w:pPr>
    <w:rPr>
      <w:rFonts w:ascii="Arial" w:hAnsi="Arial" w:eastAsia="黑体"/>
      <w:b/>
      <w:sz w:val="24"/>
    </w:rPr>
  </w:style>
  <w:style w:type="character" w:customStyle="1" w:styleId="189">
    <w:name w:val="样式 样式 标题 2标题 1.1第一层条第二层论文标题 1Para2Title1H2h22l2list + ch...1 + 右...1 Char Char"/>
    <w:link w:val="190"/>
    <w:qFormat/>
    <w:uiPriority w:val="0"/>
    <w:rPr>
      <w:rFonts w:ascii="Arial" w:hAnsi="Arial" w:cs="宋体"/>
      <w:b/>
      <w:color w:val="000000"/>
      <w:kern w:val="2"/>
      <w:sz w:val="24"/>
      <w:szCs w:val="24"/>
    </w:rPr>
  </w:style>
  <w:style w:type="paragraph" w:customStyle="1" w:styleId="190">
    <w:name w:val="样式 样式 标题 2标题 1.1第一层条第二层论文标题 1Para2Title1H2h22l2list + ch...1 + 右...1"/>
    <w:basedOn w:val="134"/>
    <w:link w:val="189"/>
    <w:qFormat/>
    <w:uiPriority w:val="0"/>
    <w:pPr>
      <w:tabs>
        <w:tab w:val="left" w:pos="567"/>
        <w:tab w:val="clear" w:pos="840"/>
      </w:tabs>
      <w:spacing w:beforeLines="50" w:afterLines="50"/>
      <w:ind w:left="576"/>
    </w:pPr>
  </w:style>
  <w:style w:type="character" w:customStyle="1" w:styleId="191">
    <w:name w:val="fontstyle01"/>
    <w:qFormat/>
    <w:uiPriority w:val="0"/>
    <w:rPr>
      <w:rFonts w:hint="eastAsia" w:ascii="宋体" w:hAnsi="宋体" w:eastAsia="宋体"/>
      <w:color w:val="000000"/>
      <w:sz w:val="22"/>
      <w:szCs w:val="22"/>
    </w:rPr>
  </w:style>
  <w:style w:type="character" w:customStyle="1" w:styleId="192">
    <w:name w:val="超链接1"/>
    <w:qFormat/>
    <w:uiPriority w:val="0"/>
    <w:rPr>
      <w:rFonts w:hint="default"/>
      <w:color w:val="0000FF"/>
      <w:u w:val="single"/>
    </w:rPr>
  </w:style>
  <w:style w:type="character" w:customStyle="1" w:styleId="193">
    <w:name w:val="普通文字 Char Char"/>
    <w:qFormat/>
    <w:uiPriority w:val="0"/>
    <w:rPr>
      <w:rFonts w:ascii="宋体" w:hAnsi="Courier New" w:eastAsia="宋体"/>
      <w:kern w:val="2"/>
      <w:sz w:val="21"/>
      <w:lang w:val="en-US" w:eastAsia="zh-CN" w:bidi="ar-SA"/>
    </w:rPr>
  </w:style>
  <w:style w:type="character" w:customStyle="1" w:styleId="194">
    <w:name w:val="Char Char Char Char Char Char"/>
    <w:qFormat/>
    <w:uiPriority w:val="0"/>
    <w:rPr>
      <w:rFonts w:ascii="宋体" w:hAnsi="Courier New" w:eastAsia="宋体"/>
      <w:kern w:val="2"/>
      <w:sz w:val="21"/>
      <w:lang w:val="en-US" w:eastAsia="zh-CN" w:bidi="ar-SA"/>
    </w:rPr>
  </w:style>
  <w:style w:type="character" w:customStyle="1" w:styleId="195">
    <w:name w:val="标题 1 Char Char Char"/>
    <w:qFormat/>
    <w:uiPriority w:val="0"/>
    <w:rPr>
      <w:rFonts w:eastAsia="宋体"/>
      <w:b/>
      <w:bCs/>
      <w:kern w:val="44"/>
      <w:sz w:val="44"/>
      <w:szCs w:val="44"/>
      <w:lang w:val="en-US" w:eastAsia="zh-CN" w:bidi="ar-SA"/>
    </w:rPr>
  </w:style>
  <w:style w:type="character" w:customStyle="1" w:styleId="196">
    <w:name w:val="Char Char16"/>
    <w:qFormat/>
    <w:uiPriority w:val="99"/>
    <w:rPr>
      <w:rFonts w:hint="eastAsia" w:ascii="Arial" w:hAnsi="Arial" w:eastAsia="黑体"/>
      <w:b/>
      <w:snapToGrid w:val="0"/>
      <w:color w:val="000000"/>
      <w:sz w:val="24"/>
      <w:lang w:val="en-US" w:eastAsia="zh-CN"/>
    </w:rPr>
  </w:style>
  <w:style w:type="character" w:customStyle="1" w:styleId="197">
    <w:name w:val="样式 标题 1标题 1 111121314151111211311611212213217113... Char Char"/>
    <w:link w:val="198"/>
    <w:qFormat/>
    <w:uiPriority w:val="0"/>
    <w:rPr>
      <w:rFonts w:ascii="宋体" w:hAnsi="宋体" w:eastAsia="黑体"/>
      <w:bCs/>
      <w:kern w:val="44"/>
      <w:sz w:val="48"/>
      <w:szCs w:val="32"/>
    </w:rPr>
  </w:style>
  <w:style w:type="paragraph" w:customStyle="1" w:styleId="198">
    <w:name w:val="样式 标题 1标题 1 111121314151111211311611212213217113..."/>
    <w:basedOn w:val="2"/>
    <w:link w:val="197"/>
    <w:qFormat/>
    <w:uiPriority w:val="0"/>
    <w:pPr>
      <w:keepLines/>
      <w:widowControl w:val="0"/>
      <w:tabs>
        <w:tab w:val="left" w:pos="840"/>
        <w:tab w:val="clear" w:pos="885"/>
      </w:tabs>
      <w:adjustRightInd w:val="0"/>
      <w:spacing w:before="340" w:after="330" w:line="578" w:lineRule="atLeast"/>
      <w:ind w:left="2297" w:hanging="420"/>
      <w:textAlignment w:val="baseline"/>
    </w:pPr>
    <w:rPr>
      <w:rFonts w:ascii="宋体" w:hAnsi="宋体"/>
      <w:bCs/>
      <w:kern w:val="44"/>
      <w:sz w:val="48"/>
      <w:szCs w:val="32"/>
    </w:rPr>
  </w:style>
  <w:style w:type="character" w:customStyle="1" w:styleId="199">
    <w:name w:val="样式 样式 样式 样式 标题 2标题 1.1第一层条第二层论文标题 1Para2Title1H2h22l2list + ch..... Char Char"/>
    <w:link w:val="200"/>
    <w:qFormat/>
    <w:uiPriority w:val="0"/>
    <w:rPr>
      <w:rFonts w:ascii="宋体" w:hAnsi="宋体" w:cs="宋体"/>
      <w:b/>
      <w:color w:val="000000"/>
      <w:kern w:val="2"/>
      <w:sz w:val="21"/>
      <w:szCs w:val="28"/>
    </w:rPr>
  </w:style>
  <w:style w:type="paragraph" w:customStyle="1" w:styleId="200">
    <w:name w:val="样式 样式 样式 样式 标题 2标题 1.1第一层条第二层论文标题 1Para2Title1H2h22l2list + ch....."/>
    <w:basedOn w:val="201"/>
    <w:link w:val="199"/>
    <w:qFormat/>
    <w:uiPriority w:val="0"/>
    <w:pPr>
      <w:tabs>
        <w:tab w:val="left" w:pos="965"/>
      </w:tabs>
      <w:spacing w:before="50" w:after="50"/>
      <w:ind w:left="1134" w:right="50" w:hanging="1134"/>
    </w:pPr>
    <w:rPr>
      <w:rFonts w:ascii="宋体" w:hAnsi="宋体"/>
      <w:sz w:val="21"/>
    </w:rPr>
  </w:style>
  <w:style w:type="paragraph" w:customStyle="1" w:styleId="201">
    <w:name w:val="样式 样式 样式 标题 2标题 1.1第一层条第二层论文标题 1Para2Title1H2h22l2list + ch...1 ..."/>
    <w:basedOn w:val="190"/>
    <w:link w:val="202"/>
    <w:qFormat/>
    <w:uiPriority w:val="0"/>
    <w:pPr>
      <w:tabs>
        <w:tab w:val="left" w:pos="965"/>
        <w:tab w:val="clear" w:pos="567"/>
      </w:tabs>
      <w:spacing w:beforeLines="0" w:afterLines="0"/>
      <w:ind w:left="965" w:right="105" w:hanging="425"/>
    </w:pPr>
    <w:rPr>
      <w:sz w:val="28"/>
      <w:szCs w:val="28"/>
    </w:rPr>
  </w:style>
  <w:style w:type="character" w:customStyle="1" w:styleId="202">
    <w:name w:val="样式 样式 样式 标题 2标题 1.1第一层条第二层论文标题 1Para2Title1H2h22l2list + ch...1 ... Char Char"/>
    <w:link w:val="201"/>
    <w:qFormat/>
    <w:uiPriority w:val="0"/>
    <w:rPr>
      <w:rFonts w:ascii="Arial" w:hAnsi="Arial" w:cs="宋体"/>
      <w:b/>
      <w:color w:val="000000"/>
      <w:kern w:val="2"/>
      <w:sz w:val="28"/>
      <w:szCs w:val="28"/>
    </w:rPr>
  </w:style>
  <w:style w:type="character" w:customStyle="1" w:styleId="203">
    <w:name w:val="标题 1 Char Char"/>
    <w:qFormat/>
    <w:uiPriority w:val="0"/>
    <w:rPr>
      <w:rFonts w:ascii="黑体" w:hAnsi="Arial" w:eastAsia="黑体"/>
      <w:b/>
      <w:kern w:val="2"/>
      <w:sz w:val="52"/>
      <w:szCs w:val="24"/>
      <w:lang w:val="en-US" w:eastAsia="zh-CN" w:bidi="ar-SA"/>
    </w:rPr>
  </w:style>
  <w:style w:type="character" w:customStyle="1" w:styleId="204">
    <w:name w:val="Char Char11"/>
    <w:qFormat/>
    <w:uiPriority w:val="99"/>
    <w:rPr>
      <w:rFonts w:ascii="宋体" w:hAnsi="Courier New" w:eastAsia="宋体"/>
      <w:kern w:val="2"/>
      <w:sz w:val="21"/>
      <w:szCs w:val="24"/>
      <w:lang w:val="en-US" w:eastAsia="zh-CN" w:bidi="ar-SA"/>
    </w:rPr>
  </w:style>
  <w:style w:type="character" w:customStyle="1" w:styleId="205">
    <w:name w:val="Char Char13"/>
    <w:qFormat/>
    <w:uiPriority w:val="0"/>
    <w:rPr>
      <w:rFonts w:hint="eastAsia" w:ascii="Arial" w:hAnsi="Arial" w:eastAsia="黑体"/>
      <w:snapToGrid w:val="0"/>
      <w:color w:val="000000"/>
      <w:sz w:val="21"/>
      <w:lang w:val="en-US" w:eastAsia="zh-CN"/>
    </w:rPr>
  </w:style>
  <w:style w:type="character" w:customStyle="1" w:styleId="206">
    <w:name w:val="apple-style-span"/>
    <w:qFormat/>
    <w:uiPriority w:val="0"/>
    <w:rPr>
      <w:rFonts w:hint="default"/>
    </w:rPr>
  </w:style>
  <w:style w:type="character" w:customStyle="1" w:styleId="207">
    <w:name w:val="纯文本 Char Char"/>
    <w:qFormat/>
    <w:uiPriority w:val="0"/>
    <w:rPr>
      <w:rFonts w:ascii="宋体" w:hAnsi="Courier New" w:eastAsia="宋体"/>
      <w:kern w:val="2"/>
      <w:sz w:val="21"/>
      <w:lang w:val="en-US" w:eastAsia="zh-CN" w:bidi="ar-SA"/>
    </w:rPr>
  </w:style>
  <w:style w:type="character" w:customStyle="1" w:styleId="208">
    <w:name w:val="Char Char2"/>
    <w:link w:val="209"/>
    <w:qFormat/>
    <w:uiPriority w:val="99"/>
    <w:rPr>
      <w:rFonts w:ascii="宋体"/>
      <w:color w:val="000000"/>
      <w:sz w:val="18"/>
    </w:rPr>
  </w:style>
  <w:style w:type="paragraph" w:customStyle="1" w:styleId="209">
    <w:name w:val="批注框文本1"/>
    <w:basedOn w:val="1"/>
    <w:link w:val="208"/>
    <w:qFormat/>
    <w:uiPriority w:val="0"/>
    <w:rPr>
      <w:rFonts w:ascii="宋体"/>
      <w:color w:val="000000"/>
      <w:kern w:val="0"/>
      <w:sz w:val="18"/>
    </w:rPr>
  </w:style>
  <w:style w:type="character" w:customStyle="1" w:styleId="210">
    <w:name w:val="font111"/>
    <w:qFormat/>
    <w:uiPriority w:val="0"/>
    <w:rPr>
      <w:rFonts w:ascii="仿宋_GB2312" w:eastAsia="仿宋_GB2312" w:cs="仿宋_GB2312"/>
      <w:b/>
      <w:color w:val="000000"/>
      <w:kern w:val="2"/>
      <w:sz w:val="32"/>
      <w:szCs w:val="32"/>
      <w:u w:val="none"/>
      <w:lang w:val="en-US" w:eastAsia="zh-CN" w:bidi="ar-SA"/>
    </w:rPr>
  </w:style>
  <w:style w:type="character" w:customStyle="1" w:styleId="211">
    <w:name w:val="正文文本缩进 2 Char1"/>
    <w:qFormat/>
    <w:uiPriority w:val="99"/>
    <w:rPr>
      <w:kern w:val="2"/>
      <w:sz w:val="21"/>
    </w:rPr>
  </w:style>
  <w:style w:type="character" w:customStyle="1" w:styleId="212">
    <w:name w:val="font11"/>
    <w:qFormat/>
    <w:uiPriority w:val="0"/>
    <w:rPr>
      <w:rFonts w:hint="eastAsia" w:ascii="宋体" w:hAnsi="宋体" w:eastAsia="宋体" w:cs="宋体"/>
      <w:color w:val="000000"/>
      <w:kern w:val="2"/>
      <w:sz w:val="21"/>
      <w:szCs w:val="21"/>
      <w:u w:val="none"/>
      <w:lang w:val="en-US" w:eastAsia="zh-CN" w:bidi="ar-SA"/>
    </w:rPr>
  </w:style>
  <w:style w:type="character" w:customStyle="1" w:styleId="213">
    <w:name w:val="正文文字 2 Char Char"/>
    <w:link w:val="214"/>
    <w:qFormat/>
    <w:uiPriority w:val="0"/>
    <w:rPr>
      <w:kern w:val="2"/>
      <w:sz w:val="24"/>
    </w:rPr>
  </w:style>
  <w:style w:type="paragraph" w:customStyle="1" w:styleId="214">
    <w:name w:val="正文文本 21"/>
    <w:basedOn w:val="1"/>
    <w:link w:val="213"/>
    <w:qFormat/>
    <w:uiPriority w:val="0"/>
    <w:pPr>
      <w:tabs>
        <w:tab w:val="left" w:pos="560"/>
        <w:tab w:val="center" w:pos="8400"/>
      </w:tabs>
    </w:pPr>
    <w:rPr>
      <w:sz w:val="24"/>
    </w:rPr>
  </w:style>
  <w:style w:type="character" w:customStyle="1" w:styleId="215">
    <w:name w:val="已访问的超链接1"/>
    <w:qFormat/>
    <w:uiPriority w:val="0"/>
    <w:rPr>
      <w:rFonts w:hint="default"/>
      <w:color w:val="800080"/>
      <w:u w:val="single"/>
    </w:rPr>
  </w:style>
  <w:style w:type="character" w:customStyle="1" w:styleId="216">
    <w:name w:val="页码1"/>
    <w:qFormat/>
    <w:uiPriority w:val="0"/>
  </w:style>
  <w:style w:type="character" w:customStyle="1" w:styleId="217">
    <w:name w:val="5 sub-bullet Char"/>
    <w:link w:val="218"/>
    <w:qFormat/>
    <w:uiPriority w:val="0"/>
    <w:rPr>
      <w:b/>
      <w:kern w:val="2"/>
      <w:sz w:val="24"/>
    </w:rPr>
  </w:style>
  <w:style w:type="paragraph" w:customStyle="1" w:styleId="218">
    <w:name w:val="标题 51"/>
    <w:basedOn w:val="1"/>
    <w:next w:val="139"/>
    <w:link w:val="217"/>
    <w:qFormat/>
    <w:uiPriority w:val="0"/>
    <w:pPr>
      <w:keepNext/>
      <w:tabs>
        <w:tab w:val="left" w:pos="1008"/>
      </w:tabs>
      <w:spacing w:before="280" w:after="290" w:line="376" w:lineRule="auto"/>
      <w:outlineLvl w:val="4"/>
    </w:pPr>
    <w:rPr>
      <w:b/>
      <w:sz w:val="24"/>
    </w:rPr>
  </w:style>
  <w:style w:type="character" w:customStyle="1" w:styleId="219">
    <w:name w:val="副标题 Char1"/>
    <w:qFormat/>
    <w:uiPriority w:val="0"/>
    <w:rPr>
      <w:rFonts w:ascii="Cambria" w:hAnsi="Cambria" w:cs="Times New Roman"/>
      <w:b/>
      <w:bCs/>
      <w:kern w:val="28"/>
      <w:sz w:val="32"/>
      <w:szCs w:val="32"/>
    </w:rPr>
  </w:style>
  <w:style w:type="character" w:customStyle="1" w:styleId="220">
    <w:name w:val="WW-WW8Num3z0"/>
    <w:qFormat/>
    <w:uiPriority w:val="0"/>
    <w:rPr>
      <w:rFonts w:ascii="Wingdings" w:hAnsi="Wingdings"/>
    </w:rPr>
  </w:style>
  <w:style w:type="character" w:customStyle="1" w:styleId="221">
    <w:name w:val="页眉 Char Char"/>
    <w:qFormat/>
    <w:uiPriority w:val="0"/>
    <w:rPr>
      <w:rFonts w:eastAsia="宋体"/>
      <w:kern w:val="2"/>
      <w:sz w:val="18"/>
      <w:szCs w:val="24"/>
      <w:lang w:val="en-US" w:eastAsia="zh-CN" w:bidi="ar-SA"/>
    </w:rPr>
  </w:style>
  <w:style w:type="character" w:customStyle="1" w:styleId="222">
    <w:name w:val="font61"/>
    <w:qFormat/>
    <w:uiPriority w:val="0"/>
    <w:rPr>
      <w:rFonts w:hint="eastAsia" w:ascii="宋体" w:hAnsi="宋体" w:eastAsia="宋体" w:cs="宋体"/>
      <w:color w:val="000000"/>
      <w:sz w:val="20"/>
      <w:szCs w:val="20"/>
      <w:u w:val="none"/>
    </w:rPr>
  </w:style>
  <w:style w:type="character" w:customStyle="1" w:styleId="223">
    <w:name w:val="正文文字 Char"/>
    <w:qFormat/>
    <w:uiPriority w:val="0"/>
    <w:rPr>
      <w:rFonts w:hint="eastAsia" w:ascii="宋体" w:eastAsia="宋体"/>
      <w:snapToGrid w:val="0"/>
      <w:color w:val="000000"/>
      <w:sz w:val="28"/>
      <w:lang w:val="en-US" w:eastAsia="zh-CN"/>
    </w:rPr>
  </w:style>
  <w:style w:type="character" w:customStyle="1" w:styleId="224">
    <w:name w:val="日期 Char1"/>
    <w:qFormat/>
    <w:uiPriority w:val="0"/>
    <w:rPr>
      <w:kern w:val="2"/>
      <w:sz w:val="21"/>
    </w:rPr>
  </w:style>
  <w:style w:type="character" w:customStyle="1" w:styleId="225">
    <w:name w:val="label"/>
    <w:qFormat/>
    <w:uiPriority w:val="0"/>
    <w:rPr>
      <w:rFonts w:hint="default"/>
    </w:rPr>
  </w:style>
  <w:style w:type="character" w:customStyle="1" w:styleId="226">
    <w:name w:val="current3"/>
    <w:qFormat/>
    <w:uiPriority w:val="0"/>
    <w:rPr>
      <w:rFonts w:eastAsia="宋体"/>
      <w:b/>
      <w:color w:val="FFFFFF"/>
      <w:kern w:val="2"/>
      <w:sz w:val="24"/>
      <w:szCs w:val="24"/>
      <w:shd w:val="clear" w:color="auto" w:fill="313131"/>
      <w:lang w:val="en-US" w:eastAsia="zh-CN" w:bidi="ar-SA"/>
    </w:rPr>
  </w:style>
  <w:style w:type="character" w:customStyle="1" w:styleId="227">
    <w:name w:val="无间隔 Char"/>
    <w:link w:val="228"/>
    <w:qFormat/>
    <w:uiPriority w:val="0"/>
    <w:rPr>
      <w:rFonts w:ascii="Calibri" w:hAnsi="Calibri" w:eastAsia="Times New Roman"/>
      <w:sz w:val="22"/>
      <w:szCs w:val="22"/>
      <w:lang w:val="en-US" w:eastAsia="zh-CN" w:bidi="ar-SA"/>
    </w:rPr>
  </w:style>
  <w:style w:type="paragraph" w:customStyle="1" w:styleId="228">
    <w:name w:val="无间隔1"/>
    <w:link w:val="227"/>
    <w:qFormat/>
    <w:uiPriority w:val="0"/>
    <w:rPr>
      <w:rFonts w:ascii="Calibri" w:hAnsi="Calibri" w:eastAsia="Times New Roman" w:cs="Times New Roman"/>
      <w:sz w:val="22"/>
      <w:szCs w:val="22"/>
      <w:lang w:val="en-US" w:eastAsia="zh-CN" w:bidi="ar-SA"/>
    </w:rPr>
  </w:style>
  <w:style w:type="character" w:customStyle="1" w:styleId="229">
    <w:name w:val="Char Char15"/>
    <w:qFormat/>
    <w:uiPriority w:val="99"/>
    <w:rPr>
      <w:rFonts w:hint="eastAsia" w:ascii="宋体" w:eastAsia="宋体"/>
      <w:b/>
      <w:snapToGrid w:val="0"/>
      <w:color w:val="000000"/>
      <w:sz w:val="24"/>
      <w:lang w:val="en-US" w:eastAsia="zh-CN"/>
    </w:rPr>
  </w:style>
  <w:style w:type="character" w:customStyle="1" w:styleId="230">
    <w:name w:val="标题 Char Char"/>
    <w:qFormat/>
    <w:uiPriority w:val="0"/>
    <w:rPr>
      <w:rFonts w:ascii="Arial" w:hAnsi="Arial" w:eastAsia="宋体"/>
      <w:b/>
      <w:kern w:val="2"/>
      <w:sz w:val="44"/>
      <w:szCs w:val="24"/>
      <w:lang w:val="en-US" w:eastAsia="zh-CN" w:bidi="ar-SA"/>
    </w:rPr>
  </w:style>
  <w:style w:type="character" w:customStyle="1" w:styleId="231">
    <w:name w:val="current"/>
    <w:qFormat/>
    <w:uiPriority w:val="0"/>
    <w:rPr>
      <w:rFonts w:eastAsia="宋体"/>
      <w:b/>
      <w:color w:val="FFFFFF"/>
      <w:kern w:val="2"/>
      <w:sz w:val="24"/>
      <w:szCs w:val="24"/>
      <w:bdr w:val="single" w:color="000099" w:sz="6" w:space="0"/>
      <w:shd w:val="clear" w:color="auto" w:fill="000099"/>
      <w:lang w:val="en-US" w:eastAsia="zh-CN" w:bidi="ar-SA"/>
    </w:rPr>
  </w:style>
  <w:style w:type="character" w:customStyle="1" w:styleId="232">
    <w:name w:val="正文文字 Char Char"/>
    <w:link w:val="233"/>
    <w:qFormat/>
    <w:uiPriority w:val="0"/>
    <w:rPr>
      <w:rFonts w:ascii="宋体"/>
      <w:color w:val="000000"/>
      <w:sz w:val="28"/>
    </w:rPr>
  </w:style>
  <w:style w:type="paragraph" w:customStyle="1" w:styleId="233">
    <w:name w:val="正文文本1"/>
    <w:basedOn w:val="1"/>
    <w:link w:val="232"/>
    <w:qFormat/>
    <w:uiPriority w:val="0"/>
    <w:pPr>
      <w:spacing w:line="360" w:lineRule="auto"/>
    </w:pPr>
    <w:rPr>
      <w:rFonts w:ascii="宋体"/>
      <w:color w:val="000000"/>
      <w:kern w:val="0"/>
      <w:sz w:val="28"/>
    </w:rPr>
  </w:style>
  <w:style w:type="character" w:customStyle="1" w:styleId="234">
    <w:name w:val="Char Char Char"/>
    <w:qFormat/>
    <w:uiPriority w:val="0"/>
    <w:rPr>
      <w:rFonts w:ascii="宋体" w:hAnsi="Courier New" w:eastAsia="宋体"/>
      <w:kern w:val="2"/>
      <w:sz w:val="21"/>
      <w:lang w:val="en-US" w:eastAsia="zh-CN"/>
    </w:rPr>
  </w:style>
  <w:style w:type="paragraph" w:customStyle="1" w:styleId="235">
    <w:name w:val="xl5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36">
    <w:name w:val="三级目录"/>
    <w:basedOn w:val="237"/>
    <w:next w:val="239"/>
    <w:qFormat/>
    <w:uiPriority w:val="0"/>
    <w:pPr>
      <w:keepNext/>
      <w:keepLines/>
      <w:spacing w:before="0"/>
      <w:jc w:val="left"/>
    </w:pPr>
    <w:rPr>
      <w:rFonts w:eastAsia="黑体"/>
      <w:b/>
      <w:kern w:val="2"/>
      <w:sz w:val="28"/>
    </w:rPr>
  </w:style>
  <w:style w:type="paragraph" w:customStyle="1" w:styleId="237">
    <w:name w:val="标题 33"/>
    <w:basedOn w:val="1"/>
    <w:next w:val="238"/>
    <w:qFormat/>
    <w:uiPriority w:val="0"/>
    <w:pPr>
      <w:spacing w:before="60" w:line="300" w:lineRule="auto"/>
      <w:outlineLvl w:val="2"/>
    </w:pPr>
    <w:rPr>
      <w:rFonts w:hint="eastAsia" w:ascii="宋体" w:hAnsi="宋体"/>
      <w:snapToGrid w:val="0"/>
      <w:kern w:val="0"/>
      <w:sz w:val="24"/>
    </w:rPr>
  </w:style>
  <w:style w:type="paragraph" w:customStyle="1" w:styleId="238">
    <w:name w:val="正文缩进2"/>
    <w:basedOn w:val="1"/>
    <w:qFormat/>
    <w:uiPriority w:val="0"/>
    <w:pPr>
      <w:tabs>
        <w:tab w:val="left" w:pos="720"/>
      </w:tabs>
      <w:ind w:left="624" w:hanging="624"/>
      <w:textAlignment w:val="baseline"/>
    </w:pPr>
    <w:rPr>
      <w:rFonts w:hint="eastAsia" w:ascii="宋体"/>
    </w:rPr>
  </w:style>
  <w:style w:type="paragraph" w:customStyle="1" w:styleId="239">
    <w:name w:val="正文文本缩进2"/>
    <w:basedOn w:val="1"/>
    <w:qFormat/>
    <w:uiPriority w:val="0"/>
    <w:pPr>
      <w:ind w:left="851"/>
    </w:pPr>
    <w:rPr>
      <w:rFonts w:hint="eastAsia" w:ascii="宋体"/>
      <w:color w:val="000000"/>
      <w:kern w:val="0"/>
    </w:rPr>
  </w:style>
  <w:style w:type="paragraph" w:customStyle="1" w:styleId="240">
    <w:name w:val="日期1"/>
    <w:basedOn w:val="1"/>
    <w:next w:val="1"/>
    <w:qFormat/>
    <w:uiPriority w:val="0"/>
    <w:pPr>
      <w:ind w:left="100" w:leftChars="2500"/>
    </w:pPr>
    <w:rPr>
      <w:szCs w:val="24"/>
    </w:rPr>
  </w:style>
  <w:style w:type="paragraph" w:customStyle="1" w:styleId="241">
    <w:name w:val="xl29"/>
    <w:basedOn w:val="1"/>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42">
    <w:name w:val="标题 12"/>
    <w:basedOn w:val="1"/>
    <w:next w:val="1"/>
    <w:qFormat/>
    <w:uiPriority w:val="0"/>
    <w:pPr>
      <w:tabs>
        <w:tab w:val="left" w:pos="470"/>
      </w:tabs>
      <w:spacing w:before="240"/>
      <w:outlineLvl w:val="0"/>
    </w:pPr>
    <w:rPr>
      <w:b/>
      <w:sz w:val="24"/>
    </w:rPr>
  </w:style>
  <w:style w:type="paragraph" w:customStyle="1" w:styleId="243">
    <w:name w:val="_Style 46"/>
    <w:basedOn w:val="1"/>
    <w:qFormat/>
    <w:uiPriority w:val="0"/>
    <w:rPr>
      <w:rFonts w:ascii="仿宋_GB2312" w:eastAsia="仿宋_GB2312"/>
      <w:b/>
      <w:sz w:val="32"/>
      <w:szCs w:val="32"/>
    </w:rPr>
  </w:style>
  <w:style w:type="paragraph" w:customStyle="1" w:styleId="244">
    <w:name w:val="_Style 11"/>
    <w:basedOn w:val="20"/>
    <w:qFormat/>
    <w:uiPriority w:val="0"/>
  </w:style>
  <w:style w:type="paragraph" w:customStyle="1" w:styleId="245">
    <w:name w:val="正文文本2"/>
    <w:basedOn w:val="1"/>
    <w:qFormat/>
    <w:uiPriority w:val="0"/>
    <w:pPr>
      <w:spacing w:line="360" w:lineRule="auto"/>
    </w:pPr>
    <w:rPr>
      <w:rFonts w:hint="eastAsia" w:ascii="宋体"/>
      <w:color w:val="000000"/>
      <w:kern w:val="0"/>
      <w:sz w:val="28"/>
    </w:rPr>
  </w:style>
  <w:style w:type="paragraph" w:customStyle="1" w:styleId="246">
    <w:name w:val="Char Char14"/>
    <w:basedOn w:val="1"/>
    <w:qFormat/>
    <w:uiPriority w:val="0"/>
    <w:rPr>
      <w:szCs w:val="24"/>
    </w:rPr>
  </w:style>
  <w:style w:type="paragraph" w:customStyle="1" w:styleId="2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48">
    <w:name w:val="需求书2"/>
    <w:basedOn w:val="1"/>
    <w:qFormat/>
    <w:uiPriority w:val="0"/>
    <w:pPr>
      <w:tabs>
        <w:tab w:val="left" w:pos="560"/>
        <w:tab w:val="center" w:pos="8400"/>
      </w:tabs>
      <w:spacing w:line="280" w:lineRule="exact"/>
      <w:jc w:val="center"/>
      <w:textAlignment w:val="baseline"/>
    </w:pPr>
    <w:rPr>
      <w:rFonts w:hint="eastAsia" w:hAnsi="宋体"/>
    </w:rPr>
  </w:style>
  <w:style w:type="paragraph" w:customStyle="1" w:styleId="249">
    <w:name w:val="表格"/>
    <w:basedOn w:val="1"/>
    <w:qFormat/>
    <w:uiPriority w:val="0"/>
    <w:pPr>
      <w:jc w:val="center"/>
    </w:pPr>
    <w:rPr>
      <w:rFonts w:ascii="华文细黑" w:hAnsi="华文细黑"/>
      <w:kern w:val="0"/>
    </w:rPr>
  </w:style>
  <w:style w:type="paragraph" w:customStyle="1" w:styleId="250">
    <w:name w:val="标题 34"/>
    <w:basedOn w:val="1"/>
    <w:qFormat/>
    <w:uiPriority w:val="1"/>
    <w:pPr>
      <w:ind w:left="237" w:right="102"/>
      <w:jc w:val="left"/>
      <w:outlineLvl w:val="3"/>
    </w:pPr>
    <w:rPr>
      <w:rFonts w:ascii="宋体" w:hAnsi="宋体" w:cs="宋体"/>
      <w:kern w:val="0"/>
      <w:sz w:val="28"/>
      <w:szCs w:val="28"/>
      <w:lang w:eastAsia="en-US"/>
    </w:rPr>
  </w:style>
  <w:style w:type="paragraph" w:customStyle="1" w:styleId="251">
    <w:name w:val="xl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52">
    <w:name w:val="xl4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53">
    <w:name w:val="列出段落1"/>
    <w:basedOn w:val="1"/>
    <w:unhideWhenUsed/>
    <w:qFormat/>
    <w:uiPriority w:val="34"/>
    <w:pPr>
      <w:ind w:firstLine="420" w:firstLineChars="200"/>
    </w:pPr>
  </w:style>
  <w:style w:type="paragraph" w:customStyle="1" w:styleId="254">
    <w:name w:val="xl72"/>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255">
    <w:name w:val="样式 居中 行距: 固定值 60 磅"/>
    <w:basedOn w:val="1"/>
    <w:qFormat/>
    <w:uiPriority w:val="0"/>
    <w:pPr>
      <w:spacing w:line="360" w:lineRule="auto"/>
      <w:jc w:val="center"/>
    </w:pPr>
  </w:style>
  <w:style w:type="paragraph" w:customStyle="1" w:styleId="256">
    <w:name w:val="段落，小四，缩进"/>
    <w:basedOn w:val="239"/>
    <w:qFormat/>
    <w:uiPriority w:val="0"/>
    <w:pPr>
      <w:ind w:left="0" w:firstLine="480" w:firstLineChars="200"/>
    </w:pPr>
    <w:rPr>
      <w:rFonts w:ascii="Times New Roman"/>
      <w:kern w:val="2"/>
      <w:sz w:val="24"/>
    </w:rPr>
  </w:style>
  <w:style w:type="paragraph" w:customStyle="1" w:styleId="257">
    <w:name w:val="目录文字"/>
    <w:basedOn w:val="1"/>
    <w:qFormat/>
    <w:uiPriority w:val="0"/>
    <w:pPr>
      <w:widowControl/>
      <w:spacing w:line="480" w:lineRule="auto"/>
      <w:jc w:val="left"/>
    </w:pPr>
    <w:rPr>
      <w:rFonts w:ascii="宋体" w:hAnsi="宋体"/>
      <w:kern w:val="0"/>
      <w:sz w:val="24"/>
    </w:rPr>
  </w:style>
  <w:style w:type="paragraph" w:customStyle="1" w:styleId="258">
    <w:name w:val="xl77"/>
    <w:basedOn w:val="1"/>
    <w:qFormat/>
    <w:uiPriority w:val="0"/>
    <w:pPr>
      <w:widowControl/>
      <w:pBdr>
        <w:left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259">
    <w:name w:val="正文文本 22"/>
    <w:basedOn w:val="1"/>
    <w:qFormat/>
    <w:uiPriority w:val="0"/>
    <w:pPr>
      <w:tabs>
        <w:tab w:val="left" w:pos="560"/>
        <w:tab w:val="center" w:pos="8400"/>
      </w:tabs>
    </w:pPr>
    <w:rPr>
      <w:sz w:val="24"/>
    </w:rPr>
  </w:style>
  <w:style w:type="paragraph" w:customStyle="1" w:styleId="260">
    <w:name w:val="标题 42"/>
    <w:basedOn w:val="1"/>
    <w:next w:val="238"/>
    <w:qFormat/>
    <w:uiPriority w:val="0"/>
    <w:pPr>
      <w:tabs>
        <w:tab w:val="left" w:pos="1021"/>
        <w:tab w:val="left" w:pos="1175"/>
      </w:tabs>
      <w:ind w:left="2" w:firstLine="2"/>
      <w:outlineLvl w:val="3"/>
    </w:pPr>
    <w:rPr>
      <w:snapToGrid w:val="0"/>
      <w:color w:val="000000"/>
      <w:kern w:val="0"/>
      <w:sz w:val="24"/>
    </w:rPr>
  </w:style>
  <w:style w:type="paragraph" w:customStyle="1" w:styleId="261">
    <w:name w:val="xl3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62">
    <w:name w:val="无间隔2"/>
    <w:qFormat/>
    <w:uiPriority w:val="1"/>
    <w:rPr>
      <w:rFonts w:ascii="Calibri" w:hAnsi="Calibri" w:eastAsia="宋体" w:cs="Times New Roman"/>
      <w:sz w:val="22"/>
      <w:szCs w:val="22"/>
      <w:lang w:val="en-US" w:eastAsia="zh-CN" w:bidi="ar-SA"/>
    </w:rPr>
  </w:style>
  <w:style w:type="paragraph" w:customStyle="1" w:styleId="263">
    <w:name w:val="xl65"/>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64">
    <w:name w:val="_Style 9"/>
    <w:basedOn w:val="1"/>
    <w:qFormat/>
    <w:uiPriority w:val="0"/>
    <w:rPr>
      <w:rFonts w:ascii="宋体" w:cs="黑体"/>
      <w:kern w:val="0"/>
      <w:sz w:val="34"/>
    </w:rPr>
  </w:style>
  <w:style w:type="paragraph" w:customStyle="1" w:styleId="265">
    <w:name w:val="Default"/>
    <w:link w:val="591"/>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66">
    <w:name w:val="xl35"/>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67">
    <w:name w:val="Char4"/>
    <w:basedOn w:val="1"/>
    <w:qFormat/>
    <w:uiPriority w:val="99"/>
    <w:pPr>
      <w:tabs>
        <w:tab w:val="left" w:pos="360"/>
      </w:tabs>
      <w:ind w:left="360" w:hanging="360" w:hangingChars="200"/>
    </w:pPr>
    <w:rPr>
      <w:rFonts w:hint="eastAsia"/>
      <w:sz w:val="24"/>
    </w:rPr>
  </w:style>
  <w:style w:type="paragraph" w:customStyle="1" w:styleId="268">
    <w:name w:val="xl44"/>
    <w:basedOn w:val="1"/>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69">
    <w:name w:val="xl71"/>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0">
    <w:name w:val="xl74"/>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272">
    <w:name w:val="标题 32"/>
    <w:basedOn w:val="1"/>
    <w:next w:val="1"/>
    <w:qFormat/>
    <w:uiPriority w:val="0"/>
    <w:pPr>
      <w:spacing w:before="60" w:line="300" w:lineRule="auto"/>
      <w:outlineLvl w:val="2"/>
    </w:pPr>
    <w:rPr>
      <w:rFonts w:hint="eastAsia" w:ascii="宋体" w:hAnsi="宋体"/>
      <w:snapToGrid w:val="0"/>
      <w:kern w:val="0"/>
      <w:sz w:val="24"/>
    </w:rPr>
  </w:style>
  <w:style w:type="paragraph" w:customStyle="1" w:styleId="273">
    <w:name w:val="样式3"/>
    <w:basedOn w:val="1"/>
    <w:next w:val="1"/>
    <w:link w:val="500"/>
    <w:qFormat/>
    <w:uiPriority w:val="0"/>
    <w:pPr>
      <w:spacing w:line="360" w:lineRule="auto"/>
      <w:ind w:firstLine="480"/>
      <w:jc w:val="left"/>
    </w:pPr>
    <w:rPr>
      <w:rFonts w:ascii="宋体"/>
      <w:sz w:val="24"/>
      <w:szCs w:val="22"/>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color w:val="000000"/>
      <w:sz w:val="20"/>
    </w:rPr>
  </w:style>
  <w:style w:type="paragraph" w:customStyle="1" w:styleId="275">
    <w:name w:val="xl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276">
    <w:name w:val="样式 正文缩进 + 首行缩进:  2 字符 段前: 1 行 段后: 1 行"/>
    <w:basedOn w:val="238"/>
    <w:qFormat/>
    <w:uiPriority w:val="0"/>
    <w:pPr>
      <w:tabs>
        <w:tab w:val="clear" w:pos="720"/>
      </w:tabs>
      <w:spacing w:beforeLines="100" w:afterLines="100" w:line="360" w:lineRule="auto"/>
      <w:ind w:left="0" w:firstLine="0"/>
      <w:textAlignment w:val="auto"/>
    </w:pPr>
    <w:rPr>
      <w:rFonts w:ascii="Times New Roman"/>
    </w:rPr>
  </w:style>
  <w:style w:type="paragraph" w:customStyle="1" w:styleId="277">
    <w:name w:val="xl6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8">
    <w:name w:val="Char Char Char Char Char Char Char"/>
    <w:basedOn w:val="1"/>
    <w:qFormat/>
    <w:uiPriority w:val="0"/>
    <w:pPr>
      <w:widowControl/>
      <w:snapToGrid w:val="0"/>
      <w:spacing w:line="360" w:lineRule="auto"/>
      <w:ind w:firstLine="200" w:firstLineChars="200"/>
      <w:jc w:val="left"/>
    </w:pPr>
    <w:rPr>
      <w:rFonts w:ascii="Calibri" w:hAnsi="Calibri"/>
      <w:kern w:val="0"/>
      <w:sz w:val="24"/>
      <w:lang w:eastAsia="en-US" w:bidi="en-US"/>
    </w:rPr>
  </w:style>
  <w:style w:type="paragraph" w:customStyle="1" w:styleId="279">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8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81">
    <w:name w:val="content5"/>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282">
    <w:name w:val="Char Char1 Char Char Char Char Char Char Char Char Char Char"/>
    <w:basedOn w:val="1"/>
    <w:qFormat/>
    <w:uiPriority w:val="0"/>
    <w:rPr>
      <w:sz w:val="24"/>
    </w:rPr>
  </w:style>
  <w:style w:type="paragraph" w:customStyle="1" w:styleId="283">
    <w:name w:val="Char1"/>
    <w:basedOn w:val="1"/>
    <w:qFormat/>
    <w:uiPriority w:val="0"/>
    <w:pPr>
      <w:widowControl/>
      <w:spacing w:after="160" w:line="240" w:lineRule="exact"/>
      <w:jc w:val="left"/>
    </w:pPr>
  </w:style>
  <w:style w:type="paragraph" w:customStyle="1" w:styleId="284">
    <w:name w:val="12v"/>
    <w:basedOn w:val="1"/>
    <w:qFormat/>
    <w:uiPriority w:val="0"/>
    <w:pPr>
      <w:widowControl/>
      <w:spacing w:before="100" w:beforeAutospacing="1" w:after="100" w:afterAutospacing="1"/>
      <w:jc w:val="left"/>
    </w:pPr>
    <w:rPr>
      <w:rFonts w:hint="eastAsia" w:hAnsi="宋体"/>
      <w:sz w:val="24"/>
    </w:rPr>
  </w:style>
  <w:style w:type="paragraph" w:customStyle="1" w:styleId="28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86">
    <w:name w:val="font8"/>
    <w:basedOn w:val="1"/>
    <w:qFormat/>
    <w:uiPriority w:val="0"/>
    <w:pPr>
      <w:widowControl/>
      <w:spacing w:before="100" w:beforeAutospacing="1" w:after="100" w:afterAutospacing="1"/>
      <w:jc w:val="left"/>
    </w:pPr>
    <w:rPr>
      <w:rFonts w:hint="eastAsia"/>
      <w:color w:val="000000"/>
      <w:sz w:val="18"/>
    </w:rPr>
  </w:style>
  <w:style w:type="paragraph" w:customStyle="1" w:styleId="287">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288">
    <w:name w:val="段"/>
    <w:link w:val="46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9">
    <w:name w:val="标题 62"/>
    <w:basedOn w:val="1"/>
    <w:next w:val="238"/>
    <w:qFormat/>
    <w:uiPriority w:val="0"/>
    <w:pPr>
      <w:keepNext/>
      <w:tabs>
        <w:tab w:val="left" w:pos="1152"/>
      </w:tabs>
      <w:spacing w:before="240" w:after="64" w:line="320" w:lineRule="auto"/>
      <w:outlineLvl w:val="5"/>
    </w:pPr>
    <w:rPr>
      <w:rFonts w:hint="eastAsia" w:ascii="Arial" w:hAnsi="Arial" w:eastAsia="黑体"/>
      <w:b/>
      <w:sz w:val="24"/>
    </w:rPr>
  </w:style>
  <w:style w:type="paragraph" w:customStyle="1" w:styleId="290">
    <w:name w:val="修订1"/>
    <w:semiHidden/>
    <w:qFormat/>
    <w:uiPriority w:val="99"/>
    <w:rPr>
      <w:rFonts w:ascii="Times New Roman" w:hAnsi="Times New Roman" w:eastAsia="宋体" w:cs="Times New Roman"/>
      <w:kern w:val="2"/>
      <w:sz w:val="21"/>
      <w:lang w:val="en-US" w:eastAsia="zh-CN" w:bidi="ar-SA"/>
    </w:rPr>
  </w:style>
  <w:style w:type="paragraph" w:customStyle="1" w:styleId="291">
    <w:name w:val="_Style 3"/>
    <w:basedOn w:val="2"/>
    <w:next w:val="1"/>
    <w:qFormat/>
    <w:uiPriority w:val="39"/>
    <w:pPr>
      <w:keepLines/>
      <w:tabs>
        <w:tab w:val="clear" w:pos="885"/>
      </w:tabs>
      <w:spacing w:line="259" w:lineRule="auto"/>
      <w:ind w:left="0" w:firstLine="0"/>
      <w:jc w:val="left"/>
      <w:outlineLvl w:val="9"/>
    </w:pPr>
    <w:rPr>
      <w:rFonts w:ascii="Calibri Light" w:hAnsi="Calibri Light" w:eastAsia="宋体"/>
      <w:color w:val="2E74B5"/>
      <w:kern w:val="0"/>
      <w:sz w:val="32"/>
      <w:szCs w:val="32"/>
    </w:rPr>
  </w:style>
  <w:style w:type="paragraph" w:customStyle="1" w:styleId="29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Arial" w:hAnsi="Arial"/>
      <w:color w:val="000000"/>
      <w:sz w:val="18"/>
    </w:rPr>
  </w:style>
  <w:style w:type="paragraph" w:customStyle="1" w:styleId="293">
    <w:name w:val="xl70"/>
    <w:basedOn w:val="1"/>
    <w:qFormat/>
    <w:uiPriority w:val="0"/>
    <w:pPr>
      <w:widowControl/>
      <w:pBdr>
        <w:bottom w:val="single" w:color="auto" w:sz="8" w:space="0"/>
        <w:right w:val="single" w:color="auto" w:sz="8" w:space="0"/>
      </w:pBdr>
      <w:spacing w:before="100" w:beforeAutospacing="1" w:after="100" w:afterAutospacing="1"/>
      <w:textAlignment w:val="center"/>
    </w:pPr>
    <w:rPr>
      <w:rFonts w:hint="eastAsia" w:ascii="宋体" w:hAnsi="宋体"/>
    </w:rPr>
  </w:style>
  <w:style w:type="paragraph" w:customStyle="1" w:styleId="294">
    <w:name w:val="_Style 2"/>
    <w:basedOn w:val="1"/>
    <w:qFormat/>
    <w:uiPriority w:val="0"/>
    <w:rPr>
      <w:szCs w:val="24"/>
    </w:rPr>
  </w:style>
  <w:style w:type="paragraph" w:customStyle="1" w:styleId="295">
    <w:name w:val="样式1－1"/>
    <w:basedOn w:val="1"/>
    <w:qFormat/>
    <w:uiPriority w:val="0"/>
    <w:pPr>
      <w:tabs>
        <w:tab w:val="left" w:pos="560"/>
        <w:tab w:val="center" w:pos="8400"/>
      </w:tabs>
      <w:spacing w:line="360" w:lineRule="atLeast"/>
      <w:textAlignment w:val="baseline"/>
    </w:pPr>
    <w:rPr>
      <w:rFonts w:hint="eastAsia"/>
      <w:sz w:val="28"/>
    </w:rPr>
  </w:style>
  <w:style w:type="paragraph" w:customStyle="1" w:styleId="296">
    <w:name w:val="Char Char17 Char Char"/>
    <w:basedOn w:val="20"/>
    <w:qFormat/>
    <w:uiPriority w:val="0"/>
    <w:pPr>
      <w:widowControl/>
      <w:jc w:val="left"/>
    </w:pPr>
  </w:style>
  <w:style w:type="paragraph" w:customStyle="1" w:styleId="297">
    <w:name w:val="Char Char Char Char Char Char Char1"/>
    <w:basedOn w:val="1"/>
    <w:qFormat/>
    <w:uiPriority w:val="0"/>
    <w:rPr>
      <w:rFonts w:hint="eastAsia" w:ascii="仿宋_GB2312" w:eastAsia="仿宋_GB2312"/>
      <w:b/>
      <w:sz w:val="32"/>
    </w:rPr>
  </w:style>
  <w:style w:type="paragraph" w:customStyle="1" w:styleId="298">
    <w:name w:val="样式 标题 2标题 1.1编号标题2 + 段前: 1 行 段后: 1 行"/>
    <w:basedOn w:val="299"/>
    <w:qFormat/>
    <w:uiPriority w:val="0"/>
    <w:pPr>
      <w:spacing w:beforeLines="100" w:afterLines="100" w:line="360" w:lineRule="auto"/>
    </w:pPr>
    <w:rPr>
      <w:rFonts w:eastAsia="黑体"/>
      <w:b w:val="0"/>
    </w:rPr>
  </w:style>
  <w:style w:type="paragraph" w:customStyle="1" w:styleId="299">
    <w:name w:val="标题 22"/>
    <w:basedOn w:val="1"/>
    <w:next w:val="238"/>
    <w:qFormat/>
    <w:uiPriority w:val="0"/>
    <w:pPr>
      <w:spacing w:before="240" w:line="300" w:lineRule="auto"/>
      <w:outlineLvl w:val="1"/>
    </w:pPr>
    <w:rPr>
      <w:rFonts w:hint="eastAsia" w:ascii="宋体" w:hAnsi="宋体"/>
      <w:b/>
      <w:snapToGrid w:val="0"/>
      <w:kern w:val="0"/>
      <w:sz w:val="28"/>
    </w:rPr>
  </w:style>
  <w:style w:type="paragraph" w:customStyle="1" w:styleId="300">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color w:val="000000"/>
      <w:sz w:val="18"/>
    </w:rPr>
  </w:style>
  <w:style w:type="paragraph" w:customStyle="1" w:styleId="301">
    <w:name w:val="普通(网站)2"/>
    <w:basedOn w:val="1"/>
    <w:qFormat/>
    <w:uiPriority w:val="0"/>
    <w:pPr>
      <w:widowControl/>
      <w:spacing w:before="100" w:beforeAutospacing="1" w:after="100" w:afterAutospacing="1"/>
      <w:jc w:val="left"/>
    </w:pPr>
    <w:rPr>
      <w:rFonts w:hint="eastAsia" w:hAnsi="宋体"/>
      <w:sz w:val="24"/>
    </w:rPr>
  </w:style>
  <w:style w:type="paragraph" w:customStyle="1" w:styleId="302">
    <w:name w:val="p0"/>
    <w:basedOn w:val="1"/>
    <w:link w:val="303"/>
    <w:qFormat/>
    <w:uiPriority w:val="0"/>
    <w:pPr>
      <w:widowControl/>
      <w:spacing w:before="100" w:beforeAutospacing="1" w:after="100" w:afterAutospacing="1"/>
      <w:jc w:val="left"/>
    </w:pPr>
    <w:rPr>
      <w:rFonts w:hint="eastAsia" w:ascii="宋体" w:hAnsi="宋体"/>
      <w:sz w:val="24"/>
    </w:rPr>
  </w:style>
  <w:style w:type="character" w:customStyle="1" w:styleId="303">
    <w:name w:val="p0 Char"/>
    <w:link w:val="302"/>
    <w:qFormat/>
    <w:uiPriority w:val="0"/>
    <w:rPr>
      <w:rFonts w:ascii="宋体" w:hAnsi="宋体"/>
      <w:kern w:val="2"/>
      <w:sz w:val="24"/>
    </w:rPr>
  </w:style>
  <w:style w:type="paragraph" w:customStyle="1" w:styleId="304">
    <w:name w:val="文档结构图1"/>
    <w:basedOn w:val="1"/>
    <w:qFormat/>
    <w:uiPriority w:val="0"/>
    <w:pPr>
      <w:shd w:val="clear" w:color="auto" w:fill="000080"/>
    </w:pPr>
    <w:rPr>
      <w:szCs w:val="24"/>
    </w:rPr>
  </w:style>
  <w:style w:type="paragraph" w:customStyle="1" w:styleId="305">
    <w:name w:val="Char"/>
    <w:basedOn w:val="1"/>
    <w:qFormat/>
    <w:uiPriority w:val="0"/>
    <w:rPr>
      <w:sz w:val="24"/>
    </w:rPr>
  </w:style>
  <w:style w:type="paragraph" w:customStyle="1" w:styleId="306">
    <w:name w:val="样式 行距: 1.5 倍行距"/>
    <w:basedOn w:val="1"/>
    <w:qFormat/>
    <w:uiPriority w:val="0"/>
    <w:pPr>
      <w:spacing w:line="360" w:lineRule="auto"/>
    </w:pPr>
    <w:rPr>
      <w:rFonts w:cs="宋体"/>
    </w:rPr>
  </w:style>
  <w:style w:type="paragraph" w:customStyle="1" w:styleId="307">
    <w:name w:val="xl7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308">
    <w:name w:val="xl50"/>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0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10">
    <w:name w:val="Char Char Char Char"/>
    <w:basedOn w:val="1"/>
    <w:qFormat/>
    <w:uiPriority w:val="0"/>
  </w:style>
  <w:style w:type="paragraph" w:customStyle="1" w:styleId="311">
    <w:name w:val="末级"/>
    <w:basedOn w:val="1"/>
    <w:qFormat/>
    <w:uiPriority w:val="0"/>
    <w:pPr>
      <w:tabs>
        <w:tab w:val="left" w:pos="1260"/>
      </w:tabs>
    </w:pPr>
    <w:rPr>
      <w:rFonts w:hint="eastAsia"/>
      <w:sz w:val="24"/>
    </w:rPr>
  </w:style>
  <w:style w:type="paragraph" w:customStyle="1" w:styleId="312">
    <w:name w:val="列出段落3"/>
    <w:basedOn w:val="1"/>
    <w:unhideWhenUsed/>
    <w:qFormat/>
    <w:uiPriority w:val="99"/>
    <w:pPr>
      <w:ind w:firstLine="420" w:firstLineChars="200"/>
    </w:pPr>
    <w:rPr>
      <w:rFonts w:ascii="Calibri" w:hAnsi="Calibri"/>
      <w:szCs w:val="22"/>
    </w:rPr>
  </w:style>
  <w:style w:type="paragraph" w:customStyle="1" w:styleId="313">
    <w:name w:val="xl67"/>
    <w:basedOn w:val="1"/>
    <w:qFormat/>
    <w:uiPriority w:val="0"/>
    <w:pPr>
      <w:widowControl/>
      <w:pBdr>
        <w:right w:val="single" w:color="auto" w:sz="8" w:space="0"/>
      </w:pBdr>
      <w:spacing w:before="100" w:beforeAutospacing="1" w:after="100" w:afterAutospacing="1"/>
      <w:jc w:val="center"/>
      <w:textAlignment w:val="center"/>
    </w:pPr>
    <w:rPr>
      <w:rFonts w:hint="eastAsia" w:ascii="宋体" w:hAnsi="宋体"/>
    </w:rPr>
  </w:style>
  <w:style w:type="paragraph" w:customStyle="1" w:styleId="314">
    <w:name w:val="列出段落11"/>
    <w:basedOn w:val="1"/>
    <w:qFormat/>
    <w:uiPriority w:val="34"/>
    <w:pPr>
      <w:ind w:firstLine="420" w:firstLineChars="200"/>
    </w:pPr>
    <w:rPr>
      <w:rFonts w:ascii="Calibri" w:hAnsi="Calibri" w:cs="宋体"/>
      <w:szCs w:val="21"/>
    </w:rPr>
  </w:style>
  <w:style w:type="paragraph" w:customStyle="1" w:styleId="315">
    <w:name w:val="正文文本缩进 22"/>
    <w:basedOn w:val="1"/>
    <w:qFormat/>
    <w:uiPriority w:val="0"/>
    <w:pPr>
      <w:ind w:left="1021"/>
    </w:pPr>
    <w:rPr>
      <w:rFonts w:hint="eastAsia" w:ascii="宋体"/>
      <w:color w:val="000000"/>
      <w:kern w:val="0"/>
    </w:rPr>
  </w:style>
  <w:style w:type="paragraph" w:customStyle="1" w:styleId="316">
    <w:name w:val="列出段落21"/>
    <w:basedOn w:val="1"/>
    <w:unhideWhenUsed/>
    <w:qFormat/>
    <w:uiPriority w:val="99"/>
    <w:pPr>
      <w:ind w:firstLine="420" w:firstLineChars="200"/>
    </w:pPr>
    <w:rPr>
      <w:rFonts w:ascii="Calibri" w:hAnsi="Calibri"/>
      <w:szCs w:val="22"/>
    </w:rPr>
  </w:style>
  <w:style w:type="paragraph" w:customStyle="1" w:styleId="317">
    <w:name w:val="5正文"/>
    <w:qFormat/>
    <w:uiPriority w:val="0"/>
    <w:pPr>
      <w:widowControl w:val="0"/>
      <w:adjustRightInd w:val="0"/>
      <w:snapToGrid w:val="0"/>
      <w:spacing w:line="500" w:lineRule="exact"/>
      <w:ind w:firstLine="200" w:firstLineChars="200"/>
    </w:pPr>
    <w:rPr>
      <w:rFonts w:ascii="宋体" w:hAnsi="Times New Roman" w:eastAsia="宋体" w:cs="Times New Roman"/>
      <w:sz w:val="24"/>
      <w:szCs w:val="24"/>
      <w:lang w:val="en-US" w:eastAsia="zh-CN" w:bidi="ar-SA"/>
    </w:rPr>
  </w:style>
  <w:style w:type="paragraph" w:customStyle="1" w:styleId="318">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19">
    <w:name w:val="Char2"/>
    <w:basedOn w:val="1"/>
    <w:qFormat/>
    <w:uiPriority w:val="0"/>
    <w:rPr>
      <w:rFonts w:hint="eastAsia" w:ascii="仿宋_GB2312" w:eastAsia="仿宋_GB2312"/>
      <w:b/>
      <w:sz w:val="32"/>
    </w:rPr>
  </w:style>
  <w:style w:type="paragraph" w:customStyle="1" w:styleId="320">
    <w:name w:val="标题 52"/>
    <w:basedOn w:val="1"/>
    <w:next w:val="238"/>
    <w:qFormat/>
    <w:uiPriority w:val="0"/>
    <w:pPr>
      <w:keepNext/>
      <w:tabs>
        <w:tab w:val="left" w:pos="1008"/>
      </w:tabs>
      <w:spacing w:before="280" w:after="290" w:line="376" w:lineRule="auto"/>
      <w:outlineLvl w:val="4"/>
    </w:pPr>
    <w:rPr>
      <w:b/>
      <w:sz w:val="24"/>
    </w:rPr>
  </w:style>
  <w:style w:type="paragraph" w:customStyle="1" w:styleId="321">
    <w:name w:val="xl39"/>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22">
    <w:name w:val="普通(网站)1"/>
    <w:basedOn w:val="1"/>
    <w:qFormat/>
    <w:uiPriority w:val="0"/>
    <w:pPr>
      <w:widowControl/>
      <w:jc w:val="left"/>
    </w:pPr>
    <w:rPr>
      <w:rFonts w:hint="eastAsia" w:ascii="宋体" w:hAnsi="宋体"/>
      <w:sz w:val="24"/>
      <w:szCs w:val="24"/>
    </w:rPr>
  </w:style>
  <w:style w:type="paragraph" w:customStyle="1" w:styleId="323">
    <w:name w:val="xl66"/>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24">
    <w:name w:val="列出段落2"/>
    <w:basedOn w:val="1"/>
    <w:qFormat/>
    <w:uiPriority w:val="0"/>
    <w:pPr>
      <w:ind w:firstLine="420" w:firstLineChars="200"/>
    </w:pPr>
    <w:rPr>
      <w:szCs w:val="24"/>
    </w:rPr>
  </w:style>
  <w:style w:type="paragraph" w:customStyle="1" w:styleId="325">
    <w:name w:val="列出段落4"/>
    <w:basedOn w:val="1"/>
    <w:qFormat/>
    <w:uiPriority w:val="0"/>
    <w:pPr>
      <w:ind w:firstLine="420" w:firstLineChars="200"/>
    </w:pPr>
    <w:rPr>
      <w:rFonts w:hint="eastAsia"/>
    </w:rPr>
  </w:style>
  <w:style w:type="paragraph" w:customStyle="1" w:styleId="326">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27">
    <w:name w:val="xl52"/>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28">
    <w:name w:val="TOC 标题1"/>
    <w:basedOn w:val="2"/>
    <w:next w:val="1"/>
    <w:qFormat/>
    <w:uiPriority w:val="39"/>
    <w:pPr>
      <w:keepLines/>
      <w:widowControl w:val="0"/>
      <w:tabs>
        <w:tab w:val="clear" w:pos="885"/>
      </w:tabs>
      <w:spacing w:before="340" w:after="330" w:line="578" w:lineRule="auto"/>
      <w:ind w:left="0" w:firstLine="0"/>
      <w:outlineLvl w:val="9"/>
    </w:pPr>
    <w:rPr>
      <w:rFonts w:ascii="Times New Roman" w:eastAsia="宋体"/>
      <w:bCs/>
      <w:kern w:val="44"/>
      <w:sz w:val="44"/>
      <w:szCs w:val="44"/>
    </w:rPr>
  </w:style>
  <w:style w:type="paragraph" w:customStyle="1" w:styleId="329">
    <w:name w:val="TOC 标题11"/>
    <w:basedOn w:val="2"/>
    <w:next w:val="1"/>
    <w:qFormat/>
    <w:uiPriority w:val="0"/>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30">
    <w:name w:val="font5"/>
    <w:basedOn w:val="1"/>
    <w:qFormat/>
    <w:uiPriority w:val="0"/>
    <w:pPr>
      <w:widowControl/>
      <w:spacing w:before="100" w:beforeAutospacing="1" w:after="100" w:afterAutospacing="1"/>
      <w:jc w:val="left"/>
    </w:pPr>
    <w:rPr>
      <w:rFonts w:hint="eastAsia" w:ascii="宋体" w:hAnsi="宋体"/>
      <w:sz w:val="18"/>
    </w:rPr>
  </w:style>
  <w:style w:type="paragraph" w:customStyle="1" w:styleId="331">
    <w:name w:val="font7"/>
    <w:basedOn w:val="1"/>
    <w:qFormat/>
    <w:uiPriority w:val="0"/>
    <w:pPr>
      <w:widowControl/>
      <w:spacing w:before="100" w:beforeAutospacing="1" w:after="100" w:afterAutospacing="1"/>
      <w:jc w:val="left"/>
    </w:pPr>
    <w:rPr>
      <w:rFonts w:hint="eastAsia" w:ascii="宋体" w:hAnsi="宋体"/>
      <w:color w:val="000000"/>
      <w:sz w:val="20"/>
    </w:rPr>
  </w:style>
  <w:style w:type="paragraph" w:customStyle="1" w:styleId="33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3">
    <w:name w:val="font6"/>
    <w:basedOn w:val="1"/>
    <w:qFormat/>
    <w:uiPriority w:val="0"/>
    <w:pPr>
      <w:widowControl/>
      <w:spacing w:before="100" w:beforeAutospacing="1" w:after="100" w:afterAutospacing="1"/>
      <w:jc w:val="left"/>
    </w:pPr>
    <w:rPr>
      <w:rFonts w:hint="eastAsia" w:ascii="宋体" w:hAnsi="宋体"/>
      <w:color w:val="000000"/>
      <w:sz w:val="18"/>
    </w:rPr>
  </w:style>
  <w:style w:type="paragraph" w:customStyle="1" w:styleId="334">
    <w:name w:val="TOC 标题12"/>
    <w:basedOn w:val="2"/>
    <w:next w:val="1"/>
    <w:qFormat/>
    <w:uiPriority w:val="3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35">
    <w:name w:val="普通文字 Char"/>
    <w:basedOn w:val="1"/>
    <w:next w:val="33"/>
    <w:qFormat/>
    <w:uiPriority w:val="0"/>
    <w:rPr>
      <w:rFonts w:hint="eastAsia" w:hAnsi="Courier New"/>
    </w:rPr>
  </w:style>
  <w:style w:type="paragraph" w:customStyle="1" w:styleId="33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7">
    <w:name w:val="Char11"/>
    <w:basedOn w:val="1"/>
    <w:qFormat/>
    <w:uiPriority w:val="99"/>
    <w:rPr>
      <w:rFonts w:hint="eastAsia" w:ascii="仿宋_GB2312" w:eastAsia="仿宋_GB2312"/>
      <w:b/>
      <w:sz w:val="32"/>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39">
    <w:name w:val="样式 标题 3Char标题 3 Char + 左"/>
    <w:basedOn w:val="237"/>
    <w:qFormat/>
    <w:uiPriority w:val="0"/>
    <w:pPr>
      <w:tabs>
        <w:tab w:val="left" w:pos="1200"/>
      </w:tabs>
      <w:spacing w:before="0"/>
      <w:jc w:val="left"/>
    </w:pPr>
    <w:rPr>
      <w:rFonts w:ascii="Arial" w:hAnsi="Arial"/>
      <w:color w:val="000000"/>
      <w:kern w:val="2"/>
    </w:rPr>
  </w:style>
  <w:style w:type="paragraph" w:customStyle="1" w:styleId="340">
    <w:name w:val="_Style 73"/>
    <w:basedOn w:val="1"/>
    <w:semiHidden/>
    <w:qFormat/>
    <w:uiPriority w:val="0"/>
    <w:pPr>
      <w:adjustRightInd w:val="0"/>
      <w:spacing w:line="360" w:lineRule="auto"/>
    </w:pPr>
    <w:rPr>
      <w:sz w:val="24"/>
      <w:szCs w:val="24"/>
    </w:rPr>
  </w:style>
  <w:style w:type="paragraph" w:customStyle="1" w:styleId="341">
    <w:name w:val="standard"/>
    <w:basedOn w:val="1"/>
    <w:qFormat/>
    <w:uiPriority w:val="0"/>
    <w:pPr>
      <w:widowControl/>
      <w:spacing w:before="100" w:after="100"/>
      <w:jc w:val="left"/>
    </w:pPr>
    <w:rPr>
      <w:rFonts w:ascii="Arial Unicode MS" w:hAnsi="Arial Unicode MS" w:eastAsia="Arial Unicode MS"/>
      <w:kern w:val="0"/>
      <w:sz w:val="24"/>
    </w:rPr>
  </w:style>
  <w:style w:type="paragraph" w:customStyle="1" w:styleId="342">
    <w:name w:val="xl73"/>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343">
    <w:name w:val="Char Char Char1 Char Char Char Char Char Char Char Char Char Char Char Char Char"/>
    <w:basedOn w:val="1"/>
    <w:qFormat/>
    <w:uiPriority w:val="0"/>
    <w:rPr>
      <w:rFonts w:hint="eastAsia" w:ascii="Tahoma" w:hAnsi="Tahoma"/>
      <w:sz w:val="24"/>
    </w:rPr>
  </w:style>
  <w:style w:type="paragraph" w:customStyle="1" w:styleId="344">
    <w:name w:val="xl7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45">
    <w:name w:val="Char Char Char1"/>
    <w:basedOn w:val="1"/>
    <w:qFormat/>
    <w:uiPriority w:val="99"/>
    <w:rPr>
      <w:rFonts w:hint="eastAsia" w:ascii="仿宋_GB2312" w:eastAsia="仿宋_GB2312"/>
      <w:b/>
      <w:sz w:val="32"/>
    </w:rPr>
  </w:style>
  <w:style w:type="paragraph" w:customStyle="1" w:styleId="346">
    <w:name w:val="表格文字"/>
    <w:basedOn w:val="1"/>
    <w:qFormat/>
    <w:uiPriority w:val="99"/>
    <w:rPr>
      <w:rFonts w:hint="eastAsia" w:ascii="Arial" w:hAnsi="Arial"/>
    </w:rPr>
  </w:style>
  <w:style w:type="paragraph" w:customStyle="1" w:styleId="347">
    <w:name w:val="font9"/>
    <w:basedOn w:val="1"/>
    <w:qFormat/>
    <w:uiPriority w:val="0"/>
    <w:pPr>
      <w:widowControl/>
      <w:spacing w:before="100" w:beforeAutospacing="1" w:after="100" w:afterAutospacing="1"/>
      <w:jc w:val="left"/>
    </w:pPr>
    <w:rPr>
      <w:rFonts w:hint="eastAsia" w:ascii="Arial" w:hAnsi="Arial"/>
      <w:color w:val="000000"/>
      <w:sz w:val="18"/>
    </w:rPr>
  </w:style>
  <w:style w:type="paragraph" w:customStyle="1" w:styleId="348">
    <w:name w:val="索引标题1"/>
    <w:basedOn w:val="1"/>
    <w:next w:val="45"/>
    <w:qFormat/>
    <w:uiPriority w:val="0"/>
    <w:rPr>
      <w:rFonts w:hint="eastAsia"/>
    </w:rPr>
  </w:style>
  <w:style w:type="paragraph" w:customStyle="1" w:styleId="349">
    <w:name w:val="1"/>
    <w:basedOn w:val="1"/>
    <w:qFormat/>
    <w:uiPriority w:val="0"/>
    <w:pPr>
      <w:adjustRightInd w:val="0"/>
      <w:spacing w:line="360" w:lineRule="auto"/>
    </w:pPr>
    <w:rPr>
      <w:sz w:val="24"/>
      <w:szCs w:val="24"/>
    </w:rPr>
  </w:style>
  <w:style w:type="paragraph" w:customStyle="1" w:styleId="350">
    <w:name w:val="标题 72"/>
    <w:basedOn w:val="1"/>
    <w:next w:val="238"/>
    <w:qFormat/>
    <w:uiPriority w:val="0"/>
    <w:pPr>
      <w:keepNext/>
      <w:tabs>
        <w:tab w:val="left" w:pos="1296"/>
      </w:tabs>
      <w:spacing w:before="240" w:after="64" w:line="320" w:lineRule="auto"/>
      <w:outlineLvl w:val="6"/>
    </w:pPr>
    <w:rPr>
      <w:b/>
      <w:sz w:val="24"/>
    </w:rPr>
  </w:style>
  <w:style w:type="paragraph" w:customStyle="1" w:styleId="351">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52">
    <w:name w:val="_Style 31"/>
    <w:basedOn w:val="1"/>
    <w:qFormat/>
    <w:uiPriority w:val="0"/>
    <w:pPr>
      <w:ind w:firstLine="400"/>
    </w:pPr>
    <w:rPr>
      <w:sz w:val="24"/>
      <w:szCs w:val="24"/>
    </w:rPr>
  </w:style>
  <w:style w:type="paragraph" w:customStyle="1" w:styleId="353">
    <w:name w:val="正文文本缩进 32"/>
    <w:basedOn w:val="1"/>
    <w:qFormat/>
    <w:uiPriority w:val="0"/>
    <w:pPr>
      <w:ind w:left="851"/>
    </w:pPr>
    <w:rPr>
      <w:rFonts w:hint="eastAsia" w:ascii="宋体"/>
      <w:color w:val="000000"/>
      <w:kern w:val="0"/>
    </w:rPr>
  </w:style>
  <w:style w:type="paragraph" w:customStyle="1" w:styleId="35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55">
    <w:name w:val="Char Char Char Char Char Char Char Char Char Char Char Char Char Char Char Char"/>
    <w:basedOn w:val="1"/>
    <w:qFormat/>
    <w:uiPriority w:val="0"/>
  </w:style>
  <w:style w:type="paragraph" w:customStyle="1" w:styleId="356">
    <w:name w:val="纯文本1"/>
    <w:basedOn w:val="1"/>
    <w:qFormat/>
    <w:uiPriority w:val="0"/>
    <w:pPr>
      <w:adjustRightInd w:val="0"/>
      <w:spacing w:line="312" w:lineRule="atLeast"/>
      <w:textAlignment w:val="baseline"/>
    </w:pPr>
    <w:rPr>
      <w:rFonts w:ascii="宋体" w:hAnsi="Courier New"/>
      <w:kern w:val="0"/>
      <w:sz w:val="28"/>
    </w:rPr>
  </w:style>
  <w:style w:type="paragraph" w:customStyle="1" w:styleId="357">
    <w:name w:val="Char1 Char Char Char Char Char Char1 Char Char Char"/>
    <w:basedOn w:val="1"/>
    <w:qFormat/>
    <w:uiPriority w:val="0"/>
    <w:pPr>
      <w:ind w:firstLine="200" w:firstLineChars="200"/>
    </w:pPr>
    <w:rPr>
      <w:rFonts w:hint="eastAsia" w:hAnsi="宋体"/>
      <w:sz w:val="24"/>
    </w:rPr>
  </w:style>
  <w:style w:type="paragraph" w:customStyle="1" w:styleId="358">
    <w:name w:val="xl75"/>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59">
    <w:name w:val="章标题"/>
    <w:next w:val="288"/>
    <w:link w:val="463"/>
    <w:qFormat/>
    <w:uiPriority w:val="99"/>
    <w:pPr>
      <w:spacing w:beforeLines="50" w:afterLines="50"/>
      <w:jc w:val="both"/>
      <w:outlineLvl w:val="1"/>
    </w:pPr>
    <w:rPr>
      <w:rFonts w:ascii="黑体" w:hAnsi="Times New Roman" w:eastAsia="黑体" w:cs="Times New Roman"/>
      <w:sz w:val="21"/>
      <w:lang w:val="en-US" w:eastAsia="zh-CN" w:bidi="ar-SA"/>
    </w:rPr>
  </w:style>
  <w:style w:type="paragraph" w:customStyle="1" w:styleId="360">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宋体" w:hAnsi="宋体"/>
      <w:color w:val="000000"/>
      <w:sz w:val="20"/>
    </w:rPr>
  </w:style>
  <w:style w:type="paragraph" w:customStyle="1" w:styleId="361">
    <w:name w:val="正文缩进11"/>
    <w:basedOn w:val="1"/>
    <w:qFormat/>
    <w:uiPriority w:val="0"/>
    <w:pPr>
      <w:tabs>
        <w:tab w:val="left" w:pos="720"/>
      </w:tabs>
      <w:ind w:left="624" w:hanging="624"/>
      <w:textAlignment w:val="baseline"/>
    </w:pPr>
    <w:rPr>
      <w:rFonts w:hint="eastAsia" w:ascii="宋体"/>
      <w:szCs w:val="22"/>
    </w:rPr>
  </w:style>
  <w:style w:type="paragraph" w:customStyle="1" w:styleId="362">
    <w:name w:val="右侧正文"/>
    <w:basedOn w:val="1"/>
    <w:qFormat/>
    <w:uiPriority w:val="0"/>
    <w:pPr>
      <w:spacing w:line="360" w:lineRule="auto"/>
    </w:pPr>
    <w:rPr>
      <w:rFonts w:ascii="宋体" w:hAnsi="宋体"/>
      <w:sz w:val="24"/>
      <w:szCs w:val="28"/>
    </w:rPr>
  </w:style>
  <w:style w:type="paragraph" w:customStyle="1" w:styleId="363">
    <w:name w:val="xl42"/>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364">
    <w:name w:val="Char Char1 Char Char Char Char Char Char Char Char Char Char Char Char"/>
    <w:basedOn w:val="1"/>
    <w:semiHidden/>
    <w:qFormat/>
    <w:uiPriority w:val="0"/>
    <w:pPr>
      <w:adjustRightInd w:val="0"/>
      <w:spacing w:line="360" w:lineRule="auto"/>
    </w:pPr>
    <w:rPr>
      <w:kern w:val="0"/>
      <w:sz w:val="24"/>
    </w:rPr>
  </w:style>
  <w:style w:type="paragraph" w:customStyle="1" w:styleId="3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366">
    <w:name w:val="标题 35"/>
    <w:basedOn w:val="1"/>
    <w:qFormat/>
    <w:uiPriority w:val="1"/>
    <w:pPr>
      <w:ind w:left="237" w:right="102"/>
      <w:outlineLvl w:val="3"/>
    </w:pPr>
    <w:rPr>
      <w:rFonts w:ascii="宋体" w:hAnsi="宋体" w:cs="宋体"/>
      <w:kern w:val="0"/>
      <w:sz w:val="28"/>
      <w:szCs w:val="28"/>
      <w:lang w:eastAsia="en-US"/>
    </w:rPr>
  </w:style>
  <w:style w:type="paragraph" w:customStyle="1" w:styleId="367">
    <w:name w:val="修订2"/>
    <w:unhideWhenUsed/>
    <w:qFormat/>
    <w:uiPriority w:val="99"/>
    <w:rPr>
      <w:rFonts w:ascii="Times New Roman" w:hAnsi="Times New Roman" w:eastAsia="宋体" w:cs="Times New Roman"/>
      <w:kern w:val="2"/>
      <w:sz w:val="21"/>
      <w:lang w:val="en-US" w:eastAsia="zh-CN" w:bidi="ar-SA"/>
    </w:rPr>
  </w:style>
  <w:style w:type="table" w:customStyle="1" w:styleId="368">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369">
    <w:name w:val="Normal_1_4"/>
    <w:qFormat/>
    <w:uiPriority w:val="0"/>
    <w:rPr>
      <w:rFonts w:ascii="Times New Roman" w:hAnsi="Times New Roman" w:eastAsia="Times New Roman" w:cs="Times New Roman"/>
      <w:sz w:val="24"/>
      <w:szCs w:val="24"/>
      <w:lang w:val="en-US" w:eastAsia="zh-CN" w:bidi="ar-SA"/>
    </w:rPr>
  </w:style>
  <w:style w:type="paragraph" w:customStyle="1" w:styleId="370">
    <w:name w:val="Normal_1_5"/>
    <w:qFormat/>
    <w:uiPriority w:val="0"/>
    <w:rPr>
      <w:rFonts w:ascii="Times New Roman" w:hAnsi="Times New Roman" w:eastAsia="Times New Roman" w:cs="Times New Roman"/>
      <w:sz w:val="24"/>
      <w:szCs w:val="24"/>
      <w:lang w:val="en-US" w:eastAsia="zh-CN" w:bidi="ar-SA"/>
    </w:rPr>
  </w:style>
  <w:style w:type="paragraph" w:customStyle="1" w:styleId="371">
    <w:name w:val="Normal_0_2"/>
    <w:basedOn w:val="1"/>
    <w:qFormat/>
    <w:uiPriority w:val="0"/>
    <w:pPr>
      <w:widowControl/>
      <w:jc w:val="left"/>
    </w:pPr>
    <w:rPr>
      <w:rFonts w:eastAsia="Times New Roman"/>
      <w:kern w:val="0"/>
      <w:sz w:val="24"/>
      <w:szCs w:val="24"/>
    </w:rPr>
  </w:style>
  <w:style w:type="paragraph" w:customStyle="1" w:styleId="372">
    <w:name w:val="Normal_0_1"/>
    <w:basedOn w:val="1"/>
    <w:qFormat/>
    <w:uiPriority w:val="0"/>
    <w:pPr>
      <w:widowControl/>
      <w:jc w:val="left"/>
    </w:pPr>
    <w:rPr>
      <w:rFonts w:eastAsia="Times New Roman"/>
      <w:kern w:val="0"/>
      <w:sz w:val="24"/>
      <w:szCs w:val="24"/>
    </w:rPr>
  </w:style>
  <w:style w:type="character" w:customStyle="1" w:styleId="373">
    <w:name w:val="页脚 Char"/>
    <w:qFormat/>
    <w:uiPriority w:val="99"/>
    <w:rPr>
      <w:rFonts w:ascii="Times New Roman" w:hAnsi="Times New Roman" w:eastAsia="宋体" w:cs="Times New Roman"/>
      <w:sz w:val="18"/>
      <w:szCs w:val="20"/>
    </w:rPr>
  </w:style>
  <w:style w:type="paragraph" w:customStyle="1" w:styleId="374">
    <w:name w:val="~body text"/>
    <w:basedOn w:val="1"/>
    <w:qFormat/>
    <w:uiPriority w:val="0"/>
    <w:pPr>
      <w:widowControl/>
      <w:spacing w:before="240" w:after="60" w:line="360" w:lineRule="auto"/>
      <w:ind w:left="720" w:firstLine="200" w:firstLineChars="200"/>
      <w:jc w:val="left"/>
    </w:pPr>
    <w:rPr>
      <w:rFonts w:ascii="Arial" w:hAnsi="Arial" w:eastAsia="仿宋"/>
      <w:spacing w:val="-2"/>
      <w:kern w:val="28"/>
      <w:sz w:val="22"/>
      <w:lang w:val="en-GB" w:eastAsia="en-US"/>
    </w:rPr>
  </w:style>
  <w:style w:type="paragraph" w:customStyle="1" w:styleId="375">
    <w:name w:val="格式2"/>
    <w:basedOn w:val="4"/>
    <w:qFormat/>
    <w:uiPriority w:val="0"/>
    <w:pPr>
      <w:widowControl w:val="0"/>
      <w:autoSpaceDE w:val="0"/>
      <w:autoSpaceDN w:val="0"/>
      <w:adjustRightInd w:val="0"/>
      <w:spacing w:line="416" w:lineRule="atLeast"/>
      <w:jc w:val="both"/>
      <w:textAlignment w:val="baseline"/>
    </w:pPr>
    <w:rPr>
      <w:rFonts w:ascii="黑体" w:hAnsi="Times New Roman"/>
      <w:sz w:val="30"/>
    </w:rPr>
  </w:style>
  <w:style w:type="character" w:styleId="376">
    <w:name w:val="Placeholder Text"/>
    <w:semiHidden/>
    <w:qFormat/>
    <w:uiPriority w:val="99"/>
    <w:rPr>
      <w:color w:val="808080"/>
    </w:rPr>
  </w:style>
  <w:style w:type="paragraph" w:customStyle="1" w:styleId="377">
    <w:name w:val="msonormal"/>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378">
    <w:name w:val="网格型1"/>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9">
    <w:name w:val="font41"/>
    <w:basedOn w:val="70"/>
    <w:qFormat/>
    <w:uiPriority w:val="0"/>
    <w:rPr>
      <w:rFonts w:hint="eastAsia" w:ascii="宋体" w:hAnsi="宋体" w:eastAsia="宋体" w:cs="宋体"/>
      <w:color w:val="000000"/>
      <w:sz w:val="20"/>
      <w:szCs w:val="20"/>
      <w:u w:val="single"/>
    </w:rPr>
  </w:style>
  <w:style w:type="character" w:customStyle="1" w:styleId="380">
    <w:name w:val="批注文字 字符2"/>
    <w:link w:val="22"/>
    <w:qFormat/>
    <w:uiPriority w:val="99"/>
    <w:rPr>
      <w:rFonts w:ascii="Tahoma" w:hAnsi="Tahoma"/>
      <w:kern w:val="2"/>
      <w:sz w:val="21"/>
      <w:szCs w:val="24"/>
    </w:rPr>
  </w:style>
  <w:style w:type="character" w:customStyle="1" w:styleId="381">
    <w:name w:val="标题 Char2"/>
    <w:basedOn w:val="70"/>
    <w:qFormat/>
    <w:uiPriority w:val="0"/>
    <w:rPr>
      <w:rFonts w:ascii="Cambria" w:hAnsi="Cambria" w:eastAsia="宋体" w:cs="Times New Roman"/>
      <w:b/>
      <w:bCs/>
      <w:sz w:val="32"/>
      <w:szCs w:val="32"/>
    </w:rPr>
  </w:style>
  <w:style w:type="paragraph" w:customStyle="1" w:styleId="382">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3">
    <w:name w:val="附录标识"/>
    <w:basedOn w:val="1"/>
    <w:next w:val="288"/>
    <w:qFormat/>
    <w:uiPriority w:val="0"/>
    <w:pPr>
      <w:keepNext/>
      <w:widowControl/>
      <w:numPr>
        <w:ilvl w:val="0"/>
        <w:numId w:val="2"/>
      </w:numPr>
      <w:shd w:val="clear" w:color="FFFFFF" w:fill="FFFFFF"/>
      <w:tabs>
        <w:tab w:val="left" w:pos="360"/>
        <w:tab w:val="left" w:pos="6405"/>
      </w:tabs>
      <w:spacing w:before="640" w:after="280"/>
      <w:jc w:val="center"/>
      <w:outlineLvl w:val="0"/>
    </w:pPr>
    <w:rPr>
      <w:rFonts w:ascii="黑体" w:eastAsia="黑体"/>
      <w:kern w:val="0"/>
    </w:rPr>
  </w:style>
  <w:style w:type="character" w:customStyle="1" w:styleId="384">
    <w:name w:val="标题 3 字符"/>
    <w:basedOn w:val="70"/>
    <w:qFormat/>
    <w:uiPriority w:val="9"/>
    <w:rPr>
      <w:rFonts w:ascii="Calibri" w:hAnsi="Calibri" w:eastAsia="宋体" w:cs="Times New Roman"/>
      <w:b/>
      <w:bCs/>
      <w:sz w:val="32"/>
      <w:szCs w:val="32"/>
    </w:rPr>
  </w:style>
  <w:style w:type="character" w:customStyle="1" w:styleId="385">
    <w:name w:val="标题 4 字符"/>
    <w:basedOn w:val="70"/>
    <w:qFormat/>
    <w:uiPriority w:val="9"/>
    <w:rPr>
      <w:rFonts w:asciiTheme="majorHAnsi" w:hAnsiTheme="majorHAnsi" w:eastAsiaTheme="majorEastAsia" w:cstheme="majorBidi"/>
      <w:b/>
      <w:bCs/>
      <w:sz w:val="28"/>
      <w:szCs w:val="28"/>
    </w:rPr>
  </w:style>
  <w:style w:type="character" w:customStyle="1" w:styleId="386">
    <w:name w:val="标题 5 字符"/>
    <w:basedOn w:val="70"/>
    <w:qFormat/>
    <w:uiPriority w:val="9"/>
    <w:rPr>
      <w:rFonts w:ascii="Calibri" w:hAnsi="Calibri" w:eastAsia="宋体" w:cs="Times New Roman"/>
      <w:b/>
      <w:bCs/>
      <w:sz w:val="28"/>
      <w:szCs w:val="28"/>
    </w:rPr>
  </w:style>
  <w:style w:type="character" w:customStyle="1" w:styleId="387">
    <w:name w:val="标题 6 字符"/>
    <w:basedOn w:val="70"/>
    <w:qFormat/>
    <w:uiPriority w:val="9"/>
    <w:rPr>
      <w:rFonts w:asciiTheme="majorHAnsi" w:hAnsiTheme="majorHAnsi" w:eastAsiaTheme="majorEastAsia" w:cstheme="majorBidi"/>
      <w:b/>
      <w:bCs/>
      <w:sz w:val="24"/>
      <w:szCs w:val="24"/>
    </w:rPr>
  </w:style>
  <w:style w:type="character" w:customStyle="1" w:styleId="388">
    <w:name w:val="标题 7 字符"/>
    <w:basedOn w:val="70"/>
    <w:qFormat/>
    <w:uiPriority w:val="9"/>
    <w:rPr>
      <w:rFonts w:ascii="Calibri" w:hAnsi="Calibri" w:eastAsia="宋体" w:cs="Times New Roman"/>
      <w:b/>
      <w:bCs/>
      <w:sz w:val="24"/>
      <w:szCs w:val="24"/>
    </w:rPr>
  </w:style>
  <w:style w:type="character" w:customStyle="1" w:styleId="389">
    <w:name w:val="标题 8 字符"/>
    <w:basedOn w:val="70"/>
    <w:qFormat/>
    <w:uiPriority w:val="9"/>
    <w:rPr>
      <w:rFonts w:asciiTheme="majorHAnsi" w:hAnsiTheme="majorHAnsi" w:eastAsiaTheme="majorEastAsia" w:cstheme="majorBidi"/>
      <w:sz w:val="24"/>
      <w:szCs w:val="24"/>
    </w:rPr>
  </w:style>
  <w:style w:type="character" w:customStyle="1" w:styleId="390">
    <w:name w:val="标题 9 字符"/>
    <w:basedOn w:val="70"/>
    <w:qFormat/>
    <w:uiPriority w:val="9"/>
    <w:rPr>
      <w:rFonts w:asciiTheme="majorHAnsi" w:hAnsiTheme="majorHAnsi" w:eastAsiaTheme="majorEastAsia" w:cstheme="majorBidi"/>
      <w:szCs w:val="21"/>
    </w:rPr>
  </w:style>
  <w:style w:type="character" w:customStyle="1" w:styleId="391">
    <w:name w:val="标题 字符2"/>
    <w:qFormat/>
    <w:uiPriority w:val="0"/>
    <w:rPr>
      <w:rFonts w:ascii="Arial" w:hAnsi="Arial"/>
      <w:b/>
      <w:sz w:val="44"/>
    </w:rPr>
  </w:style>
  <w:style w:type="character" w:customStyle="1" w:styleId="392">
    <w:name w:val="标题 1 字符2"/>
    <w:qFormat/>
    <w:uiPriority w:val="9"/>
    <w:rPr>
      <w:rFonts w:ascii="宋体" w:hAnsi="宋体"/>
      <w:b/>
      <w:bCs/>
      <w:sz w:val="28"/>
      <w:szCs w:val="28"/>
      <w:shd w:val="clear" w:color="auto" w:fill="FFFFFF"/>
    </w:rPr>
  </w:style>
  <w:style w:type="character" w:customStyle="1" w:styleId="393">
    <w:name w:val="正文文本首行缩进 字符"/>
    <w:basedOn w:val="182"/>
    <w:qFormat/>
    <w:uiPriority w:val="0"/>
    <w:rPr>
      <w:rFonts w:ascii="Calibri" w:hAnsi="Calibri" w:eastAsia="宋体" w:cs="Times New Roman"/>
      <w:kern w:val="2"/>
      <w:sz w:val="21"/>
      <w:szCs w:val="21"/>
    </w:rPr>
  </w:style>
  <w:style w:type="character" w:customStyle="1" w:styleId="394">
    <w:name w:val="正文文本 字符2"/>
    <w:qFormat/>
    <w:uiPriority w:val="99"/>
    <w:rPr>
      <w:rFonts w:ascii="Times New Roman" w:hAnsi="Times New Roman"/>
    </w:rPr>
  </w:style>
  <w:style w:type="character" w:customStyle="1" w:styleId="395">
    <w:name w:val="标题 2 字符2"/>
    <w:qFormat/>
    <w:uiPriority w:val="9"/>
    <w:rPr>
      <w:rFonts w:ascii="宋体" w:hAnsi="宋体"/>
      <w:b/>
      <w:bCs/>
      <w:szCs w:val="21"/>
    </w:rPr>
  </w:style>
  <w:style w:type="character" w:customStyle="1" w:styleId="396">
    <w:name w:val="正文缩进 Char2"/>
    <w:qFormat/>
    <w:locked/>
    <w:uiPriority w:val="0"/>
    <w:rPr>
      <w:rFonts w:ascii="Times New Roman" w:hAnsi="Times New Roman" w:eastAsia="宋体" w:cs="Times New Roman"/>
      <w:szCs w:val="20"/>
    </w:rPr>
  </w:style>
  <w:style w:type="character" w:customStyle="1" w:styleId="397">
    <w:name w:val="注释标题 字符2"/>
    <w:basedOn w:val="70"/>
    <w:link w:val="15"/>
    <w:qFormat/>
    <w:uiPriority w:val="0"/>
  </w:style>
  <w:style w:type="character" w:customStyle="1" w:styleId="398">
    <w:name w:val="注释标题 字符"/>
    <w:basedOn w:val="70"/>
    <w:semiHidden/>
    <w:qFormat/>
    <w:uiPriority w:val="99"/>
    <w:rPr>
      <w:rFonts w:ascii="Calibri" w:hAnsi="Calibri" w:eastAsia="宋体" w:cs="Times New Roman"/>
    </w:rPr>
  </w:style>
  <w:style w:type="character" w:customStyle="1" w:styleId="399">
    <w:name w:val="题注 字符1"/>
    <w:link w:val="17"/>
    <w:qFormat/>
    <w:uiPriority w:val="0"/>
    <w:rPr>
      <w:rFonts w:ascii="Arial" w:hAnsi="Arial" w:eastAsia="黑体"/>
      <w:kern w:val="2"/>
    </w:rPr>
  </w:style>
  <w:style w:type="character" w:customStyle="1" w:styleId="400">
    <w:name w:val="文档结构图 字符"/>
    <w:basedOn w:val="70"/>
    <w:qFormat/>
    <w:uiPriority w:val="0"/>
    <w:rPr>
      <w:rFonts w:ascii="Microsoft YaHei UI" w:hAnsi="Calibri" w:eastAsia="Microsoft YaHei UI" w:cs="Times New Roman"/>
      <w:sz w:val="18"/>
      <w:szCs w:val="18"/>
    </w:rPr>
  </w:style>
  <w:style w:type="character" w:customStyle="1" w:styleId="401">
    <w:name w:val="批注文字 字符"/>
    <w:basedOn w:val="70"/>
    <w:qFormat/>
    <w:uiPriority w:val="99"/>
    <w:rPr>
      <w:rFonts w:ascii="Calibri" w:hAnsi="Calibri" w:eastAsia="宋体" w:cs="Times New Roman"/>
    </w:rPr>
  </w:style>
  <w:style w:type="character" w:customStyle="1" w:styleId="402">
    <w:name w:val="正文文本 3 字符"/>
    <w:basedOn w:val="70"/>
    <w:qFormat/>
    <w:uiPriority w:val="0"/>
    <w:rPr>
      <w:rFonts w:ascii="Calibri" w:hAnsi="Calibri" w:eastAsia="宋体" w:cs="Times New Roman"/>
      <w:sz w:val="16"/>
      <w:szCs w:val="16"/>
    </w:rPr>
  </w:style>
  <w:style w:type="character" w:customStyle="1" w:styleId="403">
    <w:name w:val="正文文本缩进 字符"/>
    <w:basedOn w:val="70"/>
    <w:qFormat/>
    <w:uiPriority w:val="0"/>
    <w:rPr>
      <w:rFonts w:ascii="Calibri" w:hAnsi="Calibri" w:eastAsia="宋体" w:cs="Times New Roman"/>
    </w:rPr>
  </w:style>
  <w:style w:type="character" w:customStyle="1" w:styleId="404">
    <w:name w:val="正文文本缩进 Char1"/>
    <w:qFormat/>
    <w:uiPriority w:val="0"/>
    <w:rPr>
      <w:rFonts w:ascii="Times New Roman" w:hAnsi="Times New Roman" w:eastAsia="宋体" w:cs="Times New Roman"/>
      <w:kern w:val="0"/>
      <w:sz w:val="28"/>
      <w:szCs w:val="20"/>
    </w:rPr>
  </w:style>
  <w:style w:type="character" w:customStyle="1" w:styleId="405">
    <w:name w:val="纯文本 字符"/>
    <w:basedOn w:val="70"/>
    <w:qFormat/>
    <w:uiPriority w:val="0"/>
    <w:rPr>
      <w:rFonts w:hAnsi="Courier New" w:cs="Courier New" w:asciiTheme="minorEastAsia"/>
    </w:rPr>
  </w:style>
  <w:style w:type="character" w:customStyle="1" w:styleId="406">
    <w:name w:val="日期 字符2"/>
    <w:qFormat/>
    <w:uiPriority w:val="0"/>
    <w:rPr>
      <w:rFonts w:ascii="Times New Roman" w:hAnsi="Times New Roman"/>
    </w:rPr>
  </w:style>
  <w:style w:type="character" w:customStyle="1" w:styleId="407">
    <w:name w:val="正文文本缩进 2 字符"/>
    <w:basedOn w:val="70"/>
    <w:qFormat/>
    <w:uiPriority w:val="0"/>
    <w:rPr>
      <w:rFonts w:ascii="Calibri" w:hAnsi="Calibri" w:eastAsia="宋体" w:cs="Times New Roman"/>
    </w:rPr>
  </w:style>
  <w:style w:type="character" w:customStyle="1" w:styleId="408">
    <w:name w:val="尾注文本 字符2"/>
    <w:basedOn w:val="70"/>
    <w:link w:val="38"/>
    <w:qFormat/>
    <w:uiPriority w:val="0"/>
  </w:style>
  <w:style w:type="character" w:customStyle="1" w:styleId="409">
    <w:name w:val="尾注文本 字符"/>
    <w:basedOn w:val="70"/>
    <w:qFormat/>
    <w:uiPriority w:val="99"/>
    <w:rPr>
      <w:rFonts w:ascii="Calibri" w:hAnsi="Calibri" w:eastAsia="宋体" w:cs="Times New Roman"/>
    </w:rPr>
  </w:style>
  <w:style w:type="character" w:customStyle="1" w:styleId="410">
    <w:name w:val="批注框文本 字符"/>
    <w:basedOn w:val="70"/>
    <w:qFormat/>
    <w:uiPriority w:val="99"/>
    <w:rPr>
      <w:rFonts w:ascii="Calibri" w:hAnsi="Calibri" w:eastAsia="宋体" w:cs="Times New Roman"/>
      <w:sz w:val="18"/>
      <w:szCs w:val="18"/>
    </w:rPr>
  </w:style>
  <w:style w:type="character" w:customStyle="1" w:styleId="411">
    <w:name w:val="页脚 字符2"/>
    <w:qFormat/>
    <w:uiPriority w:val="99"/>
    <w:rPr>
      <w:sz w:val="18"/>
      <w:szCs w:val="18"/>
    </w:rPr>
  </w:style>
  <w:style w:type="character" w:customStyle="1" w:styleId="412">
    <w:name w:val="页眉 字符2"/>
    <w:qFormat/>
    <w:uiPriority w:val="99"/>
    <w:rPr>
      <w:sz w:val="18"/>
      <w:szCs w:val="18"/>
    </w:rPr>
  </w:style>
  <w:style w:type="character" w:customStyle="1" w:styleId="413">
    <w:name w:val="副标题 字符"/>
    <w:basedOn w:val="70"/>
    <w:qFormat/>
    <w:uiPriority w:val="11"/>
    <w:rPr>
      <w:b/>
      <w:bCs/>
      <w:kern w:val="28"/>
      <w:sz w:val="32"/>
      <w:szCs w:val="32"/>
    </w:rPr>
  </w:style>
  <w:style w:type="character" w:customStyle="1" w:styleId="414">
    <w:name w:val="脚注文本 字符"/>
    <w:basedOn w:val="70"/>
    <w:qFormat/>
    <w:uiPriority w:val="99"/>
    <w:rPr>
      <w:rFonts w:ascii="Calibri" w:hAnsi="Calibri" w:eastAsia="宋体" w:cs="Times New Roman"/>
      <w:sz w:val="18"/>
      <w:szCs w:val="18"/>
    </w:rPr>
  </w:style>
  <w:style w:type="character" w:customStyle="1" w:styleId="415">
    <w:name w:val="正文文本缩进 3 字符"/>
    <w:basedOn w:val="70"/>
    <w:qFormat/>
    <w:uiPriority w:val="0"/>
    <w:rPr>
      <w:rFonts w:ascii="Calibri" w:hAnsi="Calibri" w:eastAsia="宋体" w:cs="Times New Roman"/>
      <w:sz w:val="16"/>
      <w:szCs w:val="16"/>
    </w:rPr>
  </w:style>
  <w:style w:type="character" w:customStyle="1" w:styleId="416">
    <w:name w:val="正文文本 2 字符"/>
    <w:basedOn w:val="70"/>
    <w:qFormat/>
    <w:uiPriority w:val="0"/>
    <w:rPr>
      <w:rFonts w:ascii="Calibri" w:hAnsi="Calibri" w:eastAsia="宋体" w:cs="Times New Roman"/>
    </w:rPr>
  </w:style>
  <w:style w:type="character" w:customStyle="1" w:styleId="417">
    <w:name w:val="HTML 预设格式 字符2"/>
    <w:basedOn w:val="70"/>
    <w:link w:val="58"/>
    <w:qFormat/>
    <w:uiPriority w:val="0"/>
    <w:rPr>
      <w:rFonts w:ascii="宋体" w:hAnsi="宋体"/>
    </w:rPr>
  </w:style>
  <w:style w:type="character" w:customStyle="1" w:styleId="418">
    <w:name w:val="HTML 预设格式 字符"/>
    <w:basedOn w:val="70"/>
    <w:qFormat/>
    <w:uiPriority w:val="99"/>
    <w:rPr>
      <w:rFonts w:ascii="Courier New" w:hAnsi="Courier New" w:eastAsia="宋体" w:cs="Courier New"/>
      <w:sz w:val="20"/>
      <w:szCs w:val="20"/>
    </w:rPr>
  </w:style>
  <w:style w:type="character" w:customStyle="1" w:styleId="419">
    <w:name w:val="批注主题 字符"/>
    <w:basedOn w:val="401"/>
    <w:qFormat/>
    <w:uiPriority w:val="99"/>
    <w:rPr>
      <w:rFonts w:ascii="Calibri" w:hAnsi="Calibri" w:eastAsia="宋体" w:cs="Times New Roman"/>
      <w:b/>
      <w:bCs/>
    </w:rPr>
  </w:style>
  <w:style w:type="character" w:customStyle="1" w:styleId="420">
    <w:name w:val="正文文本首行缩进 2 字符"/>
    <w:basedOn w:val="403"/>
    <w:qFormat/>
    <w:uiPriority w:val="99"/>
    <w:rPr>
      <w:rFonts w:ascii="Calibri" w:hAnsi="Calibri" w:eastAsia="宋体" w:cs="Times New Roman"/>
    </w:rPr>
  </w:style>
  <w:style w:type="character" w:customStyle="1" w:styleId="421">
    <w:name w:val="样式 样式 样式 样式 标题 2标题 1.1第一层条第二层论文标题 1Para2Title1H2h22l2list + ch..... Char"/>
    <w:qFormat/>
    <w:uiPriority w:val="0"/>
    <w:rPr>
      <w:rFonts w:ascii="宋体" w:hAnsi="宋体"/>
      <w:b/>
      <w:color w:val="000000"/>
      <w:szCs w:val="28"/>
    </w:rPr>
  </w:style>
  <w:style w:type="character" w:customStyle="1" w:styleId="422">
    <w:name w:val="样式 标题 2标题 1.1第一层条第二层论文标题 1Para2Title1H2h22l2list + ch...1 Char"/>
    <w:qFormat/>
    <w:uiPriority w:val="0"/>
    <w:rPr>
      <w:rFonts w:ascii="Arial" w:hAnsi="Arial" w:eastAsia="宋体" w:cs="Times New Roman"/>
      <w:b/>
      <w:color w:val="000000"/>
      <w:kern w:val="0"/>
      <w:sz w:val="24"/>
      <w:szCs w:val="24"/>
    </w:rPr>
  </w:style>
  <w:style w:type="character" w:customStyle="1" w:styleId="423">
    <w:name w:val="样式 样式 标题 2标题 1.1第一层条第二层论文标题 1Para2Title1H2h22l2list + ch...1 + 右...1 Char"/>
    <w:qFormat/>
    <w:uiPriority w:val="0"/>
    <w:rPr>
      <w:rFonts w:ascii="Arial" w:hAnsi="Arial" w:eastAsia="宋体" w:cs="Times New Roman"/>
      <w:b/>
      <w:color w:val="000000"/>
      <w:kern w:val="0"/>
      <w:sz w:val="24"/>
      <w:szCs w:val="24"/>
    </w:rPr>
  </w:style>
  <w:style w:type="character" w:customStyle="1" w:styleId="424">
    <w:name w:val="样式 样式 样式 标题 2标题 1.1第一层条第二层论文标题 1Para2Title1H2h22l2list + ch...1 ... Char"/>
    <w:qFormat/>
    <w:uiPriority w:val="0"/>
    <w:rPr>
      <w:rFonts w:ascii="Arial" w:hAnsi="Arial" w:eastAsia="宋体" w:cs="Times New Roman"/>
      <w:b/>
      <w:color w:val="000000"/>
      <w:kern w:val="0"/>
      <w:sz w:val="28"/>
      <w:szCs w:val="28"/>
    </w:rPr>
  </w:style>
  <w:style w:type="character" w:customStyle="1" w:styleId="425">
    <w:name w:val="标题 3 Char1"/>
    <w:semiHidden/>
    <w:qFormat/>
    <w:uiPriority w:val="0"/>
    <w:rPr>
      <w:b/>
      <w:bCs/>
      <w:kern w:val="2"/>
      <w:sz w:val="32"/>
      <w:szCs w:val="32"/>
    </w:rPr>
  </w:style>
  <w:style w:type="character" w:customStyle="1" w:styleId="426">
    <w:name w:val="黎越波"/>
    <w:semiHidden/>
    <w:qFormat/>
    <w:uiPriority w:val="0"/>
    <w:rPr>
      <w:rFonts w:ascii="Arial" w:hAnsi="Arial" w:eastAsia="宋体" w:cs="Arial"/>
      <w:color w:val="auto"/>
      <w:kern w:val="2"/>
      <w:sz w:val="18"/>
      <w:szCs w:val="20"/>
      <w:lang w:val="en-US" w:eastAsia="zh-CN" w:bidi="ar-SA"/>
    </w:rPr>
  </w:style>
  <w:style w:type="character" w:customStyle="1" w:styleId="427">
    <w:name w:val="char2"/>
    <w:qFormat/>
    <w:uiPriority w:val="0"/>
    <w:rPr>
      <w:rFonts w:hint="eastAsia" w:ascii="仿宋_GB2312" w:eastAsia="仿宋_GB2312"/>
      <w:color w:val="000000"/>
      <w:kern w:val="2"/>
      <w:sz w:val="24"/>
      <w:szCs w:val="24"/>
      <w:lang w:val="en-US" w:eastAsia="zh-CN" w:bidi="ar-SA"/>
    </w:rPr>
  </w:style>
  <w:style w:type="character" w:customStyle="1" w:styleId="428">
    <w:name w:val="正文文本 2 字符1"/>
    <w:qFormat/>
    <w:uiPriority w:val="99"/>
    <w:rPr>
      <w:rFonts w:ascii="Times New Roman" w:hAnsi="Times New Roman" w:eastAsia="宋体" w:cs="Times New Roman"/>
      <w:kern w:val="0"/>
      <w:sz w:val="28"/>
      <w:szCs w:val="20"/>
    </w:rPr>
  </w:style>
  <w:style w:type="character" w:customStyle="1" w:styleId="429">
    <w:name w:val="标题 6 Char1"/>
    <w:semiHidden/>
    <w:qFormat/>
    <w:uiPriority w:val="0"/>
    <w:rPr>
      <w:rFonts w:ascii="Cambria" w:hAnsi="Cambria" w:eastAsia="宋体" w:cs="Times New Roman"/>
      <w:b/>
      <w:bCs/>
      <w:kern w:val="2"/>
      <w:sz w:val="24"/>
      <w:szCs w:val="24"/>
    </w:rPr>
  </w:style>
  <w:style w:type="character" w:customStyle="1" w:styleId="430">
    <w:name w:val="不明显参考1"/>
    <w:qFormat/>
    <w:uiPriority w:val="0"/>
    <w:rPr>
      <w:smallCaps/>
      <w:color w:val="C0504D"/>
      <w:u w:val="single"/>
    </w:rPr>
  </w:style>
  <w:style w:type="character" w:customStyle="1" w:styleId="431">
    <w:name w:val="样式 8 磅 加粗"/>
    <w:qFormat/>
    <w:uiPriority w:val="0"/>
    <w:rPr>
      <w:rFonts w:eastAsia="宋体"/>
      <w:bCs/>
      <w:sz w:val="21"/>
    </w:rPr>
  </w:style>
  <w:style w:type="character" w:customStyle="1" w:styleId="432">
    <w:name w:val="编号标题2 Char Char Char Char Char Char Char Char Char Char Ch"/>
    <w:qFormat/>
    <w:uiPriority w:val="0"/>
    <w:rPr>
      <w:rFonts w:ascii="Arial" w:hAnsi="Arial" w:eastAsia="黑体"/>
      <w:bCs/>
      <w:kern w:val="2"/>
      <w:sz w:val="21"/>
      <w:szCs w:val="32"/>
      <w:lang w:val="en-US" w:eastAsia="zh-CN" w:bidi="ar-SA"/>
    </w:rPr>
  </w:style>
  <w:style w:type="character" w:customStyle="1" w:styleId="433">
    <w:name w:val="明显参考1"/>
    <w:qFormat/>
    <w:uiPriority w:val="0"/>
    <w:rPr>
      <w:b/>
      <w:bCs/>
      <w:smallCaps/>
      <w:color w:val="C0504D"/>
      <w:spacing w:val="5"/>
      <w:u w:val="single"/>
    </w:rPr>
  </w:style>
  <w:style w:type="character" w:customStyle="1" w:styleId="434">
    <w:name w:val="high151"/>
    <w:qFormat/>
    <w:uiPriority w:val="0"/>
    <w:rPr>
      <w:spacing w:val="300"/>
      <w:sz w:val="18"/>
      <w:szCs w:val="18"/>
    </w:rPr>
  </w:style>
  <w:style w:type="character" w:customStyle="1" w:styleId="435">
    <w:name w:val="正文文本缩进 2 Char7"/>
    <w:semiHidden/>
    <w:qFormat/>
    <w:uiPriority w:val="99"/>
  </w:style>
  <w:style w:type="character" w:customStyle="1" w:styleId="436">
    <w:name w:val="正文文本 Char3"/>
    <w:qFormat/>
    <w:uiPriority w:val="99"/>
    <w:rPr>
      <w:kern w:val="2"/>
      <w:sz w:val="21"/>
      <w:szCs w:val="22"/>
    </w:rPr>
  </w:style>
  <w:style w:type="character" w:customStyle="1" w:styleId="437">
    <w:name w:val="HTML 预设格式 Char7"/>
    <w:semiHidden/>
    <w:qFormat/>
    <w:uiPriority w:val="99"/>
    <w:rPr>
      <w:rFonts w:hint="default" w:ascii="Courier New" w:hAnsi="Courier New" w:cs="Courier New"/>
      <w:sz w:val="20"/>
      <w:szCs w:val="20"/>
    </w:rPr>
  </w:style>
  <w:style w:type="character" w:customStyle="1" w:styleId="438">
    <w:name w:val="日期 Char6"/>
    <w:semiHidden/>
    <w:qFormat/>
    <w:uiPriority w:val="99"/>
    <w:rPr>
      <w:kern w:val="2"/>
      <w:sz w:val="21"/>
      <w:szCs w:val="22"/>
    </w:rPr>
  </w:style>
  <w:style w:type="character" w:customStyle="1" w:styleId="439">
    <w:name w:val="页眉 Char5"/>
    <w:semiHidden/>
    <w:qFormat/>
    <w:uiPriority w:val="99"/>
    <w:rPr>
      <w:kern w:val="2"/>
      <w:sz w:val="18"/>
      <w:szCs w:val="18"/>
    </w:rPr>
  </w:style>
  <w:style w:type="character" w:customStyle="1" w:styleId="440">
    <w:name w:val="批注框文本 Char7"/>
    <w:semiHidden/>
    <w:qFormat/>
    <w:uiPriority w:val="99"/>
    <w:rPr>
      <w:sz w:val="18"/>
      <w:szCs w:val="18"/>
    </w:rPr>
  </w:style>
  <w:style w:type="character" w:customStyle="1" w:styleId="441">
    <w:name w:val="正文文本缩进 3 Char7"/>
    <w:semiHidden/>
    <w:qFormat/>
    <w:uiPriority w:val="99"/>
    <w:rPr>
      <w:sz w:val="16"/>
      <w:szCs w:val="16"/>
    </w:rPr>
  </w:style>
  <w:style w:type="character" w:customStyle="1" w:styleId="442">
    <w:name w:val="Char Char42"/>
    <w:qFormat/>
    <w:uiPriority w:val="0"/>
    <w:rPr>
      <w:rFonts w:eastAsia="宋体"/>
      <w:kern w:val="2"/>
      <w:sz w:val="21"/>
      <w:szCs w:val="24"/>
      <w:lang w:val="en-US" w:eastAsia="zh-CN" w:bidi="ar-SA"/>
    </w:rPr>
  </w:style>
  <w:style w:type="character" w:customStyle="1" w:styleId="443">
    <w:name w:val="纯文本 Char3"/>
    <w:semiHidden/>
    <w:qFormat/>
    <w:uiPriority w:val="99"/>
    <w:rPr>
      <w:rFonts w:ascii="宋体" w:hAnsi="Courier New" w:eastAsia="宋体" w:cs="Courier New"/>
      <w:szCs w:val="21"/>
    </w:rPr>
  </w:style>
  <w:style w:type="character" w:customStyle="1" w:styleId="444">
    <w:name w:val="Char Char5"/>
    <w:qFormat/>
    <w:uiPriority w:val="0"/>
    <w:rPr>
      <w:rFonts w:ascii="Arial" w:hAnsi="Arial" w:eastAsia="宋体"/>
      <w:b/>
      <w:kern w:val="2"/>
      <w:sz w:val="44"/>
      <w:szCs w:val="24"/>
      <w:lang w:val="en-US" w:eastAsia="zh-CN" w:bidi="ar-SA"/>
    </w:rPr>
  </w:style>
  <w:style w:type="character" w:customStyle="1" w:styleId="445">
    <w:name w:val="标题 5 Char1"/>
    <w:semiHidden/>
    <w:qFormat/>
    <w:uiPriority w:val="0"/>
    <w:rPr>
      <w:b/>
      <w:bCs/>
      <w:kern w:val="2"/>
      <w:sz w:val="28"/>
      <w:szCs w:val="28"/>
    </w:rPr>
  </w:style>
  <w:style w:type="character" w:customStyle="1" w:styleId="446">
    <w:name w:val="Char Char34"/>
    <w:qFormat/>
    <w:uiPriority w:val="0"/>
    <w:rPr>
      <w:rFonts w:hint="eastAsia" w:ascii="宋体" w:hAnsi="宋体" w:eastAsia="宋体"/>
      <w:kern w:val="2"/>
      <w:sz w:val="21"/>
      <w:szCs w:val="24"/>
      <w:lang w:val="en-US" w:eastAsia="zh-CN" w:bidi="ar-SA"/>
    </w:rPr>
  </w:style>
  <w:style w:type="character" w:customStyle="1" w:styleId="447">
    <w:name w:val="标题 8 Char1"/>
    <w:semiHidden/>
    <w:qFormat/>
    <w:uiPriority w:val="0"/>
    <w:rPr>
      <w:rFonts w:ascii="Cambria" w:hAnsi="Cambria" w:eastAsia="宋体" w:cs="Times New Roman"/>
      <w:kern w:val="2"/>
      <w:sz w:val="24"/>
      <w:szCs w:val="24"/>
    </w:rPr>
  </w:style>
  <w:style w:type="character" w:customStyle="1" w:styleId="448">
    <w:name w:val="文档结构图 Char3"/>
    <w:qFormat/>
    <w:uiPriority w:val="99"/>
    <w:rPr>
      <w:rFonts w:ascii="宋体"/>
      <w:kern w:val="2"/>
      <w:sz w:val="18"/>
      <w:szCs w:val="18"/>
    </w:rPr>
  </w:style>
  <w:style w:type="character" w:customStyle="1" w:styleId="449">
    <w:name w:val="正文文本缩进 3 Char2"/>
    <w:semiHidden/>
    <w:qFormat/>
    <w:uiPriority w:val="99"/>
    <w:rPr>
      <w:sz w:val="16"/>
      <w:szCs w:val="16"/>
    </w:rPr>
  </w:style>
  <w:style w:type="character" w:customStyle="1" w:styleId="450">
    <w:name w:val="正文文本 3 Char1"/>
    <w:semiHidden/>
    <w:qFormat/>
    <w:uiPriority w:val="99"/>
    <w:rPr>
      <w:kern w:val="2"/>
      <w:sz w:val="16"/>
      <w:szCs w:val="16"/>
    </w:rPr>
  </w:style>
  <w:style w:type="character" w:customStyle="1" w:styleId="451">
    <w:name w:val="Char Char111"/>
    <w:qFormat/>
    <w:uiPriority w:val="99"/>
    <w:rPr>
      <w:rFonts w:hint="eastAsia" w:ascii="宋体" w:hAnsi="宋体" w:eastAsia="宋体"/>
    </w:rPr>
  </w:style>
  <w:style w:type="character" w:customStyle="1" w:styleId="452">
    <w:name w:val="正文文本缩进 Char2"/>
    <w:semiHidden/>
    <w:qFormat/>
    <w:uiPriority w:val="99"/>
  </w:style>
  <w:style w:type="character" w:customStyle="1" w:styleId="453">
    <w:name w:val="Char Char7"/>
    <w:qFormat/>
    <w:uiPriority w:val="99"/>
    <w:rPr>
      <w:rFonts w:hint="eastAsia" w:ascii="宋体" w:hAnsi="Times New Roman" w:eastAsia="宋体"/>
      <w:kern w:val="0"/>
      <w:sz w:val="24"/>
    </w:rPr>
  </w:style>
  <w:style w:type="character" w:customStyle="1" w:styleId="454">
    <w:name w:val="正文文本缩进 2 Char2"/>
    <w:semiHidden/>
    <w:qFormat/>
    <w:uiPriority w:val="99"/>
  </w:style>
  <w:style w:type="character" w:customStyle="1" w:styleId="455">
    <w:name w:val="页眉 Char2"/>
    <w:semiHidden/>
    <w:qFormat/>
    <w:uiPriority w:val="99"/>
    <w:rPr>
      <w:sz w:val="18"/>
      <w:szCs w:val="18"/>
    </w:rPr>
  </w:style>
  <w:style w:type="character" w:customStyle="1" w:styleId="456">
    <w:name w:val="批注框文本 Char4"/>
    <w:semiHidden/>
    <w:qFormat/>
    <w:uiPriority w:val="99"/>
    <w:rPr>
      <w:sz w:val="18"/>
      <w:szCs w:val="18"/>
    </w:rPr>
  </w:style>
  <w:style w:type="character" w:customStyle="1" w:styleId="457">
    <w:name w:val="正文文本缩进 3 Char4"/>
    <w:semiHidden/>
    <w:qFormat/>
    <w:uiPriority w:val="99"/>
    <w:rPr>
      <w:sz w:val="16"/>
      <w:szCs w:val="16"/>
    </w:rPr>
  </w:style>
  <w:style w:type="character" w:customStyle="1" w:styleId="458">
    <w:name w:val="正文文本 Char4"/>
    <w:semiHidden/>
    <w:qFormat/>
    <w:uiPriority w:val="99"/>
  </w:style>
  <w:style w:type="character" w:customStyle="1" w:styleId="459">
    <w:name w:val="日期 Char4"/>
    <w:semiHidden/>
    <w:qFormat/>
    <w:uiPriority w:val="99"/>
  </w:style>
  <w:style w:type="character" w:customStyle="1" w:styleId="460">
    <w:name w:val="正文文本 2 Char4"/>
    <w:semiHidden/>
    <w:qFormat/>
    <w:uiPriority w:val="99"/>
  </w:style>
  <w:style w:type="character" w:customStyle="1" w:styleId="461">
    <w:name w:val="正文文本缩进 Char4"/>
    <w:semiHidden/>
    <w:qFormat/>
    <w:uiPriority w:val="99"/>
  </w:style>
  <w:style w:type="character" w:customStyle="1" w:styleId="462">
    <w:name w:val="正文文本缩进 2 Char4"/>
    <w:semiHidden/>
    <w:qFormat/>
    <w:uiPriority w:val="99"/>
  </w:style>
  <w:style w:type="character" w:customStyle="1" w:styleId="463">
    <w:name w:val="章标题 Char"/>
    <w:link w:val="359"/>
    <w:qFormat/>
    <w:locked/>
    <w:uiPriority w:val="99"/>
    <w:rPr>
      <w:rFonts w:ascii="黑体" w:eastAsia="黑体"/>
      <w:sz w:val="21"/>
    </w:rPr>
  </w:style>
  <w:style w:type="character" w:customStyle="1" w:styleId="464">
    <w:name w:val="段 Char"/>
    <w:link w:val="288"/>
    <w:qFormat/>
    <w:locked/>
    <w:uiPriority w:val="0"/>
    <w:rPr>
      <w:rFonts w:ascii="宋体"/>
      <w:sz w:val="21"/>
    </w:rPr>
  </w:style>
  <w:style w:type="character" w:customStyle="1" w:styleId="465">
    <w:name w:val="Char Char51"/>
    <w:qFormat/>
    <w:uiPriority w:val="0"/>
    <w:rPr>
      <w:rFonts w:hint="default" w:ascii="Arial" w:hAnsi="Arial" w:eastAsia="宋体" w:cs="Arial"/>
      <w:b/>
      <w:kern w:val="2"/>
      <w:sz w:val="44"/>
      <w:szCs w:val="24"/>
      <w:lang w:val="en-US" w:eastAsia="zh-CN" w:bidi="ar-SA"/>
    </w:rPr>
  </w:style>
  <w:style w:type="character" w:customStyle="1" w:styleId="466">
    <w:name w:val="正文（首行缩进两字） + Arial Char Char Char Char Char Char Char Char Char Char Char Char Char Char Char Char Char Char Char Char Char Char Char Char Char Char Char"/>
    <w:qFormat/>
    <w:uiPriority w:val="0"/>
    <w:rPr>
      <w:rFonts w:ascii="Arial" w:hAnsi="Arial" w:eastAsia="宋体"/>
      <w:kern w:val="2"/>
      <w:sz w:val="24"/>
      <w:szCs w:val="24"/>
      <w:lang w:val="en-US" w:eastAsia="zh-CN" w:bidi="ar-SA"/>
    </w:rPr>
  </w:style>
  <w:style w:type="character" w:customStyle="1" w:styleId="467">
    <w:name w:val="detail_title1"/>
    <w:qFormat/>
    <w:uiPriority w:val="0"/>
    <w:rPr>
      <w:rFonts w:hint="default" w:ascii="ˎ̥" w:hAnsi="ˎ̥" w:eastAsia="宋体"/>
      <w:b/>
      <w:bCs/>
      <w:color w:val="00497B"/>
      <w:kern w:val="2"/>
      <w:sz w:val="24"/>
      <w:szCs w:val="24"/>
      <w:lang w:val="en-US" w:eastAsia="zh-CN" w:bidi="ar-SA"/>
    </w:rPr>
  </w:style>
  <w:style w:type="character" w:customStyle="1" w:styleId="468">
    <w:name w:val="标题 1 1 Char2"/>
    <w:qFormat/>
    <w:uiPriority w:val="0"/>
    <w:rPr>
      <w:rFonts w:ascii="宋体" w:hAnsi="宋体" w:eastAsia="宋体"/>
      <w:b/>
      <w:bCs/>
      <w:kern w:val="2"/>
      <w:sz w:val="36"/>
      <w:szCs w:val="36"/>
      <w:lang w:val="en-US" w:eastAsia="zh-CN" w:bidi="ar-SA"/>
    </w:rPr>
  </w:style>
  <w:style w:type="character" w:customStyle="1" w:styleId="469">
    <w:name w:val="正文文本缩进 Char6"/>
    <w:semiHidden/>
    <w:qFormat/>
    <w:uiPriority w:val="99"/>
    <w:rPr>
      <w:kern w:val="2"/>
      <w:sz w:val="21"/>
      <w:szCs w:val="22"/>
    </w:rPr>
  </w:style>
  <w:style w:type="character" w:customStyle="1" w:styleId="470">
    <w:name w:val="emailstyle118"/>
    <w:qFormat/>
    <w:uiPriority w:val="0"/>
    <w:rPr>
      <w:rFonts w:hint="default" w:ascii="Arial" w:hAnsi="Arial" w:eastAsia="宋体" w:cs="Arial"/>
      <w:color w:val="000080"/>
      <w:kern w:val="2"/>
      <w:sz w:val="24"/>
      <w:szCs w:val="24"/>
      <w:lang w:val="en-US" w:eastAsia="zh-CN" w:bidi="ar-SA"/>
    </w:rPr>
  </w:style>
  <w:style w:type="character" w:customStyle="1" w:styleId="471">
    <w:name w:val="Char Char27"/>
    <w:qFormat/>
    <w:uiPriority w:val="0"/>
    <w:rPr>
      <w:rFonts w:ascii="Arial" w:hAnsi="Arial" w:eastAsia="宋体"/>
      <w:b/>
      <w:kern w:val="2"/>
      <w:sz w:val="44"/>
      <w:lang w:val="en-US" w:eastAsia="zh-CN" w:bidi="ar-SA"/>
    </w:rPr>
  </w:style>
  <w:style w:type="character" w:customStyle="1" w:styleId="472">
    <w:name w:val="charchar11"/>
    <w:qFormat/>
    <w:uiPriority w:val="0"/>
    <w:rPr>
      <w:rFonts w:hint="eastAsia" w:ascii="宋体" w:hAnsi="宋体" w:eastAsia="宋体"/>
      <w:kern w:val="2"/>
      <w:sz w:val="24"/>
      <w:szCs w:val="24"/>
      <w:lang w:val="en-US" w:eastAsia="zh-CN" w:bidi="ar-SA"/>
    </w:rPr>
  </w:style>
  <w:style w:type="character" w:customStyle="1" w:styleId="473">
    <w:name w:val="com1"/>
    <w:qFormat/>
    <w:uiPriority w:val="0"/>
    <w:rPr>
      <w:rFonts w:eastAsia="宋体"/>
      <w:spacing w:val="300"/>
      <w:kern w:val="2"/>
      <w:sz w:val="18"/>
      <w:szCs w:val="18"/>
      <w:lang w:val="en-US" w:eastAsia="zh-CN" w:bidi="ar-SA"/>
    </w:rPr>
  </w:style>
  <w:style w:type="character" w:customStyle="1" w:styleId="474">
    <w:name w:val="编号标题2 Char Char Char"/>
    <w:qFormat/>
    <w:uiPriority w:val="0"/>
    <w:rPr>
      <w:rFonts w:ascii="Arial" w:hAnsi="Arial" w:eastAsia="黑体"/>
      <w:bCs/>
      <w:kern w:val="2"/>
      <w:sz w:val="21"/>
      <w:szCs w:val="32"/>
      <w:lang w:val="en-US" w:eastAsia="zh-CN" w:bidi="ar-SA"/>
    </w:rPr>
  </w:style>
  <w:style w:type="character" w:customStyle="1" w:styleId="475">
    <w:name w:val="不明显强调1"/>
    <w:qFormat/>
    <w:uiPriority w:val="0"/>
    <w:rPr>
      <w:i/>
      <w:iCs/>
      <w:color w:val="808080"/>
    </w:rPr>
  </w:style>
  <w:style w:type="character" w:customStyle="1" w:styleId="476">
    <w:name w:val="Char Char32"/>
    <w:qFormat/>
    <w:uiPriority w:val="0"/>
    <w:rPr>
      <w:rFonts w:ascii="Arial" w:hAnsi="Arial" w:eastAsia="宋体"/>
      <w:color w:val="000000"/>
      <w:kern w:val="2"/>
      <w:sz w:val="24"/>
      <w:szCs w:val="24"/>
      <w:lang w:val="en-US" w:eastAsia="zh-CN" w:bidi="ar-SA"/>
    </w:rPr>
  </w:style>
  <w:style w:type="character" w:customStyle="1" w:styleId="477">
    <w:name w:val="Char Char23"/>
    <w:qFormat/>
    <w:uiPriority w:val="0"/>
    <w:rPr>
      <w:rFonts w:ascii="宋体" w:hAnsi="宋体" w:eastAsia="宋体"/>
      <w:kern w:val="2"/>
      <w:sz w:val="28"/>
      <w:szCs w:val="24"/>
      <w:lang w:val="en-US" w:eastAsia="zh-CN" w:bidi="ar-SA"/>
    </w:rPr>
  </w:style>
  <w:style w:type="character" w:customStyle="1" w:styleId="478">
    <w:name w:val="charchar10"/>
    <w:qFormat/>
    <w:uiPriority w:val="0"/>
    <w:rPr>
      <w:rFonts w:hint="eastAsia" w:ascii="宋体" w:hAnsi="宋体" w:eastAsia="宋体"/>
      <w:kern w:val="2"/>
      <w:sz w:val="24"/>
      <w:szCs w:val="24"/>
      <w:lang w:val="en-US" w:eastAsia="zh-CN" w:bidi="ar-SA"/>
    </w:rPr>
  </w:style>
  <w:style w:type="character" w:customStyle="1" w:styleId="479">
    <w:name w:val="11char"/>
    <w:qFormat/>
    <w:uiPriority w:val="0"/>
    <w:rPr>
      <w:rFonts w:hint="default" w:ascii="Arial" w:hAnsi="Arial" w:eastAsia="宋体" w:cs="Arial"/>
      <w:color w:val="0000FF"/>
      <w:kern w:val="2"/>
      <w:sz w:val="24"/>
      <w:szCs w:val="24"/>
      <w:lang w:val="en-US" w:eastAsia="zh-CN" w:bidi="ar-SA"/>
    </w:rPr>
  </w:style>
  <w:style w:type="character" w:customStyle="1" w:styleId="480">
    <w:name w:val="charchar15"/>
    <w:qFormat/>
    <w:uiPriority w:val="0"/>
    <w:rPr>
      <w:rFonts w:hint="default" w:ascii="Arial" w:hAnsi="Arial" w:eastAsia="宋体" w:cs="Arial"/>
      <w:b/>
      <w:bCs/>
      <w:kern w:val="2"/>
      <w:sz w:val="24"/>
      <w:szCs w:val="24"/>
      <w:lang w:val="en-US" w:eastAsia="zh-CN" w:bidi="ar-SA"/>
    </w:rPr>
  </w:style>
  <w:style w:type="character" w:customStyle="1" w:styleId="481">
    <w:name w:val="charchar4"/>
    <w:qFormat/>
    <w:uiPriority w:val="0"/>
    <w:rPr>
      <w:rFonts w:hint="eastAsia" w:ascii="宋体" w:hAnsi="宋体" w:eastAsia="宋体"/>
      <w:color w:val="000000"/>
      <w:kern w:val="2"/>
      <w:sz w:val="24"/>
      <w:szCs w:val="24"/>
      <w:lang w:val="en-US" w:eastAsia="zh-CN" w:bidi="ar-SA"/>
    </w:rPr>
  </w:style>
  <w:style w:type="character" w:customStyle="1" w:styleId="482">
    <w:name w:val="表格头格式 Char Char"/>
    <w:qFormat/>
    <w:uiPriority w:val="0"/>
    <w:rPr>
      <w:rFonts w:eastAsia="宋体" w:cs="宋体"/>
      <w:b/>
      <w:bCs/>
      <w:kern w:val="2"/>
      <w:sz w:val="21"/>
      <w:lang w:val="en-US" w:eastAsia="zh-CN" w:bidi="ar-SA"/>
    </w:rPr>
  </w:style>
  <w:style w:type="character" w:customStyle="1" w:styleId="483">
    <w:name w:val="charchar5"/>
    <w:qFormat/>
    <w:uiPriority w:val="0"/>
    <w:rPr>
      <w:rFonts w:hint="eastAsia" w:ascii="宋体" w:hAnsi="宋体" w:eastAsia="宋体"/>
      <w:kern w:val="2"/>
      <w:sz w:val="24"/>
      <w:szCs w:val="24"/>
      <w:lang w:val="en-US" w:eastAsia="zh-CN" w:bidi="ar-SA"/>
    </w:rPr>
  </w:style>
  <w:style w:type="character" w:customStyle="1" w:styleId="484">
    <w:name w:val="纯文本 Char6"/>
    <w:semiHidden/>
    <w:qFormat/>
    <w:uiPriority w:val="99"/>
    <w:rPr>
      <w:rFonts w:hint="eastAsia" w:ascii="宋体" w:hAnsi="Courier New" w:eastAsia="宋体" w:cs="Courier New"/>
      <w:kern w:val="2"/>
      <w:sz w:val="21"/>
      <w:szCs w:val="21"/>
    </w:rPr>
  </w:style>
  <w:style w:type="character" w:customStyle="1" w:styleId="485">
    <w:name w:val="emailstyle146"/>
    <w:qFormat/>
    <w:uiPriority w:val="0"/>
    <w:rPr>
      <w:rFonts w:hint="eastAsia" w:ascii="仿宋_GB2312" w:eastAsia="仿宋_GB2312"/>
      <w:color w:val="0000FF"/>
      <w:kern w:val="2"/>
      <w:sz w:val="24"/>
      <w:szCs w:val="24"/>
      <w:u w:val="none"/>
      <w:lang w:val="en-US" w:eastAsia="zh-CN" w:bidi="ar-SA"/>
    </w:rPr>
  </w:style>
  <w:style w:type="character" w:customStyle="1" w:styleId="486">
    <w:name w:val="charchar13"/>
    <w:qFormat/>
    <w:uiPriority w:val="0"/>
    <w:rPr>
      <w:rFonts w:hint="default" w:ascii="Arial" w:hAnsi="Arial" w:eastAsia="宋体" w:cs="Arial"/>
      <w:kern w:val="2"/>
      <w:sz w:val="24"/>
      <w:szCs w:val="24"/>
      <w:lang w:val="en-US" w:eastAsia="zh-CN" w:bidi="ar-SA"/>
    </w:rPr>
  </w:style>
  <w:style w:type="character" w:customStyle="1" w:styleId="487">
    <w:name w:val="Char Char41"/>
    <w:qFormat/>
    <w:uiPriority w:val="0"/>
    <w:rPr>
      <w:rFonts w:hint="eastAsia" w:ascii="宋体" w:hAnsi="宋体" w:eastAsia="宋体"/>
      <w:kern w:val="2"/>
      <w:sz w:val="21"/>
      <w:szCs w:val="24"/>
      <w:lang w:val="en-US" w:eastAsia="zh-CN" w:bidi="ar-SA"/>
    </w:rPr>
  </w:style>
  <w:style w:type="character" w:customStyle="1" w:styleId="488">
    <w:name w:val="正文文本 3 Char5"/>
    <w:semiHidden/>
    <w:qFormat/>
    <w:uiPriority w:val="99"/>
    <w:rPr>
      <w:kern w:val="2"/>
      <w:sz w:val="16"/>
      <w:szCs w:val="16"/>
    </w:rPr>
  </w:style>
  <w:style w:type="character" w:customStyle="1" w:styleId="489">
    <w:name w:val="批注框文本 字符1"/>
    <w:qFormat/>
    <w:uiPriority w:val="99"/>
    <w:rPr>
      <w:rFonts w:ascii="Times New Roman" w:hAnsi="Times New Roman" w:eastAsia="宋体" w:cs="Times New Roman"/>
      <w:kern w:val="0"/>
      <w:sz w:val="18"/>
      <w:szCs w:val="18"/>
    </w:rPr>
  </w:style>
  <w:style w:type="character" w:customStyle="1" w:styleId="490">
    <w:name w:val="刘志锋"/>
    <w:qFormat/>
    <w:uiPriority w:val="0"/>
    <w:rPr>
      <w:rFonts w:ascii="楷体_GB2312" w:eastAsia="楷体_GB2312"/>
      <w:color w:val="0000FF"/>
      <w:kern w:val="2"/>
      <w:sz w:val="32"/>
      <w:szCs w:val="32"/>
      <w:u w:val="none"/>
      <w:lang w:val="en-US" w:eastAsia="zh-CN" w:bidi="ar-SA"/>
    </w:rPr>
  </w:style>
  <w:style w:type="character" w:customStyle="1" w:styleId="491">
    <w:name w:val="文档结构图 Char1"/>
    <w:qFormat/>
    <w:uiPriority w:val="0"/>
    <w:rPr>
      <w:rFonts w:ascii="宋体" w:hAnsi="Calibri" w:eastAsia="宋体" w:cs="Times New Roman"/>
      <w:sz w:val="18"/>
      <w:szCs w:val="18"/>
    </w:rPr>
  </w:style>
  <w:style w:type="character" w:customStyle="1" w:styleId="492">
    <w:name w:val="正文文本缩进 2 Char6"/>
    <w:semiHidden/>
    <w:qFormat/>
    <w:uiPriority w:val="99"/>
    <w:rPr>
      <w:kern w:val="2"/>
      <w:sz w:val="21"/>
      <w:szCs w:val="22"/>
    </w:rPr>
  </w:style>
  <w:style w:type="character" w:customStyle="1" w:styleId="493">
    <w:name w:val="Body Text Char"/>
    <w:qFormat/>
    <w:uiPriority w:val="0"/>
    <w:rPr>
      <w:rFonts w:eastAsia="宋体"/>
      <w:sz w:val="24"/>
      <w:lang w:val="en-US" w:eastAsia="fr-FR" w:bidi="ar-SA"/>
    </w:rPr>
  </w:style>
  <w:style w:type="character" w:customStyle="1" w:styleId="494">
    <w:name w:val="正文缩进1级 Char Char"/>
    <w:link w:val="495"/>
    <w:qFormat/>
    <w:uiPriority w:val="0"/>
    <w:rPr>
      <w:rFonts w:ascii="FuturaA Bk BT" w:hAnsi="FuturaA Bk BT"/>
      <w:sz w:val="24"/>
      <w:szCs w:val="24"/>
    </w:rPr>
  </w:style>
  <w:style w:type="paragraph" w:customStyle="1" w:styleId="495">
    <w:name w:val="正文缩进1级"/>
    <w:basedOn w:val="1"/>
    <w:link w:val="494"/>
    <w:qFormat/>
    <w:uiPriority w:val="0"/>
    <w:pPr>
      <w:widowControl/>
      <w:tabs>
        <w:tab w:val="left" w:pos="1134"/>
      </w:tabs>
      <w:snapToGrid w:val="0"/>
      <w:spacing w:afterLines="30" w:line="288" w:lineRule="auto"/>
      <w:ind w:left="1134" w:hanging="567"/>
      <w:jc w:val="left"/>
    </w:pPr>
    <w:rPr>
      <w:rFonts w:ascii="FuturaA Bk BT" w:hAnsi="FuturaA Bk BT"/>
      <w:kern w:val="0"/>
      <w:sz w:val="24"/>
      <w:szCs w:val="24"/>
    </w:rPr>
  </w:style>
  <w:style w:type="character" w:customStyle="1" w:styleId="496">
    <w:name w:val="charchar1"/>
    <w:qFormat/>
    <w:uiPriority w:val="0"/>
    <w:rPr>
      <w:rFonts w:hint="eastAsia" w:ascii="宋体" w:hAnsi="宋体" w:eastAsia="宋体"/>
      <w:kern w:val="2"/>
      <w:sz w:val="24"/>
      <w:szCs w:val="24"/>
      <w:lang w:val="en-US" w:eastAsia="zh-CN" w:bidi="ar-SA"/>
    </w:rPr>
  </w:style>
  <w:style w:type="character" w:customStyle="1" w:styleId="497">
    <w:name w:val="标题 1 1 Char Char"/>
    <w:qFormat/>
    <w:uiPriority w:val="0"/>
    <w:rPr>
      <w:rFonts w:ascii="Times New Roman" w:hAnsi="Times New Roman" w:eastAsia="宋体" w:cs="Times New Roman"/>
      <w:b/>
      <w:bCs/>
      <w:kern w:val="44"/>
      <w:sz w:val="44"/>
      <w:szCs w:val="44"/>
      <w:lang w:val="en-US" w:eastAsia="zh-CN" w:bidi="ar-SA"/>
    </w:rPr>
  </w:style>
  <w:style w:type="character" w:customStyle="1" w:styleId="498">
    <w:name w:val="验交标准二级 Char"/>
    <w:link w:val="499"/>
    <w:qFormat/>
    <w:uiPriority w:val="0"/>
    <w:rPr>
      <w:b/>
      <w:bCs/>
      <w:kern w:val="44"/>
      <w:sz w:val="24"/>
      <w:szCs w:val="44"/>
      <w:lang w:val="fr-FR" w:eastAsia="en-US" w:bidi="en-US"/>
    </w:rPr>
  </w:style>
  <w:style w:type="paragraph" w:customStyle="1" w:styleId="499">
    <w:name w:val="验交标准二级"/>
    <w:basedOn w:val="1"/>
    <w:link w:val="498"/>
    <w:qFormat/>
    <w:uiPriority w:val="0"/>
    <w:pPr>
      <w:widowControl/>
      <w:tabs>
        <w:tab w:val="left" w:pos="567"/>
      </w:tabs>
      <w:spacing w:line="360" w:lineRule="auto"/>
      <w:jc w:val="left"/>
      <w:outlineLvl w:val="1"/>
    </w:pPr>
    <w:rPr>
      <w:b/>
      <w:bCs/>
      <w:kern w:val="44"/>
      <w:sz w:val="24"/>
      <w:szCs w:val="44"/>
      <w:lang w:val="fr-FR" w:eastAsia="en-US" w:bidi="en-US"/>
    </w:rPr>
  </w:style>
  <w:style w:type="character" w:customStyle="1" w:styleId="500">
    <w:name w:val="样式3 Char"/>
    <w:link w:val="273"/>
    <w:qFormat/>
    <w:uiPriority w:val="0"/>
    <w:rPr>
      <w:rFonts w:ascii="宋体"/>
      <w:kern w:val="2"/>
      <w:sz w:val="24"/>
      <w:szCs w:val="22"/>
    </w:rPr>
  </w:style>
  <w:style w:type="character" w:customStyle="1" w:styleId="501">
    <w:name w:val="样式2 Char"/>
    <w:link w:val="112"/>
    <w:qFormat/>
    <w:uiPriority w:val="0"/>
    <w:rPr>
      <w:kern w:val="2"/>
      <w:sz w:val="21"/>
      <w:szCs w:val="24"/>
    </w:rPr>
  </w:style>
  <w:style w:type="character" w:customStyle="1" w:styleId="502">
    <w:name w:val="脚注文本 Char1"/>
    <w:qFormat/>
    <w:uiPriority w:val="0"/>
    <w:rPr>
      <w:rFonts w:ascii="Calibri" w:hAnsi="Calibri" w:eastAsia="宋体" w:cs="Times New Roman"/>
      <w:sz w:val="18"/>
      <w:szCs w:val="18"/>
    </w:rPr>
  </w:style>
  <w:style w:type="character" w:customStyle="1" w:styleId="503">
    <w:name w:val="脚注文本 字符1"/>
    <w:qFormat/>
    <w:uiPriority w:val="99"/>
    <w:rPr>
      <w:rFonts w:ascii="Calibri" w:hAnsi="Calibri" w:eastAsia="宋体" w:cs="Times New Roman"/>
      <w:kern w:val="0"/>
      <w:sz w:val="18"/>
      <w:szCs w:val="18"/>
    </w:rPr>
  </w:style>
  <w:style w:type="character" w:customStyle="1" w:styleId="504">
    <w:name w:val="Char Char19"/>
    <w:qFormat/>
    <w:uiPriority w:val="0"/>
    <w:rPr>
      <w:rFonts w:ascii="宋体" w:hAnsi="宋体" w:eastAsia="宋体" w:cs="宋体"/>
      <w:b/>
      <w:color w:val="0000FF"/>
      <w:kern w:val="2"/>
      <w:sz w:val="21"/>
      <w:szCs w:val="21"/>
      <w:lang w:val="en-US" w:eastAsia="zh-CN" w:bidi="ar-SA"/>
    </w:rPr>
  </w:style>
  <w:style w:type="character" w:customStyle="1" w:styleId="505">
    <w:name w:val="charchar14"/>
    <w:qFormat/>
    <w:uiPriority w:val="0"/>
    <w:rPr>
      <w:rFonts w:hint="eastAsia" w:ascii="宋体" w:hAnsi="宋体" w:eastAsia="宋体"/>
      <w:b/>
      <w:bCs/>
      <w:kern w:val="2"/>
      <w:sz w:val="24"/>
      <w:szCs w:val="24"/>
      <w:lang w:val="en-US" w:eastAsia="zh-CN" w:bidi="ar-SA"/>
    </w:rPr>
  </w:style>
  <w:style w:type="character" w:customStyle="1" w:styleId="506">
    <w:name w:val="charchar12"/>
    <w:qFormat/>
    <w:uiPriority w:val="0"/>
    <w:rPr>
      <w:rFonts w:hint="default" w:ascii="Arial" w:hAnsi="Arial" w:eastAsia="宋体" w:cs="Arial"/>
      <w:kern w:val="2"/>
      <w:sz w:val="24"/>
      <w:szCs w:val="24"/>
      <w:lang w:val="en-US" w:eastAsia="zh-CN" w:bidi="ar-SA"/>
    </w:rPr>
  </w:style>
  <w:style w:type="character" w:customStyle="1" w:styleId="507">
    <w:name w:val="正文文本缩进 2 字符1"/>
    <w:qFormat/>
    <w:uiPriority w:val="99"/>
    <w:rPr>
      <w:rFonts w:ascii="Times New Roman" w:hAnsi="Times New Roman" w:eastAsia="宋体" w:cs="Times New Roman"/>
      <w:kern w:val="0"/>
      <w:sz w:val="20"/>
      <w:szCs w:val="24"/>
    </w:rPr>
  </w:style>
  <w:style w:type="character" w:customStyle="1" w:styleId="508">
    <w:name w:val="charchar8"/>
    <w:qFormat/>
    <w:uiPriority w:val="0"/>
    <w:rPr>
      <w:rFonts w:hint="eastAsia" w:ascii="宋体" w:hAnsi="宋体" w:eastAsia="宋体"/>
      <w:kern w:val="2"/>
      <w:sz w:val="24"/>
      <w:szCs w:val="24"/>
      <w:lang w:val="en-US" w:eastAsia="zh-CN" w:bidi="ar-SA"/>
    </w:rPr>
  </w:style>
  <w:style w:type="character" w:customStyle="1" w:styleId="509">
    <w:name w:val="标题 1 1 Char Char Char Char"/>
    <w:qFormat/>
    <w:uiPriority w:val="0"/>
    <w:rPr>
      <w:rFonts w:eastAsia="黑体"/>
      <w:bCs/>
      <w:kern w:val="44"/>
      <w:sz w:val="21"/>
      <w:szCs w:val="44"/>
      <w:lang w:val="en-US" w:eastAsia="zh-CN" w:bidi="ar-SA"/>
    </w:rPr>
  </w:style>
  <w:style w:type="character" w:customStyle="1" w:styleId="510">
    <w:name w:val="Char Char"/>
    <w:qFormat/>
    <w:uiPriority w:val="0"/>
    <w:rPr>
      <w:rFonts w:hint="eastAsia" w:ascii="宋体" w:hAnsi="宋体" w:eastAsia="宋体"/>
      <w:kern w:val="2"/>
      <w:sz w:val="18"/>
      <w:szCs w:val="24"/>
      <w:lang w:val="en-US" w:eastAsia="zh-CN" w:bidi="ar-SA"/>
    </w:rPr>
  </w:style>
  <w:style w:type="character" w:customStyle="1" w:styleId="511">
    <w:name w:val="样式 宋体 8 磅 加粗"/>
    <w:qFormat/>
    <w:uiPriority w:val="0"/>
    <w:rPr>
      <w:rFonts w:ascii="宋体" w:hAnsi="宋体" w:eastAsia="宋体"/>
      <w:bCs/>
      <w:sz w:val="21"/>
    </w:rPr>
  </w:style>
  <w:style w:type="character" w:customStyle="1" w:styleId="512">
    <w:name w:val="表格内容 Char Char"/>
    <w:qFormat/>
    <w:uiPriority w:val="0"/>
    <w:rPr>
      <w:rFonts w:eastAsia="宋体" w:cs="宋体"/>
      <w:kern w:val="2"/>
      <w:sz w:val="21"/>
      <w:lang w:val="en-US" w:eastAsia="zh-CN" w:bidi="ar-SA"/>
    </w:rPr>
  </w:style>
  <w:style w:type="character" w:customStyle="1" w:styleId="513">
    <w:name w:val="表格内容 Char"/>
    <w:link w:val="514"/>
    <w:qFormat/>
    <w:uiPriority w:val="0"/>
  </w:style>
  <w:style w:type="paragraph" w:customStyle="1" w:styleId="514">
    <w:name w:val="表格内容"/>
    <w:basedOn w:val="1"/>
    <w:link w:val="513"/>
    <w:qFormat/>
    <w:uiPriority w:val="0"/>
    <w:pPr>
      <w:widowControl/>
      <w:jc w:val="left"/>
    </w:pPr>
    <w:rPr>
      <w:kern w:val="0"/>
      <w:sz w:val="20"/>
    </w:rPr>
  </w:style>
  <w:style w:type="character" w:customStyle="1" w:styleId="515">
    <w:name w:val="detailtitle1"/>
    <w:qFormat/>
    <w:uiPriority w:val="0"/>
    <w:rPr>
      <w:rFonts w:hint="default" w:ascii="ˎ̥" w:hAnsi="ˎ̥" w:eastAsia="宋体"/>
      <w:b/>
      <w:bCs/>
      <w:color w:val="00497B"/>
      <w:kern w:val="2"/>
      <w:sz w:val="24"/>
      <w:szCs w:val="24"/>
      <w:lang w:val="en-US" w:eastAsia="zh-CN" w:bidi="ar-SA"/>
    </w:rPr>
  </w:style>
  <w:style w:type="character" w:customStyle="1" w:styleId="516">
    <w:name w:val="正文首行缩进 Char4"/>
    <w:semiHidden/>
    <w:qFormat/>
    <w:uiPriority w:val="99"/>
  </w:style>
  <w:style w:type="character" w:customStyle="1" w:styleId="517">
    <w:name w:val="emailstyle116"/>
    <w:qFormat/>
    <w:uiPriority w:val="0"/>
    <w:rPr>
      <w:rFonts w:hint="default" w:ascii="Arial" w:hAnsi="Arial" w:eastAsia="宋体" w:cs="Arial"/>
      <w:color w:val="auto"/>
      <w:kern w:val="2"/>
      <w:sz w:val="24"/>
      <w:szCs w:val="24"/>
      <w:lang w:val="en-US" w:eastAsia="zh-CN" w:bidi="ar-SA"/>
    </w:rPr>
  </w:style>
  <w:style w:type="character" w:customStyle="1" w:styleId="518">
    <w:name w:val="页脚 Char4"/>
    <w:semiHidden/>
    <w:qFormat/>
    <w:uiPriority w:val="99"/>
    <w:rPr>
      <w:kern w:val="2"/>
      <w:sz w:val="18"/>
      <w:szCs w:val="18"/>
    </w:rPr>
  </w:style>
  <w:style w:type="character" w:customStyle="1" w:styleId="519">
    <w:name w:val="批注文字 Char5"/>
    <w:qFormat/>
    <w:uiPriority w:val="99"/>
    <w:rPr>
      <w:rFonts w:hint="default" w:ascii="Calibri" w:hAnsi="Calibri" w:eastAsia="宋体" w:cs="Times New Roman"/>
    </w:rPr>
  </w:style>
  <w:style w:type="character" w:customStyle="1" w:styleId="520">
    <w:name w:val="Char Char20"/>
    <w:qFormat/>
    <w:uiPriority w:val="0"/>
    <w:rPr>
      <w:rFonts w:ascii="宋体" w:hAnsi="Courier New" w:eastAsia="宋体"/>
      <w:kern w:val="2"/>
      <w:sz w:val="21"/>
      <w:szCs w:val="24"/>
      <w:lang w:val="en-US" w:eastAsia="zh-CN" w:bidi="ar-SA"/>
    </w:rPr>
  </w:style>
  <w:style w:type="character" w:customStyle="1" w:styleId="521">
    <w:name w:val="Char Char21"/>
    <w:qFormat/>
    <w:uiPriority w:val="0"/>
    <w:rPr>
      <w:rFonts w:ascii="宋体" w:hAnsi="宋体" w:eastAsia="宋体"/>
      <w:color w:val="000000"/>
      <w:kern w:val="2"/>
      <w:sz w:val="24"/>
      <w:szCs w:val="24"/>
      <w:lang w:val="en-US" w:eastAsia="zh-CN" w:bidi="ar-SA"/>
    </w:rPr>
  </w:style>
  <w:style w:type="character" w:customStyle="1" w:styleId="522">
    <w:name w:val="公文正文 Char"/>
    <w:qFormat/>
    <w:uiPriority w:val="0"/>
    <w:rPr>
      <w:rFonts w:ascii="仿宋_GB2312" w:hAnsi="Calisto MT" w:eastAsia="仿宋_GB2312"/>
      <w:color w:val="000000"/>
      <w:sz w:val="32"/>
      <w:lang w:val="en-US" w:eastAsia="zh-CN"/>
    </w:rPr>
  </w:style>
  <w:style w:type="character" w:customStyle="1" w:styleId="523">
    <w:name w:val="Char Char3"/>
    <w:qFormat/>
    <w:uiPriority w:val="0"/>
    <w:rPr>
      <w:rFonts w:eastAsia="宋体"/>
      <w:kern w:val="2"/>
      <w:sz w:val="21"/>
      <w:szCs w:val="24"/>
      <w:lang w:val="en-US" w:eastAsia="zh-CN" w:bidi="ar-SA"/>
    </w:rPr>
  </w:style>
  <w:style w:type="character" w:customStyle="1" w:styleId="524">
    <w:name w:val="正文纯文本 Char"/>
    <w:link w:val="525"/>
    <w:qFormat/>
    <w:uiPriority w:val="0"/>
    <w:rPr>
      <w:szCs w:val="24"/>
    </w:rPr>
  </w:style>
  <w:style w:type="paragraph" w:customStyle="1" w:styleId="525">
    <w:name w:val="正文纯文本"/>
    <w:basedOn w:val="1"/>
    <w:link w:val="524"/>
    <w:qFormat/>
    <w:uiPriority w:val="0"/>
    <w:pPr>
      <w:spacing w:line="360" w:lineRule="auto"/>
      <w:ind w:firstLine="540" w:firstLineChars="257"/>
    </w:pPr>
    <w:rPr>
      <w:kern w:val="0"/>
      <w:sz w:val="20"/>
      <w:szCs w:val="24"/>
    </w:rPr>
  </w:style>
  <w:style w:type="character" w:customStyle="1" w:styleId="526">
    <w:name w:val="Char Char30"/>
    <w:qFormat/>
    <w:uiPriority w:val="0"/>
    <w:rPr>
      <w:rFonts w:eastAsia="宋体"/>
      <w:b/>
      <w:kern w:val="2"/>
      <w:sz w:val="24"/>
      <w:lang w:val="en-US" w:eastAsia="zh-CN" w:bidi="ar-SA"/>
    </w:rPr>
  </w:style>
  <w:style w:type="character" w:customStyle="1" w:styleId="527">
    <w:name w:val="HTML 预设格式 字符1"/>
    <w:qFormat/>
    <w:uiPriority w:val="99"/>
    <w:rPr>
      <w:rFonts w:ascii="黑体" w:hAnsi="Courier New" w:eastAsia="黑体" w:cs="Courier New"/>
      <w:kern w:val="0"/>
      <w:sz w:val="20"/>
      <w:szCs w:val="21"/>
    </w:rPr>
  </w:style>
  <w:style w:type="character" w:customStyle="1" w:styleId="528">
    <w:name w:val="尾注文本 Char Char"/>
    <w:qFormat/>
    <w:uiPriority w:val="0"/>
    <w:rPr>
      <w:rFonts w:eastAsia="宋体"/>
      <w:kern w:val="2"/>
      <w:sz w:val="24"/>
      <w:szCs w:val="24"/>
      <w:lang w:val="en-US" w:eastAsia="zh-CN" w:bidi="ar-SA"/>
    </w:rPr>
  </w:style>
  <w:style w:type="character" w:customStyle="1" w:styleId="529">
    <w:name w:val="页脚 字符1"/>
    <w:qFormat/>
    <w:uiPriority w:val="99"/>
    <w:rPr>
      <w:rFonts w:ascii="Times New Roman" w:hAnsi="Times New Roman" w:eastAsia="宋体" w:cs="Times New Roman"/>
      <w:kern w:val="0"/>
      <w:sz w:val="18"/>
      <w:szCs w:val="18"/>
    </w:rPr>
  </w:style>
  <w:style w:type="character" w:customStyle="1" w:styleId="530">
    <w:name w:val="Heading 1 Char"/>
    <w:qFormat/>
    <w:uiPriority w:val="0"/>
    <w:rPr>
      <w:rFonts w:eastAsia="宋体"/>
      <w:b/>
      <w:bCs/>
      <w:kern w:val="44"/>
      <w:sz w:val="44"/>
      <w:szCs w:val="44"/>
      <w:lang w:val="en-US" w:eastAsia="zh-CN" w:bidi="ar-SA"/>
    </w:rPr>
  </w:style>
  <w:style w:type="character" w:customStyle="1" w:styleId="531">
    <w:name w:val="副标题 字符1"/>
    <w:qFormat/>
    <w:uiPriority w:val="11"/>
    <w:rPr>
      <w:rFonts w:ascii="Cambria" w:hAnsi="Cambria" w:eastAsia="宋体" w:cs="Times New Roman"/>
      <w:kern w:val="0"/>
      <w:sz w:val="24"/>
      <w:szCs w:val="24"/>
    </w:rPr>
  </w:style>
  <w:style w:type="character" w:customStyle="1" w:styleId="532">
    <w:name w:val="Char Char22"/>
    <w:qFormat/>
    <w:uiPriority w:val="0"/>
    <w:rPr>
      <w:rFonts w:ascii="宋体" w:hAnsi="宋体" w:eastAsia="宋体"/>
      <w:kern w:val="2"/>
      <w:sz w:val="21"/>
      <w:szCs w:val="24"/>
      <w:lang w:val="en-US" w:eastAsia="zh-CN" w:bidi="ar-SA"/>
    </w:rPr>
  </w:style>
  <w:style w:type="character" w:customStyle="1" w:styleId="533">
    <w:name w:val="样式 (中文) 楷体_GB2312 五号"/>
    <w:qFormat/>
    <w:uiPriority w:val="0"/>
    <w:rPr>
      <w:rFonts w:eastAsia="楷体_GB2312"/>
      <w:kern w:val="2"/>
      <w:sz w:val="21"/>
      <w:szCs w:val="24"/>
      <w:lang w:val="en-US" w:eastAsia="zh-CN" w:bidi="ar-SA"/>
    </w:rPr>
  </w:style>
  <w:style w:type="character" w:customStyle="1" w:styleId="534">
    <w:name w:val="正文文本 3 字符1"/>
    <w:qFormat/>
    <w:uiPriority w:val="99"/>
    <w:rPr>
      <w:rFonts w:ascii="Times New Roman" w:hAnsi="Times New Roman" w:eastAsia="宋体" w:cs="Times New Roman"/>
      <w:kern w:val="0"/>
      <w:sz w:val="16"/>
      <w:szCs w:val="16"/>
    </w:rPr>
  </w:style>
  <w:style w:type="character" w:customStyle="1" w:styleId="535">
    <w:name w:val="char0"/>
    <w:qFormat/>
    <w:uiPriority w:val="0"/>
    <w:rPr>
      <w:rFonts w:hint="default" w:ascii="Arial" w:hAnsi="Arial" w:eastAsia="宋体" w:cs="Arial"/>
      <w:b/>
      <w:bCs/>
      <w:kern w:val="2"/>
      <w:sz w:val="24"/>
      <w:szCs w:val="24"/>
      <w:lang w:val="en-US" w:eastAsia="zh-CN" w:bidi="ar-SA"/>
    </w:rPr>
  </w:style>
  <w:style w:type="character" w:customStyle="1" w:styleId="536">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kern w:val="2"/>
      <w:sz w:val="24"/>
      <w:szCs w:val="28"/>
      <w:lang w:val="en-US" w:eastAsia="zh-CN" w:bidi="ar-SA"/>
    </w:rPr>
  </w:style>
  <w:style w:type="character" w:customStyle="1" w:styleId="537">
    <w:name w:val="正文文本缩进 字符1"/>
    <w:qFormat/>
    <w:uiPriority w:val="99"/>
    <w:rPr>
      <w:rFonts w:ascii="Times New Roman" w:hAnsi="Times New Roman" w:eastAsia="宋体" w:cs="Times New Roman"/>
      <w:kern w:val="0"/>
      <w:sz w:val="24"/>
      <w:szCs w:val="20"/>
    </w:rPr>
  </w:style>
  <w:style w:type="character" w:customStyle="1" w:styleId="538">
    <w:name w:val="引用 字符1"/>
    <w:qFormat/>
    <w:uiPriority w:val="29"/>
    <w:rPr>
      <w:rFonts w:ascii="Calibri" w:hAnsi="Calibri" w:eastAsia="宋体" w:cs="Times New Roman"/>
      <w:i/>
      <w:kern w:val="0"/>
      <w:sz w:val="24"/>
      <w:szCs w:val="24"/>
    </w:rPr>
  </w:style>
  <w:style w:type="character" w:customStyle="1" w:styleId="539">
    <w:name w:val="样式 标题 4Para4CDR_Lev 4Title3h44 dashddash + (符号) 宋体 加粗 Char"/>
    <w:qFormat/>
    <w:uiPriority w:val="0"/>
    <w:rPr>
      <w:rFonts w:ascii="Arial" w:hAnsi="Arial" w:eastAsia="黑体"/>
      <w:bCs/>
      <w:color w:val="000000"/>
      <w:sz w:val="28"/>
      <w:szCs w:val="28"/>
    </w:rPr>
  </w:style>
  <w:style w:type="character" w:customStyle="1" w:styleId="540">
    <w:name w:val="Char Char6"/>
    <w:qFormat/>
    <w:uiPriority w:val="0"/>
    <w:rPr>
      <w:kern w:val="2"/>
      <w:sz w:val="21"/>
      <w:szCs w:val="24"/>
    </w:rPr>
  </w:style>
  <w:style w:type="character" w:customStyle="1" w:styleId="541">
    <w:name w:val="列表编号3 Char Char"/>
    <w:qFormat/>
    <w:uiPriority w:val="0"/>
    <w:rPr>
      <w:rFonts w:eastAsia="宋体"/>
      <w:b/>
      <w:color w:val="000000"/>
      <w:kern w:val="2"/>
      <w:sz w:val="24"/>
      <w:szCs w:val="24"/>
      <w:lang w:val="en-US" w:eastAsia="zh-CN" w:bidi="ar-SA"/>
    </w:rPr>
  </w:style>
  <w:style w:type="character" w:customStyle="1" w:styleId="542">
    <w:name w:val="1char"/>
    <w:qFormat/>
    <w:uiPriority w:val="0"/>
    <w:rPr>
      <w:rFonts w:hint="default" w:ascii="Arial" w:hAnsi="Arial" w:eastAsia="宋体" w:cs="Arial"/>
      <w:b/>
      <w:bCs/>
      <w:kern w:val="2"/>
      <w:sz w:val="24"/>
      <w:szCs w:val="24"/>
      <w:lang w:val="en-US" w:eastAsia="zh-CN" w:bidi="ar-SA"/>
    </w:rPr>
  </w:style>
  <w:style w:type="character" w:customStyle="1" w:styleId="543">
    <w:name w:val="Char Char25"/>
    <w:qFormat/>
    <w:uiPriority w:val="0"/>
    <w:rPr>
      <w:rFonts w:eastAsia="宋体"/>
      <w:kern w:val="2"/>
      <w:sz w:val="21"/>
      <w:lang w:val="en-US" w:eastAsia="zh-CN" w:bidi="ar-SA"/>
    </w:rPr>
  </w:style>
  <w:style w:type="character" w:customStyle="1" w:styleId="544">
    <w:name w:val="Char Char9"/>
    <w:qFormat/>
    <w:uiPriority w:val="0"/>
    <w:rPr>
      <w:rFonts w:ascii="Arial" w:hAnsi="Arial" w:eastAsia="黑体"/>
      <w:kern w:val="2"/>
      <w:sz w:val="24"/>
    </w:rPr>
  </w:style>
  <w:style w:type="character" w:customStyle="1" w:styleId="545">
    <w:name w:val="HTML 预设格式 Char6"/>
    <w:semiHidden/>
    <w:qFormat/>
    <w:uiPriority w:val="99"/>
    <w:rPr>
      <w:rFonts w:hint="default" w:ascii="Courier New" w:hAnsi="Courier New" w:cs="Courier New"/>
      <w:kern w:val="2"/>
    </w:rPr>
  </w:style>
  <w:style w:type="character" w:customStyle="1" w:styleId="546">
    <w:name w:val="charchar6"/>
    <w:qFormat/>
    <w:uiPriority w:val="0"/>
    <w:rPr>
      <w:rFonts w:hint="eastAsia" w:ascii="宋体" w:hAnsi="宋体" w:eastAsia="宋体"/>
      <w:kern w:val="2"/>
      <w:sz w:val="24"/>
      <w:szCs w:val="24"/>
      <w:lang w:val="en-US" w:eastAsia="zh-CN" w:bidi="ar-SA"/>
    </w:rPr>
  </w:style>
  <w:style w:type="character" w:customStyle="1" w:styleId="547">
    <w:name w:val="Char Char24"/>
    <w:qFormat/>
    <w:uiPriority w:val="0"/>
    <w:rPr>
      <w:rFonts w:ascii="宋体" w:hAnsi="宋体" w:eastAsia="宋体"/>
      <w:kern w:val="2"/>
      <w:sz w:val="18"/>
      <w:szCs w:val="24"/>
      <w:lang w:val="en-US" w:eastAsia="zh-CN" w:bidi="ar-SA"/>
    </w:rPr>
  </w:style>
  <w:style w:type="character" w:customStyle="1" w:styleId="548">
    <w:name w:val="表格头格式 Char"/>
    <w:link w:val="549"/>
    <w:qFormat/>
    <w:uiPriority w:val="0"/>
    <w:rPr>
      <w:b/>
      <w:bCs/>
    </w:rPr>
  </w:style>
  <w:style w:type="paragraph" w:customStyle="1" w:styleId="549">
    <w:name w:val="表格头格式"/>
    <w:basedOn w:val="514"/>
    <w:link w:val="548"/>
    <w:qFormat/>
    <w:uiPriority w:val="0"/>
    <w:rPr>
      <w:b/>
      <w:bCs/>
    </w:rPr>
  </w:style>
  <w:style w:type="character" w:customStyle="1" w:styleId="550">
    <w:name w:val="charchar3"/>
    <w:qFormat/>
    <w:uiPriority w:val="0"/>
    <w:rPr>
      <w:rFonts w:hint="eastAsia" w:ascii="宋体" w:hAnsi="宋体" w:eastAsia="宋体"/>
      <w:kern w:val="2"/>
      <w:sz w:val="24"/>
      <w:szCs w:val="24"/>
      <w:lang w:val="en-US" w:eastAsia="zh-CN" w:bidi="ar-SA"/>
    </w:rPr>
  </w:style>
  <w:style w:type="character" w:customStyle="1" w:styleId="551">
    <w:name w:val="lemmatitleh1"/>
    <w:qFormat/>
    <w:uiPriority w:val="0"/>
  </w:style>
  <w:style w:type="character" w:customStyle="1" w:styleId="552">
    <w:name w:val="尾注文本 Char5"/>
    <w:semiHidden/>
    <w:qFormat/>
    <w:uiPriority w:val="99"/>
  </w:style>
  <w:style w:type="character" w:customStyle="1" w:styleId="553">
    <w:name w:val="标准正文 Char"/>
    <w:link w:val="554"/>
    <w:qFormat/>
    <w:uiPriority w:val="0"/>
    <w:rPr>
      <w:szCs w:val="24"/>
    </w:rPr>
  </w:style>
  <w:style w:type="paragraph" w:customStyle="1" w:styleId="554">
    <w:name w:val="标准正文"/>
    <w:basedOn w:val="1"/>
    <w:link w:val="553"/>
    <w:qFormat/>
    <w:uiPriority w:val="0"/>
    <w:pPr>
      <w:tabs>
        <w:tab w:val="left" w:pos="720"/>
      </w:tabs>
      <w:spacing w:line="360" w:lineRule="auto"/>
      <w:ind w:firstLine="200" w:firstLineChars="200"/>
    </w:pPr>
    <w:rPr>
      <w:kern w:val="0"/>
      <w:sz w:val="20"/>
      <w:szCs w:val="24"/>
    </w:rPr>
  </w:style>
  <w:style w:type="character" w:customStyle="1" w:styleId="555">
    <w:name w:val="正文文本缩进 3 Char1"/>
    <w:semiHidden/>
    <w:qFormat/>
    <w:uiPriority w:val="0"/>
    <w:rPr>
      <w:sz w:val="16"/>
      <w:szCs w:val="16"/>
    </w:rPr>
  </w:style>
  <w:style w:type="character" w:customStyle="1" w:styleId="556">
    <w:name w:val="标题 1 1 Char1"/>
    <w:qFormat/>
    <w:uiPriority w:val="0"/>
    <w:rPr>
      <w:rFonts w:ascii="楷体_GB2312" w:hAnsi="宋体" w:eastAsia="楷体_GB2312" w:cs="宋体"/>
      <w:b/>
      <w:bCs/>
      <w:kern w:val="44"/>
      <w:sz w:val="28"/>
      <w:szCs w:val="28"/>
      <w:lang w:val="en-US" w:eastAsia="zh-CN" w:bidi="ar-SA"/>
    </w:rPr>
  </w:style>
  <w:style w:type="character" w:customStyle="1" w:styleId="557">
    <w:name w:val="正文文本 字符1"/>
    <w:qFormat/>
    <w:uiPriority w:val="99"/>
    <w:rPr>
      <w:rFonts w:ascii="Times New Roman" w:hAnsi="Times New Roman" w:eastAsia="宋体" w:cs="Times New Roman"/>
      <w:kern w:val="0"/>
      <w:sz w:val="20"/>
      <w:szCs w:val="24"/>
    </w:rPr>
  </w:style>
  <w:style w:type="character" w:customStyle="1" w:styleId="558">
    <w:name w:val="批注主题 字符1"/>
    <w:qFormat/>
    <w:uiPriority w:val="99"/>
    <w:rPr>
      <w:rFonts w:ascii="Tahoma" w:hAnsi="Tahoma" w:eastAsia="宋体" w:cs="Times New Roman"/>
      <w:b/>
      <w:bCs/>
      <w:kern w:val="0"/>
      <w:sz w:val="20"/>
      <w:szCs w:val="24"/>
    </w:rPr>
  </w:style>
  <w:style w:type="character" w:customStyle="1" w:styleId="559">
    <w:name w:val="明显引用 字符1"/>
    <w:qFormat/>
    <w:uiPriority w:val="30"/>
    <w:rPr>
      <w:rFonts w:ascii="Calibri" w:hAnsi="Calibri" w:eastAsia="宋体" w:cs="Times New Roman"/>
      <w:b/>
      <w:i/>
      <w:kern w:val="0"/>
      <w:sz w:val="24"/>
      <w:szCs w:val="24"/>
    </w:rPr>
  </w:style>
  <w:style w:type="character" w:customStyle="1" w:styleId="560">
    <w:name w:val="批注文字 字符1"/>
    <w:qFormat/>
    <w:locked/>
    <w:uiPriority w:val="99"/>
    <w:rPr>
      <w:rFonts w:ascii="Times New Roman" w:hAnsi="Times New Roman" w:eastAsia="宋体" w:cs="Times New Roman"/>
      <w:kern w:val="0"/>
      <w:sz w:val="20"/>
      <w:szCs w:val="24"/>
    </w:rPr>
  </w:style>
  <w:style w:type="character" w:customStyle="1" w:styleId="561">
    <w:name w:val="HTML 预设格式 Char3"/>
    <w:qFormat/>
    <w:uiPriority w:val="99"/>
    <w:rPr>
      <w:rFonts w:ascii="Courier New" w:hAnsi="Courier New" w:cs="Courier New"/>
      <w:kern w:val="2"/>
    </w:rPr>
  </w:style>
  <w:style w:type="character" w:customStyle="1" w:styleId="562">
    <w:name w:val="正文文本 Char5"/>
    <w:semiHidden/>
    <w:qFormat/>
    <w:uiPriority w:val="99"/>
    <w:rPr>
      <w:kern w:val="2"/>
      <w:sz w:val="21"/>
      <w:szCs w:val="22"/>
    </w:rPr>
  </w:style>
  <w:style w:type="character" w:customStyle="1" w:styleId="563">
    <w:name w:val="标题 9 Char1"/>
    <w:semiHidden/>
    <w:qFormat/>
    <w:uiPriority w:val="0"/>
    <w:rPr>
      <w:rFonts w:ascii="Cambria" w:hAnsi="Cambria" w:eastAsia="宋体" w:cs="Times New Roman"/>
      <w:kern w:val="2"/>
      <w:sz w:val="21"/>
      <w:szCs w:val="21"/>
    </w:rPr>
  </w:style>
  <w:style w:type="character" w:customStyle="1" w:styleId="564">
    <w:name w:val="样式 编号标题2 Char Char Char Char Char Char Char Char Char Char Ch + ..."/>
    <w:qFormat/>
    <w:uiPriority w:val="0"/>
    <w:rPr>
      <w:rFonts w:ascii="黑体" w:hAnsi="宋体" w:eastAsia="黑体"/>
      <w:b/>
      <w:bCs/>
      <w:kern w:val="2"/>
      <w:sz w:val="21"/>
      <w:szCs w:val="32"/>
      <w:lang w:val="en-US" w:eastAsia="zh-CN" w:bidi="ar-SA"/>
    </w:rPr>
  </w:style>
  <w:style w:type="character" w:customStyle="1" w:styleId="565">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eastAsia="黑体"/>
      <w:kern w:val="2"/>
      <w:sz w:val="24"/>
      <w:szCs w:val="24"/>
      <w:lang w:val="en-US" w:eastAsia="zh-CN" w:bidi="ar-SA"/>
    </w:rPr>
  </w:style>
  <w:style w:type="character" w:customStyle="1" w:styleId="566">
    <w:name w:val="arialcharcharcharcharcharcharcharcharcharcharcharcharcharcharcharcharcharcharcharcharcharcharcharcharcharcharchar"/>
    <w:qFormat/>
    <w:uiPriority w:val="0"/>
    <w:rPr>
      <w:rFonts w:hint="default" w:ascii="Arial" w:hAnsi="Arial" w:eastAsia="宋体" w:cs="Arial"/>
      <w:kern w:val="2"/>
      <w:sz w:val="24"/>
      <w:szCs w:val="24"/>
      <w:lang w:val="en-US" w:eastAsia="zh-CN" w:bidi="ar-SA"/>
    </w:rPr>
  </w:style>
  <w:style w:type="character" w:customStyle="1" w:styleId="567">
    <w:name w:val="Char Char31"/>
    <w:qFormat/>
    <w:uiPriority w:val="0"/>
    <w:rPr>
      <w:rFonts w:ascii="Arial" w:hAnsi="Arial" w:eastAsia="黑体"/>
      <w:b/>
      <w:bCs/>
      <w:kern w:val="2"/>
      <w:sz w:val="24"/>
      <w:szCs w:val="24"/>
      <w:lang w:val="en-US" w:eastAsia="zh-CN" w:bidi="ar-SA"/>
    </w:rPr>
  </w:style>
  <w:style w:type="character" w:customStyle="1" w:styleId="568">
    <w:name w:val="charchar17"/>
    <w:qFormat/>
    <w:uiPriority w:val="0"/>
    <w:rPr>
      <w:rFonts w:hint="default" w:ascii="Arial" w:hAnsi="Arial" w:eastAsia="宋体" w:cs="Arial"/>
      <w:color w:val="000000"/>
      <w:kern w:val="2"/>
      <w:sz w:val="24"/>
      <w:szCs w:val="24"/>
      <w:lang w:val="en-US" w:eastAsia="zh-CN" w:bidi="ar-SA"/>
    </w:rPr>
  </w:style>
  <w:style w:type="character" w:customStyle="1" w:styleId="569">
    <w:name w:val="charchar19"/>
    <w:qFormat/>
    <w:uiPriority w:val="0"/>
    <w:rPr>
      <w:rFonts w:hint="eastAsia" w:ascii="宋体" w:hAnsi="宋体" w:eastAsia="宋体"/>
      <w:b/>
      <w:bCs/>
      <w:color w:val="0000FF"/>
      <w:kern w:val="2"/>
      <w:sz w:val="24"/>
      <w:szCs w:val="24"/>
      <w:lang w:val="en-US" w:eastAsia="zh-CN" w:bidi="ar-SA"/>
    </w:rPr>
  </w:style>
  <w:style w:type="character" w:customStyle="1" w:styleId="570">
    <w:name w:val="emailstyle145"/>
    <w:qFormat/>
    <w:uiPriority w:val="0"/>
    <w:rPr>
      <w:rFonts w:eastAsia="宋体"/>
      <w:color w:val="000000"/>
      <w:kern w:val="2"/>
      <w:sz w:val="24"/>
      <w:szCs w:val="24"/>
      <w:lang w:val="en-US" w:eastAsia="zh-CN" w:bidi="ar-SA"/>
    </w:rPr>
  </w:style>
  <w:style w:type="character" w:customStyle="1" w:styleId="571">
    <w:name w:val="charchar"/>
    <w:qFormat/>
    <w:uiPriority w:val="0"/>
    <w:rPr>
      <w:rFonts w:hint="eastAsia" w:ascii="宋体" w:hAnsi="宋体" w:eastAsia="宋体"/>
      <w:kern w:val="2"/>
      <w:sz w:val="24"/>
      <w:szCs w:val="24"/>
      <w:lang w:val="en-US" w:eastAsia="zh-CN" w:bidi="ar-SA"/>
    </w:rPr>
  </w:style>
  <w:style w:type="character" w:customStyle="1" w:styleId="572">
    <w:name w:val="charchar7"/>
    <w:qFormat/>
    <w:uiPriority w:val="0"/>
    <w:rPr>
      <w:rFonts w:hint="eastAsia" w:ascii="宋体" w:hAnsi="宋体" w:eastAsia="宋体"/>
      <w:kern w:val="2"/>
      <w:sz w:val="24"/>
      <w:szCs w:val="24"/>
      <w:lang w:val="en-US" w:eastAsia="zh-CN" w:bidi="ar-SA"/>
    </w:rPr>
  </w:style>
  <w:style w:type="character" w:customStyle="1" w:styleId="573">
    <w:name w:val="EmailStyle1581"/>
    <w:qFormat/>
    <w:uiPriority w:val="0"/>
    <w:rPr>
      <w:rFonts w:ascii="Arial" w:hAnsi="Arial" w:eastAsia="宋体" w:cs="Arial"/>
      <w:color w:val="auto"/>
      <w:kern w:val="2"/>
      <w:sz w:val="18"/>
      <w:szCs w:val="20"/>
      <w:lang w:val="en-US" w:eastAsia="zh-CN" w:bidi="ar-SA"/>
    </w:rPr>
  </w:style>
  <w:style w:type="character" w:customStyle="1" w:styleId="574">
    <w:name w:val="Char Char29"/>
    <w:qFormat/>
    <w:uiPriority w:val="0"/>
    <w:rPr>
      <w:rFonts w:ascii="Arial" w:hAnsi="Arial" w:eastAsia="黑体"/>
      <w:kern w:val="2"/>
      <w:sz w:val="24"/>
      <w:lang w:val="en-US" w:eastAsia="zh-CN" w:bidi="ar-SA"/>
    </w:rPr>
  </w:style>
  <w:style w:type="character" w:customStyle="1" w:styleId="575">
    <w:name w:val="charchar9"/>
    <w:qFormat/>
    <w:uiPriority w:val="0"/>
    <w:rPr>
      <w:rFonts w:hint="eastAsia" w:ascii="宋体" w:hAnsi="宋体" w:eastAsia="宋体"/>
      <w:kern w:val="2"/>
      <w:sz w:val="24"/>
      <w:szCs w:val="24"/>
      <w:lang w:val="en-US" w:eastAsia="zh-CN" w:bidi="ar-SA"/>
    </w:rPr>
  </w:style>
  <w:style w:type="character" w:customStyle="1" w:styleId="576">
    <w:name w:val="charchar2"/>
    <w:qFormat/>
    <w:uiPriority w:val="0"/>
    <w:rPr>
      <w:rFonts w:hint="eastAsia" w:ascii="宋体" w:hAnsi="宋体" w:eastAsia="宋体"/>
      <w:kern w:val="2"/>
      <w:sz w:val="24"/>
      <w:szCs w:val="24"/>
      <w:lang w:val="en-US" w:eastAsia="zh-CN" w:bidi="ar-SA"/>
    </w:rPr>
  </w:style>
  <w:style w:type="character" w:customStyle="1" w:styleId="577">
    <w:name w:val="charchar16"/>
    <w:qFormat/>
    <w:uiPriority w:val="0"/>
    <w:rPr>
      <w:rFonts w:hint="default" w:ascii="Arial" w:hAnsi="Arial" w:eastAsia="宋体" w:cs="Arial"/>
      <w:color w:val="000000"/>
      <w:kern w:val="2"/>
      <w:sz w:val="24"/>
      <w:szCs w:val="24"/>
      <w:lang w:val="en-US" w:eastAsia="zh-CN" w:bidi="ar-SA"/>
    </w:rPr>
  </w:style>
  <w:style w:type="character" w:customStyle="1" w:styleId="578">
    <w:name w:val="Char Char26"/>
    <w:qFormat/>
    <w:uiPriority w:val="0"/>
    <w:rPr>
      <w:rFonts w:eastAsia="宋体"/>
      <w:kern w:val="2"/>
      <w:sz w:val="21"/>
      <w:lang w:val="en-US" w:eastAsia="zh-CN" w:bidi="ar-SA"/>
    </w:rPr>
  </w:style>
  <w:style w:type="character" w:customStyle="1" w:styleId="579">
    <w:name w:val="emailstyle117"/>
    <w:qFormat/>
    <w:uiPriority w:val="0"/>
    <w:rPr>
      <w:rFonts w:eastAsia="宋体"/>
      <w:color w:val="000000"/>
      <w:kern w:val="2"/>
      <w:sz w:val="24"/>
      <w:szCs w:val="24"/>
      <w:lang w:val="en-US" w:eastAsia="zh-CN" w:bidi="ar-SA"/>
    </w:rPr>
  </w:style>
  <w:style w:type="character" w:customStyle="1" w:styleId="580">
    <w:name w:val="Char Char28"/>
    <w:qFormat/>
    <w:uiPriority w:val="0"/>
    <w:rPr>
      <w:rFonts w:ascii="Arial" w:hAnsi="Arial" w:eastAsia="黑体"/>
      <w:kern w:val="2"/>
      <w:sz w:val="21"/>
      <w:lang w:val="en-US" w:eastAsia="zh-CN" w:bidi="ar-SA"/>
    </w:rPr>
  </w:style>
  <w:style w:type="character" w:customStyle="1" w:styleId="581">
    <w:name w:val="charchar18"/>
    <w:qFormat/>
    <w:uiPriority w:val="0"/>
    <w:rPr>
      <w:rFonts w:hint="eastAsia" w:ascii="宋体" w:hAnsi="宋体" w:eastAsia="宋体"/>
      <w:b/>
      <w:bCs/>
      <w:kern w:val="2"/>
      <w:sz w:val="24"/>
      <w:szCs w:val="24"/>
      <w:lang w:val="en-US" w:eastAsia="zh-CN" w:bidi="ar-SA"/>
    </w:rPr>
  </w:style>
  <w:style w:type="character" w:customStyle="1" w:styleId="582">
    <w:name w:val="标题 4 Char3"/>
    <w:qFormat/>
    <w:uiPriority w:val="0"/>
    <w:rPr>
      <w:rFonts w:ascii="Arial" w:hAnsi="Arial" w:eastAsia="黑体"/>
      <w:b/>
      <w:bCs/>
      <w:kern w:val="2"/>
      <w:sz w:val="28"/>
      <w:szCs w:val="28"/>
      <w:lang w:val="en-US" w:eastAsia="zh-CN" w:bidi="ar-SA"/>
    </w:rPr>
  </w:style>
  <w:style w:type="character" w:customStyle="1" w:styleId="583">
    <w:name w:val="应答文本 Char"/>
    <w:qFormat/>
    <w:uiPriority w:val="0"/>
    <w:rPr>
      <w:rFonts w:ascii="Arial" w:hAnsi="Arial" w:eastAsia="楷体_GB2312"/>
      <w:spacing w:val="10"/>
      <w:lang w:bidi="ar-SA"/>
    </w:rPr>
  </w:style>
  <w:style w:type="character" w:customStyle="1" w:styleId="584">
    <w:name w:val="列表框1 Char"/>
    <w:qFormat/>
    <w:uiPriority w:val="0"/>
    <w:rPr>
      <w:rFonts w:ascii="Arial" w:hAnsi="Arial"/>
      <w:spacing w:val="10"/>
      <w:sz w:val="24"/>
      <w:szCs w:val="24"/>
      <w:lang w:bidi="ar-SA"/>
    </w:rPr>
  </w:style>
  <w:style w:type="character" w:customStyle="1" w:styleId="585">
    <w:name w:val="Text Char1"/>
    <w:link w:val="586"/>
    <w:qFormat/>
    <w:uiPriority w:val="0"/>
    <w:rPr>
      <w:rFonts w:ascii="Arial" w:hAnsi="Arial"/>
      <w:sz w:val="22"/>
      <w:lang w:val="en-GB" w:eastAsia="fr-FR"/>
    </w:rPr>
  </w:style>
  <w:style w:type="paragraph" w:customStyle="1" w:styleId="586">
    <w:name w:val="Text"/>
    <w:basedOn w:val="1"/>
    <w:link w:val="585"/>
    <w:qFormat/>
    <w:uiPriority w:val="0"/>
    <w:pPr>
      <w:widowControl/>
      <w:ind w:left="1021"/>
      <w:jc w:val="left"/>
    </w:pPr>
    <w:rPr>
      <w:rFonts w:ascii="Arial" w:hAnsi="Arial"/>
      <w:kern w:val="0"/>
      <w:sz w:val="22"/>
      <w:lang w:val="en-GB" w:eastAsia="fr-FR"/>
    </w:rPr>
  </w:style>
  <w:style w:type="character" w:customStyle="1" w:styleId="587">
    <w:name w:val="样式 宋体 8 磅 加粗1"/>
    <w:qFormat/>
    <w:uiPriority w:val="0"/>
    <w:rPr>
      <w:rFonts w:ascii="宋体" w:hAnsi="宋体" w:eastAsia="宋体"/>
      <w:bCs/>
      <w:sz w:val="21"/>
    </w:rPr>
  </w:style>
  <w:style w:type="character" w:customStyle="1" w:styleId="588">
    <w:name w:val="合同正文 Char Char"/>
    <w:link w:val="589"/>
    <w:qFormat/>
    <w:uiPriority w:val="0"/>
    <w:rPr>
      <w:rFonts w:ascii="宋体" w:hAnsi="宋体"/>
      <w:spacing w:val="10"/>
      <w:szCs w:val="21"/>
    </w:rPr>
  </w:style>
  <w:style w:type="paragraph" w:customStyle="1" w:styleId="589">
    <w:name w:val="合同正文"/>
    <w:basedOn w:val="1"/>
    <w:link w:val="588"/>
    <w:qFormat/>
    <w:uiPriority w:val="0"/>
    <w:pPr>
      <w:widowControl/>
      <w:spacing w:afterLines="50" w:line="360" w:lineRule="auto"/>
      <w:ind w:firstLine="200" w:firstLineChars="200"/>
      <w:jc w:val="left"/>
    </w:pPr>
    <w:rPr>
      <w:rFonts w:ascii="宋体" w:hAnsi="宋体"/>
      <w:spacing w:val="10"/>
      <w:kern w:val="0"/>
      <w:sz w:val="20"/>
      <w:szCs w:val="21"/>
    </w:rPr>
  </w:style>
  <w:style w:type="character" w:customStyle="1" w:styleId="590">
    <w:name w:val="txt121"/>
    <w:qFormat/>
    <w:uiPriority w:val="0"/>
    <w:rPr>
      <w:rFonts w:hint="default" w:ascii="Verdana" w:hAnsi="Verdana"/>
      <w:spacing w:val="15"/>
      <w:sz w:val="18"/>
      <w:szCs w:val="18"/>
    </w:rPr>
  </w:style>
  <w:style w:type="character" w:customStyle="1" w:styleId="591">
    <w:name w:val="Default Char"/>
    <w:link w:val="265"/>
    <w:qFormat/>
    <w:uiPriority w:val="0"/>
    <w:rPr>
      <w:rFonts w:ascii="黑体" w:eastAsia="黑体" w:cs="黑体"/>
      <w:color w:val="000000"/>
      <w:sz w:val="24"/>
      <w:szCs w:val="24"/>
    </w:rPr>
  </w:style>
  <w:style w:type="character" w:customStyle="1" w:styleId="592">
    <w:name w:val="题注格式 Char"/>
    <w:link w:val="593"/>
    <w:qFormat/>
    <w:uiPriority w:val="0"/>
    <w:rPr>
      <w:rFonts w:ascii="Arial" w:hAnsi="Arial"/>
    </w:rPr>
  </w:style>
  <w:style w:type="paragraph" w:customStyle="1" w:styleId="593">
    <w:name w:val="题注格式"/>
    <w:basedOn w:val="17"/>
    <w:link w:val="592"/>
    <w:qFormat/>
    <w:uiPriority w:val="0"/>
    <w:pPr>
      <w:widowControl/>
      <w:spacing w:before="0" w:after="0" w:line="400" w:lineRule="exact"/>
      <w:jc w:val="center"/>
      <w:outlineLvl w:val="8"/>
    </w:pPr>
    <w:rPr>
      <w:rFonts w:hint="default" w:eastAsia="宋体"/>
      <w:kern w:val="0"/>
    </w:rPr>
  </w:style>
  <w:style w:type="character" w:customStyle="1" w:styleId="594">
    <w:name w:val="批注主题 Char1"/>
    <w:qFormat/>
    <w:uiPriority w:val="0"/>
    <w:rPr>
      <w:rFonts w:ascii="Calibri" w:hAnsi="Calibri" w:eastAsia="宋体" w:cs="Times New Roman"/>
      <w:b/>
      <w:bCs/>
    </w:rPr>
  </w:style>
  <w:style w:type="character" w:customStyle="1" w:styleId="595">
    <w:name w:val="正文首行缩进 Char1"/>
    <w:semiHidden/>
    <w:qFormat/>
    <w:uiPriority w:val="0"/>
  </w:style>
  <w:style w:type="character" w:customStyle="1" w:styleId="596">
    <w:name w:val="正文首行缩进 2 Char1"/>
    <w:qFormat/>
    <w:uiPriority w:val="0"/>
  </w:style>
  <w:style w:type="character" w:customStyle="1" w:styleId="597">
    <w:name w:val="引用正文 Char Char"/>
    <w:link w:val="598"/>
    <w:qFormat/>
    <w:uiPriority w:val="0"/>
    <w:rPr>
      <w:rFonts w:ascii="宋体" w:hAnsi="宋体"/>
    </w:rPr>
  </w:style>
  <w:style w:type="paragraph" w:customStyle="1" w:styleId="598">
    <w:name w:val="引用正文"/>
    <w:basedOn w:val="25"/>
    <w:link w:val="597"/>
    <w:qFormat/>
    <w:uiPriority w:val="0"/>
    <w:pPr>
      <w:overflowPunct/>
      <w:autoSpaceDE/>
      <w:autoSpaceDN/>
      <w:snapToGrid w:val="0"/>
      <w:ind w:firstLine="420" w:firstLineChars="200"/>
      <w:jc w:val="left"/>
      <w:textAlignment w:val="auto"/>
    </w:pPr>
    <w:rPr>
      <w:rFonts w:hAnsi="宋体"/>
      <w:spacing w:val="0"/>
      <w:sz w:val="20"/>
    </w:rPr>
  </w:style>
  <w:style w:type="character" w:customStyle="1" w:styleId="599">
    <w:name w:val="表文"/>
    <w:qFormat/>
    <w:uiPriority w:val="0"/>
    <w:rPr>
      <w:rFonts w:hint="default" w:ascii="Arial" w:hAnsi="Arial" w:eastAsia="宋体" w:cs="Arial"/>
      <w:spacing w:val="0"/>
      <w:kern w:val="0"/>
      <w:sz w:val="21"/>
      <w:szCs w:val="18"/>
      <w:u w:val="none"/>
      <w:vertAlign w:val="baseline"/>
    </w:rPr>
  </w:style>
  <w:style w:type="character" w:customStyle="1" w:styleId="600">
    <w:name w:val="引用 字符2"/>
    <w:link w:val="601"/>
    <w:qFormat/>
    <w:uiPriority w:val="0"/>
    <w:rPr>
      <w:i/>
      <w:sz w:val="24"/>
      <w:szCs w:val="24"/>
      <w:lang w:eastAsia="en-US" w:bidi="en-US"/>
    </w:rPr>
  </w:style>
  <w:style w:type="paragraph" w:styleId="601">
    <w:name w:val="Quote"/>
    <w:basedOn w:val="1"/>
    <w:next w:val="1"/>
    <w:link w:val="600"/>
    <w:qFormat/>
    <w:uiPriority w:val="0"/>
    <w:pPr>
      <w:widowControl/>
      <w:jc w:val="left"/>
    </w:pPr>
    <w:rPr>
      <w:i/>
      <w:kern w:val="0"/>
      <w:sz w:val="24"/>
      <w:szCs w:val="24"/>
      <w:lang w:eastAsia="en-US" w:bidi="en-US"/>
    </w:rPr>
  </w:style>
  <w:style w:type="character" w:customStyle="1" w:styleId="602">
    <w:name w:val="引用 Char1"/>
    <w:basedOn w:val="70"/>
    <w:qFormat/>
    <w:uiPriority w:val="99"/>
    <w:rPr>
      <w:i/>
      <w:iCs/>
      <w:color w:val="404040" w:themeColor="text1" w:themeTint="BF"/>
      <w:kern w:val="2"/>
      <w:sz w:val="21"/>
      <w14:textFill>
        <w14:solidFill>
          <w14:schemeClr w14:val="tx1">
            <w14:lumMod w14:val="75000"/>
            <w14:lumOff w14:val="25000"/>
          </w14:schemeClr>
        </w14:solidFill>
      </w14:textFill>
    </w:rPr>
  </w:style>
  <w:style w:type="character" w:customStyle="1" w:styleId="603">
    <w:name w:val="引用 字符"/>
    <w:basedOn w:val="70"/>
    <w:qFormat/>
    <w:uiPriority w:val="29"/>
    <w:rPr>
      <w:rFonts w:ascii="Calibri" w:hAnsi="Calibri" w:eastAsia="宋体" w:cs="Times New Roman"/>
      <w:i/>
      <w:iCs/>
      <w:color w:val="404040" w:themeColor="text1" w:themeTint="BF"/>
      <w14:textFill>
        <w14:solidFill>
          <w14:schemeClr w14:val="tx1">
            <w14:lumMod w14:val="75000"/>
            <w14:lumOff w14:val="25000"/>
          </w14:schemeClr>
        </w14:solidFill>
      </w14:textFill>
    </w:rPr>
  </w:style>
  <w:style w:type="character" w:customStyle="1" w:styleId="604">
    <w:name w:val="明显引用 字符2"/>
    <w:link w:val="605"/>
    <w:qFormat/>
    <w:uiPriority w:val="0"/>
    <w:rPr>
      <w:b/>
      <w:i/>
      <w:sz w:val="24"/>
      <w:lang w:eastAsia="en-US" w:bidi="en-US"/>
    </w:rPr>
  </w:style>
  <w:style w:type="paragraph" w:styleId="605">
    <w:name w:val="Intense Quote"/>
    <w:basedOn w:val="1"/>
    <w:next w:val="1"/>
    <w:link w:val="604"/>
    <w:qFormat/>
    <w:uiPriority w:val="0"/>
    <w:pPr>
      <w:widowControl/>
      <w:ind w:left="720" w:right="720"/>
      <w:jc w:val="left"/>
    </w:pPr>
    <w:rPr>
      <w:b/>
      <w:i/>
      <w:kern w:val="0"/>
      <w:sz w:val="24"/>
      <w:lang w:eastAsia="en-US" w:bidi="en-US"/>
    </w:rPr>
  </w:style>
  <w:style w:type="character" w:customStyle="1" w:styleId="606">
    <w:name w:val="明显引用 Char1"/>
    <w:basedOn w:val="70"/>
    <w:qFormat/>
    <w:uiPriority w:val="99"/>
    <w:rPr>
      <w:i/>
      <w:iCs/>
      <w:color w:val="4472C4" w:themeColor="accent1"/>
      <w:kern w:val="2"/>
      <w:sz w:val="21"/>
      <w14:textFill>
        <w14:solidFill>
          <w14:schemeClr w14:val="accent1"/>
        </w14:solidFill>
      </w14:textFill>
    </w:rPr>
  </w:style>
  <w:style w:type="character" w:customStyle="1" w:styleId="607">
    <w:name w:val="明显引用 字符"/>
    <w:basedOn w:val="70"/>
    <w:qFormat/>
    <w:uiPriority w:val="30"/>
    <w:rPr>
      <w:rFonts w:ascii="Calibri" w:hAnsi="Calibri" w:eastAsia="宋体" w:cs="Times New Roman"/>
      <w:i/>
      <w:iCs/>
      <w:color w:val="4472C4" w:themeColor="accent1"/>
      <w14:textFill>
        <w14:solidFill>
          <w14:schemeClr w14:val="accent1"/>
        </w14:solidFill>
      </w14:textFill>
    </w:rPr>
  </w:style>
  <w:style w:type="character" w:customStyle="1" w:styleId="608">
    <w:name w:val="明显强调1"/>
    <w:qFormat/>
    <w:uiPriority w:val="0"/>
    <w:rPr>
      <w:b/>
      <w:i/>
      <w:sz w:val="24"/>
      <w:szCs w:val="24"/>
      <w:u w:val="single"/>
    </w:rPr>
  </w:style>
  <w:style w:type="character" w:customStyle="1" w:styleId="609">
    <w:name w:val="书籍标题1"/>
    <w:qFormat/>
    <w:uiPriority w:val="0"/>
    <w:rPr>
      <w:rFonts w:ascii="Cambria" w:hAnsi="Cambria" w:eastAsia="宋体"/>
      <w:b/>
      <w:i/>
      <w:sz w:val="24"/>
      <w:szCs w:val="24"/>
    </w:rPr>
  </w:style>
  <w:style w:type="character" w:customStyle="1" w:styleId="610">
    <w:name w:val="验交标准一级 Char"/>
    <w:link w:val="611"/>
    <w:qFormat/>
    <w:uiPriority w:val="0"/>
    <w:rPr>
      <w:b/>
      <w:bCs/>
      <w:kern w:val="44"/>
      <w:sz w:val="30"/>
      <w:szCs w:val="28"/>
      <w:lang w:eastAsia="en-US" w:bidi="en-US"/>
    </w:rPr>
  </w:style>
  <w:style w:type="paragraph" w:customStyle="1" w:styleId="611">
    <w:name w:val="验交标准一级"/>
    <w:basedOn w:val="1"/>
    <w:link w:val="610"/>
    <w:qFormat/>
    <w:uiPriority w:val="0"/>
    <w:pPr>
      <w:pageBreakBefore/>
      <w:spacing w:before="200" w:after="200" w:line="360" w:lineRule="auto"/>
      <w:ind w:left="420" w:hanging="420"/>
      <w:jc w:val="center"/>
      <w:outlineLvl w:val="0"/>
    </w:pPr>
    <w:rPr>
      <w:b/>
      <w:bCs/>
      <w:kern w:val="44"/>
      <w:sz w:val="30"/>
      <w:szCs w:val="28"/>
      <w:lang w:eastAsia="en-US" w:bidi="en-US"/>
    </w:rPr>
  </w:style>
  <w:style w:type="character" w:customStyle="1" w:styleId="612">
    <w:name w:val="验交标准三级 Char"/>
    <w:link w:val="613"/>
    <w:qFormat/>
    <w:uiPriority w:val="0"/>
    <w:rPr>
      <w:rFonts w:cs="宋体"/>
      <w:b/>
      <w:bCs/>
      <w:kern w:val="44"/>
      <w:sz w:val="24"/>
      <w:szCs w:val="24"/>
      <w:lang w:val="fr-FR" w:eastAsia="en-US" w:bidi="en-US"/>
    </w:rPr>
  </w:style>
  <w:style w:type="paragraph" w:customStyle="1" w:styleId="613">
    <w:name w:val="验交标准三级"/>
    <w:basedOn w:val="273"/>
    <w:link w:val="612"/>
    <w:qFormat/>
    <w:uiPriority w:val="0"/>
    <w:pPr>
      <w:widowControl/>
      <w:tabs>
        <w:tab w:val="left" w:pos="1260"/>
      </w:tabs>
      <w:ind w:left="1260" w:hanging="420"/>
      <w:outlineLvl w:val="2"/>
    </w:pPr>
    <w:rPr>
      <w:rFonts w:ascii="Times New Roman" w:cs="宋体"/>
      <w:b/>
      <w:bCs/>
      <w:kern w:val="44"/>
      <w:szCs w:val="24"/>
      <w:lang w:val="fr-FR" w:eastAsia="en-US" w:bidi="en-US"/>
    </w:rPr>
  </w:style>
  <w:style w:type="character" w:customStyle="1" w:styleId="614">
    <w:name w:val="样式 初号 加粗"/>
    <w:qFormat/>
    <w:uiPriority w:val="0"/>
    <w:rPr>
      <w:rFonts w:eastAsia="宋体"/>
      <w:b/>
      <w:bCs/>
      <w:kern w:val="2"/>
      <w:sz w:val="84"/>
      <w:szCs w:val="24"/>
      <w:lang w:val="en-US" w:eastAsia="zh-CN" w:bidi="ar-SA"/>
    </w:rPr>
  </w:style>
  <w:style w:type="character" w:customStyle="1" w:styleId="615">
    <w:name w:val="Char Char61"/>
    <w:qFormat/>
    <w:uiPriority w:val="0"/>
    <w:rPr>
      <w:smallCaps/>
      <w:sz w:val="52"/>
      <w:szCs w:val="52"/>
    </w:rPr>
  </w:style>
  <w:style w:type="character" w:customStyle="1" w:styleId="616">
    <w:name w:val="样式1 Char Char"/>
    <w:qFormat/>
    <w:uiPriority w:val="0"/>
    <w:rPr>
      <w:b/>
      <w:bCs/>
      <w:kern w:val="44"/>
      <w:sz w:val="24"/>
      <w:szCs w:val="28"/>
      <w:lang w:eastAsia="en-US" w:bidi="en-US"/>
    </w:rPr>
  </w:style>
  <w:style w:type="character" w:customStyle="1" w:styleId="617">
    <w:name w:val="标题 7 Char1"/>
    <w:semiHidden/>
    <w:qFormat/>
    <w:uiPriority w:val="0"/>
    <w:rPr>
      <w:b/>
      <w:bCs/>
      <w:kern w:val="2"/>
      <w:sz w:val="24"/>
      <w:szCs w:val="24"/>
    </w:rPr>
  </w:style>
  <w:style w:type="character" w:customStyle="1" w:styleId="618">
    <w:name w:val="new-text1"/>
    <w:qFormat/>
    <w:uiPriority w:val="0"/>
    <w:rPr>
      <w:sz w:val="22"/>
      <w:szCs w:val="22"/>
    </w:rPr>
  </w:style>
  <w:style w:type="character" w:customStyle="1" w:styleId="619">
    <w:name w:val="标题 4 Char1"/>
    <w:qFormat/>
    <w:uiPriority w:val="0"/>
    <w:rPr>
      <w:rFonts w:ascii="Arial" w:hAnsi="Arial" w:eastAsia="宋体" w:cs="Times New Roman"/>
      <w:b/>
      <w:bCs/>
      <w:kern w:val="0"/>
      <w:sz w:val="20"/>
      <w:szCs w:val="21"/>
    </w:rPr>
  </w:style>
  <w:style w:type="character" w:customStyle="1" w:styleId="620">
    <w:name w:val="Char Char12"/>
    <w:qFormat/>
    <w:uiPriority w:val="99"/>
    <w:rPr>
      <w:rFonts w:ascii="Times New Roman" w:hAnsi="Times New Roman" w:eastAsia="宋体" w:cs="Times New Roman"/>
      <w:szCs w:val="20"/>
    </w:rPr>
  </w:style>
  <w:style w:type="character" w:customStyle="1" w:styleId="621">
    <w:name w:val="ca-1"/>
    <w:qFormat/>
    <w:uiPriority w:val="0"/>
    <w:rPr>
      <w:rFonts w:ascii="Tahoma" w:hAnsi="Tahoma"/>
      <w:sz w:val="24"/>
    </w:rPr>
  </w:style>
  <w:style w:type="character" w:customStyle="1" w:styleId="622">
    <w:name w:val="Char Char10"/>
    <w:qFormat/>
    <w:uiPriority w:val="99"/>
    <w:rPr>
      <w:rFonts w:hint="eastAsia" w:ascii="宋体" w:hAnsi="Times New Roman" w:eastAsia="宋体"/>
      <w:kern w:val="0"/>
      <w:sz w:val="24"/>
    </w:rPr>
  </w:style>
  <w:style w:type="character" w:customStyle="1" w:styleId="623">
    <w:name w:val="fontp1"/>
    <w:qFormat/>
    <w:uiPriority w:val="99"/>
    <w:rPr>
      <w:rFonts w:hint="eastAsia" w:ascii="宋体" w:hAnsi="宋体" w:eastAsia="宋体"/>
      <w:kern w:val="0"/>
      <w:sz w:val="18"/>
      <w:lang w:eastAsia="en-US"/>
    </w:rPr>
  </w:style>
  <w:style w:type="character" w:customStyle="1" w:styleId="624">
    <w:name w:val="Plain Text Char1"/>
    <w:semiHidden/>
    <w:qFormat/>
    <w:uiPriority w:val="99"/>
    <w:rPr>
      <w:rFonts w:hint="eastAsia" w:ascii="宋体" w:hAnsi="Courier New" w:eastAsia="宋体" w:cs="Courier New"/>
      <w:szCs w:val="21"/>
    </w:rPr>
  </w:style>
  <w:style w:type="character" w:customStyle="1" w:styleId="625">
    <w:name w:val="纯文本 Char4"/>
    <w:qFormat/>
    <w:uiPriority w:val="99"/>
    <w:rPr>
      <w:rFonts w:ascii="宋体" w:hAnsi="Courier New" w:cs="Courier New"/>
      <w:kern w:val="2"/>
      <w:sz w:val="21"/>
      <w:szCs w:val="21"/>
    </w:rPr>
  </w:style>
  <w:style w:type="character" w:customStyle="1" w:styleId="626">
    <w:name w:val="标准正文 Char Char"/>
    <w:qFormat/>
    <w:uiPriority w:val="0"/>
    <w:rPr>
      <w:szCs w:val="24"/>
    </w:rPr>
  </w:style>
  <w:style w:type="character" w:customStyle="1" w:styleId="627">
    <w:name w:val="HTML 预设格式 Char1"/>
    <w:semiHidden/>
    <w:qFormat/>
    <w:uiPriority w:val="99"/>
    <w:rPr>
      <w:rFonts w:ascii="Courier New" w:hAnsi="Courier New" w:cs="Courier New"/>
      <w:kern w:val="2"/>
    </w:rPr>
  </w:style>
  <w:style w:type="character" w:customStyle="1" w:styleId="628">
    <w:name w:val="批注框文本 Char2"/>
    <w:semiHidden/>
    <w:qFormat/>
    <w:uiPriority w:val="99"/>
    <w:rPr>
      <w:sz w:val="18"/>
      <w:szCs w:val="18"/>
    </w:rPr>
  </w:style>
  <w:style w:type="character" w:customStyle="1" w:styleId="629">
    <w:name w:val="HTML 预设格式 Char2"/>
    <w:semiHidden/>
    <w:qFormat/>
    <w:uiPriority w:val="99"/>
    <w:rPr>
      <w:rFonts w:ascii="Courier New" w:hAnsi="Courier New" w:cs="Courier New"/>
      <w:sz w:val="20"/>
      <w:szCs w:val="20"/>
    </w:rPr>
  </w:style>
  <w:style w:type="character" w:customStyle="1" w:styleId="630">
    <w:name w:val="p141"/>
    <w:qFormat/>
    <w:uiPriority w:val="99"/>
    <w:rPr>
      <w:sz w:val="21"/>
      <w:szCs w:val="21"/>
    </w:rPr>
  </w:style>
  <w:style w:type="character" w:customStyle="1" w:styleId="631">
    <w:name w:val="正文文本缩进 3 Char3"/>
    <w:qFormat/>
    <w:uiPriority w:val="99"/>
    <w:rPr>
      <w:kern w:val="2"/>
      <w:sz w:val="16"/>
      <w:szCs w:val="16"/>
    </w:rPr>
  </w:style>
  <w:style w:type="character" w:customStyle="1" w:styleId="632">
    <w:name w:val="日期 Char2"/>
    <w:semiHidden/>
    <w:qFormat/>
    <w:uiPriority w:val="99"/>
  </w:style>
  <w:style w:type="character" w:customStyle="1" w:styleId="633">
    <w:name w:val="正文文本 Char2"/>
    <w:semiHidden/>
    <w:qFormat/>
    <w:uiPriority w:val="99"/>
  </w:style>
  <w:style w:type="character" w:customStyle="1" w:styleId="634">
    <w:name w:val="ll1"/>
    <w:qFormat/>
    <w:uiPriority w:val="99"/>
    <w:rPr>
      <w:spacing w:val="31680"/>
    </w:rPr>
  </w:style>
  <w:style w:type="character" w:customStyle="1" w:styleId="635">
    <w:name w:val="尾注文本 Char1"/>
    <w:qFormat/>
    <w:uiPriority w:val="99"/>
    <w:rPr>
      <w:kern w:val="2"/>
      <w:sz w:val="21"/>
      <w:szCs w:val="22"/>
    </w:rPr>
  </w:style>
  <w:style w:type="character" w:customStyle="1" w:styleId="636">
    <w:name w:val="wf1"/>
    <w:qFormat/>
    <w:uiPriority w:val="99"/>
    <w:rPr>
      <w:rFonts w:hint="eastAsia" w:ascii="宋体" w:hAnsi="宋体" w:eastAsia="宋体"/>
      <w:sz w:val="24"/>
    </w:rPr>
  </w:style>
  <w:style w:type="character" w:customStyle="1" w:styleId="637">
    <w:name w:val="Char Char201"/>
    <w:qFormat/>
    <w:uiPriority w:val="99"/>
    <w:rPr>
      <w:rFonts w:hint="eastAsia" w:ascii="宋体" w:hAnsi="Times New Roman" w:eastAsia="宋体"/>
      <w:kern w:val="0"/>
      <w:sz w:val="24"/>
    </w:rPr>
  </w:style>
  <w:style w:type="character" w:customStyle="1" w:styleId="638">
    <w:name w:val="正文文本 2 Char2"/>
    <w:semiHidden/>
    <w:qFormat/>
    <w:uiPriority w:val="99"/>
  </w:style>
  <w:style w:type="character" w:customStyle="1" w:styleId="639">
    <w:name w:val="正文文本 2 Char1"/>
    <w:semiHidden/>
    <w:qFormat/>
    <w:uiPriority w:val="99"/>
    <w:rPr>
      <w:kern w:val="2"/>
      <w:sz w:val="21"/>
      <w:szCs w:val="22"/>
    </w:rPr>
  </w:style>
  <w:style w:type="character" w:customStyle="1" w:styleId="640">
    <w:name w:val="正文文本缩进 2 Char3"/>
    <w:qFormat/>
    <w:uiPriority w:val="99"/>
    <w:rPr>
      <w:kern w:val="2"/>
      <w:sz w:val="21"/>
      <w:szCs w:val="22"/>
    </w:rPr>
  </w:style>
  <w:style w:type="character" w:customStyle="1" w:styleId="641">
    <w:name w:val="日期 Char3"/>
    <w:qFormat/>
    <w:uiPriority w:val="99"/>
    <w:rPr>
      <w:kern w:val="2"/>
      <w:sz w:val="21"/>
      <w:szCs w:val="22"/>
    </w:rPr>
  </w:style>
  <w:style w:type="character" w:customStyle="1" w:styleId="642">
    <w:name w:val="文档结构图 Char2"/>
    <w:qFormat/>
    <w:uiPriority w:val="99"/>
    <w:rPr>
      <w:rFonts w:ascii="宋体" w:eastAsia="宋体"/>
      <w:sz w:val="18"/>
      <w:szCs w:val="18"/>
    </w:rPr>
  </w:style>
  <w:style w:type="character" w:customStyle="1" w:styleId="643">
    <w:name w:val="批注框文本 Char3"/>
    <w:semiHidden/>
    <w:qFormat/>
    <w:uiPriority w:val="99"/>
    <w:rPr>
      <w:kern w:val="2"/>
      <w:sz w:val="18"/>
      <w:szCs w:val="18"/>
    </w:rPr>
  </w:style>
  <w:style w:type="character" w:customStyle="1" w:styleId="644">
    <w:name w:val="正文文本 2 Char3"/>
    <w:qFormat/>
    <w:uiPriority w:val="99"/>
    <w:rPr>
      <w:kern w:val="2"/>
      <w:sz w:val="21"/>
      <w:szCs w:val="22"/>
    </w:rPr>
  </w:style>
  <w:style w:type="character" w:customStyle="1" w:styleId="645">
    <w:name w:val="正文文本 3 Char3"/>
    <w:qFormat/>
    <w:uiPriority w:val="99"/>
    <w:rPr>
      <w:kern w:val="2"/>
      <w:sz w:val="16"/>
      <w:szCs w:val="16"/>
    </w:rPr>
  </w:style>
  <w:style w:type="character" w:customStyle="1" w:styleId="646">
    <w:name w:val="Char Char8"/>
    <w:qFormat/>
    <w:uiPriority w:val="99"/>
    <w:rPr>
      <w:rFonts w:hint="eastAsia" w:ascii="宋体" w:hAnsi="Times New Roman" w:eastAsia="宋体"/>
      <w:kern w:val="0"/>
      <w:sz w:val="24"/>
    </w:rPr>
  </w:style>
  <w:style w:type="character" w:customStyle="1" w:styleId="647">
    <w:name w:val="正文文本缩进 Char3"/>
    <w:qFormat/>
    <w:uiPriority w:val="99"/>
    <w:rPr>
      <w:kern w:val="2"/>
      <w:sz w:val="21"/>
      <w:szCs w:val="22"/>
    </w:rPr>
  </w:style>
  <w:style w:type="character" w:customStyle="1" w:styleId="648">
    <w:name w:val="正文文本 3 Char2"/>
    <w:semiHidden/>
    <w:qFormat/>
    <w:uiPriority w:val="99"/>
    <w:rPr>
      <w:sz w:val="16"/>
      <w:szCs w:val="16"/>
    </w:rPr>
  </w:style>
  <w:style w:type="character" w:customStyle="1" w:styleId="649">
    <w:name w:val="批注主题 Char2"/>
    <w:semiHidden/>
    <w:qFormat/>
    <w:uiPriority w:val="99"/>
    <w:rPr>
      <w:b/>
      <w:bCs/>
    </w:rPr>
  </w:style>
  <w:style w:type="character" w:customStyle="1" w:styleId="650">
    <w:name w:val="文档结构图 Char4"/>
    <w:semiHidden/>
    <w:qFormat/>
    <w:uiPriority w:val="99"/>
    <w:rPr>
      <w:rFonts w:ascii="宋体" w:eastAsia="宋体"/>
      <w:sz w:val="18"/>
      <w:szCs w:val="18"/>
    </w:rPr>
  </w:style>
  <w:style w:type="character" w:customStyle="1" w:styleId="651">
    <w:name w:val="纯文本 Char5"/>
    <w:semiHidden/>
    <w:qFormat/>
    <w:uiPriority w:val="99"/>
    <w:rPr>
      <w:rFonts w:ascii="宋体" w:hAnsi="Courier New" w:eastAsia="宋体" w:cs="Courier New"/>
      <w:szCs w:val="21"/>
    </w:rPr>
  </w:style>
  <w:style w:type="character" w:customStyle="1" w:styleId="652">
    <w:name w:val="HTML 预设格式 Char4"/>
    <w:semiHidden/>
    <w:qFormat/>
    <w:uiPriority w:val="99"/>
    <w:rPr>
      <w:rFonts w:ascii="Courier New" w:hAnsi="Courier New" w:cs="Courier New"/>
      <w:sz w:val="20"/>
      <w:szCs w:val="20"/>
    </w:rPr>
  </w:style>
  <w:style w:type="character" w:customStyle="1" w:styleId="653">
    <w:name w:val="尾注文本 Char2"/>
    <w:semiHidden/>
    <w:qFormat/>
    <w:uiPriority w:val="99"/>
  </w:style>
  <w:style w:type="character" w:customStyle="1" w:styleId="654">
    <w:name w:val="脚注文本 Char2"/>
    <w:semiHidden/>
    <w:qFormat/>
    <w:uiPriority w:val="99"/>
    <w:rPr>
      <w:sz w:val="18"/>
      <w:szCs w:val="18"/>
    </w:rPr>
  </w:style>
  <w:style w:type="character" w:customStyle="1" w:styleId="655">
    <w:name w:val="正文文本 3 Char4"/>
    <w:semiHidden/>
    <w:qFormat/>
    <w:uiPriority w:val="99"/>
    <w:rPr>
      <w:sz w:val="16"/>
      <w:szCs w:val="16"/>
    </w:rPr>
  </w:style>
  <w:style w:type="character" w:customStyle="1" w:styleId="656">
    <w:name w:val="Footer Char"/>
    <w:semiHidden/>
    <w:qFormat/>
    <w:locked/>
    <w:uiPriority w:val="99"/>
    <w:rPr>
      <w:sz w:val="18"/>
      <w:szCs w:val="18"/>
    </w:rPr>
  </w:style>
  <w:style w:type="character" w:customStyle="1" w:styleId="657">
    <w:name w:val="标题 1 字符1"/>
    <w:qFormat/>
    <w:uiPriority w:val="0"/>
    <w:rPr>
      <w:rFonts w:ascii="Times New Roman" w:hAnsi="Times New Roman" w:eastAsia="黑体" w:cs="Times New Roman"/>
      <w:color w:val="FF0000"/>
      <w:kern w:val="24"/>
      <w:sz w:val="28"/>
      <w:szCs w:val="20"/>
    </w:rPr>
  </w:style>
  <w:style w:type="character" w:customStyle="1" w:styleId="658">
    <w:name w:val="标题 2 字符1"/>
    <w:qFormat/>
    <w:uiPriority w:val="0"/>
    <w:rPr>
      <w:rFonts w:ascii="Arial" w:hAnsi="Arial" w:eastAsia="黑体" w:cs="Times New Roman"/>
      <w:b/>
      <w:color w:val="0000FF"/>
      <w:kern w:val="0"/>
      <w:sz w:val="24"/>
      <w:szCs w:val="20"/>
    </w:rPr>
  </w:style>
  <w:style w:type="character" w:customStyle="1" w:styleId="659">
    <w:name w:val="标题 3 字符1"/>
    <w:qFormat/>
    <w:uiPriority w:val="0"/>
    <w:rPr>
      <w:rFonts w:ascii="Times New Roman" w:hAnsi="Times New Roman" w:eastAsia="宋体" w:cs="Times New Roman"/>
      <w:b/>
      <w:bCs/>
      <w:kern w:val="0"/>
      <w:sz w:val="32"/>
      <w:szCs w:val="32"/>
    </w:rPr>
  </w:style>
  <w:style w:type="character" w:customStyle="1" w:styleId="660">
    <w:name w:val="标题 4 字符1"/>
    <w:qFormat/>
    <w:uiPriority w:val="0"/>
    <w:rPr>
      <w:rFonts w:ascii="Arial" w:hAnsi="Arial" w:eastAsia="宋体" w:cs="Times New Roman"/>
      <w:color w:val="000000"/>
      <w:kern w:val="0"/>
      <w:sz w:val="24"/>
      <w:szCs w:val="24"/>
    </w:rPr>
  </w:style>
  <w:style w:type="character" w:customStyle="1" w:styleId="661">
    <w:name w:val="标题 5 字符1"/>
    <w:qFormat/>
    <w:uiPriority w:val="0"/>
    <w:rPr>
      <w:rFonts w:ascii="宋体" w:hAnsi="Arial" w:eastAsia="宋体" w:cs="宋体"/>
      <w:kern w:val="0"/>
      <w:sz w:val="20"/>
      <w:szCs w:val="20"/>
    </w:rPr>
  </w:style>
  <w:style w:type="character" w:customStyle="1" w:styleId="662">
    <w:name w:val="标题 6 字符1"/>
    <w:qFormat/>
    <w:uiPriority w:val="0"/>
    <w:rPr>
      <w:rFonts w:ascii="Arial" w:hAnsi="Arial" w:eastAsia="黑体" w:cs="Times New Roman"/>
      <w:b/>
      <w:bCs/>
      <w:kern w:val="0"/>
      <w:sz w:val="24"/>
      <w:szCs w:val="24"/>
    </w:rPr>
  </w:style>
  <w:style w:type="character" w:customStyle="1" w:styleId="663">
    <w:name w:val="标题 7 字符1"/>
    <w:qFormat/>
    <w:uiPriority w:val="99"/>
    <w:rPr>
      <w:rFonts w:ascii="Times New Roman" w:hAnsi="Times New Roman" w:eastAsia="宋体" w:cs="Times New Roman"/>
      <w:b/>
      <w:kern w:val="0"/>
      <w:sz w:val="24"/>
      <w:szCs w:val="20"/>
    </w:rPr>
  </w:style>
  <w:style w:type="character" w:customStyle="1" w:styleId="664">
    <w:name w:val="标题 8 字符1"/>
    <w:qFormat/>
    <w:uiPriority w:val="99"/>
    <w:rPr>
      <w:rFonts w:ascii="Arial" w:hAnsi="Arial" w:eastAsia="黑体" w:cs="Times New Roman"/>
      <w:kern w:val="0"/>
      <w:sz w:val="24"/>
      <w:szCs w:val="20"/>
    </w:rPr>
  </w:style>
  <w:style w:type="character" w:customStyle="1" w:styleId="665">
    <w:name w:val="标题 9 字符1"/>
    <w:qFormat/>
    <w:uiPriority w:val="99"/>
    <w:rPr>
      <w:rFonts w:ascii="Arial" w:hAnsi="Arial" w:eastAsia="黑体" w:cs="Times New Roman"/>
      <w:kern w:val="0"/>
      <w:sz w:val="20"/>
      <w:szCs w:val="20"/>
    </w:rPr>
  </w:style>
  <w:style w:type="character" w:customStyle="1" w:styleId="666">
    <w:name w:val="页眉 字符1"/>
    <w:qFormat/>
    <w:locked/>
    <w:uiPriority w:val="99"/>
    <w:rPr>
      <w:rFonts w:ascii="Times New Roman" w:hAnsi="Times New Roman"/>
      <w:sz w:val="18"/>
      <w:szCs w:val="18"/>
    </w:rPr>
  </w:style>
  <w:style w:type="character" w:customStyle="1" w:styleId="667">
    <w:name w:val="尾注文本 字符1"/>
    <w:qFormat/>
    <w:uiPriority w:val="99"/>
    <w:rPr>
      <w:rFonts w:ascii="Calibri" w:hAnsi="Calibri" w:eastAsia="宋体" w:cs="Times New Roman"/>
      <w:kern w:val="0"/>
      <w:sz w:val="24"/>
      <w:szCs w:val="24"/>
    </w:rPr>
  </w:style>
  <w:style w:type="character" w:customStyle="1" w:styleId="668">
    <w:name w:val="标题 字符1"/>
    <w:qFormat/>
    <w:uiPriority w:val="99"/>
    <w:rPr>
      <w:rFonts w:ascii="Cambria" w:hAnsi="Cambria" w:eastAsia="宋体" w:cs="Times New Roman"/>
      <w:b/>
      <w:bCs/>
      <w:kern w:val="0"/>
      <w:sz w:val="32"/>
      <w:szCs w:val="32"/>
    </w:rPr>
  </w:style>
  <w:style w:type="character" w:customStyle="1" w:styleId="669">
    <w:name w:val="日期 字符1"/>
    <w:qFormat/>
    <w:uiPriority w:val="99"/>
    <w:rPr>
      <w:rFonts w:ascii="宋体" w:hAnsi="Times New Roman" w:eastAsia="宋体" w:cs="Times New Roman"/>
      <w:kern w:val="0"/>
      <w:sz w:val="28"/>
      <w:szCs w:val="20"/>
    </w:rPr>
  </w:style>
  <w:style w:type="character" w:customStyle="1" w:styleId="670">
    <w:name w:val="正文文本缩进 3 字符1"/>
    <w:qFormat/>
    <w:uiPriority w:val="99"/>
    <w:rPr>
      <w:rFonts w:ascii="Times New Roman" w:hAnsi="Times New Roman" w:eastAsia="宋体" w:cs="Times New Roman"/>
      <w:kern w:val="0"/>
      <w:sz w:val="24"/>
      <w:szCs w:val="20"/>
    </w:rPr>
  </w:style>
  <w:style w:type="character" w:customStyle="1" w:styleId="671">
    <w:name w:val="文档结构图 字符1"/>
    <w:qFormat/>
    <w:uiPriority w:val="99"/>
    <w:rPr>
      <w:rFonts w:ascii="Times New Roman" w:hAnsi="Times New Roman" w:eastAsia="宋体" w:cs="Times New Roman"/>
      <w:kern w:val="0"/>
      <w:sz w:val="20"/>
      <w:szCs w:val="24"/>
      <w:shd w:val="clear" w:color="auto" w:fill="000080"/>
    </w:rPr>
  </w:style>
  <w:style w:type="character" w:customStyle="1" w:styleId="672">
    <w:name w:val="纯文本 字符1"/>
    <w:qFormat/>
    <w:uiPriority w:val="99"/>
    <w:rPr>
      <w:rFonts w:ascii="宋体" w:hAnsi="Courier New" w:eastAsia="宋体" w:cs="Times New Roman"/>
      <w:kern w:val="0"/>
      <w:sz w:val="20"/>
      <w:szCs w:val="21"/>
    </w:rPr>
  </w:style>
  <w:style w:type="character" w:customStyle="1" w:styleId="673">
    <w:name w:val="2、需求书正文 Char"/>
    <w:link w:val="674"/>
    <w:qFormat/>
    <w:locked/>
    <w:uiPriority w:val="0"/>
    <w:rPr>
      <w:sz w:val="24"/>
      <w:szCs w:val="21"/>
    </w:rPr>
  </w:style>
  <w:style w:type="paragraph" w:customStyle="1" w:styleId="674">
    <w:name w:val="2、需求书正文"/>
    <w:basedOn w:val="1"/>
    <w:link w:val="673"/>
    <w:qFormat/>
    <w:uiPriority w:val="0"/>
    <w:pPr>
      <w:widowControl/>
      <w:adjustRightInd w:val="0"/>
      <w:snapToGrid w:val="0"/>
      <w:spacing w:line="288" w:lineRule="auto"/>
      <w:ind w:firstLine="420" w:firstLineChars="200"/>
      <w:jc w:val="left"/>
    </w:pPr>
    <w:rPr>
      <w:kern w:val="0"/>
      <w:sz w:val="24"/>
      <w:szCs w:val="21"/>
    </w:rPr>
  </w:style>
  <w:style w:type="character" w:customStyle="1" w:styleId="675">
    <w:name w:val="1、需求书标题2 Char"/>
    <w:link w:val="676"/>
    <w:qFormat/>
    <w:locked/>
    <w:uiPriority w:val="0"/>
    <w:rPr>
      <w:b/>
      <w:sz w:val="28"/>
    </w:rPr>
  </w:style>
  <w:style w:type="paragraph" w:customStyle="1" w:styleId="676">
    <w:name w:val="1、需求书标题2"/>
    <w:next w:val="1"/>
    <w:link w:val="675"/>
    <w:qFormat/>
    <w:uiPriority w:val="0"/>
    <w:pPr>
      <w:adjustRightInd w:val="0"/>
      <w:snapToGrid w:val="0"/>
      <w:spacing w:line="360" w:lineRule="auto"/>
    </w:pPr>
    <w:rPr>
      <w:rFonts w:ascii="Times New Roman" w:hAnsi="Times New Roman" w:eastAsia="宋体" w:cs="Times New Roman"/>
      <w:b/>
      <w:sz w:val="28"/>
      <w:lang w:val="en-US" w:eastAsia="zh-CN" w:bidi="ar-SA"/>
    </w:rPr>
  </w:style>
  <w:style w:type="character" w:customStyle="1" w:styleId="677">
    <w:name w:val="脚注文本 Char3"/>
    <w:semiHidden/>
    <w:qFormat/>
    <w:uiPriority w:val="99"/>
    <w:rPr>
      <w:kern w:val="2"/>
      <w:sz w:val="18"/>
      <w:szCs w:val="18"/>
    </w:rPr>
  </w:style>
  <w:style w:type="character" w:customStyle="1" w:styleId="678">
    <w:name w:val="页脚 Char3"/>
    <w:semiHidden/>
    <w:qFormat/>
    <w:uiPriority w:val="99"/>
    <w:rPr>
      <w:rFonts w:hint="default" w:ascii="Times New Roman" w:hAnsi="Times New Roman" w:eastAsia="宋体" w:cs="Times New Roman"/>
      <w:sz w:val="18"/>
      <w:szCs w:val="18"/>
    </w:rPr>
  </w:style>
  <w:style w:type="character" w:customStyle="1" w:styleId="679">
    <w:name w:val="纯文本 Char8"/>
    <w:semiHidden/>
    <w:qFormat/>
    <w:uiPriority w:val="99"/>
    <w:rPr>
      <w:rFonts w:hint="eastAsia" w:ascii="宋体" w:hAnsi="Courier New" w:eastAsia="宋体" w:cs="Courier New"/>
      <w:szCs w:val="21"/>
    </w:rPr>
  </w:style>
  <w:style w:type="character" w:customStyle="1" w:styleId="680">
    <w:name w:val="纯文本 Char7"/>
    <w:semiHidden/>
    <w:qFormat/>
    <w:uiPriority w:val="99"/>
    <w:rPr>
      <w:rFonts w:hint="eastAsia" w:ascii="宋体" w:hAnsi="Courier New" w:eastAsia="宋体" w:cs="Courier New"/>
      <w:kern w:val="2"/>
      <w:sz w:val="21"/>
      <w:szCs w:val="21"/>
    </w:rPr>
  </w:style>
  <w:style w:type="character" w:customStyle="1" w:styleId="681">
    <w:name w:val="文档结构图 Char6"/>
    <w:semiHidden/>
    <w:qFormat/>
    <w:uiPriority w:val="99"/>
    <w:rPr>
      <w:rFonts w:hint="eastAsia" w:ascii="宋体" w:hAnsi="宋体" w:eastAsia="宋体"/>
      <w:kern w:val="2"/>
      <w:sz w:val="18"/>
      <w:szCs w:val="18"/>
    </w:rPr>
  </w:style>
  <w:style w:type="character" w:customStyle="1" w:styleId="682">
    <w:name w:val="文档结构图 Char5"/>
    <w:semiHidden/>
    <w:qFormat/>
    <w:uiPriority w:val="99"/>
    <w:rPr>
      <w:rFonts w:hint="eastAsia" w:ascii="宋体" w:hAnsi="宋体" w:eastAsia="宋体"/>
      <w:kern w:val="2"/>
      <w:sz w:val="18"/>
      <w:szCs w:val="18"/>
    </w:rPr>
  </w:style>
  <w:style w:type="character" w:customStyle="1" w:styleId="683">
    <w:name w:val="批注主题 Char4"/>
    <w:semiHidden/>
    <w:qFormat/>
    <w:uiPriority w:val="99"/>
    <w:rPr>
      <w:b/>
      <w:bCs/>
      <w:kern w:val="2"/>
      <w:sz w:val="21"/>
      <w:szCs w:val="22"/>
    </w:rPr>
  </w:style>
  <w:style w:type="character" w:customStyle="1" w:styleId="684">
    <w:name w:val="正文文本缩进 Char5"/>
    <w:semiHidden/>
    <w:qFormat/>
    <w:uiPriority w:val="99"/>
    <w:rPr>
      <w:kern w:val="2"/>
      <w:sz w:val="21"/>
      <w:szCs w:val="22"/>
    </w:rPr>
  </w:style>
  <w:style w:type="character" w:customStyle="1" w:styleId="685">
    <w:name w:val="文档结构图 Char7"/>
    <w:semiHidden/>
    <w:qFormat/>
    <w:uiPriority w:val="99"/>
    <w:rPr>
      <w:rFonts w:hint="eastAsia" w:ascii="宋体" w:hAnsi="宋体" w:eastAsia="宋体"/>
      <w:sz w:val="18"/>
      <w:szCs w:val="18"/>
    </w:rPr>
  </w:style>
  <w:style w:type="character" w:customStyle="1" w:styleId="686">
    <w:name w:val="正文文本 3 Char7"/>
    <w:semiHidden/>
    <w:qFormat/>
    <w:uiPriority w:val="99"/>
    <w:rPr>
      <w:sz w:val="16"/>
      <w:szCs w:val="16"/>
    </w:rPr>
  </w:style>
  <w:style w:type="character" w:customStyle="1" w:styleId="687">
    <w:name w:val="正文文本 Char6"/>
    <w:semiHidden/>
    <w:qFormat/>
    <w:uiPriority w:val="99"/>
    <w:rPr>
      <w:kern w:val="2"/>
      <w:sz w:val="21"/>
      <w:szCs w:val="22"/>
    </w:rPr>
  </w:style>
  <w:style w:type="character" w:customStyle="1" w:styleId="688">
    <w:name w:val="正文文本缩进 Char7"/>
    <w:semiHidden/>
    <w:qFormat/>
    <w:uiPriority w:val="99"/>
  </w:style>
  <w:style w:type="character" w:customStyle="1" w:styleId="689">
    <w:name w:val="HTML 预设格式 Char5"/>
    <w:semiHidden/>
    <w:qFormat/>
    <w:uiPriority w:val="99"/>
    <w:rPr>
      <w:rFonts w:hint="default" w:ascii="Courier New" w:hAnsi="Courier New" w:cs="Courier New"/>
      <w:kern w:val="2"/>
    </w:rPr>
  </w:style>
  <w:style w:type="character" w:customStyle="1" w:styleId="690">
    <w:name w:val="日期 Char5"/>
    <w:semiHidden/>
    <w:qFormat/>
    <w:uiPriority w:val="99"/>
    <w:rPr>
      <w:kern w:val="2"/>
      <w:sz w:val="21"/>
      <w:szCs w:val="22"/>
    </w:rPr>
  </w:style>
  <w:style w:type="character" w:customStyle="1" w:styleId="691">
    <w:name w:val="脚注文本 Char4"/>
    <w:semiHidden/>
    <w:qFormat/>
    <w:uiPriority w:val="99"/>
    <w:rPr>
      <w:kern w:val="2"/>
      <w:sz w:val="18"/>
      <w:szCs w:val="18"/>
    </w:rPr>
  </w:style>
  <w:style w:type="character" w:customStyle="1" w:styleId="692">
    <w:name w:val="尾注文本 Char4"/>
    <w:semiHidden/>
    <w:qFormat/>
    <w:uiPriority w:val="99"/>
    <w:rPr>
      <w:kern w:val="2"/>
      <w:sz w:val="21"/>
      <w:szCs w:val="22"/>
    </w:rPr>
  </w:style>
  <w:style w:type="character" w:customStyle="1" w:styleId="693">
    <w:name w:val="正文文本 3 Char6"/>
    <w:semiHidden/>
    <w:qFormat/>
    <w:uiPriority w:val="99"/>
    <w:rPr>
      <w:kern w:val="2"/>
      <w:sz w:val="16"/>
      <w:szCs w:val="16"/>
    </w:rPr>
  </w:style>
  <w:style w:type="character" w:customStyle="1" w:styleId="694">
    <w:name w:val="页眉 Char4"/>
    <w:semiHidden/>
    <w:qFormat/>
    <w:uiPriority w:val="99"/>
    <w:rPr>
      <w:kern w:val="2"/>
      <w:sz w:val="18"/>
      <w:szCs w:val="18"/>
    </w:rPr>
  </w:style>
  <w:style w:type="character" w:customStyle="1" w:styleId="695">
    <w:name w:val="批注文字 Char4"/>
    <w:qFormat/>
    <w:uiPriority w:val="99"/>
    <w:rPr>
      <w:kern w:val="2"/>
      <w:sz w:val="21"/>
      <w:szCs w:val="22"/>
    </w:rPr>
  </w:style>
  <w:style w:type="character" w:customStyle="1" w:styleId="696">
    <w:name w:val="页脚 Char5"/>
    <w:semiHidden/>
    <w:qFormat/>
    <w:uiPriority w:val="99"/>
    <w:rPr>
      <w:kern w:val="2"/>
      <w:sz w:val="18"/>
      <w:szCs w:val="18"/>
    </w:rPr>
  </w:style>
  <w:style w:type="character" w:customStyle="1" w:styleId="697">
    <w:name w:val="正文文本缩进 3 Char5"/>
    <w:semiHidden/>
    <w:qFormat/>
    <w:uiPriority w:val="99"/>
    <w:rPr>
      <w:kern w:val="2"/>
      <w:sz w:val="16"/>
      <w:szCs w:val="16"/>
    </w:rPr>
  </w:style>
  <w:style w:type="character" w:customStyle="1" w:styleId="698">
    <w:name w:val="页眉 Char3"/>
    <w:semiHidden/>
    <w:qFormat/>
    <w:uiPriority w:val="99"/>
    <w:rPr>
      <w:rFonts w:hint="default" w:ascii="Times New Roman" w:hAnsi="Times New Roman" w:eastAsia="宋体" w:cs="Times New Roman"/>
      <w:sz w:val="18"/>
      <w:szCs w:val="18"/>
    </w:rPr>
  </w:style>
  <w:style w:type="character" w:customStyle="1" w:styleId="699">
    <w:name w:val="正文文本 2 Char6"/>
    <w:semiHidden/>
    <w:qFormat/>
    <w:uiPriority w:val="99"/>
    <w:rPr>
      <w:kern w:val="2"/>
      <w:sz w:val="21"/>
      <w:szCs w:val="22"/>
    </w:rPr>
  </w:style>
  <w:style w:type="character" w:customStyle="1" w:styleId="700">
    <w:name w:val="脚注文本 Char5"/>
    <w:semiHidden/>
    <w:qFormat/>
    <w:uiPriority w:val="99"/>
    <w:rPr>
      <w:sz w:val="18"/>
      <w:szCs w:val="18"/>
    </w:rPr>
  </w:style>
  <w:style w:type="character" w:customStyle="1" w:styleId="701">
    <w:name w:val="标题 Char3"/>
    <w:qFormat/>
    <w:uiPriority w:val="10"/>
    <w:rPr>
      <w:rFonts w:hint="default" w:ascii="Cambria" w:hAnsi="Cambria" w:cs="Times New Roman"/>
      <w:b/>
      <w:bCs/>
      <w:kern w:val="2"/>
      <w:sz w:val="32"/>
      <w:szCs w:val="32"/>
    </w:rPr>
  </w:style>
  <w:style w:type="character" w:customStyle="1" w:styleId="702">
    <w:name w:val="日期 Char7"/>
    <w:semiHidden/>
    <w:qFormat/>
    <w:uiPriority w:val="99"/>
  </w:style>
  <w:style w:type="character" w:customStyle="1" w:styleId="703">
    <w:name w:val="尾注文本 Char3"/>
    <w:semiHidden/>
    <w:qFormat/>
    <w:uiPriority w:val="99"/>
    <w:rPr>
      <w:kern w:val="2"/>
      <w:sz w:val="21"/>
      <w:szCs w:val="22"/>
    </w:rPr>
  </w:style>
  <w:style w:type="character" w:customStyle="1" w:styleId="704">
    <w:name w:val="批注主题 Char3"/>
    <w:semiHidden/>
    <w:qFormat/>
    <w:uiPriority w:val="99"/>
    <w:rPr>
      <w:b/>
      <w:bCs/>
      <w:kern w:val="2"/>
      <w:sz w:val="21"/>
      <w:szCs w:val="22"/>
    </w:rPr>
  </w:style>
  <w:style w:type="character" w:customStyle="1" w:styleId="705">
    <w:name w:val="正文文本 2 Char7"/>
    <w:semiHidden/>
    <w:qFormat/>
    <w:uiPriority w:val="99"/>
  </w:style>
  <w:style w:type="character" w:customStyle="1" w:styleId="706">
    <w:name w:val="批注框文本 Char5"/>
    <w:semiHidden/>
    <w:qFormat/>
    <w:uiPriority w:val="99"/>
    <w:rPr>
      <w:kern w:val="2"/>
      <w:sz w:val="18"/>
      <w:szCs w:val="18"/>
    </w:rPr>
  </w:style>
  <w:style w:type="character" w:customStyle="1" w:styleId="707">
    <w:name w:val="标题 Char4"/>
    <w:qFormat/>
    <w:uiPriority w:val="10"/>
    <w:rPr>
      <w:rFonts w:hint="default" w:ascii="Cambria" w:hAnsi="Cambria" w:eastAsia="宋体" w:cs="Times New Roman"/>
      <w:b/>
      <w:bCs/>
      <w:sz w:val="32"/>
      <w:szCs w:val="32"/>
    </w:rPr>
  </w:style>
  <w:style w:type="character" w:customStyle="1" w:styleId="708">
    <w:name w:val="正文文本 Char7"/>
    <w:qFormat/>
    <w:uiPriority w:val="0"/>
    <w:rPr>
      <w:rFonts w:hint="default" w:ascii="Calibri" w:hAnsi="Calibri" w:eastAsia="宋体" w:cs="Times New Roman"/>
    </w:rPr>
  </w:style>
  <w:style w:type="character" w:customStyle="1" w:styleId="709">
    <w:name w:val="正文文本缩进 3 Char6"/>
    <w:semiHidden/>
    <w:qFormat/>
    <w:uiPriority w:val="99"/>
    <w:rPr>
      <w:kern w:val="2"/>
      <w:sz w:val="16"/>
      <w:szCs w:val="16"/>
    </w:rPr>
  </w:style>
  <w:style w:type="character" w:customStyle="1" w:styleId="710">
    <w:name w:val="正文首行缩进 Char2"/>
    <w:semiHidden/>
    <w:qFormat/>
    <w:uiPriority w:val="99"/>
  </w:style>
  <w:style w:type="character" w:customStyle="1" w:styleId="711">
    <w:name w:val="正文文本 2 Char5"/>
    <w:semiHidden/>
    <w:qFormat/>
    <w:uiPriority w:val="99"/>
    <w:rPr>
      <w:kern w:val="2"/>
      <w:sz w:val="21"/>
      <w:szCs w:val="22"/>
    </w:rPr>
  </w:style>
  <w:style w:type="character" w:customStyle="1" w:styleId="712">
    <w:name w:val="批注主题 Char5"/>
    <w:semiHidden/>
    <w:qFormat/>
    <w:uiPriority w:val="99"/>
    <w:rPr>
      <w:rFonts w:hint="default" w:ascii="Calibri" w:hAnsi="Calibri" w:eastAsia="宋体" w:cs="Times New Roman"/>
      <w:b/>
      <w:bCs/>
    </w:rPr>
  </w:style>
  <w:style w:type="character" w:customStyle="1" w:styleId="713">
    <w:name w:val="正文首行缩进 Char3"/>
    <w:semiHidden/>
    <w:qFormat/>
    <w:uiPriority w:val="99"/>
  </w:style>
  <w:style w:type="character" w:customStyle="1" w:styleId="714">
    <w:name w:val="批注框文本 Char6"/>
    <w:semiHidden/>
    <w:qFormat/>
    <w:uiPriority w:val="99"/>
    <w:rPr>
      <w:kern w:val="2"/>
      <w:sz w:val="18"/>
      <w:szCs w:val="18"/>
    </w:rPr>
  </w:style>
  <w:style w:type="character" w:customStyle="1" w:styleId="715">
    <w:name w:val="正文文本缩进 2 Char5"/>
    <w:semiHidden/>
    <w:qFormat/>
    <w:uiPriority w:val="99"/>
    <w:rPr>
      <w:kern w:val="2"/>
      <w:sz w:val="21"/>
      <w:szCs w:val="22"/>
    </w:rPr>
  </w:style>
  <w:style w:type="character" w:customStyle="1" w:styleId="716">
    <w:name w:val="脚注文本 Char6"/>
    <w:semiHidden/>
    <w:qFormat/>
    <w:uiPriority w:val="99"/>
    <w:rPr>
      <w:kern w:val="2"/>
      <w:sz w:val="18"/>
      <w:szCs w:val="18"/>
    </w:rPr>
  </w:style>
  <w:style w:type="character" w:customStyle="1" w:styleId="717">
    <w:name w:val="尾注文本 Char6"/>
    <w:semiHidden/>
    <w:qFormat/>
    <w:uiPriority w:val="99"/>
    <w:rPr>
      <w:kern w:val="2"/>
      <w:sz w:val="21"/>
      <w:szCs w:val="22"/>
    </w:rPr>
  </w:style>
  <w:style w:type="character" w:customStyle="1" w:styleId="718">
    <w:name w:val="HTML 预设格式 Char8"/>
    <w:semiHidden/>
    <w:qFormat/>
    <w:uiPriority w:val="99"/>
    <w:rPr>
      <w:rFonts w:hint="default" w:ascii="Courier New" w:hAnsi="Courier New" w:cs="Courier New"/>
      <w:kern w:val="2"/>
    </w:rPr>
  </w:style>
  <w:style w:type="character" w:customStyle="1" w:styleId="719">
    <w:name w:val="注释标题 字符1"/>
    <w:qFormat/>
    <w:uiPriority w:val="0"/>
    <w:rPr>
      <w:rFonts w:ascii="Times New Roman" w:hAnsi="Times New Roman" w:eastAsia="宋体" w:cs="Times New Roman"/>
      <w:kern w:val="0"/>
      <w:sz w:val="20"/>
      <w:szCs w:val="20"/>
    </w:rPr>
  </w:style>
  <w:style w:type="character" w:customStyle="1" w:styleId="720">
    <w:name w:val="题注 字符"/>
    <w:qFormat/>
    <w:uiPriority w:val="99"/>
    <w:rPr>
      <w:rFonts w:ascii="Cambria" w:hAnsi="Cambria" w:eastAsia="黑体" w:cs="Times New Roman"/>
      <w:kern w:val="0"/>
      <w:sz w:val="20"/>
      <w:szCs w:val="20"/>
    </w:rPr>
  </w:style>
  <w:style w:type="character" w:customStyle="1" w:styleId="721">
    <w:name w:val="p141_0"/>
    <w:qFormat/>
    <w:uiPriority w:val="0"/>
    <w:rPr>
      <w:rFonts w:ascii="Calibri" w:hAnsi="Calibri"/>
      <w:sz w:val="21"/>
      <w:szCs w:val="21"/>
    </w:rPr>
  </w:style>
  <w:style w:type="character" w:customStyle="1" w:styleId="722">
    <w:name w:val="正文文本首行缩进 字符1"/>
    <w:semiHidden/>
    <w:qFormat/>
    <w:uiPriority w:val="99"/>
    <w:rPr>
      <w:rFonts w:ascii="Calibri" w:hAnsi="Calibri" w:eastAsia="宋体" w:cs="Times New Roman"/>
      <w:kern w:val="0"/>
      <w:sz w:val="20"/>
      <w:szCs w:val="20"/>
    </w:rPr>
  </w:style>
  <w:style w:type="character" w:customStyle="1" w:styleId="723">
    <w:name w:val="正文文本首行缩进 2 字符1"/>
    <w:semiHidden/>
    <w:qFormat/>
    <w:uiPriority w:val="99"/>
    <w:rPr>
      <w:rFonts w:ascii="Calibri" w:hAnsi="Calibri" w:eastAsia="宋体" w:cs="Times New Roman"/>
      <w:kern w:val="0"/>
      <w:sz w:val="20"/>
      <w:szCs w:val="20"/>
    </w:rPr>
  </w:style>
  <w:style w:type="character" w:customStyle="1" w:styleId="724">
    <w:name w:val="内容 Char"/>
    <w:link w:val="725"/>
    <w:semiHidden/>
    <w:qFormat/>
    <w:uiPriority w:val="0"/>
    <w:rPr>
      <w:rFonts w:ascii="宋体" w:hAnsi="宋体"/>
      <w:bCs/>
      <w:sz w:val="28"/>
      <w:szCs w:val="28"/>
    </w:rPr>
  </w:style>
  <w:style w:type="paragraph" w:customStyle="1" w:styleId="725">
    <w:name w:val="内容"/>
    <w:basedOn w:val="1"/>
    <w:link w:val="724"/>
    <w:semiHidden/>
    <w:qFormat/>
    <w:uiPriority w:val="0"/>
    <w:pPr>
      <w:ind w:firstLine="200" w:firstLineChars="200"/>
    </w:pPr>
    <w:rPr>
      <w:rFonts w:ascii="宋体" w:hAnsi="宋体"/>
      <w:bCs/>
      <w:kern w:val="0"/>
      <w:sz w:val="28"/>
      <w:szCs w:val="28"/>
    </w:rPr>
  </w:style>
  <w:style w:type="character" w:customStyle="1" w:styleId="726">
    <w:name w:val="彩色列表 - 强调文字颜色 1 Char Char"/>
    <w:link w:val="727"/>
    <w:qFormat/>
    <w:uiPriority w:val="0"/>
  </w:style>
  <w:style w:type="paragraph" w:customStyle="1" w:styleId="727">
    <w:name w:val="彩色列表 - 强调文字颜色 11"/>
    <w:basedOn w:val="1"/>
    <w:link w:val="726"/>
    <w:qFormat/>
    <w:uiPriority w:val="0"/>
    <w:pPr>
      <w:ind w:firstLine="420" w:firstLineChars="200"/>
    </w:pPr>
    <w:rPr>
      <w:kern w:val="0"/>
      <w:sz w:val="20"/>
    </w:rPr>
  </w:style>
  <w:style w:type="character" w:customStyle="1" w:styleId="728">
    <w:name w:val="正文首行缩进 2 Char2"/>
    <w:qFormat/>
    <w:uiPriority w:val="99"/>
    <w:rPr>
      <w:kern w:val="2"/>
      <w:sz w:val="21"/>
    </w:rPr>
  </w:style>
  <w:style w:type="character" w:customStyle="1" w:styleId="729">
    <w:name w:val="Char Char91"/>
    <w:qFormat/>
    <w:uiPriority w:val="0"/>
    <w:rPr>
      <w:rFonts w:ascii="宋体" w:hAnsi="宋体" w:eastAsia="宋体"/>
      <w:kern w:val="2"/>
      <w:sz w:val="21"/>
      <w:lang w:val="en-US" w:eastAsia="zh-CN" w:bidi="ar-SA"/>
    </w:rPr>
  </w:style>
  <w:style w:type="character" w:customStyle="1" w:styleId="730">
    <w:name w:val="条文正文 Char"/>
    <w:link w:val="731"/>
    <w:qFormat/>
    <w:uiPriority w:val="0"/>
    <w:rPr>
      <w:rFonts w:ascii="宋体" w:hAnsi="宋体"/>
      <w:color w:val="000000"/>
      <w:sz w:val="26"/>
      <w:szCs w:val="26"/>
    </w:rPr>
  </w:style>
  <w:style w:type="paragraph" w:customStyle="1" w:styleId="731">
    <w:name w:val="条文正文"/>
    <w:basedOn w:val="1"/>
    <w:link w:val="730"/>
    <w:qFormat/>
    <w:uiPriority w:val="0"/>
    <w:pPr>
      <w:ind w:firstLine="420"/>
    </w:pPr>
    <w:rPr>
      <w:rFonts w:ascii="宋体" w:hAnsi="宋体"/>
      <w:color w:val="000000"/>
      <w:kern w:val="0"/>
      <w:sz w:val="26"/>
      <w:szCs w:val="26"/>
    </w:rPr>
  </w:style>
  <w:style w:type="character" w:customStyle="1" w:styleId="732">
    <w:name w:val="dash6b63_6587__char1"/>
    <w:qFormat/>
    <w:uiPriority w:val="0"/>
    <w:rPr>
      <w:rFonts w:hint="default" w:ascii="Calibri" w:hAnsi="Calibri" w:cs="Calibri"/>
      <w:sz w:val="20"/>
      <w:szCs w:val="20"/>
      <w:u w:val="none"/>
    </w:rPr>
  </w:style>
  <w:style w:type="character" w:customStyle="1" w:styleId="733">
    <w:name w:val="dash666e_901a_8868_683c__char1"/>
    <w:qFormat/>
    <w:uiPriority w:val="0"/>
    <w:rPr>
      <w:u w:val="none"/>
    </w:rPr>
  </w:style>
  <w:style w:type="character" w:customStyle="1" w:styleId="734">
    <w:name w:val="r3"/>
    <w:qFormat/>
    <w:uiPriority w:val="0"/>
    <w:rPr>
      <w:rFonts w:eastAsia="宋体"/>
      <w:kern w:val="2"/>
      <w:sz w:val="24"/>
      <w:szCs w:val="24"/>
      <w:lang w:val="en-US" w:eastAsia="zh-CN" w:bidi="ar-SA"/>
    </w:rPr>
  </w:style>
  <w:style w:type="character" w:customStyle="1" w:styleId="735">
    <w:name w:val="颜怡翥"/>
    <w:semiHidden/>
    <w:qFormat/>
    <w:uiPriority w:val="0"/>
    <w:rPr>
      <w:rFonts w:ascii="Arial" w:hAnsi="Arial" w:eastAsia="宋体" w:cs="Arial"/>
      <w:color w:val="auto"/>
      <w:kern w:val="2"/>
      <w:sz w:val="18"/>
      <w:szCs w:val="20"/>
      <w:lang w:val="en-US" w:eastAsia="zh-CN" w:bidi="ar-SA"/>
    </w:rPr>
  </w:style>
  <w:style w:type="character" w:customStyle="1" w:styleId="736">
    <w:name w:val="样式1 Char"/>
    <w:qFormat/>
    <w:uiPriority w:val="0"/>
    <w:rPr>
      <w:b/>
      <w:bCs/>
      <w:kern w:val="44"/>
      <w:sz w:val="24"/>
      <w:szCs w:val="28"/>
      <w:lang w:eastAsia="en-US" w:bidi="en-US"/>
    </w:rPr>
  </w:style>
  <w:style w:type="character" w:customStyle="1" w:styleId="737">
    <w:name w:val="标题 1.1 Char Char"/>
    <w:qFormat/>
    <w:uiPriority w:val="0"/>
    <w:rPr>
      <w:rFonts w:ascii="Arial" w:hAnsi="Arial" w:eastAsia="黑体" w:cs="Arial"/>
      <w:sz w:val="32"/>
      <w:szCs w:val="32"/>
    </w:rPr>
  </w:style>
  <w:style w:type="character" w:customStyle="1" w:styleId="738">
    <w:name w:val="黄尤炜"/>
    <w:semiHidden/>
    <w:qFormat/>
    <w:uiPriority w:val="0"/>
    <w:rPr>
      <w:rFonts w:ascii="Arial" w:hAnsi="Arial" w:eastAsia="宋体" w:cs="Arial"/>
      <w:color w:val="000080"/>
      <w:kern w:val="2"/>
      <w:sz w:val="18"/>
      <w:szCs w:val="20"/>
      <w:lang w:val="en-US" w:eastAsia="zh-CN" w:bidi="ar-SA"/>
    </w:rPr>
  </w:style>
  <w:style w:type="character" w:customStyle="1" w:styleId="739">
    <w:name w:val="正文首行缩进 Char5"/>
    <w:semiHidden/>
    <w:qFormat/>
    <w:uiPriority w:val="99"/>
    <w:rPr>
      <w:rFonts w:ascii="Times New Roman" w:hAnsi="Times New Roman" w:eastAsia="宋体" w:cs="Times New Roman"/>
      <w:szCs w:val="20"/>
    </w:rPr>
  </w:style>
  <w:style w:type="character" w:customStyle="1" w:styleId="740">
    <w:name w:val="访问过的超链接1"/>
    <w:unhideWhenUsed/>
    <w:qFormat/>
    <w:uiPriority w:val="99"/>
    <w:rPr>
      <w:color w:val="800080"/>
      <w:u w:val="single"/>
    </w:rPr>
  </w:style>
  <w:style w:type="paragraph" w:customStyle="1" w:styleId="741">
    <w:name w:val="样式 目录 1"/>
    <w:basedOn w:val="42"/>
    <w:qFormat/>
    <w:uiPriority w:val="0"/>
    <w:pPr>
      <w:tabs>
        <w:tab w:val="left" w:pos="525"/>
        <w:tab w:val="left" w:pos="1680"/>
        <w:tab w:val="right" w:pos="9060"/>
      </w:tabs>
      <w:spacing w:before="0" w:after="0"/>
      <w:ind w:left="525" w:hanging="425"/>
      <w:jc w:val="both"/>
    </w:pPr>
    <w:rPr>
      <w:rFonts w:cs="宋体"/>
      <w:bCs w:val="0"/>
      <w:caps w:val="0"/>
    </w:rPr>
  </w:style>
  <w:style w:type="paragraph" w:customStyle="1" w:styleId="742">
    <w:name w:val="xl277"/>
    <w:basedOn w:val="1"/>
    <w:qFormat/>
    <w:uiPriority w:val="0"/>
    <w:pPr>
      <w:widowControl/>
      <w:pBdr>
        <w:lef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43">
    <w:name w:val="Para"/>
    <w:basedOn w:val="1"/>
    <w:qFormat/>
    <w:uiPriority w:val="0"/>
    <w:pPr>
      <w:widowControl/>
      <w:tabs>
        <w:tab w:val="left" w:pos="1138"/>
        <w:tab w:val="left" w:pos="1699"/>
        <w:tab w:val="left" w:pos="2261"/>
        <w:tab w:val="left" w:pos="2822"/>
        <w:tab w:val="left" w:pos="3384"/>
        <w:tab w:val="left" w:pos="3946"/>
        <w:tab w:val="left" w:pos="4507"/>
        <w:tab w:val="left" w:pos="5069"/>
        <w:tab w:val="left" w:pos="5630"/>
        <w:tab w:val="left" w:pos="6192"/>
        <w:tab w:val="left" w:pos="6754"/>
        <w:tab w:val="left" w:pos="7315"/>
        <w:tab w:val="left" w:pos="7877"/>
        <w:tab w:val="left" w:pos="8438"/>
        <w:tab w:val="left" w:pos="9000"/>
        <w:tab w:val="left" w:pos="9562"/>
        <w:tab w:val="left" w:pos="10123"/>
      </w:tabs>
      <w:spacing w:after="240"/>
      <w:ind w:left="1134"/>
      <w:jc w:val="left"/>
    </w:pPr>
    <w:rPr>
      <w:rFonts w:eastAsia="PMingLiU"/>
      <w:kern w:val="0"/>
      <w:sz w:val="22"/>
      <w:lang w:val="en-AU" w:eastAsia="en-US" w:bidi="en-US"/>
    </w:rPr>
  </w:style>
  <w:style w:type="paragraph" w:customStyle="1" w:styleId="744">
    <w:name w:val="&gt;1:nota:nota"/>
    <w:basedOn w:val="745"/>
    <w:next w:val="1"/>
    <w:qFormat/>
    <w:uiPriority w:val="0"/>
    <w:pPr>
      <w:tabs>
        <w:tab w:val="left" w:pos="351"/>
        <w:tab w:val="left" w:pos="709"/>
        <w:tab w:val="left" w:pos="1061"/>
        <w:tab w:val="left" w:pos="1418"/>
      </w:tabs>
      <w:ind w:left="567" w:hanging="567"/>
    </w:pPr>
  </w:style>
  <w:style w:type="paragraph" w:customStyle="1" w:styleId="745">
    <w:name w:val="&gt;1:nota:nota 1)"/>
    <w:basedOn w:val="1"/>
    <w:next w:val="1"/>
    <w:qFormat/>
    <w:uiPriority w:val="0"/>
    <w:pPr>
      <w:widowControl/>
      <w:tabs>
        <w:tab w:val="left" w:pos="351"/>
        <w:tab w:val="left" w:pos="709"/>
        <w:tab w:val="left" w:pos="1061"/>
        <w:tab w:val="left" w:pos="1418"/>
      </w:tabs>
      <w:spacing w:before="50" w:after="50" w:line="280" w:lineRule="exact"/>
      <w:ind w:left="568" w:hanging="284"/>
      <w:jc w:val="left"/>
    </w:pPr>
    <w:rPr>
      <w:rFonts w:ascii="Arial" w:hAnsi="Arial"/>
      <w:i/>
      <w:kern w:val="0"/>
      <w:sz w:val="20"/>
      <w:lang w:eastAsia="fr-FR" w:bidi="en-US"/>
    </w:rPr>
  </w:style>
  <w:style w:type="paragraph" w:customStyle="1" w:styleId="746">
    <w:name w:val="font18"/>
    <w:basedOn w:val="1"/>
    <w:qFormat/>
    <w:uiPriority w:val="0"/>
    <w:pPr>
      <w:widowControl/>
      <w:spacing w:before="100" w:beforeAutospacing="1" w:after="100" w:afterAutospacing="1"/>
      <w:jc w:val="left"/>
    </w:pPr>
    <w:rPr>
      <w:rFonts w:ascii="楷体_GB2312" w:hAnsi="宋体" w:eastAsia="楷体_GB2312" w:cs="宋体"/>
      <w:kern w:val="0"/>
      <w:sz w:val="14"/>
      <w:szCs w:val="14"/>
    </w:rPr>
  </w:style>
  <w:style w:type="paragraph" w:customStyle="1" w:styleId="747">
    <w:name w:val="列表框 Char Char Char Char Char"/>
    <w:basedOn w:val="748"/>
    <w:next w:val="748"/>
    <w:qFormat/>
    <w:uiPriority w:val="0"/>
    <w:pPr>
      <w:tabs>
        <w:tab w:val="left" w:pos="874"/>
      </w:tabs>
      <w:adjustRightInd w:val="0"/>
      <w:snapToGrid w:val="0"/>
      <w:ind w:left="874" w:leftChars="0" w:right="-5" w:rightChars="-5" w:hanging="420" w:firstLineChars="0"/>
    </w:pPr>
    <w:rPr>
      <w:rFonts w:ascii="Times New Roman" w:hAnsi="Times New Roman"/>
      <w:szCs w:val="21"/>
    </w:rPr>
  </w:style>
  <w:style w:type="paragraph" w:customStyle="1" w:styleId="748">
    <w:name w:val="正常文本 Char Char Char Char Char Char Char Char Char Char Char Char Char Char"/>
    <w:basedOn w:val="1"/>
    <w:qFormat/>
    <w:uiPriority w:val="0"/>
    <w:pPr>
      <w:spacing w:afterLines="50" w:line="320" w:lineRule="exact"/>
      <w:ind w:left="600" w:leftChars="600" w:firstLine="208" w:firstLineChars="208"/>
    </w:pPr>
    <w:rPr>
      <w:rFonts w:ascii="宋体" w:hAnsi="宋体" w:eastAsia="楷体_GB2312"/>
      <w:szCs w:val="18"/>
    </w:rPr>
  </w:style>
  <w:style w:type="paragraph" w:customStyle="1" w:styleId="749">
    <w:name w:val="点项"/>
    <w:basedOn w:val="1"/>
    <w:qFormat/>
    <w:uiPriority w:val="0"/>
    <w:pPr>
      <w:widowControl/>
      <w:spacing w:line="360" w:lineRule="auto"/>
      <w:jc w:val="left"/>
    </w:pPr>
    <w:rPr>
      <w:bCs/>
      <w:iCs/>
      <w:kern w:val="0"/>
      <w:sz w:val="24"/>
      <w:szCs w:val="21"/>
      <w:lang w:eastAsia="en-US" w:bidi="en-US"/>
    </w:rPr>
  </w:style>
  <w:style w:type="paragraph" w:customStyle="1" w:styleId="750">
    <w:name w:val="样式 8 磅 加粗 两端对齐 左侧:  0 厘米 段前: 0 磅 段后: 0 磅"/>
    <w:basedOn w:val="1"/>
    <w:qFormat/>
    <w:uiPriority w:val="0"/>
    <w:pPr>
      <w:widowControl/>
      <w:jc w:val="left"/>
    </w:pPr>
    <w:rPr>
      <w:rFonts w:ascii="Arial" w:hAnsi="Arial" w:cs="宋体"/>
      <w:bCs/>
      <w:kern w:val="0"/>
      <w:sz w:val="24"/>
      <w:lang w:val="en-GB" w:eastAsia="en-US" w:bidi="en-US"/>
    </w:rPr>
  </w:style>
  <w:style w:type="paragraph" w:customStyle="1" w:styleId="751">
    <w:name w:val="&gt;1:enum1 -:suite"/>
    <w:basedOn w:val="1"/>
    <w:qFormat/>
    <w:uiPriority w:val="0"/>
    <w:pPr>
      <w:widowControl/>
      <w:tabs>
        <w:tab w:val="left" w:pos="351"/>
        <w:tab w:val="left" w:pos="709"/>
        <w:tab w:val="left" w:pos="1061"/>
        <w:tab w:val="left" w:pos="1418"/>
      </w:tabs>
      <w:spacing w:after="50" w:line="280" w:lineRule="exact"/>
      <w:ind w:left="284"/>
      <w:jc w:val="left"/>
    </w:pPr>
    <w:rPr>
      <w:rFonts w:ascii="Arial" w:hAnsi="Arial"/>
      <w:kern w:val="0"/>
      <w:sz w:val="20"/>
      <w:lang w:eastAsia="fr-FR" w:bidi="en-US"/>
    </w:rPr>
  </w:style>
  <w:style w:type="paragraph" w:customStyle="1" w:styleId="752">
    <w:name w:val="样式 列表框 Char Char Char Char Char + 段后: 0.5 行"/>
    <w:basedOn w:val="748"/>
    <w:qFormat/>
    <w:uiPriority w:val="0"/>
    <w:pPr>
      <w:spacing w:after="156"/>
    </w:pPr>
    <w:rPr>
      <w:rFonts w:cs="宋体"/>
      <w:szCs w:val="20"/>
    </w:rPr>
  </w:style>
  <w:style w:type="paragraph" w:customStyle="1" w:styleId="753">
    <w:name w:val="列项◆（三级）"/>
    <w:basedOn w:val="1"/>
    <w:qFormat/>
    <w:uiPriority w:val="0"/>
    <w:pPr>
      <w:numPr>
        <w:ilvl w:val="2"/>
        <w:numId w:val="3"/>
      </w:numPr>
    </w:pPr>
    <w:rPr>
      <w:rFonts w:ascii="宋体"/>
      <w:szCs w:val="21"/>
    </w:rPr>
  </w:style>
  <w:style w:type="paragraph" w:customStyle="1" w:styleId="754">
    <w:name w:val="xl224"/>
    <w:basedOn w:val="1"/>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55">
    <w:name w:val="xl125"/>
    <w:basedOn w:val="1"/>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756">
    <w:name w:val="xl242"/>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757">
    <w:name w:val="xl167"/>
    <w:basedOn w:val="1"/>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758">
    <w:name w:val="xl160"/>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759">
    <w:name w:val="xl1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760">
    <w:name w:val="xl240"/>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761">
    <w:name w:val="a3"/>
    <w:basedOn w:val="1"/>
    <w:qFormat/>
    <w:uiPriority w:val="0"/>
    <w:pPr>
      <w:widowControl/>
      <w:spacing w:line="360" w:lineRule="auto"/>
      <w:ind w:left="4094" w:right="607"/>
      <w:jc w:val="center"/>
    </w:pPr>
    <w:rPr>
      <w:rFonts w:ascii="仿宋_GB2312" w:hAnsi="宋体" w:eastAsia="仿宋_GB2312" w:cs="宋体"/>
      <w:color w:val="000000"/>
      <w:kern w:val="0"/>
      <w:sz w:val="32"/>
      <w:szCs w:val="32"/>
    </w:rPr>
  </w:style>
  <w:style w:type="paragraph" w:customStyle="1" w:styleId="762">
    <w:name w:val="xl120"/>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763">
    <w:name w:val="xl218"/>
    <w:basedOn w:val="1"/>
    <w:qFormat/>
    <w:uiPriority w:val="0"/>
    <w:pPr>
      <w:widowControl/>
      <w:pBdr>
        <w:top w:val="single" w:color="auto" w:sz="4" w:space="0"/>
        <w:left w:val="double" w:color="auto" w:sz="6" w:space="0"/>
        <w:bottom w:val="double" w:color="auto" w:sz="6" w:space="0"/>
        <w:right w:val="single" w:color="auto" w:sz="4" w:space="0"/>
      </w:pBdr>
      <w:shd w:val="clear" w:color="auto" w:fill="CCFFFF"/>
      <w:spacing w:before="100" w:beforeAutospacing="1" w:after="100" w:afterAutospacing="1"/>
      <w:jc w:val="center"/>
    </w:pPr>
    <w:rPr>
      <w:rFonts w:ascii="宋体" w:hAnsi="宋体" w:cs="宋体"/>
      <w:b/>
      <w:bCs/>
      <w:kern w:val="0"/>
      <w:sz w:val="20"/>
    </w:rPr>
  </w:style>
  <w:style w:type="paragraph" w:customStyle="1" w:styleId="764">
    <w:name w:val="xl255"/>
    <w:basedOn w:val="1"/>
    <w:qFormat/>
    <w:uiPriority w:val="0"/>
    <w:pPr>
      <w:widowControl/>
      <w:pBdr>
        <w:top w:val="single" w:color="auto" w:sz="4" w:space="0"/>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765">
    <w:name w:val="xl273"/>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66">
    <w:name w:val="xl131"/>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767">
    <w:name w:val="Char Char33"/>
    <w:basedOn w:val="1"/>
    <w:qFormat/>
    <w:uiPriority w:val="0"/>
    <w:rPr>
      <w:rFonts w:ascii="Tahoma" w:hAnsi="Tahoma"/>
      <w:sz w:val="24"/>
    </w:rPr>
  </w:style>
  <w:style w:type="paragraph" w:customStyle="1" w:styleId="768">
    <w:name w:val="xl154"/>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69">
    <w:name w:val="xl101"/>
    <w:basedOn w:val="1"/>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left"/>
    </w:pPr>
    <w:rPr>
      <w:rFonts w:ascii="宋体" w:hAnsi="宋体" w:cs="宋体"/>
      <w:color w:val="000000"/>
      <w:kern w:val="0"/>
      <w:sz w:val="18"/>
      <w:szCs w:val="18"/>
    </w:rPr>
  </w:style>
  <w:style w:type="paragraph" w:customStyle="1" w:styleId="770">
    <w:name w:val="font19"/>
    <w:basedOn w:val="1"/>
    <w:qFormat/>
    <w:uiPriority w:val="0"/>
    <w:pPr>
      <w:widowControl/>
      <w:spacing w:before="100" w:beforeAutospacing="1" w:after="100" w:afterAutospacing="1"/>
      <w:jc w:val="left"/>
    </w:pPr>
    <w:rPr>
      <w:rFonts w:ascii="楷体_GB2312" w:hAnsi="宋体" w:eastAsia="楷体_GB2312" w:cs="宋体"/>
      <w:kern w:val="0"/>
      <w:sz w:val="20"/>
    </w:rPr>
  </w:style>
  <w:style w:type="paragraph" w:customStyle="1" w:styleId="771">
    <w:name w:val="字母编号列项（一级）"/>
    <w:qFormat/>
    <w:uiPriority w:val="0"/>
    <w:pPr>
      <w:numPr>
        <w:ilvl w:val="0"/>
        <w:numId w:val="4"/>
      </w:numPr>
      <w:jc w:val="both"/>
    </w:pPr>
    <w:rPr>
      <w:rFonts w:ascii="宋体" w:hAnsi="Times New Roman" w:eastAsia="宋体" w:cs="Times New Roman"/>
      <w:sz w:val="21"/>
      <w:lang w:val="en-US" w:eastAsia="zh-CN" w:bidi="ar-SA"/>
    </w:rPr>
  </w:style>
  <w:style w:type="paragraph" w:customStyle="1" w:styleId="772">
    <w:name w:val="paragraph"/>
    <w:basedOn w:val="1"/>
    <w:qFormat/>
    <w:uiPriority w:val="0"/>
    <w:pPr>
      <w:widowControl/>
      <w:spacing w:before="80" w:after="80"/>
      <w:ind w:left="1701"/>
      <w:jc w:val="left"/>
    </w:pPr>
    <w:rPr>
      <w:kern w:val="0"/>
      <w:sz w:val="22"/>
      <w:lang w:val="en-AU" w:eastAsia="en-US" w:bidi="en-US"/>
    </w:rPr>
  </w:style>
  <w:style w:type="paragraph" w:customStyle="1" w:styleId="773">
    <w:name w:val="批注框文本 Char Char"/>
    <w:basedOn w:val="1"/>
    <w:qFormat/>
    <w:uiPriority w:val="0"/>
    <w:pPr>
      <w:widowControl/>
      <w:jc w:val="left"/>
    </w:pPr>
    <w:rPr>
      <w:rFonts w:ascii="Calibri" w:hAnsi="Calibri"/>
      <w:kern w:val="0"/>
      <w:sz w:val="18"/>
      <w:lang w:eastAsia="en-US" w:bidi="en-US"/>
    </w:rPr>
  </w:style>
  <w:style w:type="paragraph" w:customStyle="1" w:styleId="774">
    <w:name w:val="xl281"/>
    <w:basedOn w:val="1"/>
    <w:qFormat/>
    <w:uiPriority w:val="0"/>
    <w:pPr>
      <w:widowControl/>
      <w:pBdr>
        <w:lef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775">
    <w:name w:val="样式 目录 3 + 左侧:  2.15 字符"/>
    <w:basedOn w:val="32"/>
    <w:qFormat/>
    <w:uiPriority w:val="0"/>
    <w:pPr>
      <w:tabs>
        <w:tab w:val="left" w:pos="1342"/>
        <w:tab w:val="right" w:leader="dot" w:pos="9060"/>
      </w:tabs>
      <w:ind w:left="215" w:leftChars="215"/>
    </w:pPr>
    <w:rPr>
      <w:rFonts w:ascii="Arial" w:hAnsi="Arial" w:cs="宋体"/>
      <w:iCs w:val="0"/>
      <w:color w:val="000000"/>
      <w:sz w:val="21"/>
    </w:rPr>
  </w:style>
  <w:style w:type="paragraph" w:customStyle="1" w:styleId="776">
    <w:name w:val="TX/DEBUT"/>
    <w:basedOn w:val="1"/>
    <w:qFormat/>
    <w:uiPriority w:val="0"/>
    <w:pPr>
      <w:widowControl/>
      <w:spacing w:line="280" w:lineRule="atLeast"/>
      <w:ind w:left="2727" w:hanging="2727"/>
      <w:jc w:val="left"/>
    </w:pPr>
    <w:rPr>
      <w:rFonts w:ascii="FuturaA Bk BT" w:hAnsi="FuturaA Bk BT" w:eastAsia="PMingLiU"/>
      <w:kern w:val="0"/>
      <w:sz w:val="20"/>
      <w:lang w:val="fr-FR" w:eastAsia="en-US" w:bidi="en-US"/>
    </w:rPr>
  </w:style>
  <w:style w:type="paragraph" w:customStyle="1" w:styleId="777">
    <w:name w:val="xl282"/>
    <w:basedOn w:val="1"/>
    <w:qFormat/>
    <w:uiPriority w:val="0"/>
    <w:pPr>
      <w:widowControl/>
      <w:shd w:val="clear" w:color="auto" w:fill="FFFF99"/>
      <w:spacing w:before="100" w:beforeAutospacing="1" w:after="100" w:afterAutospacing="1"/>
      <w:jc w:val="left"/>
    </w:pPr>
    <w:rPr>
      <w:rFonts w:ascii="宋体" w:hAnsi="宋体" w:cs="宋体"/>
      <w:b/>
      <w:bCs/>
      <w:kern w:val="0"/>
      <w:sz w:val="20"/>
    </w:rPr>
  </w:style>
  <w:style w:type="paragraph" w:customStyle="1" w:styleId="778">
    <w:name w:val="Para 1st Subpara"/>
    <w:basedOn w:val="743"/>
    <w:qFormat/>
    <w:uiPriority w:val="0"/>
    <w:pPr>
      <w:ind w:left="1700" w:hanging="562"/>
    </w:pPr>
  </w:style>
  <w:style w:type="paragraph" w:customStyle="1" w:styleId="779">
    <w:name w:val="endReq"/>
    <w:basedOn w:val="780"/>
    <w:qFormat/>
    <w:uiPriority w:val="0"/>
    <w:rPr>
      <w:b/>
      <w:i/>
      <w:smallCaps/>
    </w:rPr>
  </w:style>
  <w:style w:type="paragraph" w:customStyle="1" w:styleId="780">
    <w:name w:val="&gt;1: texte-text"/>
    <w:basedOn w:val="1"/>
    <w:qFormat/>
    <w:uiPriority w:val="0"/>
    <w:pPr>
      <w:widowControl/>
      <w:spacing w:before="50" w:after="50" w:line="280" w:lineRule="exact"/>
      <w:jc w:val="left"/>
    </w:pPr>
    <w:rPr>
      <w:rFonts w:ascii="Arial" w:hAnsi="Arial"/>
      <w:kern w:val="0"/>
      <w:sz w:val="20"/>
      <w:lang w:eastAsia="fr-FR" w:bidi="en-US"/>
    </w:rPr>
  </w:style>
  <w:style w:type="paragraph" w:customStyle="1" w:styleId="781">
    <w:name w:val="&gt;1:list1  A)suite"/>
    <w:basedOn w:val="782"/>
    <w:qFormat/>
    <w:uiPriority w:val="0"/>
    <w:pPr>
      <w:tabs>
        <w:tab w:val="left" w:pos="352"/>
        <w:tab w:val="left" w:pos="709"/>
        <w:tab w:val="left" w:pos="1061"/>
        <w:tab w:val="left" w:pos="1418"/>
      </w:tabs>
      <w:spacing w:before="50"/>
      <w:ind w:left="0" w:firstLine="0"/>
      <w:jc w:val="both"/>
    </w:pPr>
    <w:rPr>
      <w:b w:val="0"/>
    </w:rPr>
  </w:style>
  <w:style w:type="paragraph" w:customStyle="1" w:styleId="782">
    <w:name w:val="&gt;1:list1  A)"/>
    <w:basedOn w:val="1"/>
    <w:qFormat/>
    <w:uiPriority w:val="0"/>
    <w:pPr>
      <w:widowControl/>
      <w:tabs>
        <w:tab w:val="left" w:pos="352"/>
        <w:tab w:val="left" w:pos="709"/>
        <w:tab w:val="left" w:pos="1061"/>
        <w:tab w:val="left" w:pos="1418"/>
      </w:tabs>
      <w:spacing w:before="170" w:after="50" w:line="280" w:lineRule="exact"/>
      <w:ind w:left="284" w:hanging="284"/>
      <w:jc w:val="left"/>
    </w:pPr>
    <w:rPr>
      <w:rFonts w:ascii="Arial" w:hAnsi="Arial"/>
      <w:b/>
      <w:kern w:val="0"/>
      <w:sz w:val="20"/>
      <w:lang w:eastAsia="fr-FR" w:bidi="en-US"/>
    </w:rPr>
  </w:style>
  <w:style w:type="paragraph" w:customStyle="1" w:styleId="783">
    <w:name w:val="font17"/>
    <w:basedOn w:val="1"/>
    <w:qFormat/>
    <w:uiPriority w:val="0"/>
    <w:pPr>
      <w:widowControl/>
      <w:spacing w:before="100" w:beforeAutospacing="1" w:after="100" w:afterAutospacing="1"/>
      <w:jc w:val="left"/>
    </w:pPr>
    <w:rPr>
      <w:rFonts w:ascii="宋体" w:hAnsi="宋体" w:cs="宋体"/>
      <w:kern w:val="0"/>
      <w:sz w:val="16"/>
      <w:szCs w:val="16"/>
    </w:rPr>
  </w:style>
  <w:style w:type="paragraph" w:customStyle="1" w:styleId="784">
    <w:name w:val="xl271"/>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85">
    <w:name w:val="xl276"/>
    <w:basedOn w:val="1"/>
    <w:qFormat/>
    <w:uiPriority w:val="0"/>
    <w:pPr>
      <w:widowControl/>
      <w:pBdr>
        <w:right w:val="single" w:color="auto" w:sz="4" w:space="0"/>
      </w:pBdr>
      <w:spacing w:before="100" w:beforeAutospacing="1" w:after="100" w:afterAutospacing="1"/>
      <w:jc w:val="left"/>
    </w:pPr>
    <w:rPr>
      <w:rFonts w:ascii="宋体" w:hAnsi="宋体" w:cs="宋体"/>
      <w:kern w:val="0"/>
      <w:sz w:val="24"/>
      <w:szCs w:val="24"/>
    </w:rPr>
  </w:style>
  <w:style w:type="paragraph" w:customStyle="1" w:styleId="786">
    <w:name w:val="xl280"/>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87">
    <w:name w:val="xl128"/>
    <w:basedOn w:val="1"/>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788">
    <w:name w:val="Body Text table"/>
    <w:basedOn w:val="3"/>
    <w:qFormat/>
    <w:uiPriority w:val="0"/>
    <w:pPr>
      <w:widowControl/>
      <w:spacing w:before="60" w:after="60"/>
      <w:ind w:left="1080"/>
      <w:jc w:val="left"/>
    </w:pPr>
    <w:rPr>
      <w:rFonts w:ascii="Arial" w:hAnsi="Arial" w:eastAsia="PMingLiU"/>
      <w:kern w:val="0"/>
      <w:sz w:val="20"/>
      <w:lang w:val="de-DE" w:eastAsia="zh-TW" w:bidi="en-US"/>
    </w:rPr>
  </w:style>
  <w:style w:type="paragraph" w:customStyle="1" w:styleId="789">
    <w:name w:val="Char Char Char2 Char"/>
    <w:basedOn w:val="1"/>
    <w:qFormat/>
    <w:uiPriority w:val="0"/>
    <w:pPr>
      <w:ind w:firstLine="360" w:firstLineChars="150"/>
    </w:pPr>
    <w:rPr>
      <w:rFonts w:ascii="Calibri" w:hAnsi="Calibri"/>
      <w:szCs w:val="22"/>
    </w:rPr>
  </w:style>
  <w:style w:type="paragraph" w:customStyle="1" w:styleId="790">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791">
    <w:name w:val="xl272"/>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792">
    <w:name w:val="xl279"/>
    <w:basedOn w:val="1"/>
    <w:qFormat/>
    <w:uiPriority w:val="0"/>
    <w:pPr>
      <w:widowControl/>
      <w:pBdr>
        <w:left w:val="single" w:color="auto" w:sz="4" w:space="0"/>
        <w:bottom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93">
    <w:name w:val="xl143"/>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794">
    <w:name w:val="xl253"/>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5">
    <w:name w:val="&gt;tab: titre-titl"/>
    <w:basedOn w:val="796"/>
    <w:qFormat/>
    <w:uiPriority w:val="0"/>
  </w:style>
  <w:style w:type="paragraph" w:customStyle="1" w:styleId="796">
    <w:name w:val="&gt;fig:titre-title"/>
    <w:basedOn w:val="1"/>
    <w:qFormat/>
    <w:uiPriority w:val="0"/>
    <w:pPr>
      <w:widowControl/>
      <w:spacing w:before="280" w:after="280" w:line="240" w:lineRule="exact"/>
      <w:ind w:left="283" w:hanging="283"/>
      <w:jc w:val="center"/>
    </w:pPr>
    <w:rPr>
      <w:rFonts w:ascii="Arial" w:hAnsi="Arial"/>
      <w:b/>
      <w:kern w:val="0"/>
      <w:sz w:val="20"/>
      <w:lang w:eastAsia="fr-FR" w:bidi="en-US"/>
    </w:rPr>
  </w:style>
  <w:style w:type="paragraph" w:customStyle="1" w:styleId="797">
    <w:name w:val="xl121"/>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8">
    <w:name w:val="副标题1"/>
    <w:basedOn w:val="61"/>
    <w:qFormat/>
    <w:uiPriority w:val="0"/>
    <w:pPr>
      <w:widowControl/>
      <w:spacing w:before="1000" w:after="1000"/>
      <w:jc w:val="left"/>
    </w:pPr>
    <w:rPr>
      <w:rFonts w:ascii="Invensys Andale" w:hAnsi="Invensys Andale"/>
      <w:kern w:val="28"/>
      <w:sz w:val="32"/>
      <w:szCs w:val="20"/>
      <w:lang w:val="en-AU" w:eastAsia="en-AU"/>
    </w:rPr>
  </w:style>
  <w:style w:type="paragraph" w:customStyle="1" w:styleId="799">
    <w:name w:val="xl117"/>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800">
    <w:name w:val="Tableau_norm2"/>
    <w:basedOn w:val="1"/>
    <w:qFormat/>
    <w:uiPriority w:val="0"/>
    <w:pPr>
      <w:widowControl/>
      <w:spacing w:before="72"/>
      <w:jc w:val="center"/>
    </w:pPr>
    <w:rPr>
      <w:rFonts w:ascii="Helvetica" w:hAnsi="Helvetica"/>
      <w:kern w:val="0"/>
      <w:sz w:val="16"/>
      <w:lang w:eastAsia="fr-FR" w:bidi="en-US"/>
    </w:rPr>
  </w:style>
  <w:style w:type="paragraph" w:customStyle="1" w:styleId="801">
    <w:name w:val="xl139"/>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802">
    <w:name w:val="Heading #1"/>
    <w:basedOn w:val="1"/>
    <w:qFormat/>
    <w:uiPriority w:val="0"/>
    <w:pPr>
      <w:widowControl/>
      <w:tabs>
        <w:tab w:val="left" w:pos="851"/>
      </w:tabs>
      <w:jc w:val="left"/>
    </w:pPr>
    <w:rPr>
      <w:rFonts w:ascii="Arial" w:hAnsi="Arial" w:eastAsia="PMingLiU"/>
      <w:b/>
      <w:caps/>
      <w:kern w:val="0"/>
      <w:sz w:val="24"/>
      <w:lang w:val="en-AU" w:eastAsia="en-US" w:bidi="en-US"/>
    </w:rPr>
  </w:style>
  <w:style w:type="paragraph" w:customStyle="1" w:styleId="803">
    <w:name w:val="样式 目录 1 + 小四"/>
    <w:basedOn w:val="42"/>
    <w:qFormat/>
    <w:uiPriority w:val="0"/>
    <w:pPr>
      <w:tabs>
        <w:tab w:val="left" w:pos="488"/>
        <w:tab w:val="right" w:leader="dot" w:pos="9060"/>
      </w:tabs>
      <w:spacing w:before="0" w:after="0"/>
      <w:jc w:val="both"/>
    </w:pPr>
    <w:rPr>
      <w:rFonts w:ascii="Arial" w:hAnsi="Arial" w:eastAsia="黑体"/>
      <w:b w:val="0"/>
      <w:bCs w:val="0"/>
      <w:caps w:val="0"/>
      <w:szCs w:val="24"/>
    </w:rPr>
  </w:style>
  <w:style w:type="paragraph" w:customStyle="1" w:styleId="804">
    <w:name w:val="xl12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805">
    <w:name w:val="charcharcharchar"/>
    <w:basedOn w:val="1"/>
    <w:qFormat/>
    <w:uiPriority w:val="0"/>
    <w:pPr>
      <w:widowControl/>
      <w:spacing w:line="360" w:lineRule="auto"/>
      <w:ind w:firstLine="640"/>
      <w:jc w:val="left"/>
    </w:pPr>
    <w:rPr>
      <w:b/>
      <w:bCs/>
      <w:kern w:val="0"/>
      <w:sz w:val="24"/>
      <w:szCs w:val="24"/>
    </w:rPr>
  </w:style>
  <w:style w:type="paragraph" w:customStyle="1" w:styleId="806">
    <w:name w:val="样式 样式 列表框 Char Char Char Char Char + 段后: 0.5 行 + 左侧:  6 字符 首行缩进..."/>
    <w:basedOn w:val="752"/>
    <w:qFormat/>
    <w:uiPriority w:val="0"/>
    <w:pPr>
      <w:numPr>
        <w:ilvl w:val="0"/>
        <w:numId w:val="5"/>
      </w:numPr>
      <w:ind w:left="0" w:leftChars="0" w:firstLine="0" w:firstLineChars="0"/>
    </w:pPr>
  </w:style>
  <w:style w:type="paragraph" w:customStyle="1" w:styleId="807">
    <w:name w:val="样式 目录 1 + 左侧:  3 字符"/>
    <w:basedOn w:val="42"/>
    <w:qFormat/>
    <w:uiPriority w:val="0"/>
    <w:pPr>
      <w:numPr>
        <w:ilvl w:val="0"/>
        <w:numId w:val="6"/>
      </w:numPr>
      <w:tabs>
        <w:tab w:val="left" w:pos="1680"/>
        <w:tab w:val="right" w:pos="9060"/>
      </w:tabs>
      <w:spacing w:before="0" w:after="0"/>
      <w:jc w:val="both"/>
    </w:pPr>
    <w:rPr>
      <w:rFonts w:cs="宋体"/>
      <w:bCs w:val="0"/>
      <w:caps w:val="0"/>
    </w:rPr>
  </w:style>
  <w:style w:type="paragraph" w:customStyle="1" w:styleId="808">
    <w:name w:val="xl132"/>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809">
    <w:name w:val="Tableau_évol"/>
    <w:basedOn w:val="800"/>
    <w:qFormat/>
    <w:uiPriority w:val="0"/>
    <w:pPr>
      <w:tabs>
        <w:tab w:val="left" w:pos="1702"/>
        <w:tab w:val="left" w:pos="3828"/>
      </w:tabs>
      <w:spacing w:before="60"/>
      <w:jc w:val="left"/>
    </w:pPr>
    <w:rPr>
      <w:rFonts w:ascii="Arial" w:hAnsi="Arial"/>
      <w:sz w:val="20"/>
    </w:rPr>
  </w:style>
  <w:style w:type="paragraph" w:customStyle="1" w:styleId="810">
    <w:name w:val="Tableau_norm3"/>
    <w:basedOn w:val="800"/>
    <w:qFormat/>
    <w:uiPriority w:val="0"/>
    <w:pPr>
      <w:spacing w:before="0" w:after="48"/>
    </w:pPr>
  </w:style>
  <w:style w:type="paragraph" w:customStyle="1" w:styleId="811">
    <w:name w:val="Institution"/>
    <w:basedOn w:val="1"/>
    <w:next w:val="812"/>
    <w:qFormat/>
    <w:uiPriority w:val="0"/>
    <w:pPr>
      <w:widowControl/>
      <w:tabs>
        <w:tab w:val="left" w:pos="2160"/>
        <w:tab w:val="right" w:pos="7542"/>
      </w:tabs>
      <w:spacing w:before="240" w:after="60" w:line="220" w:lineRule="atLeast"/>
      <w:jc w:val="left"/>
    </w:pPr>
    <w:rPr>
      <w:rFonts w:ascii="Arial" w:hAnsi="Arial" w:eastAsia="PMingLiU"/>
      <w:kern w:val="0"/>
      <w:sz w:val="20"/>
      <w:lang w:eastAsia="en-US" w:bidi="en-US"/>
    </w:rPr>
  </w:style>
  <w:style w:type="paragraph" w:customStyle="1" w:styleId="812">
    <w:name w:val="Achievement"/>
    <w:basedOn w:val="3"/>
    <w:qFormat/>
    <w:uiPriority w:val="0"/>
    <w:pPr>
      <w:widowControl/>
      <w:spacing w:after="60" w:line="220" w:lineRule="atLeast"/>
      <w:ind w:left="245" w:hanging="245"/>
      <w:jc w:val="left"/>
    </w:pPr>
    <w:rPr>
      <w:rFonts w:ascii="Arial" w:hAnsi="Arial" w:eastAsia="PMingLiU"/>
      <w:spacing w:val="-5"/>
      <w:kern w:val="0"/>
      <w:sz w:val="20"/>
      <w:lang w:eastAsia="en-US" w:bidi="en-US"/>
    </w:rPr>
  </w:style>
  <w:style w:type="paragraph" w:customStyle="1" w:styleId="813">
    <w:name w:val="xl420"/>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4">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815">
    <w:name w:val="xl4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16">
    <w:name w:val="xl421"/>
    <w:basedOn w:val="1"/>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7">
    <w:name w:val="xl415"/>
    <w:basedOn w:val="1"/>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18">
    <w:name w:val="xl126"/>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819">
    <w:name w:val="Name"/>
    <w:basedOn w:val="1"/>
    <w:next w:val="1"/>
    <w:qFormat/>
    <w:uiPriority w:val="0"/>
    <w:pPr>
      <w:widowControl/>
      <w:pBdr>
        <w:bottom w:val="single" w:color="auto" w:sz="6" w:space="4"/>
      </w:pBdr>
      <w:spacing w:after="440" w:line="240" w:lineRule="atLeast"/>
      <w:jc w:val="left"/>
    </w:pPr>
    <w:rPr>
      <w:rFonts w:ascii="Arial Black" w:hAnsi="Arial Black" w:eastAsia="PMingLiU"/>
      <w:spacing w:val="-35"/>
      <w:kern w:val="0"/>
      <w:sz w:val="54"/>
      <w:lang w:eastAsia="en-US" w:bidi="en-US"/>
    </w:rPr>
  </w:style>
  <w:style w:type="paragraph" w:customStyle="1" w:styleId="820">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821">
    <w:name w:val="招标文件》"/>
    <w:basedOn w:val="1"/>
    <w:qFormat/>
    <w:uiPriority w:val="0"/>
    <w:pPr>
      <w:widowControl/>
      <w:tabs>
        <w:tab w:val="left" w:pos="560"/>
      </w:tabs>
      <w:spacing w:before="120" w:after="120" w:line="300" w:lineRule="auto"/>
      <w:ind w:left="200"/>
      <w:jc w:val="left"/>
    </w:pPr>
    <w:rPr>
      <w:rFonts w:ascii="宋体"/>
      <w:spacing w:val="10"/>
      <w:w w:val="95"/>
      <w:kern w:val="0"/>
      <w:sz w:val="24"/>
      <w:lang w:eastAsia="en-US" w:bidi="en-US"/>
    </w:rPr>
  </w:style>
  <w:style w:type="paragraph" w:customStyle="1" w:styleId="822">
    <w:name w:val="a"/>
    <w:basedOn w:val="1"/>
    <w:qFormat/>
    <w:uiPriority w:val="0"/>
    <w:pPr>
      <w:widowControl/>
      <w:spacing w:line="360" w:lineRule="auto"/>
      <w:jc w:val="center"/>
    </w:pPr>
    <w:rPr>
      <w:rFonts w:ascii="黑体" w:hAnsi="宋体" w:eastAsia="黑体" w:cs="宋体"/>
      <w:kern w:val="0"/>
      <w:sz w:val="24"/>
      <w:szCs w:val="24"/>
    </w:rPr>
  </w:style>
  <w:style w:type="paragraph" w:customStyle="1" w:styleId="823">
    <w:name w:val="xl13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24">
    <w:name w:val="a2"/>
    <w:basedOn w:val="1"/>
    <w:qFormat/>
    <w:uiPriority w:val="0"/>
    <w:pPr>
      <w:widowControl/>
      <w:spacing w:before="260" w:after="260"/>
      <w:ind w:left="1469" w:right="1542"/>
      <w:jc w:val="center"/>
    </w:pPr>
    <w:rPr>
      <w:b/>
      <w:bCs/>
      <w:kern w:val="0"/>
      <w:sz w:val="44"/>
      <w:szCs w:val="44"/>
    </w:rPr>
  </w:style>
  <w:style w:type="paragraph" w:customStyle="1" w:styleId="825">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826">
    <w:name w:val="样式 正文缩进 + 宋体 小四 首行缩进:  2 字符"/>
    <w:basedOn w:val="9"/>
    <w:qFormat/>
    <w:uiPriority w:val="0"/>
    <w:pPr>
      <w:spacing w:beforeLines="50" w:afterLines="50" w:line="360" w:lineRule="auto"/>
      <w:ind w:firstLine="200" w:firstLineChars="200"/>
    </w:pPr>
    <w:rPr>
      <w:rFonts w:ascii="宋体" w:hAnsi="宋体" w:cs="宋体"/>
      <w:sz w:val="24"/>
      <w:lang w:eastAsia="en-US" w:bidi="en-US"/>
    </w:rPr>
  </w:style>
  <w:style w:type="paragraph" w:customStyle="1" w:styleId="827">
    <w:name w:val="正文内容"/>
    <w:basedOn w:val="1"/>
    <w:qFormat/>
    <w:uiPriority w:val="0"/>
    <w:pPr>
      <w:jc w:val="center"/>
    </w:pPr>
    <w:rPr>
      <w:rFonts w:ascii="宋体" w:hAnsi="宋体"/>
      <w:color w:val="000000"/>
      <w:sz w:val="18"/>
      <w:szCs w:val="28"/>
    </w:rPr>
  </w:style>
  <w:style w:type="paragraph" w:customStyle="1" w:styleId="828">
    <w:name w:val="样式 楷体_GB2312 小四 首行缩进:  0.8 厘米 行距: 固定值 28 磅"/>
    <w:basedOn w:val="1"/>
    <w:qFormat/>
    <w:uiPriority w:val="0"/>
    <w:pPr>
      <w:spacing w:line="360" w:lineRule="auto"/>
      <w:jc w:val="center"/>
    </w:pPr>
    <w:rPr>
      <w:rFonts w:eastAsia="仿宋_GB2312"/>
      <w:szCs w:val="21"/>
    </w:rPr>
  </w:style>
  <w:style w:type="paragraph" w:customStyle="1" w:styleId="829">
    <w:name w:val="样式 列表框 + 行距: 固定值 20 磅1"/>
    <w:basedOn w:val="830"/>
    <w:qFormat/>
    <w:uiPriority w:val="0"/>
    <w:pPr>
      <w:tabs>
        <w:tab w:val="left" w:pos="874"/>
        <w:tab w:val="left" w:pos="966"/>
        <w:tab w:val="left" w:pos="1028"/>
      </w:tabs>
      <w:spacing w:afterLines="0" w:line="400" w:lineRule="exact"/>
      <w:ind w:left="0" w:leftChars="0"/>
    </w:pPr>
    <w:rPr>
      <w:rFonts w:eastAsia="宋体"/>
      <w:color w:val="000000"/>
      <w:szCs w:val="20"/>
    </w:rPr>
  </w:style>
  <w:style w:type="paragraph" w:customStyle="1" w:styleId="830">
    <w:name w:val="列表框"/>
    <w:basedOn w:val="748"/>
    <w:next w:val="748"/>
    <w:qFormat/>
    <w:uiPriority w:val="0"/>
    <w:pPr>
      <w:tabs>
        <w:tab w:val="left" w:pos="874"/>
        <w:tab w:val="left" w:pos="966"/>
      </w:tabs>
      <w:adjustRightInd w:val="0"/>
      <w:snapToGrid w:val="0"/>
      <w:spacing w:line="360" w:lineRule="exact"/>
      <w:ind w:left="800" w:leftChars="800" w:firstLine="0" w:firstLineChars="0"/>
    </w:pPr>
    <w:rPr>
      <w:rFonts w:ascii="Times New Roman" w:hAnsi="Times New Roman"/>
      <w:szCs w:val="21"/>
    </w:rPr>
  </w:style>
  <w:style w:type="paragraph" w:customStyle="1" w:styleId="831">
    <w:name w:val="X:Annexe"/>
    <w:basedOn w:val="1"/>
    <w:qFormat/>
    <w:uiPriority w:val="0"/>
    <w:pPr>
      <w:widowControl/>
      <w:spacing w:after="400"/>
      <w:jc w:val="center"/>
    </w:pPr>
    <w:rPr>
      <w:rFonts w:ascii="Arial" w:hAnsi="Arial"/>
      <w:b/>
      <w:kern w:val="0"/>
      <w:sz w:val="36"/>
      <w:lang w:eastAsia="fr-FR" w:bidi="en-US"/>
    </w:rPr>
  </w:style>
  <w:style w:type="paragraph" w:customStyle="1" w:styleId="832">
    <w:name w:val="样式 目录 1 + 左侧:  2 字符"/>
    <w:basedOn w:val="42"/>
    <w:qFormat/>
    <w:uiPriority w:val="0"/>
    <w:pPr>
      <w:tabs>
        <w:tab w:val="left" w:pos="1680"/>
        <w:tab w:val="right" w:pos="9060"/>
      </w:tabs>
      <w:spacing w:before="0" w:after="0"/>
      <w:ind w:left="720"/>
      <w:jc w:val="both"/>
    </w:pPr>
    <w:rPr>
      <w:rFonts w:eastAsia="黑体" w:cs="宋体"/>
      <w:b w:val="0"/>
      <w:bCs w:val="0"/>
      <w:caps w:val="0"/>
    </w:rPr>
  </w:style>
  <w:style w:type="paragraph" w:customStyle="1" w:styleId="833">
    <w:name w:val="文本"/>
    <w:basedOn w:val="3"/>
    <w:qFormat/>
    <w:uiPriority w:val="0"/>
    <w:pPr>
      <w:snapToGrid w:val="0"/>
      <w:spacing w:after="0" w:line="360" w:lineRule="auto"/>
      <w:ind w:left="840" w:leftChars="400"/>
      <w:jc w:val="center"/>
    </w:pPr>
    <w:rPr>
      <w:kern w:val="0"/>
      <w:sz w:val="28"/>
    </w:rPr>
  </w:style>
  <w:style w:type="paragraph" w:customStyle="1" w:styleId="834">
    <w:name w:val="X:pied_page3"/>
    <w:basedOn w:val="835"/>
    <w:qFormat/>
    <w:uiPriority w:val="0"/>
    <w:rPr>
      <w:rFonts w:ascii="Arial Narrow" w:hAnsi="Arial Narrow"/>
      <w:b/>
      <w:sz w:val="24"/>
    </w:rPr>
  </w:style>
  <w:style w:type="paragraph" w:customStyle="1" w:styleId="835">
    <w:name w:val="X:pied_page2"/>
    <w:basedOn w:val="810"/>
    <w:qFormat/>
    <w:uiPriority w:val="0"/>
  </w:style>
  <w:style w:type="paragraph" w:customStyle="1" w:styleId="836">
    <w:name w:val="样式 宋体 行距: 1.5 倍行距"/>
    <w:basedOn w:val="1"/>
    <w:qFormat/>
    <w:uiPriority w:val="0"/>
    <w:pPr>
      <w:adjustRightInd w:val="0"/>
      <w:spacing w:line="360" w:lineRule="auto"/>
      <w:ind w:firstLine="420" w:firstLineChars="200"/>
      <w:textAlignment w:val="baseline"/>
    </w:pPr>
    <w:rPr>
      <w:rFonts w:ascii="Arial" w:hAnsi="Arial" w:cs="宋体"/>
      <w:kern w:val="0"/>
      <w:szCs w:val="21"/>
    </w:rPr>
  </w:style>
  <w:style w:type="paragraph" w:customStyle="1" w:styleId="837">
    <w:name w:val="blockquote"/>
    <w:basedOn w:val="1"/>
    <w:qFormat/>
    <w:uiPriority w:val="0"/>
    <w:pPr>
      <w:widowControl/>
      <w:spacing w:before="100" w:after="100"/>
      <w:ind w:left="360" w:right="360"/>
      <w:jc w:val="left"/>
    </w:pPr>
    <w:rPr>
      <w:kern w:val="0"/>
      <w:sz w:val="24"/>
      <w:szCs w:val="24"/>
    </w:rPr>
  </w:style>
  <w:style w:type="paragraph" w:customStyle="1" w:styleId="838">
    <w:name w:val="Balloon Text1"/>
    <w:basedOn w:val="1"/>
    <w:qFormat/>
    <w:uiPriority w:val="0"/>
    <w:pPr>
      <w:widowControl/>
      <w:spacing w:before="120" w:after="120"/>
      <w:ind w:left="562"/>
      <w:jc w:val="left"/>
    </w:pPr>
    <w:rPr>
      <w:rFonts w:ascii="Tahoma" w:hAnsi="Tahoma" w:cs="Tahoma"/>
      <w:kern w:val="0"/>
      <w:sz w:val="16"/>
      <w:szCs w:val="16"/>
      <w:lang w:val="en-GB" w:eastAsia="en-US" w:bidi="en-US"/>
    </w:rPr>
  </w:style>
  <w:style w:type="paragraph" w:customStyle="1" w:styleId="839">
    <w:name w:val="样式 样式 标题 3第二层条第三层论文标题 21.1.1 标题 3Para3Title2h333 bullet + ... + ...1"/>
    <w:basedOn w:val="840"/>
    <w:qFormat/>
    <w:uiPriority w:val="0"/>
    <w:pPr>
      <w:tabs>
        <w:tab w:val="left" w:pos="840"/>
        <w:tab w:val="left" w:pos="907"/>
      </w:tabs>
      <w:spacing w:before="120" w:after="120"/>
      <w:ind w:left="1531" w:hanging="1531"/>
    </w:pPr>
    <w:rPr>
      <w:sz w:val="24"/>
      <w:szCs w:val="24"/>
    </w:rPr>
  </w:style>
  <w:style w:type="paragraph" w:customStyle="1" w:styleId="840">
    <w:name w:val="样式 标题 3第二层条第三层论文标题 21.1.1 标题 3Para3Title2h333 bullet + ..."/>
    <w:basedOn w:val="5"/>
    <w:qFormat/>
    <w:uiPriority w:val="0"/>
    <w:pPr>
      <w:widowControl w:val="0"/>
      <w:tabs>
        <w:tab w:val="left" w:pos="840"/>
      </w:tabs>
      <w:adjustRightInd w:val="0"/>
      <w:spacing w:before="50" w:after="50"/>
      <w:jc w:val="both"/>
      <w:textAlignment w:val="baseline"/>
    </w:pPr>
    <w:rPr>
      <w:rFonts w:ascii="Arial" w:hAnsi="Arial" w:cs="宋体"/>
      <w:bCs/>
      <w:color w:val="000000"/>
      <w:szCs w:val="32"/>
    </w:rPr>
  </w:style>
  <w:style w:type="paragraph" w:customStyle="1" w:styleId="841">
    <w:name w:val="正文项目"/>
    <w:basedOn w:val="1"/>
    <w:qFormat/>
    <w:uiPriority w:val="0"/>
    <w:pPr>
      <w:numPr>
        <w:ilvl w:val="0"/>
        <w:numId w:val="7"/>
      </w:numPr>
      <w:spacing w:line="360" w:lineRule="auto"/>
    </w:pPr>
    <w:rPr>
      <w:rFonts w:ascii="宋体"/>
      <w:szCs w:val="24"/>
    </w:rPr>
  </w:style>
  <w:style w:type="paragraph" w:customStyle="1" w:styleId="842">
    <w:name w:val="a7"/>
    <w:basedOn w:val="1"/>
    <w:qFormat/>
    <w:uiPriority w:val="0"/>
    <w:pPr>
      <w:widowControl/>
    </w:pPr>
    <w:rPr>
      <w:kern w:val="0"/>
      <w:szCs w:val="21"/>
    </w:rPr>
  </w:style>
  <w:style w:type="paragraph" w:customStyle="1" w:styleId="843">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kern w:val="0"/>
      <w:sz w:val="20"/>
    </w:rPr>
  </w:style>
  <w:style w:type="paragraph" w:customStyle="1" w:styleId="844">
    <w:name w:val="样式 标题 1 + 段前: 7.8 磅"/>
    <w:basedOn w:val="2"/>
    <w:qFormat/>
    <w:uiPriority w:val="0"/>
    <w:pPr>
      <w:keepNext w:val="0"/>
      <w:widowControl w:val="0"/>
      <w:shd w:val="clear" w:color="auto" w:fill="FFFFFF"/>
      <w:tabs>
        <w:tab w:val="clear" w:pos="885"/>
      </w:tabs>
      <w:adjustRightInd w:val="0"/>
      <w:snapToGrid w:val="0"/>
      <w:spacing w:before="480" w:beforeLines="100" w:after="480"/>
      <w:ind w:left="0" w:firstLine="207" w:firstLineChars="98"/>
      <w:jc w:val="left"/>
    </w:pPr>
    <w:rPr>
      <w:rFonts w:ascii="宋体" w:hAnsi="宋体"/>
      <w:bCs/>
      <w:kern w:val="0"/>
      <w:sz w:val="28"/>
    </w:rPr>
  </w:style>
  <w:style w:type="paragraph" w:customStyle="1" w:styleId="845">
    <w:name w:val="xl21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846">
    <w:name w:val="xl102"/>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left"/>
    </w:pPr>
    <w:rPr>
      <w:color w:val="000000"/>
      <w:kern w:val="0"/>
      <w:sz w:val="18"/>
      <w:szCs w:val="18"/>
    </w:rPr>
  </w:style>
  <w:style w:type="paragraph" w:customStyle="1" w:styleId="847">
    <w:name w:val="样式 小四 行距: 1.5 倍行距"/>
    <w:basedOn w:val="1"/>
    <w:qFormat/>
    <w:uiPriority w:val="0"/>
    <w:pPr>
      <w:widowControl/>
      <w:spacing w:line="360" w:lineRule="auto"/>
      <w:jc w:val="left"/>
    </w:pPr>
    <w:rPr>
      <w:rFonts w:cs="宋体"/>
      <w:kern w:val="0"/>
      <w:sz w:val="24"/>
      <w:lang w:eastAsia="en-US" w:bidi="en-US"/>
    </w:rPr>
  </w:style>
  <w:style w:type="paragraph" w:customStyle="1" w:styleId="848">
    <w:name w:val="合同书"/>
    <w:basedOn w:val="1"/>
    <w:qFormat/>
    <w:uiPriority w:val="0"/>
    <w:pPr>
      <w:adjustRightInd w:val="0"/>
      <w:spacing w:afterLines="100" w:line="360" w:lineRule="atLeast"/>
      <w:textAlignment w:val="baseline"/>
      <w:outlineLvl w:val="0"/>
    </w:pPr>
    <w:rPr>
      <w:rFonts w:ascii="楷体_GB2312" w:eastAsia="楷体_GB2312"/>
      <w:b/>
      <w:color w:val="000000"/>
      <w:sz w:val="32"/>
      <w:szCs w:val="32"/>
    </w:rPr>
  </w:style>
  <w:style w:type="paragraph" w:customStyle="1" w:styleId="84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50">
    <w:name w:val="_Style 29"/>
    <w:basedOn w:val="1"/>
    <w:next w:val="1"/>
    <w:qFormat/>
    <w:uiPriority w:val="60"/>
    <w:rPr>
      <w:rFonts w:ascii="Calibri" w:hAnsi="Calibri"/>
      <w:color w:val="76923C"/>
      <w:szCs w:val="22"/>
    </w:rPr>
  </w:style>
  <w:style w:type="paragraph" w:customStyle="1" w:styleId="85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52">
    <w:name w:val="条文1 Char"/>
    <w:basedOn w:val="1"/>
    <w:qFormat/>
    <w:uiPriority w:val="99"/>
    <w:pPr>
      <w:widowControl/>
      <w:spacing w:line="360" w:lineRule="auto"/>
      <w:jc w:val="left"/>
    </w:pPr>
    <w:rPr>
      <w:rFonts w:ascii="MS UI Gothic" w:hAnsi="MS UI Gothic"/>
      <w:bCs/>
      <w:kern w:val="44"/>
      <w:sz w:val="24"/>
      <w:szCs w:val="44"/>
    </w:rPr>
  </w:style>
  <w:style w:type="paragraph" w:customStyle="1" w:styleId="853">
    <w:name w:val="M:VAR:doc_nom_2"/>
    <w:basedOn w:val="1"/>
    <w:next w:val="1"/>
    <w:qFormat/>
    <w:uiPriority w:val="0"/>
    <w:pPr>
      <w:widowControl/>
      <w:spacing w:before="1680" w:after="120"/>
      <w:jc w:val="center"/>
    </w:pPr>
    <w:rPr>
      <w:rFonts w:ascii="Arial" w:hAnsi="Arial"/>
      <w:b/>
      <w:caps/>
      <w:kern w:val="0"/>
      <w:sz w:val="28"/>
      <w:lang w:eastAsia="fr-FR" w:bidi="en-US"/>
    </w:rPr>
  </w:style>
  <w:style w:type="paragraph" w:customStyle="1" w:styleId="854">
    <w:name w:val="表头"/>
    <w:basedOn w:val="1"/>
    <w:qFormat/>
    <w:uiPriority w:val="0"/>
    <w:pPr>
      <w:spacing w:line="360" w:lineRule="auto"/>
      <w:jc w:val="center"/>
    </w:pPr>
    <w:rPr>
      <w:rFonts w:ascii="黑体" w:eastAsia="黑体"/>
      <w:kern w:val="0"/>
      <w:sz w:val="24"/>
    </w:rPr>
  </w:style>
  <w:style w:type="paragraph" w:customStyle="1" w:styleId="855">
    <w:name w:val="Char Char Char Char2"/>
    <w:basedOn w:val="1"/>
    <w:qFormat/>
    <w:uiPriority w:val="99"/>
    <w:pPr>
      <w:tabs>
        <w:tab w:val="left" w:pos="480"/>
      </w:tabs>
      <w:ind w:left="480" w:hanging="480"/>
    </w:pPr>
    <w:rPr>
      <w:rFonts w:ascii="宋体"/>
      <w:sz w:val="24"/>
      <w:szCs w:val="24"/>
    </w:rPr>
  </w:style>
  <w:style w:type="paragraph" w:customStyle="1" w:styleId="856">
    <w:name w:val="正文缩近"/>
    <w:basedOn w:val="1"/>
    <w:qFormat/>
    <w:uiPriority w:val="99"/>
    <w:pPr>
      <w:spacing w:line="360" w:lineRule="auto"/>
      <w:ind w:firstLine="200" w:firstLineChars="200"/>
    </w:pPr>
    <w:rPr>
      <w:rFonts w:ascii="宋体"/>
      <w:sz w:val="24"/>
      <w:szCs w:val="24"/>
    </w:rPr>
  </w:style>
  <w:style w:type="paragraph" w:customStyle="1" w:styleId="857">
    <w:name w:val="msolistparagraph"/>
    <w:basedOn w:val="1"/>
    <w:qFormat/>
    <w:uiPriority w:val="0"/>
    <w:pPr>
      <w:widowControl/>
      <w:spacing w:before="100" w:beforeAutospacing="1" w:after="100" w:afterAutospacing="1"/>
      <w:jc w:val="left"/>
    </w:pPr>
    <w:rPr>
      <w:rFonts w:hint="eastAsia" w:ascii="Arial Unicode MS" w:hAnsi="Arial Unicode MS" w:eastAsia="Arial Unicode MS" w:cs="Arial Unicode MS"/>
      <w:kern w:val="0"/>
      <w:sz w:val="24"/>
      <w:szCs w:val="24"/>
    </w:rPr>
  </w:style>
  <w:style w:type="paragraph" w:customStyle="1" w:styleId="858">
    <w:name w:val="公文标题"/>
    <w:basedOn w:val="5"/>
    <w:qFormat/>
    <w:uiPriority w:val="0"/>
    <w:pPr>
      <w:widowControl w:val="0"/>
      <w:tabs>
        <w:tab w:val="left" w:pos="360"/>
        <w:tab w:val="center" w:pos="4819"/>
        <w:tab w:val="left" w:pos="7635"/>
      </w:tabs>
      <w:spacing w:before="480"/>
      <w:ind w:left="720" w:hanging="432"/>
    </w:pPr>
    <w:rPr>
      <w:rFonts w:ascii="宋体" w:hAnsi="宋体"/>
      <w:sz w:val="28"/>
      <w:szCs w:val="28"/>
    </w:rPr>
  </w:style>
  <w:style w:type="paragraph" w:customStyle="1" w:styleId="859">
    <w:name w:val="xl414"/>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6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color w:val="000000"/>
      <w:kern w:val="0"/>
      <w:sz w:val="20"/>
    </w:rPr>
  </w:style>
  <w:style w:type="paragraph" w:customStyle="1" w:styleId="861">
    <w:name w:val="发文落款"/>
    <w:basedOn w:val="131"/>
    <w:qFormat/>
    <w:uiPriority w:val="0"/>
    <w:pPr>
      <w:ind w:left="4094" w:right="607" w:firstLine="0"/>
      <w:jc w:val="center"/>
    </w:pPr>
    <w:rPr>
      <w:rFonts w:cstheme="minorBidi"/>
      <w:kern w:val="2"/>
      <w:szCs w:val="22"/>
    </w:rPr>
  </w:style>
  <w:style w:type="paragraph" w:customStyle="1" w:styleId="86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b/>
      <w:bCs/>
      <w:kern w:val="0"/>
      <w:sz w:val="20"/>
    </w:rPr>
  </w:style>
  <w:style w:type="paragraph" w:customStyle="1" w:styleId="863">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64">
    <w:name w:val="xl201"/>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865">
    <w:name w:val="xl210"/>
    <w:basedOn w:val="1"/>
    <w:qFormat/>
    <w:uiPriority w:val="0"/>
    <w:pPr>
      <w:widowControl/>
      <w:pBdr>
        <w:left w:val="single" w:color="auto" w:sz="4" w:space="0"/>
        <w:righ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866">
    <w:name w:val="xl181"/>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67">
    <w:name w:val="xl211"/>
    <w:basedOn w:val="1"/>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868">
    <w:name w:val="xl109"/>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69">
    <w:name w:val="xl183"/>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70">
    <w:name w:val="xl212"/>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871">
    <w:name w:val="xl254"/>
    <w:basedOn w:val="1"/>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872">
    <w:name w:val="xl209"/>
    <w:basedOn w:val="1"/>
    <w:qFormat/>
    <w:uiPriority w:val="0"/>
    <w:pPr>
      <w:widowControl/>
      <w:pBdr>
        <w:top w:val="single" w:color="auto" w:sz="4" w:space="0"/>
        <w:left w:val="double" w:color="auto" w:sz="6" w:space="0"/>
        <w:bottom w:val="single" w:color="auto" w:sz="4" w:space="0"/>
      </w:pBdr>
      <w:spacing w:before="100" w:beforeAutospacing="1" w:after="100" w:afterAutospacing="1"/>
      <w:jc w:val="left"/>
    </w:pPr>
    <w:rPr>
      <w:rFonts w:ascii="宋体" w:hAnsi="宋体" w:cs="宋体"/>
      <w:b/>
      <w:bCs/>
      <w:kern w:val="0"/>
      <w:sz w:val="20"/>
    </w:rPr>
  </w:style>
  <w:style w:type="paragraph" w:customStyle="1" w:styleId="873">
    <w:name w:val="xl270"/>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74">
    <w:name w:val="Char3"/>
    <w:basedOn w:val="1"/>
    <w:qFormat/>
    <w:uiPriority w:val="99"/>
    <w:pPr>
      <w:ind w:left="567" w:hanging="279"/>
    </w:pPr>
    <w:rPr>
      <w:sz w:val="24"/>
      <w:szCs w:val="24"/>
    </w:rPr>
  </w:style>
  <w:style w:type="paragraph" w:customStyle="1" w:styleId="875">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b/>
      <w:bCs/>
      <w:kern w:val="0"/>
      <w:sz w:val="20"/>
    </w:rPr>
  </w:style>
  <w:style w:type="paragraph" w:customStyle="1" w:styleId="876">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0"/>
    </w:rPr>
  </w:style>
  <w:style w:type="paragraph" w:customStyle="1" w:styleId="877">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FF0000"/>
      <w:kern w:val="0"/>
      <w:sz w:val="20"/>
    </w:rPr>
  </w:style>
  <w:style w:type="paragraph" w:customStyle="1" w:styleId="878">
    <w:name w:val="font0"/>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879">
    <w:name w:val="a1"/>
    <w:basedOn w:val="1"/>
    <w:qFormat/>
    <w:uiPriority w:val="0"/>
    <w:pPr>
      <w:widowControl/>
      <w:spacing w:line="360" w:lineRule="auto"/>
      <w:ind w:firstLine="629"/>
    </w:pPr>
    <w:rPr>
      <w:rFonts w:ascii="仿宋_GB2312" w:hAnsi="宋体" w:eastAsia="仿宋_GB2312" w:cs="宋体"/>
      <w:color w:val="000000"/>
      <w:kern w:val="0"/>
      <w:sz w:val="32"/>
      <w:szCs w:val="32"/>
    </w:rPr>
  </w:style>
  <w:style w:type="paragraph" w:customStyle="1" w:styleId="880">
    <w:name w:val="20"/>
    <w:basedOn w:val="1"/>
    <w:qFormat/>
    <w:uiPriority w:val="0"/>
    <w:pPr>
      <w:widowControl/>
      <w:spacing w:line="360" w:lineRule="auto"/>
    </w:pPr>
    <w:rPr>
      <w:rFonts w:ascii="宋体" w:hAnsi="宋体" w:cs="宋体"/>
      <w:kern w:val="0"/>
      <w:szCs w:val="21"/>
    </w:rPr>
  </w:style>
  <w:style w:type="paragraph" w:customStyle="1" w:styleId="881">
    <w:name w:val="样式 (西文) 宋体 四号 首行缩进:  2 字符1"/>
    <w:basedOn w:val="1"/>
    <w:qFormat/>
    <w:uiPriority w:val="0"/>
    <w:pPr>
      <w:spacing w:line="360" w:lineRule="auto"/>
      <w:ind w:firstLine="480" w:firstLineChars="200"/>
    </w:pPr>
    <w:rPr>
      <w:rFonts w:ascii="宋体" w:hAnsi="宋体" w:cs="宋体"/>
      <w:sz w:val="24"/>
      <w:szCs w:val="24"/>
    </w:rPr>
  </w:style>
  <w:style w:type="paragraph" w:customStyle="1" w:styleId="882">
    <w:name w:val="xl162"/>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83">
    <w:name w:val="xl2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884">
    <w:name w:val="表格文本"/>
    <w:qFormat/>
    <w:uiPriority w:val="0"/>
    <w:pPr>
      <w:widowControl w:val="0"/>
      <w:adjustRightInd w:val="0"/>
      <w:snapToGrid w:val="0"/>
      <w:spacing w:line="300" w:lineRule="exact"/>
      <w:jc w:val="both"/>
    </w:pPr>
    <w:rPr>
      <w:rFonts w:ascii="Arial" w:hAnsi="Arial" w:eastAsia="楷体_GB2312" w:cs="Arial"/>
      <w:kern w:val="2"/>
      <w:sz w:val="21"/>
      <w:szCs w:val="21"/>
      <w:lang w:val="en-US" w:eastAsia="zh-CN" w:bidi="ar-SA"/>
    </w:rPr>
  </w:style>
  <w:style w:type="paragraph" w:customStyle="1" w:styleId="885">
    <w:name w:val="&gt;1:enum3 -:enum"/>
    <w:basedOn w:val="1"/>
    <w:qFormat/>
    <w:uiPriority w:val="0"/>
    <w:pPr>
      <w:widowControl/>
      <w:tabs>
        <w:tab w:val="left" w:pos="1060"/>
        <w:tab w:val="left" w:pos="1418"/>
      </w:tabs>
      <w:spacing w:before="50" w:after="50" w:line="280" w:lineRule="exact"/>
      <w:ind w:left="851" w:hanging="284"/>
      <w:jc w:val="left"/>
    </w:pPr>
    <w:rPr>
      <w:rFonts w:ascii="Arial" w:hAnsi="Arial"/>
      <w:kern w:val="0"/>
      <w:sz w:val="20"/>
      <w:lang w:eastAsia="fr-FR" w:bidi="en-US"/>
    </w:rPr>
  </w:style>
  <w:style w:type="paragraph" w:customStyle="1" w:styleId="886">
    <w:name w:val="列表框2"/>
    <w:basedOn w:val="141"/>
    <w:qFormat/>
    <w:uiPriority w:val="0"/>
    <w:pPr>
      <w:numPr>
        <w:ilvl w:val="0"/>
        <w:numId w:val="8"/>
      </w:numPr>
      <w:tabs>
        <w:tab w:val="left" w:pos="480"/>
        <w:tab w:val="left" w:pos="720"/>
        <w:tab w:val="left" w:pos="780"/>
        <w:tab w:val="clear" w:pos="2896"/>
        <w:tab w:val="clear" w:pos="795"/>
      </w:tabs>
      <w:ind w:left="880" w:leftChars="700" w:right="-11" w:hanging="180" w:hangingChars="180"/>
    </w:pPr>
    <w:rPr>
      <w:rFonts w:cstheme="minorBidi"/>
      <w:szCs w:val="22"/>
    </w:rPr>
  </w:style>
  <w:style w:type="paragraph" w:customStyle="1" w:styleId="887">
    <w:name w:val="简单回函地址"/>
    <w:basedOn w:val="1"/>
    <w:qFormat/>
    <w:uiPriority w:val="0"/>
    <w:rPr>
      <w:szCs w:val="24"/>
    </w:rPr>
  </w:style>
  <w:style w:type="paragraph" w:customStyle="1" w:styleId="888">
    <w:name w:val="样式 居中"/>
    <w:basedOn w:val="1"/>
    <w:qFormat/>
    <w:uiPriority w:val="0"/>
    <w:pPr>
      <w:spacing w:line="360" w:lineRule="auto"/>
      <w:jc w:val="center"/>
    </w:pPr>
  </w:style>
  <w:style w:type="paragraph" w:customStyle="1" w:styleId="889">
    <w:name w:val="图形布置"/>
    <w:basedOn w:val="1"/>
    <w:qFormat/>
    <w:uiPriority w:val="0"/>
    <w:pPr>
      <w:jc w:val="center"/>
    </w:pPr>
    <w:rPr>
      <w:rFonts w:cs="宋体"/>
      <w:kern w:val="0"/>
    </w:rPr>
  </w:style>
  <w:style w:type="paragraph" w:customStyle="1" w:styleId="890">
    <w:name w:val="a0"/>
    <w:basedOn w:val="1"/>
    <w:qFormat/>
    <w:uiPriority w:val="0"/>
    <w:pPr>
      <w:widowControl/>
    </w:pPr>
    <w:rPr>
      <w:rFonts w:ascii="仿宋_GB2312" w:hAnsi="宋体" w:eastAsia="仿宋_GB2312" w:cs="宋体"/>
      <w:kern w:val="0"/>
      <w:sz w:val="30"/>
      <w:szCs w:val="30"/>
    </w:rPr>
  </w:style>
  <w:style w:type="paragraph" w:customStyle="1" w:styleId="89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92">
    <w:name w:val="xl245"/>
    <w:basedOn w:val="1"/>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893">
    <w:name w:val="Body text 1"/>
    <w:basedOn w:val="233"/>
    <w:qFormat/>
    <w:uiPriority w:val="0"/>
    <w:pPr>
      <w:tabs>
        <w:tab w:val="left" w:pos="1134"/>
      </w:tabs>
      <w:autoSpaceDE w:val="0"/>
      <w:autoSpaceDN w:val="0"/>
      <w:adjustRightInd w:val="0"/>
      <w:spacing w:before="170" w:line="300" w:lineRule="atLeast"/>
      <w:ind w:left="1134" w:hanging="1134"/>
    </w:pPr>
    <w:rPr>
      <w:rFonts w:ascii="Times New Roman"/>
      <w:sz w:val="24"/>
    </w:rPr>
  </w:style>
  <w:style w:type="paragraph" w:customStyle="1" w:styleId="894">
    <w:name w:val="p17"/>
    <w:basedOn w:val="1"/>
    <w:qFormat/>
    <w:uiPriority w:val="0"/>
    <w:pPr>
      <w:widowControl/>
      <w:spacing w:after="120"/>
    </w:pPr>
    <w:rPr>
      <w:rFonts w:eastAsia="Arial Unicode MS"/>
      <w:kern w:val="0"/>
      <w:szCs w:val="21"/>
    </w:rPr>
  </w:style>
  <w:style w:type="paragraph" w:customStyle="1" w:styleId="895">
    <w:name w:val="xl18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96">
    <w:name w:val="xl21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897">
    <w:name w:val="xl169"/>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898">
    <w:name w:val="xl234"/>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99">
    <w:name w:val="标准封面/目次/前言"/>
    <w:basedOn w:val="1"/>
    <w:qFormat/>
    <w:uiPriority w:val="0"/>
    <w:pPr>
      <w:adjustRightInd w:val="0"/>
      <w:spacing w:line="312" w:lineRule="atLeast"/>
      <w:jc w:val="center"/>
      <w:textAlignment w:val="baseline"/>
    </w:pPr>
    <w:rPr>
      <w:rFonts w:ascii="隶书"/>
      <w:kern w:val="0"/>
      <w:sz w:val="84"/>
      <w:szCs w:val="84"/>
    </w:rPr>
  </w:style>
  <w:style w:type="paragraph" w:customStyle="1" w:styleId="900">
    <w:name w:val="xl208"/>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01">
    <w:name w:val="xl21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02">
    <w:name w:val="xl168"/>
    <w:basedOn w:val="1"/>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903">
    <w:name w:val="xl129"/>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904">
    <w:name w:val="xl184"/>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05">
    <w:name w:val="xl24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06">
    <w:name w:val="投标-表格文字"/>
    <w:basedOn w:val="1"/>
    <w:qFormat/>
    <w:uiPriority w:val="0"/>
    <w:pPr>
      <w:adjustRightInd w:val="0"/>
      <w:textAlignment w:val="baseline"/>
    </w:pPr>
    <w:rPr>
      <w:sz w:val="24"/>
      <w:szCs w:val="24"/>
    </w:rPr>
  </w:style>
  <w:style w:type="paragraph" w:customStyle="1" w:styleId="90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b/>
      <w:bCs/>
      <w:kern w:val="0"/>
      <w:sz w:val="24"/>
      <w:szCs w:val="24"/>
    </w:rPr>
  </w:style>
  <w:style w:type="paragraph" w:customStyle="1" w:styleId="908">
    <w:name w:val="样式 三号 加粗 居中"/>
    <w:basedOn w:val="1"/>
    <w:qFormat/>
    <w:uiPriority w:val="0"/>
    <w:pPr>
      <w:spacing w:line="360" w:lineRule="auto"/>
      <w:jc w:val="center"/>
    </w:pPr>
    <w:rPr>
      <w:b/>
      <w:bCs/>
      <w:sz w:val="32"/>
    </w:rPr>
  </w:style>
  <w:style w:type="paragraph" w:customStyle="1" w:styleId="909">
    <w:name w:val="Char Char Char Char Char Char Char Char Char Char Char Char Char Char Char Char Char Char Char Char Char Char Char Char Char Char Char Char Char Char1 Char Char Char Char Char Char Char"/>
    <w:basedOn w:val="1"/>
    <w:qFormat/>
    <w:uiPriority w:val="0"/>
    <w:pPr>
      <w:tabs>
        <w:tab w:val="left" w:pos="720"/>
      </w:tabs>
      <w:ind w:left="720" w:hanging="720"/>
    </w:pPr>
    <w:rPr>
      <w:sz w:val="24"/>
      <w:szCs w:val="24"/>
    </w:rPr>
  </w:style>
  <w:style w:type="paragraph" w:customStyle="1" w:styleId="910">
    <w:name w:val="标题 5，"/>
    <w:basedOn w:val="7"/>
    <w:qFormat/>
    <w:uiPriority w:val="0"/>
    <w:pPr>
      <w:widowControl w:val="0"/>
      <w:spacing w:before="480" w:line="376" w:lineRule="auto"/>
      <w:ind w:left="720" w:hanging="432"/>
      <w:jc w:val="both"/>
    </w:pPr>
    <w:rPr>
      <w:rFonts w:ascii="Times New Roman" w:hAnsi="Times New Roman"/>
      <w:bCs/>
      <w:sz w:val="28"/>
      <w:szCs w:val="28"/>
    </w:rPr>
  </w:style>
  <w:style w:type="paragraph" w:customStyle="1" w:styleId="911">
    <w:name w:val="xl7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2">
    <w:name w:val="内部地址"/>
    <w:basedOn w:val="1"/>
    <w:qFormat/>
    <w:uiPriority w:val="0"/>
  </w:style>
  <w:style w:type="paragraph" w:customStyle="1" w:styleId="913">
    <w:name w:val="t1"/>
    <w:basedOn w:val="1"/>
    <w:qFormat/>
    <w:uiPriority w:val="0"/>
    <w:pPr>
      <w:numPr>
        <w:ilvl w:val="0"/>
        <w:numId w:val="9"/>
      </w:numPr>
      <w:tabs>
        <w:tab w:val="left" w:pos="879"/>
        <w:tab w:val="clear" w:pos="644"/>
      </w:tabs>
      <w:spacing w:after="120" w:line="360" w:lineRule="auto"/>
      <w:ind w:left="1155" w:hanging="215"/>
    </w:pPr>
    <w:rPr>
      <w:rFonts w:ascii="宋体"/>
      <w:sz w:val="24"/>
    </w:rPr>
  </w:style>
  <w:style w:type="paragraph" w:customStyle="1" w:styleId="91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5">
    <w:name w:val="Char Char Char Char Char Char Char Char Char Char Char Char Char"/>
    <w:basedOn w:val="1"/>
    <w:qFormat/>
    <w:uiPriority w:val="0"/>
    <w:pPr>
      <w:ind w:left="567" w:hanging="279"/>
    </w:pPr>
    <w:rPr>
      <w:sz w:val="24"/>
      <w:szCs w:val="24"/>
    </w:rPr>
  </w:style>
  <w:style w:type="paragraph" w:customStyle="1" w:styleId="91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17">
    <w:name w:val="xl21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18">
    <w:name w:val="项目符号1"/>
    <w:basedOn w:val="1"/>
    <w:qFormat/>
    <w:uiPriority w:val="0"/>
    <w:pPr>
      <w:adjustRightInd w:val="0"/>
      <w:spacing w:line="360" w:lineRule="atLeast"/>
      <w:textAlignment w:val="baseline"/>
    </w:pPr>
  </w:style>
  <w:style w:type="paragraph" w:customStyle="1" w:styleId="919">
    <w:name w:val="xl105"/>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6"/>
      <w:szCs w:val="16"/>
    </w:rPr>
  </w:style>
  <w:style w:type="paragraph" w:customStyle="1" w:styleId="92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21">
    <w:name w:val="目录标题"/>
    <w:basedOn w:val="1"/>
    <w:qFormat/>
    <w:uiPriority w:val="0"/>
    <w:pPr>
      <w:spacing w:afterLines="100"/>
      <w:jc w:val="center"/>
    </w:pPr>
    <w:rPr>
      <w:rFonts w:ascii="黑体" w:eastAsia="黑体"/>
      <w:kern w:val="0"/>
      <w:sz w:val="32"/>
      <w:szCs w:val="32"/>
    </w:rPr>
  </w:style>
  <w:style w:type="paragraph" w:customStyle="1" w:styleId="922">
    <w:name w:val="xl5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92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24">
    <w:name w:val="xl17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5">
    <w:name w:val="xl262"/>
    <w:basedOn w:val="1"/>
    <w:qFormat/>
    <w:uiPriority w:val="0"/>
    <w:pPr>
      <w:widowControl/>
      <w:pBdr>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26">
    <w:name w:val="xl165"/>
    <w:basedOn w:val="1"/>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styleId="927">
    <w:name w:val="No Spacing"/>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29">
    <w:name w:val="xl163"/>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930">
    <w:name w:val="60"/>
    <w:basedOn w:val="1"/>
    <w:qFormat/>
    <w:uiPriority w:val="0"/>
    <w:pPr>
      <w:widowControl/>
      <w:spacing w:line="360" w:lineRule="auto"/>
      <w:jc w:val="center"/>
    </w:pPr>
    <w:rPr>
      <w:kern w:val="0"/>
      <w:szCs w:val="21"/>
    </w:rPr>
  </w:style>
  <w:style w:type="paragraph" w:customStyle="1" w:styleId="93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3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3">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4">
    <w:name w:val="a6"/>
    <w:basedOn w:val="1"/>
    <w:qFormat/>
    <w:uiPriority w:val="0"/>
    <w:pPr>
      <w:widowControl/>
      <w:jc w:val="center"/>
    </w:pPr>
    <w:rPr>
      <w:rFonts w:ascii="隶书" w:hAnsi="宋体" w:eastAsia="隶书" w:cs="宋体"/>
      <w:kern w:val="0"/>
      <w:sz w:val="84"/>
      <w:szCs w:val="84"/>
    </w:rPr>
  </w:style>
  <w:style w:type="paragraph" w:customStyle="1" w:styleId="93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6">
    <w:name w:val="a8"/>
    <w:basedOn w:val="1"/>
    <w:qFormat/>
    <w:uiPriority w:val="0"/>
    <w:pPr>
      <w:widowControl/>
    </w:pPr>
    <w:rPr>
      <w:kern w:val="0"/>
      <w:szCs w:val="21"/>
    </w:rPr>
  </w:style>
  <w:style w:type="paragraph" w:customStyle="1" w:styleId="937">
    <w:name w:val="p15"/>
    <w:basedOn w:val="1"/>
    <w:qFormat/>
    <w:uiPriority w:val="0"/>
    <w:pPr>
      <w:widowControl/>
      <w:spacing w:line="360" w:lineRule="auto"/>
      <w:jc w:val="center"/>
    </w:pPr>
    <w:rPr>
      <w:rFonts w:eastAsia="Arial Unicode MS"/>
      <w:kern w:val="0"/>
      <w:szCs w:val="21"/>
    </w:rPr>
  </w:style>
  <w:style w:type="paragraph" w:customStyle="1" w:styleId="93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4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941">
    <w:name w:val="char10"/>
    <w:basedOn w:val="1"/>
    <w:qFormat/>
    <w:uiPriority w:val="0"/>
    <w:pPr>
      <w:widowControl/>
    </w:pPr>
    <w:rPr>
      <w:kern w:val="0"/>
      <w:szCs w:val="21"/>
    </w:rPr>
  </w:style>
  <w:style w:type="paragraph" w:customStyle="1" w:styleId="942">
    <w:name w:val="xl146"/>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943">
    <w:name w:val="样式 样式 标题 3第二层条第三层论文标题 21.1.1 标题 3Para3Title2h333 bullet + ... + ..."/>
    <w:basedOn w:val="840"/>
    <w:qFormat/>
    <w:uiPriority w:val="0"/>
    <w:pPr>
      <w:ind w:left="737" w:hanging="737"/>
    </w:pPr>
    <w:rPr>
      <w:szCs w:val="20"/>
    </w:rPr>
  </w:style>
  <w:style w:type="paragraph" w:customStyle="1" w:styleId="944">
    <w:name w:val="&gt; attention"/>
    <w:basedOn w:val="1"/>
    <w:qFormat/>
    <w:uiPriority w:val="0"/>
    <w:pPr>
      <w:widowControl/>
      <w:spacing w:after="120" w:line="280" w:lineRule="exact"/>
      <w:jc w:val="left"/>
    </w:pPr>
    <w:rPr>
      <w:rFonts w:ascii="Arial" w:hAnsi="Arial"/>
      <w:b/>
      <w:kern w:val="0"/>
      <w:sz w:val="20"/>
      <w:lang w:eastAsia="fr-FR" w:bidi="en-US"/>
    </w:rPr>
  </w:style>
  <w:style w:type="paragraph" w:customStyle="1" w:styleId="945">
    <w:name w:val="xl148"/>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46">
    <w:name w:val="high15"/>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kern w:val="0"/>
      <w:sz w:val="18"/>
      <w:szCs w:val="18"/>
    </w:rPr>
  </w:style>
  <w:style w:type="paragraph" w:customStyle="1" w:styleId="947">
    <w:name w:val="样式 样式 标题 2标题 1.1第一层条第二层论文标题 1Para2Title1H2h22l2list + ch...1 + 右..."/>
    <w:basedOn w:val="134"/>
    <w:qFormat/>
    <w:uiPriority w:val="0"/>
    <w:pPr>
      <w:spacing w:beforeLines="100" w:afterLines="100"/>
    </w:pPr>
    <w:rPr>
      <w:kern w:val="0"/>
      <w:szCs w:val="20"/>
    </w:rPr>
  </w:style>
  <w:style w:type="paragraph" w:customStyle="1" w:styleId="948">
    <w:name w:val="xl231"/>
    <w:basedOn w:val="1"/>
    <w:qFormat/>
    <w:uiPriority w:val="0"/>
    <w:pPr>
      <w:widowControl/>
      <w:pBdr>
        <w:top w:val="single" w:color="auto" w:sz="4" w:space="0"/>
        <w:bottom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949">
    <w:name w:val="char"/>
    <w:basedOn w:val="1"/>
    <w:qFormat/>
    <w:uiPriority w:val="0"/>
    <w:pPr>
      <w:widowControl/>
      <w:ind w:left="567" w:hanging="279"/>
    </w:pPr>
    <w:rPr>
      <w:kern w:val="0"/>
      <w:sz w:val="24"/>
      <w:szCs w:val="24"/>
    </w:rPr>
  </w:style>
  <w:style w:type="paragraph" w:customStyle="1" w:styleId="950">
    <w:name w:val="charcharcharcharcharcharcharcharcharcharcharcharcharcharcharcharcharcharcharcharcharcharcharcharcharcharcharcharcharchar1charcharcharcharcharcharchar"/>
    <w:basedOn w:val="1"/>
    <w:qFormat/>
    <w:uiPriority w:val="0"/>
    <w:pPr>
      <w:widowControl/>
      <w:ind w:left="720" w:hanging="720"/>
    </w:pPr>
    <w:rPr>
      <w:kern w:val="0"/>
      <w:sz w:val="24"/>
      <w:szCs w:val="24"/>
    </w:rPr>
  </w:style>
  <w:style w:type="paragraph" w:customStyle="1" w:styleId="951">
    <w:name w:val="xl158"/>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4"/>
      <w:szCs w:val="24"/>
    </w:rPr>
  </w:style>
  <w:style w:type="paragraph" w:customStyle="1" w:styleId="952">
    <w:name w:val="p16"/>
    <w:basedOn w:val="1"/>
    <w:qFormat/>
    <w:uiPriority w:val="0"/>
    <w:pPr>
      <w:widowControl/>
      <w:spacing w:after="120"/>
    </w:pPr>
    <w:rPr>
      <w:rFonts w:eastAsia="Arial Unicode MS"/>
      <w:kern w:val="0"/>
      <w:szCs w:val="21"/>
    </w:rPr>
  </w:style>
  <w:style w:type="paragraph" w:customStyle="1" w:styleId="953">
    <w:name w:val="Char Char Char Char Char Char Char Char Char Char Char Char Char Char Char Char Char Char Char Char Char Char"/>
    <w:basedOn w:val="1"/>
    <w:qFormat/>
    <w:uiPriority w:val="0"/>
    <w:pPr>
      <w:tabs>
        <w:tab w:val="left" w:pos="360"/>
      </w:tabs>
      <w:ind w:left="360" w:hanging="360" w:hangingChars="200"/>
    </w:pPr>
    <w:rPr>
      <w:szCs w:val="24"/>
    </w:rPr>
  </w:style>
  <w:style w:type="paragraph" w:customStyle="1" w:styleId="954">
    <w:name w:val="xl149"/>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55">
    <w:name w:val="修订3"/>
    <w:qFormat/>
    <w:uiPriority w:val="99"/>
    <w:rPr>
      <w:rFonts w:ascii="Times New Roman" w:hAnsi="Times New Roman" w:eastAsia="宋体" w:cs="Times New Roman"/>
      <w:kern w:val="2"/>
      <w:sz w:val="21"/>
      <w:lang w:val="en-US" w:eastAsia="zh-CN" w:bidi="ar-SA"/>
    </w:rPr>
  </w:style>
  <w:style w:type="paragraph" w:customStyle="1" w:styleId="956">
    <w:name w:val="heading2"/>
    <w:basedOn w:val="1"/>
    <w:qFormat/>
    <w:uiPriority w:val="0"/>
    <w:pPr>
      <w:widowControl/>
      <w:spacing w:before="100" w:after="100"/>
      <w:jc w:val="left"/>
    </w:pPr>
    <w:rPr>
      <w:rFonts w:ascii="Arial Unicode MS" w:hAnsi="Arial Unicode MS" w:eastAsia="Arial Unicode MS"/>
      <w:kern w:val="0"/>
      <w:sz w:val="24"/>
      <w:szCs w:val="24"/>
    </w:rPr>
  </w:style>
  <w:style w:type="paragraph" w:customStyle="1" w:styleId="957">
    <w:name w:val="xl144"/>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958">
    <w:name w:val="font12"/>
    <w:basedOn w:val="1"/>
    <w:qFormat/>
    <w:uiPriority w:val="0"/>
    <w:pPr>
      <w:widowControl/>
      <w:spacing w:before="100" w:beforeAutospacing="1" w:after="100" w:afterAutospacing="1"/>
      <w:jc w:val="left"/>
    </w:pPr>
    <w:rPr>
      <w:rFonts w:eastAsia="Arial Unicode MS"/>
      <w:color w:val="0000FF"/>
      <w:kern w:val="0"/>
      <w:sz w:val="20"/>
    </w:rPr>
  </w:style>
  <w:style w:type="paragraph" w:customStyle="1" w:styleId="959">
    <w:name w:val="&gt;1:enum1 -:enum"/>
    <w:basedOn w:val="1"/>
    <w:qFormat/>
    <w:uiPriority w:val="0"/>
    <w:pPr>
      <w:widowControl/>
      <w:tabs>
        <w:tab w:val="left" w:pos="352"/>
        <w:tab w:val="left" w:pos="709"/>
        <w:tab w:val="left" w:pos="1061"/>
        <w:tab w:val="left" w:pos="1418"/>
      </w:tabs>
      <w:spacing w:before="50" w:after="50" w:line="280" w:lineRule="exact"/>
      <w:ind w:left="568" w:hanging="284"/>
      <w:jc w:val="left"/>
    </w:pPr>
    <w:rPr>
      <w:rFonts w:ascii="Arial" w:hAnsi="Arial"/>
      <w:kern w:val="0"/>
      <w:position w:val="6"/>
      <w:sz w:val="20"/>
      <w:lang w:eastAsia="fr-FR" w:bidi="en-US"/>
    </w:rPr>
  </w:style>
  <w:style w:type="paragraph" w:customStyle="1" w:styleId="960">
    <w:name w:val="默认段落字体 Para Char Char Char Char"/>
    <w:basedOn w:val="1"/>
    <w:qFormat/>
    <w:uiPriority w:val="0"/>
    <w:rPr>
      <w:szCs w:val="24"/>
    </w:rPr>
  </w:style>
  <w:style w:type="paragraph" w:customStyle="1" w:styleId="961">
    <w:name w:val="公文抬头"/>
    <w:basedOn w:val="9"/>
    <w:qFormat/>
    <w:uiPriority w:val="0"/>
    <w:pPr>
      <w:widowControl w:val="0"/>
      <w:ind w:firstLine="0"/>
      <w:jc w:val="both"/>
    </w:pPr>
    <w:rPr>
      <w:rFonts w:ascii="仿宋_GB2312" w:eastAsia="仿宋_GB2312"/>
      <w:kern w:val="2"/>
      <w:sz w:val="30"/>
      <w:szCs w:val="24"/>
    </w:rPr>
  </w:style>
  <w:style w:type="paragraph" w:customStyle="1" w:styleId="962">
    <w:name w:val="Char Char Char Char Char Char Char Char Char Char Char Char Char Char Char Char Char Char Char"/>
    <w:basedOn w:val="1"/>
    <w:qFormat/>
    <w:uiPriority w:val="0"/>
    <w:pPr>
      <w:widowControl/>
      <w:spacing w:after="160" w:line="240" w:lineRule="exact"/>
      <w:jc w:val="left"/>
    </w:pPr>
    <w:rPr>
      <w:szCs w:val="24"/>
    </w:rPr>
  </w:style>
  <w:style w:type="paragraph" w:customStyle="1" w:styleId="963">
    <w:name w:val="font10"/>
    <w:basedOn w:val="1"/>
    <w:qFormat/>
    <w:uiPriority w:val="0"/>
    <w:pPr>
      <w:widowControl/>
      <w:spacing w:before="100" w:beforeAutospacing="1" w:after="100" w:afterAutospacing="1"/>
      <w:jc w:val="left"/>
    </w:pPr>
    <w:rPr>
      <w:rFonts w:hint="eastAsia" w:ascii="宋体" w:hAnsi="宋体" w:cs="Arial Unicode MS"/>
      <w:b/>
      <w:bCs/>
      <w:color w:val="000000"/>
      <w:kern w:val="0"/>
      <w:sz w:val="16"/>
      <w:szCs w:val="16"/>
    </w:rPr>
  </w:style>
  <w:style w:type="paragraph" w:customStyle="1" w:styleId="964">
    <w:name w:val="Char Char Char Char Char Char Char Char Char Char Char Char Char Char Char Char Char Char Char Char Char Char Char Char Char Char Char Char"/>
    <w:basedOn w:val="1"/>
    <w:qFormat/>
    <w:uiPriority w:val="0"/>
    <w:pPr>
      <w:tabs>
        <w:tab w:val="left" w:pos="720"/>
        <w:tab w:val="left" w:pos="1418"/>
      </w:tabs>
      <w:ind w:left="2172" w:hanging="1605"/>
    </w:pPr>
    <w:rPr>
      <w:szCs w:val="24"/>
    </w:rPr>
  </w:style>
  <w:style w:type="paragraph" w:customStyle="1" w:styleId="965">
    <w:name w:val="Char Char Char1 Char"/>
    <w:basedOn w:val="20"/>
    <w:qFormat/>
    <w:uiPriority w:val="0"/>
    <w:rPr>
      <w:rFonts w:ascii="Tahoma" w:hAnsi="Tahoma"/>
      <w:kern w:val="0"/>
      <w:sz w:val="24"/>
      <w:szCs w:val="24"/>
    </w:rPr>
  </w:style>
  <w:style w:type="paragraph" w:customStyle="1" w:styleId="966">
    <w:name w:val="0"/>
    <w:basedOn w:val="1"/>
    <w:qFormat/>
    <w:uiPriority w:val="0"/>
    <w:pPr>
      <w:widowControl/>
      <w:snapToGrid w:val="0"/>
      <w:jc w:val="left"/>
    </w:pPr>
    <w:rPr>
      <w:rFonts w:ascii="楷体_GB2312" w:hAnsi="宋体" w:eastAsia="楷体_GB2312" w:cs="宋体"/>
      <w:color w:val="000000"/>
      <w:kern w:val="0"/>
      <w:sz w:val="44"/>
      <w:szCs w:val="44"/>
    </w:rPr>
  </w:style>
  <w:style w:type="paragraph" w:customStyle="1" w:styleId="967">
    <w:name w:val="标题 0"/>
    <w:basedOn w:val="2"/>
    <w:qFormat/>
    <w:uiPriority w:val="0"/>
    <w:pPr>
      <w:keepNext w:val="0"/>
      <w:widowControl w:val="0"/>
      <w:shd w:val="clear" w:color="auto" w:fill="FFFFFF"/>
      <w:tabs>
        <w:tab w:val="clear" w:pos="885"/>
      </w:tabs>
      <w:autoSpaceDE w:val="0"/>
      <w:autoSpaceDN w:val="0"/>
      <w:adjustRightInd w:val="0"/>
      <w:snapToGrid w:val="0"/>
      <w:spacing w:beforeLines="100"/>
      <w:ind w:left="0" w:firstLine="207" w:firstLineChars="98"/>
      <w:jc w:val="left"/>
    </w:pPr>
    <w:rPr>
      <w:rFonts w:ascii="宋体" w:eastAsia="宋体"/>
      <w:snapToGrid w:val="0"/>
      <w:color w:val="000000"/>
      <w:kern w:val="0"/>
      <w:sz w:val="44"/>
    </w:rPr>
  </w:style>
  <w:style w:type="paragraph" w:customStyle="1" w:styleId="968">
    <w:name w:val="xl219"/>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69">
    <w:name w:val="xl172"/>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970">
    <w:name w:val="font13"/>
    <w:basedOn w:val="1"/>
    <w:qFormat/>
    <w:uiPriority w:val="0"/>
    <w:pPr>
      <w:widowControl/>
      <w:spacing w:before="100" w:beforeAutospacing="1" w:after="100" w:afterAutospacing="1"/>
      <w:jc w:val="left"/>
    </w:pPr>
    <w:rPr>
      <w:rFonts w:eastAsia="Arial Unicode MS"/>
      <w:color w:val="FF00FF"/>
      <w:kern w:val="0"/>
      <w:sz w:val="20"/>
    </w:rPr>
  </w:style>
  <w:style w:type="paragraph" w:customStyle="1" w:styleId="971">
    <w:name w:val="xl166"/>
    <w:basedOn w:val="1"/>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972">
    <w:name w:val="charcharchar1char"/>
    <w:basedOn w:val="1"/>
    <w:qFormat/>
    <w:uiPriority w:val="0"/>
    <w:pPr>
      <w:widowControl/>
      <w:shd w:val="clear" w:color="auto" w:fill="000080"/>
    </w:pPr>
    <w:rPr>
      <w:rFonts w:ascii="Tahoma" w:hAnsi="Tahoma" w:cs="Tahoma"/>
      <w:kern w:val="0"/>
      <w:sz w:val="24"/>
      <w:szCs w:val="24"/>
    </w:rPr>
  </w:style>
  <w:style w:type="paragraph" w:customStyle="1" w:styleId="973">
    <w:name w:val="Tableau_norm2droite"/>
    <w:basedOn w:val="1"/>
    <w:qFormat/>
    <w:uiPriority w:val="0"/>
    <w:pPr>
      <w:widowControl/>
      <w:spacing w:before="72"/>
      <w:jc w:val="right"/>
    </w:pPr>
    <w:rPr>
      <w:rFonts w:ascii="Arial" w:hAnsi="Arial"/>
      <w:kern w:val="0"/>
      <w:sz w:val="24"/>
      <w:szCs w:val="24"/>
      <w:lang w:eastAsia="fr-FR"/>
    </w:rPr>
  </w:style>
  <w:style w:type="paragraph" w:customStyle="1" w:styleId="974">
    <w:name w:val="xl152"/>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975">
    <w:name w:val="Titre 2 lignes module"/>
    <w:basedOn w:val="1"/>
    <w:qFormat/>
    <w:uiPriority w:val="0"/>
    <w:pPr>
      <w:widowControl/>
      <w:spacing w:before="120"/>
      <w:jc w:val="center"/>
    </w:pPr>
    <w:rPr>
      <w:rFonts w:ascii="Arial" w:hAnsi="Arial"/>
      <w:b/>
      <w:kern w:val="0"/>
      <w:sz w:val="24"/>
      <w:szCs w:val="24"/>
      <w:lang w:eastAsia="fr-FR"/>
    </w:rPr>
  </w:style>
  <w:style w:type="paragraph" w:customStyle="1" w:styleId="976">
    <w:name w:val="a5"/>
    <w:basedOn w:val="1"/>
    <w:qFormat/>
    <w:uiPriority w:val="0"/>
    <w:pPr>
      <w:widowControl/>
      <w:spacing w:line="360" w:lineRule="auto"/>
      <w:jc w:val="center"/>
    </w:pPr>
    <w:rPr>
      <w:b/>
      <w:bCs/>
      <w:kern w:val="0"/>
      <w:sz w:val="32"/>
      <w:szCs w:val="32"/>
    </w:rPr>
  </w:style>
  <w:style w:type="paragraph" w:customStyle="1" w:styleId="977">
    <w:name w:val="样式 标题 2标题 1.1第一层条第二层论文标题 1Para2Title1H2h22l2list + ch..."/>
    <w:basedOn w:val="4"/>
    <w:qFormat/>
    <w:uiPriority w:val="0"/>
    <w:pPr>
      <w:widowControl w:val="0"/>
      <w:adjustRightInd w:val="0"/>
      <w:spacing w:before="0" w:after="0" w:line="360" w:lineRule="auto"/>
      <w:jc w:val="both"/>
      <w:textAlignment w:val="baseline"/>
    </w:pPr>
    <w:rPr>
      <w:rFonts w:cs="宋体"/>
      <w:bCs/>
      <w:color w:val="000000"/>
      <w:sz w:val="20"/>
      <w:szCs w:val="21"/>
    </w:rPr>
  </w:style>
  <w:style w:type="paragraph" w:customStyle="1" w:styleId="978">
    <w:name w:val="bodytext1"/>
    <w:basedOn w:val="1"/>
    <w:qFormat/>
    <w:uiPriority w:val="0"/>
    <w:pPr>
      <w:widowControl/>
      <w:spacing w:before="170" w:line="300" w:lineRule="atLeast"/>
      <w:ind w:left="1134" w:hanging="1134"/>
    </w:pPr>
    <w:rPr>
      <w:color w:val="000000"/>
      <w:kern w:val="0"/>
      <w:sz w:val="24"/>
      <w:szCs w:val="24"/>
    </w:rPr>
  </w:style>
  <w:style w:type="paragraph" w:customStyle="1" w:styleId="979">
    <w:name w:val="xl260"/>
    <w:basedOn w:val="1"/>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80">
    <w:name w:val="文件标题"/>
    <w:basedOn w:val="1"/>
    <w:qFormat/>
    <w:uiPriority w:val="0"/>
    <w:pPr>
      <w:spacing w:line="360" w:lineRule="auto"/>
      <w:jc w:val="center"/>
    </w:pPr>
    <w:rPr>
      <w:rFonts w:ascii="华文彩云" w:hAnsi="Swis721 BlkOul BT" w:eastAsia="华文彩云"/>
      <w:kern w:val="0"/>
      <w:sz w:val="72"/>
      <w:szCs w:val="72"/>
    </w:rPr>
  </w:style>
  <w:style w:type="paragraph" w:customStyle="1" w:styleId="981">
    <w:name w:val="xl261"/>
    <w:basedOn w:val="1"/>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82">
    <w:name w:val="首页页眉"/>
    <w:basedOn w:val="41"/>
    <w:qFormat/>
    <w:uiPriority w:val="0"/>
    <w:pPr>
      <w:widowControl w:val="0"/>
      <w:pBdr>
        <w:bottom w:val="none" w:color="auto" w:sz="0" w:space="0"/>
      </w:pBdr>
      <w:spacing w:line="240" w:lineRule="atLeast"/>
    </w:pPr>
    <w:rPr>
      <w:rFonts w:ascii="Calibri" w:hAnsi="Calibri"/>
      <w:b/>
      <w:kern w:val="0"/>
      <w:szCs w:val="18"/>
    </w:rPr>
  </w:style>
  <w:style w:type="paragraph" w:customStyle="1" w:styleId="983">
    <w:name w:val="xl98"/>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kern w:val="0"/>
      <w:sz w:val="20"/>
    </w:rPr>
  </w:style>
  <w:style w:type="paragraph" w:customStyle="1" w:styleId="984">
    <w:name w:val="xl145"/>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985">
    <w:name w:val="落款样式"/>
    <w:basedOn w:val="1"/>
    <w:qFormat/>
    <w:uiPriority w:val="0"/>
    <w:pPr>
      <w:jc w:val="left"/>
    </w:pPr>
    <w:rPr>
      <w:rFonts w:cs="宋体"/>
      <w:kern w:val="0"/>
      <w:sz w:val="24"/>
    </w:rPr>
  </w:style>
  <w:style w:type="paragraph" w:customStyle="1" w:styleId="986">
    <w:name w:val="Job Title"/>
    <w:next w:val="812"/>
    <w:qFormat/>
    <w:uiPriority w:val="0"/>
    <w:pPr>
      <w:spacing w:after="60" w:line="220" w:lineRule="atLeast"/>
    </w:pPr>
    <w:rPr>
      <w:rFonts w:ascii="Arial Black" w:hAnsi="Arial Black" w:eastAsia="PMingLiU" w:cs="Times New Roman"/>
      <w:spacing w:val="-10"/>
      <w:lang w:val="en-US" w:eastAsia="en-US" w:bidi="en-US"/>
    </w:rPr>
  </w:style>
  <w:style w:type="paragraph" w:customStyle="1" w:styleId="987">
    <w:name w:val="图形题注"/>
    <w:basedOn w:val="17"/>
    <w:qFormat/>
    <w:uiPriority w:val="0"/>
    <w:pPr>
      <w:adjustRightInd w:val="0"/>
      <w:spacing w:before="0" w:after="0" w:afterLines="50" w:line="320" w:lineRule="exact"/>
      <w:jc w:val="center"/>
    </w:pPr>
    <w:rPr>
      <w:rFonts w:hint="default" w:eastAsia="楷体_GB2312"/>
      <w:spacing w:val="10"/>
      <w:kern w:val="0"/>
    </w:rPr>
  </w:style>
  <w:style w:type="paragraph" w:customStyle="1" w:styleId="988">
    <w:name w:val="xl186"/>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89">
    <w:name w:val="xl220"/>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90">
    <w:name w:val="xl171"/>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91">
    <w:name w:val="xl157"/>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kern w:val="0"/>
      <w:sz w:val="20"/>
    </w:rPr>
  </w:style>
  <w:style w:type="paragraph" w:customStyle="1" w:styleId="992">
    <w:name w:val="font14"/>
    <w:basedOn w:val="1"/>
    <w:qFormat/>
    <w:uiPriority w:val="0"/>
    <w:pPr>
      <w:widowControl/>
      <w:spacing w:before="100" w:beforeAutospacing="1" w:after="100" w:afterAutospacing="1"/>
      <w:jc w:val="left"/>
    </w:pPr>
    <w:rPr>
      <w:rFonts w:ascii="Arial" w:hAnsi="Arial" w:cs="Arial"/>
      <w:color w:val="000000"/>
      <w:kern w:val="0"/>
      <w:sz w:val="16"/>
      <w:szCs w:val="16"/>
    </w:rPr>
  </w:style>
  <w:style w:type="paragraph" w:customStyle="1" w:styleId="993">
    <w:name w:val="xl256"/>
    <w:basedOn w:val="1"/>
    <w:qFormat/>
    <w:uiPriority w:val="0"/>
    <w:pPr>
      <w:widowControl/>
      <w:pBdr>
        <w:top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94">
    <w:name w:val="xl17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95">
    <w:name w:val="xl147"/>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96">
    <w:name w:val="表头样式"/>
    <w:basedOn w:val="884"/>
    <w:qFormat/>
    <w:uiPriority w:val="0"/>
    <w:pPr>
      <w:jc w:val="center"/>
    </w:pPr>
    <w:rPr>
      <w:rFonts w:cs="宋体"/>
      <w:szCs w:val="20"/>
    </w:rPr>
  </w:style>
  <w:style w:type="paragraph" w:customStyle="1" w:styleId="997">
    <w:name w:val="xl187"/>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998">
    <w:name w:val="xl221"/>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999">
    <w:name w:val="xl198"/>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00">
    <w:name w:val="标书原文本"/>
    <w:basedOn w:val="1"/>
    <w:qFormat/>
    <w:uiPriority w:val="0"/>
    <w:pPr>
      <w:spacing w:afterLines="50" w:line="320" w:lineRule="exact"/>
      <w:ind w:left="720" w:leftChars="300" w:firstLine="420" w:firstLineChars="200"/>
    </w:pPr>
    <w:rPr>
      <w:rFonts w:ascii="Arial" w:hAnsi="Arial" w:cs="宋体"/>
      <w:szCs w:val="21"/>
    </w:rPr>
  </w:style>
  <w:style w:type="paragraph" w:customStyle="1" w:styleId="1001">
    <w:name w:val="font16"/>
    <w:basedOn w:val="1"/>
    <w:qFormat/>
    <w:uiPriority w:val="0"/>
    <w:pPr>
      <w:widowControl/>
      <w:spacing w:before="100" w:beforeAutospacing="1" w:after="100" w:afterAutospacing="1"/>
      <w:jc w:val="left"/>
    </w:pPr>
    <w:rPr>
      <w:rFonts w:ascii="宋体" w:hAnsi="宋体" w:cs="宋体"/>
      <w:kern w:val="0"/>
      <w:sz w:val="16"/>
      <w:szCs w:val="16"/>
    </w:rPr>
  </w:style>
  <w:style w:type="paragraph" w:customStyle="1" w:styleId="1002">
    <w:name w:val="xl222"/>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03">
    <w:name w:val="xl199"/>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04">
    <w:name w:val="xl115"/>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05">
    <w:name w:val="xl188"/>
    <w:basedOn w:val="1"/>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1006">
    <w:name w:val="xl232"/>
    <w:basedOn w:val="1"/>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1007">
    <w:name w:val="xl176"/>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08">
    <w:name w:val="xl226"/>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09">
    <w:name w:val="xl189"/>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010">
    <w:name w:val="xl235"/>
    <w:basedOn w:val="1"/>
    <w:qFormat/>
    <w:uiPriority w:val="0"/>
    <w:pPr>
      <w:widowControl/>
      <w:pBdr>
        <w:top w:val="single" w:color="auto" w:sz="4" w:space="0"/>
        <w:bottom w:val="single" w:color="auto" w:sz="4" w:space="0"/>
      </w:pBdr>
      <w:shd w:val="clear" w:color="auto" w:fill="FFFF99"/>
      <w:spacing w:before="100" w:beforeAutospacing="1" w:after="100" w:afterAutospacing="1"/>
      <w:jc w:val="left"/>
      <w:textAlignment w:val="center"/>
    </w:pPr>
    <w:rPr>
      <w:rFonts w:ascii="宋体" w:hAnsi="宋体" w:cs="宋体"/>
      <w:kern w:val="0"/>
      <w:sz w:val="24"/>
      <w:szCs w:val="24"/>
    </w:rPr>
  </w:style>
  <w:style w:type="paragraph" w:customStyle="1" w:styleId="1011">
    <w:name w:val="xl177"/>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012">
    <w:name w:val="表格题注"/>
    <w:basedOn w:val="17"/>
    <w:qFormat/>
    <w:uiPriority w:val="0"/>
    <w:pPr>
      <w:adjustRightInd w:val="0"/>
      <w:spacing w:before="0" w:after="0" w:afterLines="50" w:line="320" w:lineRule="exact"/>
    </w:pPr>
    <w:rPr>
      <w:rFonts w:hint="default" w:eastAsia="楷体_GB2312"/>
      <w:spacing w:val="10"/>
      <w:kern w:val="0"/>
    </w:rPr>
  </w:style>
  <w:style w:type="paragraph" w:customStyle="1" w:styleId="1013">
    <w:name w:val="xl1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14">
    <w:name w:val="xl236"/>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1015">
    <w:name w:val="xl182"/>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016">
    <w:name w:val="xl104"/>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6"/>
      <w:szCs w:val="16"/>
    </w:rPr>
  </w:style>
  <w:style w:type="paragraph" w:customStyle="1" w:styleId="1017">
    <w:name w:val="xl134"/>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018">
    <w:name w:val="xl113"/>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19">
    <w:name w:val="xl223"/>
    <w:basedOn w:val="1"/>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20">
    <w:name w:val="样式 只在字下加下划线 首行缩进:  2 字符"/>
    <w:basedOn w:val="1"/>
    <w:qFormat/>
    <w:uiPriority w:val="0"/>
    <w:pPr>
      <w:spacing w:before="120" w:line="420" w:lineRule="atLeast"/>
      <w:ind w:left="600" w:leftChars="600" w:firstLine="200" w:firstLineChars="200"/>
    </w:pPr>
    <w:rPr>
      <w:rFonts w:cs="宋体"/>
      <w:sz w:val="24"/>
      <w:u w:val="words"/>
    </w:rPr>
  </w:style>
  <w:style w:type="paragraph" w:customStyle="1" w:styleId="1021">
    <w:name w:val="标书条款"/>
    <w:basedOn w:val="1000"/>
    <w:next w:val="1000"/>
    <w:qFormat/>
    <w:uiPriority w:val="0"/>
    <w:rPr>
      <w:u w:val="single"/>
    </w:rPr>
  </w:style>
  <w:style w:type="paragraph" w:customStyle="1" w:styleId="1022">
    <w:name w:val="xl251"/>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23">
    <w:name w:val="xl114"/>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4">
    <w:name w:val="Char Char Char Char Char Char Char Char Char Char Char 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025">
    <w:name w:val="xl61"/>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026">
    <w:name w:val="Company Name"/>
    <w:basedOn w:val="1"/>
    <w:next w:val="1"/>
    <w:qFormat/>
    <w:uiPriority w:val="0"/>
    <w:pPr>
      <w:widowControl/>
      <w:tabs>
        <w:tab w:val="left" w:pos="2160"/>
        <w:tab w:val="right" w:pos="7362"/>
      </w:tabs>
      <w:spacing w:before="240" w:after="40" w:line="220" w:lineRule="atLeast"/>
      <w:jc w:val="left"/>
    </w:pPr>
    <w:rPr>
      <w:rFonts w:ascii="Arial" w:hAnsi="Arial" w:eastAsia="PMingLiU"/>
      <w:kern w:val="0"/>
      <w:sz w:val="20"/>
      <w:lang w:eastAsia="en-US" w:bidi="en-US"/>
    </w:rPr>
  </w:style>
  <w:style w:type="paragraph" w:customStyle="1" w:styleId="1027">
    <w:name w:val="xl250"/>
    <w:basedOn w:val="1"/>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8">
    <w:name w:val="xl59"/>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29">
    <w:name w:val="xl108"/>
    <w:basedOn w:val="1"/>
    <w:qFormat/>
    <w:uiPriority w:val="0"/>
    <w:pPr>
      <w:widowControl/>
      <w:pBdr>
        <w:bottom w:val="single" w:color="auto" w:sz="4" w:space="0"/>
        <w:right w:val="single" w:color="auto" w:sz="4" w:space="0"/>
      </w:pBdr>
      <w:spacing w:before="100" w:beforeAutospacing="1" w:after="100" w:afterAutospacing="1"/>
      <w:jc w:val="left"/>
    </w:pPr>
    <w:rPr>
      <w:rFonts w:ascii="黑体" w:hAnsi="宋体" w:eastAsia="黑体" w:cs="宋体"/>
      <w:kern w:val="0"/>
      <w:sz w:val="16"/>
      <w:szCs w:val="16"/>
    </w:rPr>
  </w:style>
  <w:style w:type="paragraph" w:customStyle="1" w:styleId="1030">
    <w:name w:val="xl6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31">
    <w:name w:val="&gt;1:enum4 .enum"/>
    <w:basedOn w:val="1"/>
    <w:qFormat/>
    <w:uiPriority w:val="0"/>
    <w:pPr>
      <w:widowControl/>
      <w:spacing w:before="50" w:after="50" w:line="280" w:lineRule="exact"/>
      <w:ind w:left="1135" w:hanging="284"/>
      <w:jc w:val="left"/>
    </w:pPr>
    <w:rPr>
      <w:rFonts w:ascii="Arial" w:hAnsi="Arial"/>
      <w:kern w:val="0"/>
      <w:sz w:val="20"/>
      <w:lang w:eastAsia="fr-FR" w:bidi="en-US"/>
    </w:rPr>
  </w:style>
  <w:style w:type="paragraph" w:customStyle="1" w:styleId="1032">
    <w:name w:val="xl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szCs w:val="24"/>
    </w:rPr>
  </w:style>
  <w:style w:type="paragraph" w:customStyle="1" w:styleId="1033">
    <w:name w:val="xl25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034">
    <w:name w:val="font20"/>
    <w:basedOn w:val="1"/>
    <w:qFormat/>
    <w:uiPriority w:val="0"/>
    <w:pPr>
      <w:widowControl/>
      <w:spacing w:before="100" w:beforeAutospacing="1" w:after="100" w:afterAutospacing="1"/>
      <w:jc w:val="left"/>
    </w:pPr>
    <w:rPr>
      <w:color w:val="0000FF"/>
      <w:kern w:val="0"/>
      <w:sz w:val="20"/>
    </w:rPr>
  </w:style>
  <w:style w:type="paragraph" w:customStyle="1" w:styleId="1035">
    <w:name w:val="xl6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36">
    <w:name w:val="xl116"/>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37">
    <w:name w:val="xl63"/>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38">
    <w:name w:val="xl225"/>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39">
    <w:name w:val="font22"/>
    <w:basedOn w:val="1"/>
    <w:qFormat/>
    <w:uiPriority w:val="0"/>
    <w:pPr>
      <w:widowControl/>
      <w:spacing w:before="100" w:beforeAutospacing="1" w:after="100" w:afterAutospacing="1"/>
      <w:jc w:val="left"/>
    </w:pPr>
    <w:rPr>
      <w:kern w:val="0"/>
      <w:sz w:val="24"/>
      <w:szCs w:val="24"/>
    </w:rPr>
  </w:style>
  <w:style w:type="paragraph" w:customStyle="1" w:styleId="1040">
    <w:name w:val="xl229"/>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41">
    <w:name w:val="&gt;1:list2  1)suite"/>
    <w:basedOn w:val="1042"/>
    <w:qFormat/>
    <w:uiPriority w:val="0"/>
    <w:pPr>
      <w:tabs>
        <w:tab w:val="left" w:pos="709"/>
        <w:tab w:val="left" w:pos="1061"/>
        <w:tab w:val="left" w:pos="1418"/>
      </w:tabs>
      <w:spacing w:before="50"/>
      <w:ind w:left="0" w:firstLine="0"/>
      <w:jc w:val="both"/>
    </w:pPr>
  </w:style>
  <w:style w:type="paragraph" w:customStyle="1" w:styleId="1042">
    <w:name w:val="&gt;1:list2  1)"/>
    <w:basedOn w:val="1"/>
    <w:qFormat/>
    <w:uiPriority w:val="0"/>
    <w:pPr>
      <w:widowControl/>
      <w:tabs>
        <w:tab w:val="left" w:pos="709"/>
        <w:tab w:val="left" w:pos="1061"/>
        <w:tab w:val="left" w:pos="1418"/>
      </w:tabs>
      <w:spacing w:before="170" w:after="50" w:line="280" w:lineRule="exact"/>
      <w:ind w:left="568" w:hanging="284"/>
      <w:jc w:val="left"/>
    </w:pPr>
    <w:rPr>
      <w:rFonts w:ascii="Arial" w:hAnsi="Arial"/>
      <w:kern w:val="0"/>
      <w:sz w:val="20"/>
      <w:lang w:eastAsia="fr-FR" w:bidi="en-US"/>
    </w:rPr>
  </w:style>
  <w:style w:type="paragraph" w:customStyle="1" w:styleId="1043">
    <w:name w:val="font23"/>
    <w:basedOn w:val="1"/>
    <w:qFormat/>
    <w:uiPriority w:val="0"/>
    <w:pPr>
      <w:widowControl/>
      <w:spacing w:before="100" w:beforeAutospacing="1" w:after="100" w:afterAutospacing="1"/>
      <w:jc w:val="left"/>
    </w:pPr>
    <w:rPr>
      <w:rFonts w:ascii="仿宋_GB2312" w:hAnsi="宋体" w:eastAsia="仿宋_GB2312" w:cs="宋体"/>
      <w:color w:val="000000"/>
      <w:kern w:val="0"/>
      <w:sz w:val="20"/>
    </w:rPr>
  </w:style>
  <w:style w:type="paragraph" w:customStyle="1" w:styleId="1044">
    <w:name w:val="xl64"/>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45">
    <w:name w:val="xl247"/>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46">
    <w:name w:val="Char Char Char Char Char Char Char Char Char Char Char Char Char Char Char Char Char Char Char Char Char Char Char Char Char Char Char Char Char Char Char Char Char2"/>
    <w:basedOn w:val="1"/>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047">
    <w:name w:val="Char Char9 Char Char"/>
    <w:basedOn w:val="1"/>
    <w:qFormat/>
    <w:uiPriority w:val="0"/>
    <w:rPr>
      <w:rFonts w:ascii="Tahoma" w:hAnsi="Tahoma"/>
      <w:sz w:val="24"/>
    </w:rPr>
  </w:style>
  <w:style w:type="paragraph" w:customStyle="1" w:styleId="1048">
    <w:name w:val="&gt;1:enum2 .suite"/>
    <w:basedOn w:val="1"/>
    <w:qFormat/>
    <w:uiPriority w:val="0"/>
    <w:pPr>
      <w:widowControl/>
      <w:tabs>
        <w:tab w:val="left" w:pos="709"/>
        <w:tab w:val="left" w:pos="1061"/>
        <w:tab w:val="left" w:pos="1418"/>
      </w:tabs>
      <w:spacing w:after="50" w:line="280" w:lineRule="exact"/>
      <w:ind w:left="562"/>
      <w:jc w:val="left"/>
    </w:pPr>
    <w:rPr>
      <w:rFonts w:ascii="Arial" w:hAnsi="Arial"/>
      <w:kern w:val="0"/>
      <w:sz w:val="20"/>
      <w:lang w:eastAsia="fr-FR" w:bidi="en-US"/>
    </w:rPr>
  </w:style>
  <w:style w:type="paragraph" w:customStyle="1" w:styleId="1049">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50">
    <w:name w:val="&gt;1:enum3 -:suite"/>
    <w:basedOn w:val="1"/>
    <w:qFormat/>
    <w:uiPriority w:val="0"/>
    <w:pPr>
      <w:widowControl/>
      <w:tabs>
        <w:tab w:val="left" w:pos="351"/>
        <w:tab w:val="left" w:pos="709"/>
        <w:tab w:val="left" w:pos="1061"/>
        <w:tab w:val="left" w:pos="1418"/>
      </w:tabs>
      <w:spacing w:after="50" w:line="280" w:lineRule="exact"/>
      <w:ind w:left="851"/>
      <w:jc w:val="left"/>
    </w:pPr>
    <w:rPr>
      <w:rFonts w:ascii="Arial" w:hAnsi="Arial"/>
      <w:kern w:val="0"/>
      <w:sz w:val="20"/>
      <w:lang w:eastAsia="fr-FR" w:bidi="en-US"/>
    </w:rPr>
  </w:style>
  <w:style w:type="paragraph" w:customStyle="1" w:styleId="1051">
    <w:name w:val="xl382"/>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052">
    <w:name w:val="xl99"/>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3">
    <w:name w:val="xl122"/>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54">
    <w:name w:val="xl25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55">
    <w:name w:val="xl230"/>
    <w:basedOn w:val="1"/>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pPr>
    <w:rPr>
      <w:rFonts w:ascii="宋体" w:hAnsi="宋体" w:cs="宋体"/>
      <w:b/>
      <w:bCs/>
      <w:kern w:val="0"/>
      <w:sz w:val="20"/>
    </w:rPr>
  </w:style>
  <w:style w:type="paragraph" w:customStyle="1" w:styleId="1056">
    <w:name w:val="xl227"/>
    <w:basedOn w:val="1"/>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57">
    <w:name w:val="xl118"/>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58">
    <w:name w:val="xl100"/>
    <w:basedOn w:val="1"/>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9">
    <w:name w:val="xl12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060">
    <w:name w:val="xl130"/>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61">
    <w:name w:val="xl119"/>
    <w:basedOn w:val="1"/>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2">
    <w:name w:val="xl233"/>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63">
    <w:name w:val="xl12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64">
    <w:name w:val="xl228"/>
    <w:basedOn w:val="1"/>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6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1066">
    <w:name w:val="xl241"/>
    <w:basedOn w:val="1"/>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7">
    <w:name w:val="xl14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68">
    <w:name w:val="xl106"/>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4"/>
      <w:szCs w:val="24"/>
    </w:rPr>
  </w:style>
  <w:style w:type="paragraph" w:customStyle="1" w:styleId="1069">
    <w:name w:val="xl10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color w:val="000000"/>
      <w:kern w:val="0"/>
      <w:sz w:val="16"/>
      <w:szCs w:val="16"/>
    </w:rPr>
  </w:style>
  <w:style w:type="paragraph" w:customStyle="1" w:styleId="1070">
    <w:name w:val="xl110"/>
    <w:basedOn w:val="1"/>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1071">
    <w:name w:val="xl23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72">
    <w:name w:val="xl263"/>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073">
    <w:name w:val="xl136"/>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74">
    <w:name w:val="xl111"/>
    <w:basedOn w:val="1"/>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75">
    <w:name w:val="xl259"/>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076">
    <w:name w:val="xl156"/>
    <w:basedOn w:val="1"/>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77">
    <w:name w:val="xl112"/>
    <w:basedOn w:val="1"/>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1078">
    <w:name w:val="&gt;1:enum4 .suite"/>
    <w:basedOn w:val="1"/>
    <w:qFormat/>
    <w:uiPriority w:val="0"/>
    <w:pPr>
      <w:widowControl/>
      <w:spacing w:after="50" w:line="280" w:lineRule="exact"/>
      <w:ind w:left="1134"/>
      <w:jc w:val="left"/>
    </w:pPr>
    <w:rPr>
      <w:rFonts w:ascii="Arial" w:hAnsi="Arial"/>
      <w:kern w:val="0"/>
      <w:sz w:val="20"/>
      <w:lang w:eastAsia="fr-FR" w:bidi="en-US"/>
    </w:rPr>
  </w:style>
  <w:style w:type="paragraph" w:customStyle="1" w:styleId="1079">
    <w:name w:val="xl244"/>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80">
    <w:name w:val="xl141"/>
    <w:basedOn w:val="1"/>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81">
    <w:name w:val="xl150"/>
    <w:basedOn w:val="1"/>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1082">
    <w:name w:val="xl142"/>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83">
    <w:name w:val="xl24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84">
    <w:name w:val="xl155"/>
    <w:basedOn w:val="1"/>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85">
    <w:name w:val="xl151"/>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86">
    <w:name w:val="xl161"/>
    <w:basedOn w:val="1"/>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87">
    <w:name w:val="xl153"/>
    <w:basedOn w:val="1"/>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88">
    <w:name w:val="xl246"/>
    <w:basedOn w:val="1"/>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89">
    <w:name w:val="xl21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1090">
    <w:name w:val="xl159"/>
    <w:basedOn w:val="1"/>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91">
    <w:name w:val="&gt;1:nota:nota suite"/>
    <w:basedOn w:val="745"/>
    <w:qFormat/>
    <w:uiPriority w:val="0"/>
    <w:pPr>
      <w:ind w:left="567" w:firstLine="0"/>
      <w:jc w:val="both"/>
    </w:pPr>
  </w:style>
  <w:style w:type="paragraph" w:customStyle="1" w:styleId="1092">
    <w:name w:val="xl164"/>
    <w:basedOn w:val="1"/>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93">
    <w:name w:val="Char Char9 Char Char1"/>
    <w:basedOn w:val="1"/>
    <w:qFormat/>
    <w:uiPriority w:val="0"/>
    <w:rPr>
      <w:rFonts w:ascii="Tahoma" w:hAnsi="Tahoma"/>
      <w:sz w:val="24"/>
    </w:rPr>
  </w:style>
  <w:style w:type="paragraph" w:customStyle="1" w:styleId="1094">
    <w:name w:val="xl206"/>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5">
    <w:name w:val="xl207"/>
    <w:basedOn w:val="1"/>
    <w:qFormat/>
    <w:uiPriority w:val="0"/>
    <w:pPr>
      <w:widowControl/>
      <w:pBdr>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6">
    <w:name w:val="xl170"/>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097">
    <w:name w:val="font15"/>
    <w:basedOn w:val="1"/>
    <w:qFormat/>
    <w:uiPriority w:val="0"/>
    <w:pPr>
      <w:widowControl/>
      <w:spacing w:before="100" w:beforeAutospacing="1" w:after="100" w:afterAutospacing="1"/>
      <w:jc w:val="left"/>
    </w:pPr>
    <w:rPr>
      <w:rFonts w:ascii="Arial" w:hAnsi="Arial" w:cs="Arial"/>
      <w:kern w:val="0"/>
      <w:sz w:val="16"/>
      <w:szCs w:val="16"/>
    </w:rPr>
  </w:style>
  <w:style w:type="paragraph" w:customStyle="1" w:styleId="1098">
    <w:name w:val="&gt;1:enum2 .enum"/>
    <w:basedOn w:val="1"/>
    <w:qFormat/>
    <w:uiPriority w:val="0"/>
    <w:pPr>
      <w:widowControl/>
      <w:tabs>
        <w:tab w:val="left" w:pos="709"/>
        <w:tab w:val="left" w:pos="1061"/>
        <w:tab w:val="left" w:pos="1418"/>
      </w:tabs>
      <w:spacing w:before="50" w:after="50" w:line="280" w:lineRule="exact"/>
      <w:ind w:left="568" w:hanging="284"/>
      <w:jc w:val="left"/>
    </w:pPr>
    <w:rPr>
      <w:rFonts w:ascii="Arial" w:hAnsi="Arial"/>
      <w:kern w:val="0"/>
      <w:sz w:val="20"/>
      <w:lang w:eastAsia="fr-FR" w:bidi="en-US"/>
    </w:rPr>
  </w:style>
  <w:style w:type="paragraph" w:customStyle="1" w:styleId="1099">
    <w:name w:val="xl175"/>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100">
    <w:name w:val="xl191"/>
    <w:basedOn w:val="1"/>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101">
    <w:name w:val="xl24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02">
    <w:name w:val="xl17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03">
    <w:name w:val="xl19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1104">
    <w:name w:val="xl252"/>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105">
    <w:name w:val="xl179"/>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06">
    <w:name w:val="xl193"/>
    <w:basedOn w:val="1"/>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107">
    <w:name w:val="xl264"/>
    <w:basedOn w:val="1"/>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108">
    <w:name w:val="xl180"/>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09">
    <w:name w:val="xl19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110">
    <w:name w:val="xl26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111">
    <w:name w:val="xl194"/>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112">
    <w:name w:val="xl20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1113">
    <w:name w:val="xl266"/>
    <w:basedOn w:val="1"/>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114">
    <w:name w:val="xl196"/>
    <w:basedOn w:val="1"/>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115">
    <w:name w:val="xl19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116">
    <w:name w:val="xl26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17">
    <w:name w:val="xl200"/>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1118">
    <w:name w:val="格式1"/>
    <w:basedOn w:val="2"/>
    <w:qFormat/>
    <w:uiPriority w:val="0"/>
    <w:pPr>
      <w:keepNext w:val="0"/>
      <w:widowControl w:val="0"/>
      <w:tabs>
        <w:tab w:val="clear" w:pos="885"/>
      </w:tabs>
      <w:adjustRightInd w:val="0"/>
      <w:snapToGrid w:val="0"/>
      <w:spacing w:before="240" w:beforeLines="100"/>
      <w:ind w:left="-359" w:firstLine="207" w:firstLineChars="98"/>
    </w:pPr>
    <w:rPr>
      <w:rFonts w:hAnsi="宋体" w:cs="Arial"/>
      <w:color w:val="000000"/>
      <w:sz w:val="28"/>
    </w:rPr>
  </w:style>
  <w:style w:type="paragraph" w:customStyle="1" w:styleId="1119">
    <w:name w:val="xl202"/>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1120">
    <w:name w:val="xl26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21">
    <w:name w:val="xl203"/>
    <w:basedOn w:val="1"/>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1122">
    <w:name w:val="xl205"/>
    <w:basedOn w:val="1"/>
    <w:qFormat/>
    <w:uiPriority w:val="0"/>
    <w:pPr>
      <w:widowControl/>
      <w:pBdr>
        <w:top w:val="single" w:color="auto" w:sz="4" w:space="0"/>
        <w:left w:val="single" w:color="auto" w:sz="4" w:space="0"/>
        <w:bottom w:val="single" w:color="auto" w:sz="4" w:space="0"/>
        <w:right w:val="double" w:color="auto" w:sz="6" w:space="0"/>
      </w:pBdr>
      <w:shd w:val="clear" w:color="auto" w:fill="FFFFFF"/>
      <w:spacing w:before="100" w:beforeAutospacing="1" w:after="100" w:afterAutospacing="1"/>
      <w:jc w:val="left"/>
    </w:pPr>
    <w:rPr>
      <w:rFonts w:ascii="宋体" w:hAnsi="宋体" w:cs="宋体"/>
      <w:kern w:val="0"/>
      <w:sz w:val="20"/>
    </w:rPr>
  </w:style>
  <w:style w:type="paragraph" w:customStyle="1" w:styleId="1123">
    <w:name w:val="xl269"/>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24">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5">
    <w:name w:val="样式 列表框 Char Char Char Char Char + 右侧:  -0.05 字符"/>
    <w:basedOn w:val="747"/>
    <w:qFormat/>
    <w:uiPriority w:val="0"/>
    <w:pPr>
      <w:tabs>
        <w:tab w:val="clear" w:pos="874"/>
      </w:tabs>
      <w:ind w:left="0" w:firstLine="0"/>
    </w:pPr>
    <w:rPr>
      <w:rFonts w:cs="宋体"/>
      <w:color w:val="000000"/>
      <w:szCs w:val="20"/>
    </w:rPr>
  </w:style>
  <w:style w:type="paragraph" w:customStyle="1" w:styleId="1126">
    <w:name w:val="char1"/>
    <w:basedOn w:val="1"/>
    <w:qFormat/>
    <w:uiPriority w:val="0"/>
    <w:pPr>
      <w:widowControl/>
    </w:pPr>
    <w:rPr>
      <w:rFonts w:ascii="Tahoma" w:hAnsi="Tahoma" w:cs="Tahoma"/>
      <w:kern w:val="0"/>
      <w:sz w:val="24"/>
      <w:szCs w:val="24"/>
    </w:rPr>
  </w:style>
  <w:style w:type="paragraph" w:customStyle="1" w:styleId="1127">
    <w:name w:val="xl284"/>
    <w:basedOn w:val="1"/>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28">
    <w:name w:val="...."/>
    <w:basedOn w:val="1"/>
    <w:next w:val="1"/>
    <w:qFormat/>
    <w:uiPriority w:val="0"/>
    <w:pPr>
      <w:widowControl/>
      <w:autoSpaceDE w:val="0"/>
      <w:autoSpaceDN w:val="0"/>
      <w:adjustRightInd w:val="0"/>
      <w:spacing w:after="220"/>
      <w:jc w:val="left"/>
    </w:pPr>
    <w:rPr>
      <w:rFonts w:ascii="Sim Sun" w:eastAsia="Sim Sun"/>
      <w:kern w:val="0"/>
      <w:sz w:val="24"/>
      <w:szCs w:val="24"/>
      <w:lang w:eastAsia="en-US" w:bidi="en-US"/>
    </w:rPr>
  </w:style>
  <w:style w:type="paragraph" w:customStyle="1" w:styleId="1129">
    <w:name w:val="Company Name One"/>
    <w:basedOn w:val="1026"/>
    <w:next w:val="1"/>
    <w:qFormat/>
    <w:uiPriority w:val="0"/>
    <w:pPr>
      <w:tabs>
        <w:tab w:val="right" w:pos="7542"/>
        <w:tab w:val="clear" w:pos="2160"/>
        <w:tab w:val="clear" w:pos="7362"/>
      </w:tabs>
      <w:spacing w:before="280"/>
    </w:pPr>
  </w:style>
  <w:style w:type="paragraph" w:customStyle="1" w:styleId="1130">
    <w:name w:val="样式 列表框 Char Char Char Char Char + 右侧:  -0.05 字符 段后: 0.5 行"/>
    <w:basedOn w:val="747"/>
    <w:qFormat/>
    <w:uiPriority w:val="0"/>
    <w:pPr>
      <w:tabs>
        <w:tab w:val="clear" w:pos="874"/>
      </w:tabs>
      <w:ind w:left="0" w:firstLine="0"/>
    </w:pPr>
    <w:rPr>
      <w:rFonts w:cs="宋体"/>
      <w:szCs w:val="20"/>
    </w:rPr>
  </w:style>
  <w:style w:type="paragraph" w:customStyle="1" w:styleId="1131">
    <w:name w:val="列项●（二级）"/>
    <w:qFormat/>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1132">
    <w:name w:val="X:pied_page1"/>
    <w:basedOn w:val="800"/>
    <w:qFormat/>
    <w:uiPriority w:val="0"/>
    <w:rPr>
      <w:b/>
      <w:sz w:val="28"/>
    </w:rPr>
  </w:style>
  <w:style w:type="paragraph" w:customStyle="1" w:styleId="1133">
    <w:name w:val="样式 样式 列表框 Char Char Char Char Char + 右侧:  -0.05 字符 段后: 0.5 行 + 右..."/>
    <w:basedOn w:val="1130"/>
    <w:qFormat/>
    <w:uiPriority w:val="0"/>
    <w:pPr/>
  </w:style>
  <w:style w:type="paragraph" w:customStyle="1" w:styleId="1134">
    <w:name w:val="xl274"/>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1135">
    <w:name w:val="Enumération"/>
    <w:basedOn w:val="1136"/>
    <w:qFormat/>
    <w:uiPriority w:val="0"/>
    <w:pPr>
      <w:spacing w:after="0"/>
    </w:pPr>
  </w:style>
  <w:style w:type="paragraph" w:customStyle="1" w:styleId="1136">
    <w:name w:val="Tiret"/>
    <w:basedOn w:val="1"/>
    <w:qFormat/>
    <w:uiPriority w:val="0"/>
    <w:pPr>
      <w:keepLines/>
      <w:widowControl/>
      <w:overflowPunct w:val="0"/>
      <w:autoSpaceDE w:val="0"/>
      <w:autoSpaceDN w:val="0"/>
      <w:adjustRightInd w:val="0"/>
      <w:spacing w:before="20" w:after="240" w:line="240" w:lineRule="exact"/>
      <w:ind w:left="1276" w:hanging="284"/>
      <w:jc w:val="left"/>
      <w:textAlignment w:val="baseline"/>
    </w:pPr>
    <w:rPr>
      <w:rFonts w:ascii="Arial" w:hAnsi="Arial" w:eastAsia="PMingLiU"/>
      <w:kern w:val="0"/>
      <w:sz w:val="22"/>
      <w:lang w:val="en-GB" w:eastAsia="en-US" w:bidi="en-US"/>
    </w:rPr>
  </w:style>
  <w:style w:type="paragraph" w:customStyle="1" w:styleId="1137">
    <w:name w:val="图表标题"/>
    <w:basedOn w:val="1"/>
    <w:qFormat/>
    <w:uiPriority w:val="0"/>
    <w:pPr>
      <w:spacing w:line="360" w:lineRule="auto"/>
      <w:jc w:val="center"/>
    </w:pPr>
    <w:rPr>
      <w:rFonts w:ascii="Calibri" w:hAnsi="Calibri"/>
      <w:sz w:val="24"/>
      <w:szCs w:val="22"/>
    </w:rPr>
  </w:style>
  <w:style w:type="paragraph" w:customStyle="1" w:styleId="1138">
    <w:name w:val="xl275"/>
    <w:basedOn w:val="1"/>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139">
    <w:name w:val="样式 正常文本 Char Char Char Char Char Char Char Char Char Char Char C..."/>
    <w:basedOn w:val="748"/>
    <w:qFormat/>
    <w:uiPriority w:val="0"/>
    <w:pPr>
      <w:ind w:left="1100" w:leftChars="1100"/>
    </w:pPr>
    <w:rPr>
      <w:rFonts w:cs="宋体"/>
      <w:szCs w:val="20"/>
    </w:rPr>
  </w:style>
  <w:style w:type="paragraph" w:customStyle="1" w:styleId="1140">
    <w:name w:val="Para 3rd Subpara"/>
    <w:basedOn w:val="778"/>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822" w:hanging="561"/>
    </w:pPr>
  </w:style>
  <w:style w:type="paragraph" w:customStyle="1" w:styleId="1141">
    <w:name w:val="样式 目录 1 + 左侧:  0 字符"/>
    <w:basedOn w:val="42"/>
    <w:next w:val="775"/>
    <w:qFormat/>
    <w:uiPriority w:val="0"/>
    <w:pPr>
      <w:tabs>
        <w:tab w:val="left" w:pos="1680"/>
        <w:tab w:val="right" w:pos="9060"/>
      </w:tabs>
      <w:spacing w:before="0" w:after="0"/>
      <w:ind w:left="720"/>
      <w:jc w:val="both"/>
    </w:pPr>
    <w:rPr>
      <w:rFonts w:eastAsia="黑体" w:cs="宋体"/>
      <w:b w:val="0"/>
      <w:bCs w:val="0"/>
      <w:caps w:val="0"/>
      <w:szCs w:val="24"/>
    </w:rPr>
  </w:style>
  <w:style w:type="paragraph" w:customStyle="1" w:styleId="1142">
    <w:name w:val="xl278"/>
    <w:basedOn w:val="1"/>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43">
    <w:name w:val="表格文字小 (左对齐)"/>
    <w:basedOn w:val="1"/>
    <w:qFormat/>
    <w:uiPriority w:val="0"/>
    <w:pPr>
      <w:widowControl/>
      <w:adjustRightInd w:val="0"/>
      <w:spacing w:line="240" w:lineRule="atLeast"/>
      <w:jc w:val="left"/>
      <w:textAlignment w:val="baseline"/>
    </w:pPr>
    <w:rPr>
      <w:rFonts w:ascii="宋体"/>
      <w:kern w:val="0"/>
      <w:sz w:val="18"/>
      <w:szCs w:val="18"/>
      <w:lang w:eastAsia="en-US" w:bidi="en-US"/>
    </w:rPr>
  </w:style>
  <w:style w:type="paragraph" w:customStyle="1" w:styleId="1144">
    <w:name w:val="_Style 134"/>
    <w:basedOn w:val="1"/>
    <w:qFormat/>
    <w:uiPriority w:val="0"/>
    <w:pPr>
      <w:widowControl/>
      <w:jc w:val="left"/>
    </w:pPr>
    <w:rPr>
      <w:kern w:val="0"/>
      <w:sz w:val="24"/>
      <w:szCs w:val="24"/>
      <w:lang w:eastAsia="en-US" w:bidi="en-US"/>
    </w:rPr>
  </w:style>
  <w:style w:type="paragraph" w:customStyle="1" w:styleId="1145">
    <w:name w:val="6"/>
    <w:unhideWhenUsed/>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146">
    <w:name w:val="_Style 146"/>
    <w:basedOn w:val="1"/>
    <w:qFormat/>
    <w:uiPriority w:val="0"/>
    <w:pPr>
      <w:widowControl/>
      <w:jc w:val="left"/>
    </w:pPr>
    <w:rPr>
      <w:kern w:val="0"/>
      <w:sz w:val="24"/>
      <w:szCs w:val="24"/>
      <w:lang w:eastAsia="en-US" w:bidi="en-US"/>
    </w:rPr>
  </w:style>
  <w:style w:type="paragraph" w:customStyle="1" w:styleId="1147">
    <w:name w:val="xl283"/>
    <w:basedOn w:val="1"/>
    <w:qFormat/>
    <w:uiPriority w:val="0"/>
    <w:pPr>
      <w:widowControl/>
      <w:pBdr>
        <w:lef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148">
    <w:name w:val="Appendix1"/>
    <w:basedOn w:val="1"/>
    <w:next w:val="1"/>
    <w:qFormat/>
    <w:uiPriority w:val="0"/>
    <w:pPr>
      <w:keepNext/>
      <w:keepLines/>
      <w:widowControl/>
      <w:spacing w:before="4000" w:after="240" w:line="240" w:lineRule="exact"/>
      <w:ind w:left="992"/>
      <w:jc w:val="center"/>
    </w:pPr>
    <w:rPr>
      <w:rFonts w:ascii="Arial" w:hAnsi="Arial"/>
      <w:b/>
      <w:caps/>
      <w:kern w:val="0"/>
      <w:sz w:val="40"/>
      <w:u w:val="single"/>
      <w:lang w:val="en-GB" w:eastAsia="en-US" w:bidi="en-US"/>
    </w:rPr>
  </w:style>
  <w:style w:type="paragraph" w:customStyle="1" w:styleId="1149">
    <w:name w:val="默认段落字体 Para Char"/>
    <w:basedOn w:val="1"/>
    <w:next w:val="1"/>
    <w:qFormat/>
    <w:uiPriority w:val="0"/>
    <w:pPr>
      <w:widowControl/>
      <w:adjustRightInd w:val="0"/>
      <w:spacing w:line="360" w:lineRule="auto"/>
      <w:ind w:firstLine="200" w:firstLineChars="200"/>
      <w:jc w:val="left"/>
    </w:pPr>
    <w:rPr>
      <w:rFonts w:ascii="Arial" w:hAnsi="Arial"/>
      <w:kern w:val="0"/>
      <w:sz w:val="24"/>
      <w:lang w:eastAsia="en-US" w:bidi="en-US"/>
    </w:rPr>
  </w:style>
  <w:style w:type="paragraph" w:customStyle="1" w:styleId="1150">
    <w:name w:val="Char Char Char Char Char1 Char Char Char Char Char Char"/>
    <w:qFormat/>
    <w:uiPriority w:val="0"/>
    <w:pPr>
      <w:widowControl w:val="0"/>
      <w:spacing w:after="200" w:line="276" w:lineRule="auto"/>
      <w:jc w:val="both"/>
    </w:pPr>
    <w:rPr>
      <w:rFonts w:ascii="Lucida Grande" w:hAnsi="Lucida Grande" w:eastAsia="ヒラギノ角ゴ Pro W3" w:cs="Times New Roman"/>
      <w:color w:val="000000"/>
      <w:sz w:val="22"/>
      <w:lang w:val="en-US" w:eastAsia="en-US" w:bidi="en-US"/>
    </w:rPr>
  </w:style>
  <w:style w:type="paragraph" w:customStyle="1" w:styleId="1151">
    <w:name w:val="X:copyright"/>
    <w:basedOn w:val="1"/>
    <w:qFormat/>
    <w:uiPriority w:val="0"/>
    <w:pPr>
      <w:widowControl/>
      <w:jc w:val="left"/>
    </w:pPr>
    <w:rPr>
      <w:rFonts w:ascii="Helvetica" w:hAnsi="Helvetica"/>
      <w:kern w:val="0"/>
      <w:sz w:val="12"/>
      <w:lang w:eastAsia="fr-FR" w:bidi="en-US"/>
    </w:rPr>
  </w:style>
  <w:style w:type="paragraph" w:customStyle="1" w:styleId="1152">
    <w:name w:val="X:entete"/>
    <w:basedOn w:val="800"/>
    <w:qFormat/>
    <w:uiPriority w:val="0"/>
    <w:rPr>
      <w:sz w:val="20"/>
    </w:rPr>
  </w:style>
  <w:style w:type="paragraph" w:customStyle="1" w:styleId="1153">
    <w:name w:val="样式 目录 2 + 左侧:  0.96 字符"/>
    <w:basedOn w:val="55"/>
    <w:qFormat/>
    <w:uiPriority w:val="0"/>
    <w:pPr>
      <w:tabs>
        <w:tab w:val="left" w:pos="697"/>
        <w:tab w:val="left" w:pos="1680"/>
        <w:tab w:val="right" w:leader="dot" w:pos="9059"/>
      </w:tabs>
      <w:autoSpaceDN w:val="0"/>
      <w:ind w:left="400" w:leftChars="400"/>
      <w:jc w:val="both"/>
    </w:pPr>
    <w:rPr>
      <w:rFonts w:ascii="Arial" w:hAnsi="Arial" w:cs="宋体"/>
      <w:smallCaps w:val="0"/>
    </w:rPr>
  </w:style>
  <w:style w:type="paragraph" w:customStyle="1" w:styleId="1154">
    <w:name w:val="样式 列表框1 + 右侧:  -0.05 字符"/>
    <w:basedOn w:val="141"/>
    <w:qFormat/>
    <w:uiPriority w:val="0"/>
    <w:pPr>
      <w:tabs>
        <w:tab w:val="left" w:pos="480"/>
        <w:tab w:val="left" w:pos="2618"/>
        <w:tab w:val="clear" w:pos="1628"/>
        <w:tab w:val="clear" w:pos="2086"/>
      </w:tabs>
      <w:spacing w:after="50"/>
      <w:ind w:left="0" w:leftChars="0" w:right="-5" w:rightChars="-5" w:firstLine="0" w:firstLineChars="0"/>
      <w:jc w:val="left"/>
    </w:pPr>
    <w:rPr>
      <w:rFonts w:ascii="Times New Roman" w:hAnsi="Times New Roman" w:cs="宋体"/>
      <w:spacing w:val="0"/>
      <w:szCs w:val="22"/>
    </w:rPr>
  </w:style>
  <w:style w:type="paragraph" w:customStyle="1" w:styleId="1155">
    <w:name w:val="样式 标题 5 + 左侧:  0 厘米 首行缩进:  1.6 厘米"/>
    <w:basedOn w:val="7"/>
    <w:qFormat/>
    <w:uiPriority w:val="0"/>
    <w:pPr>
      <w:widowControl w:val="0"/>
      <w:tabs>
        <w:tab w:val="left" w:pos="840"/>
        <w:tab w:val="left" w:pos="1050"/>
        <w:tab w:val="left" w:pos="1134"/>
      </w:tabs>
      <w:adjustRightInd w:val="0"/>
      <w:spacing w:before="480" w:line="376" w:lineRule="atLeast"/>
      <w:ind w:left="1758" w:hanging="1531"/>
      <w:jc w:val="both"/>
      <w:textAlignment w:val="baseline"/>
    </w:pPr>
    <w:rPr>
      <w:rFonts w:ascii="Times New Roman" w:hAnsi="Times New Roman" w:cs="宋体"/>
      <w:bCs/>
      <w:sz w:val="21"/>
      <w:szCs w:val="21"/>
    </w:rPr>
  </w:style>
  <w:style w:type="paragraph" w:customStyle="1" w:styleId="1156">
    <w:name w:val="正文列表框"/>
    <w:basedOn w:val="1"/>
    <w:qFormat/>
    <w:uiPriority w:val="0"/>
    <w:pPr>
      <w:numPr>
        <w:ilvl w:val="0"/>
        <w:numId w:val="10"/>
      </w:numPr>
      <w:spacing w:afterLines="50" w:line="320" w:lineRule="exact"/>
    </w:pPr>
    <w:rPr>
      <w:rFonts w:ascii="宋体" w:hAnsi="Arial" w:cs="Arial"/>
      <w:snapToGrid w:val="0"/>
      <w:color w:val="000000"/>
      <w:kern w:val="0"/>
      <w:szCs w:val="21"/>
      <w:lang w:val="en-GB"/>
    </w:rPr>
  </w:style>
  <w:style w:type="paragraph" w:customStyle="1" w:styleId="1157">
    <w:name w:val="正文条款"/>
    <w:basedOn w:val="1"/>
    <w:next w:val="1"/>
    <w:qFormat/>
    <w:uiPriority w:val="0"/>
    <w:pPr>
      <w:spacing w:afterLines="50" w:line="320" w:lineRule="exact"/>
      <w:ind w:left="200" w:leftChars="200" w:firstLine="200" w:firstLineChars="200"/>
    </w:pPr>
    <w:rPr>
      <w:rFonts w:ascii="Arial" w:hAnsi="Arial" w:cs="Arial"/>
      <w:snapToGrid w:val="0"/>
      <w:color w:val="0000FF"/>
      <w:kern w:val="0"/>
      <w:szCs w:val="21"/>
      <w:lang w:val="en-GB"/>
    </w:rPr>
  </w:style>
  <w:style w:type="paragraph" w:customStyle="1" w:styleId="1158">
    <w:name w:val="p18"/>
    <w:basedOn w:val="1"/>
    <w:qFormat/>
    <w:uiPriority w:val="0"/>
    <w:pPr>
      <w:widowControl/>
      <w:spacing w:line="360" w:lineRule="auto"/>
      <w:ind w:firstLine="420"/>
    </w:pPr>
    <w:rPr>
      <w:rFonts w:hint="eastAsia"/>
    </w:rPr>
  </w:style>
  <w:style w:type="paragraph" w:customStyle="1" w:styleId="1159">
    <w:name w:val="bodytext"/>
    <w:basedOn w:val="1"/>
    <w:qFormat/>
    <w:uiPriority w:val="0"/>
    <w:pPr>
      <w:widowControl/>
      <w:spacing w:before="170" w:line="300" w:lineRule="atLeast"/>
      <w:ind w:left="1134"/>
    </w:pPr>
    <w:rPr>
      <w:color w:val="000000"/>
      <w:kern w:val="0"/>
      <w:sz w:val="24"/>
      <w:szCs w:val="24"/>
    </w:rPr>
  </w:style>
  <w:style w:type="paragraph" w:customStyle="1" w:styleId="1160">
    <w:name w:val="说明文字"/>
    <w:basedOn w:val="1"/>
    <w:qFormat/>
    <w:uiPriority w:val="0"/>
    <w:pPr>
      <w:widowControl/>
      <w:jc w:val="left"/>
    </w:pPr>
    <w:rPr>
      <w:rFonts w:ascii="Tahoma" w:hAnsi="Tahoma"/>
      <w:kern w:val="0"/>
      <w:sz w:val="24"/>
      <w:lang w:eastAsia="en-US" w:bidi="en-US"/>
    </w:rPr>
  </w:style>
  <w:style w:type="paragraph" w:customStyle="1" w:styleId="1161">
    <w:name w:val="a4"/>
    <w:basedOn w:val="1"/>
    <w:qFormat/>
    <w:uiPriority w:val="0"/>
    <w:pPr>
      <w:widowControl/>
      <w:spacing w:line="360" w:lineRule="auto"/>
      <w:jc w:val="center"/>
    </w:pPr>
    <w:rPr>
      <w:kern w:val="0"/>
      <w:szCs w:val="21"/>
    </w:rPr>
  </w:style>
  <w:style w:type="paragraph" w:customStyle="1" w:styleId="1162">
    <w:name w:val="charcharcharcharcharcharcharcharcharcharcharcharchar"/>
    <w:basedOn w:val="1"/>
    <w:qFormat/>
    <w:uiPriority w:val="0"/>
    <w:pPr>
      <w:widowControl/>
      <w:ind w:left="567" w:hanging="279"/>
    </w:pPr>
    <w:rPr>
      <w:kern w:val="0"/>
      <w:sz w:val="24"/>
      <w:szCs w:val="24"/>
    </w:rPr>
  </w:style>
  <w:style w:type="paragraph" w:customStyle="1" w:styleId="1163">
    <w:name w:val="capability style"/>
    <w:basedOn w:val="1"/>
    <w:qFormat/>
    <w:uiPriority w:val="0"/>
    <w:pPr>
      <w:widowControl/>
      <w:spacing w:before="50" w:after="50" w:line="280" w:lineRule="exact"/>
      <w:jc w:val="left"/>
    </w:pPr>
    <w:rPr>
      <w:rFonts w:ascii="Arial" w:hAnsi="Arial"/>
      <w:color w:val="008000"/>
      <w:kern w:val="0"/>
      <w:sz w:val="20"/>
      <w:lang w:eastAsia="fr-FR" w:bidi="en-US"/>
    </w:rPr>
  </w:style>
  <w:style w:type="paragraph" w:customStyle="1" w:styleId="1164">
    <w:name w:val="Section Title"/>
    <w:basedOn w:val="1"/>
    <w:next w:val="1"/>
    <w:qFormat/>
    <w:uiPriority w:val="0"/>
    <w:pPr>
      <w:widowControl/>
      <w:spacing w:line="220" w:lineRule="atLeast"/>
      <w:jc w:val="left"/>
    </w:pPr>
    <w:rPr>
      <w:rFonts w:ascii="Arial Black" w:hAnsi="Arial Black" w:eastAsia="PMingLiU"/>
      <w:spacing w:val="-10"/>
      <w:kern w:val="0"/>
      <w:sz w:val="20"/>
      <w:lang w:eastAsia="en-US" w:bidi="en-US"/>
    </w:rPr>
  </w:style>
  <w:style w:type="paragraph" w:customStyle="1" w:styleId="1165">
    <w:name w:val="List  2"/>
    <w:basedOn w:val="1"/>
    <w:qFormat/>
    <w:uiPriority w:val="0"/>
    <w:pPr>
      <w:widowControl/>
      <w:spacing w:before="20" w:after="60" w:line="240" w:lineRule="atLeast"/>
      <w:ind w:left="1559" w:hanging="283"/>
      <w:jc w:val="left"/>
    </w:pPr>
    <w:rPr>
      <w:rFonts w:ascii="Arial" w:hAnsi="Arial" w:eastAsia="PMingLiU"/>
      <w:kern w:val="0"/>
      <w:sz w:val="24"/>
      <w:lang w:val="en-GB" w:eastAsia="en-US" w:bidi="en-US"/>
    </w:rPr>
  </w:style>
  <w:style w:type="paragraph" w:customStyle="1" w:styleId="1166">
    <w:name w:val="List  1"/>
    <w:basedOn w:val="1"/>
    <w:qFormat/>
    <w:uiPriority w:val="0"/>
    <w:pPr>
      <w:widowControl/>
      <w:tabs>
        <w:tab w:val="left" w:pos="1276"/>
      </w:tabs>
      <w:spacing w:before="20" w:after="60" w:line="240" w:lineRule="exact"/>
      <w:ind w:left="1276" w:hanging="283"/>
      <w:jc w:val="left"/>
    </w:pPr>
    <w:rPr>
      <w:rFonts w:ascii="Arial" w:hAnsi="Arial" w:eastAsia="PMingLiU"/>
      <w:kern w:val="0"/>
      <w:sz w:val="22"/>
      <w:lang w:val="en-GB" w:eastAsia="en-US" w:bidi="en-US"/>
    </w:rPr>
  </w:style>
  <w:style w:type="paragraph" w:customStyle="1" w:styleId="1167">
    <w:name w:val="wsaFooter"/>
    <w:basedOn w:val="1"/>
    <w:qFormat/>
    <w:uiPriority w:val="0"/>
    <w:pPr>
      <w:widowControl/>
      <w:jc w:val="right"/>
    </w:pPr>
    <w:rPr>
      <w:rFonts w:ascii="Invensys Andale" w:hAnsi="Invensys Andale"/>
      <w:color w:val="FFFFFF"/>
      <w:kern w:val="0"/>
      <w:sz w:val="16"/>
      <w:szCs w:val="16"/>
      <w:lang w:val="en-AU" w:eastAsia="en-US" w:bidi="en-US"/>
    </w:rPr>
  </w:style>
  <w:style w:type="paragraph" w:customStyle="1" w:styleId="1168">
    <w:name w:val="Char Char Char Char Char Char1 Char Char Char Char"/>
    <w:basedOn w:val="1"/>
    <w:qFormat/>
    <w:uiPriority w:val="0"/>
    <w:pPr>
      <w:widowControl/>
      <w:jc w:val="left"/>
    </w:pPr>
    <w:rPr>
      <w:rFonts w:ascii="仿宋_GB2312" w:eastAsia="仿宋_GB2312"/>
      <w:b/>
      <w:kern w:val="0"/>
      <w:sz w:val="32"/>
      <w:szCs w:val="32"/>
      <w:lang w:eastAsia="en-US" w:bidi="en-US"/>
    </w:rPr>
  </w:style>
  <w:style w:type="paragraph" w:customStyle="1" w:styleId="1169">
    <w:name w:val="样式 标题 4Para4CDR_Lev 4Title3h44 dashddash3 dash3rd order..."/>
    <w:basedOn w:val="6"/>
    <w:qFormat/>
    <w:uiPriority w:val="0"/>
    <w:pPr>
      <w:keepLines w:val="0"/>
      <w:spacing w:before="480" w:after="60"/>
      <w:jc w:val="both"/>
    </w:pPr>
    <w:rPr>
      <w:rFonts w:eastAsia="宋体" w:cs="宋体"/>
      <w:b/>
      <w:bCs/>
      <w:kern w:val="0"/>
      <w:sz w:val="20"/>
      <w:szCs w:val="20"/>
    </w:rPr>
  </w:style>
  <w:style w:type="paragraph" w:customStyle="1" w:styleId="1170">
    <w:name w:val="Char Char4"/>
    <w:basedOn w:val="1"/>
    <w:qFormat/>
    <w:uiPriority w:val="0"/>
    <w:pPr>
      <w:widowControl/>
      <w:ind w:firstLine="360" w:firstLineChars="150"/>
      <w:jc w:val="left"/>
    </w:pPr>
    <w:rPr>
      <w:rFonts w:ascii="Tahoma" w:hAnsi="Tahoma"/>
      <w:kern w:val="0"/>
      <w:sz w:val="24"/>
      <w:lang w:eastAsia="en-US" w:bidi="en-US"/>
    </w:rPr>
  </w:style>
  <w:style w:type="paragraph" w:customStyle="1" w:styleId="1171">
    <w:name w:val="样式 标题 3第二层条第三层论文标题 21.1.1 标题 3正文 + 标题 31.1.1 标题 3 + 宋体五号..."/>
    <w:basedOn w:val="5"/>
    <w:qFormat/>
    <w:uiPriority w:val="0"/>
    <w:pPr>
      <w:keepLines w:val="0"/>
      <w:tabs>
        <w:tab w:val="left" w:pos="720"/>
      </w:tabs>
      <w:spacing w:before="480" w:line="240" w:lineRule="auto"/>
      <w:ind w:left="720" w:hanging="720"/>
      <w:jc w:val="left"/>
    </w:pPr>
    <w:rPr>
      <w:rFonts w:ascii="宋体" w:hAnsi="宋体" w:cs="Arial"/>
      <w:bCs/>
      <w:sz w:val="26"/>
      <w:szCs w:val="28"/>
      <w:lang w:eastAsia="en-US" w:bidi="en-US"/>
    </w:rPr>
  </w:style>
  <w:style w:type="paragraph" w:customStyle="1" w:styleId="1172">
    <w:name w:val="样式 (符号) 宋体 行距: 1.5 倍行距"/>
    <w:basedOn w:val="1"/>
    <w:qFormat/>
    <w:uiPriority w:val="0"/>
    <w:pPr>
      <w:widowControl/>
      <w:spacing w:line="360" w:lineRule="auto"/>
      <w:jc w:val="left"/>
    </w:pPr>
    <w:rPr>
      <w:rFonts w:hAnsi="宋体" w:cs="宋体"/>
      <w:kern w:val="0"/>
      <w:sz w:val="24"/>
      <w:lang w:eastAsia="en-US" w:bidi="en-US"/>
    </w:rPr>
  </w:style>
  <w:style w:type="paragraph" w:customStyle="1" w:styleId="1173">
    <w:name w:val="样式 标题 3Para3Title2h333 bulletbulletbullets2nd order hd2..."/>
    <w:basedOn w:val="5"/>
    <w:qFormat/>
    <w:uiPriority w:val="0"/>
    <w:pPr>
      <w:keepLines w:val="0"/>
      <w:spacing w:before="480" w:line="240" w:lineRule="auto"/>
      <w:jc w:val="left"/>
    </w:pPr>
    <w:rPr>
      <w:rFonts w:ascii="Cambria" w:hAnsi="Cambria" w:cs="宋体"/>
      <w:bCs/>
      <w:sz w:val="26"/>
      <w:lang w:eastAsia="en-US" w:bidi="en-US"/>
    </w:rPr>
  </w:style>
  <w:style w:type="paragraph" w:customStyle="1" w:styleId="1174">
    <w:name w:val="X:titre"/>
    <w:basedOn w:val="1"/>
    <w:qFormat/>
    <w:uiPriority w:val="0"/>
    <w:pPr>
      <w:widowControl/>
      <w:spacing w:after="120"/>
      <w:jc w:val="center"/>
    </w:pPr>
    <w:rPr>
      <w:rFonts w:ascii="Arial" w:hAnsi="Arial"/>
      <w:b/>
      <w:kern w:val="0"/>
      <w:sz w:val="36"/>
      <w:lang w:eastAsia="fr-FR" w:bidi="en-US"/>
    </w:rPr>
  </w:style>
  <w:style w:type="paragraph" w:customStyle="1" w:styleId="1175">
    <w:name w:val="X:doc_lang"/>
    <w:basedOn w:val="1"/>
    <w:qFormat/>
    <w:uiPriority w:val="0"/>
    <w:pPr>
      <w:widowControl/>
      <w:jc w:val="right"/>
    </w:pPr>
    <w:rPr>
      <w:rFonts w:ascii="Helvetica" w:hAnsi="Helvetica"/>
      <w:b/>
      <w:kern w:val="0"/>
      <w:sz w:val="24"/>
      <w:lang w:eastAsia="fr-FR" w:bidi="en-US"/>
    </w:rPr>
  </w:style>
  <w:style w:type="paragraph" w:customStyle="1" w:styleId="1176">
    <w:name w:val="Normal_table_10"/>
    <w:basedOn w:val="1"/>
    <w:qFormat/>
    <w:uiPriority w:val="0"/>
    <w:pPr>
      <w:widowControl/>
      <w:spacing w:before="20" w:after="40" w:line="360" w:lineRule="auto"/>
      <w:jc w:val="left"/>
    </w:pPr>
    <w:rPr>
      <w:rFonts w:ascii="Arial" w:hAnsi="Arial" w:eastAsia="Times New Roman"/>
      <w:kern w:val="0"/>
      <w:sz w:val="20"/>
      <w:lang w:eastAsia="en-US" w:bidi="en-US"/>
    </w:rPr>
  </w:style>
  <w:style w:type="paragraph" w:customStyle="1" w:styleId="1177">
    <w:name w:val="Char Char Char Char1 Char Char Char"/>
    <w:basedOn w:val="1"/>
    <w:qFormat/>
    <w:uiPriority w:val="0"/>
    <w:pPr>
      <w:widowControl/>
      <w:jc w:val="left"/>
    </w:pPr>
    <w:rPr>
      <w:rFonts w:ascii="Tahoma" w:hAnsi="Tahoma"/>
      <w:kern w:val="0"/>
      <w:sz w:val="24"/>
      <w:lang w:eastAsia="en-US" w:bidi="en-US"/>
    </w:rPr>
  </w:style>
  <w:style w:type="paragraph" w:customStyle="1" w:styleId="1178">
    <w:name w:val="Enumeration1"/>
    <w:basedOn w:val="1"/>
    <w:qFormat/>
    <w:uiPriority w:val="0"/>
    <w:pPr>
      <w:widowControl/>
      <w:tabs>
        <w:tab w:val="left" w:pos="1418"/>
      </w:tabs>
      <w:ind w:left="397" w:hanging="397"/>
      <w:jc w:val="left"/>
    </w:pPr>
    <w:rPr>
      <w:rFonts w:ascii="Arial" w:hAnsi="Arial" w:eastAsia="Times New Roman"/>
      <w:kern w:val="0"/>
      <w:sz w:val="22"/>
      <w:lang w:val="fr-FR" w:eastAsia="fr-FR" w:bidi="en-US"/>
    </w:rPr>
  </w:style>
  <w:style w:type="paragraph" w:customStyle="1" w:styleId="1179">
    <w:name w:val="样式 8 磅 加粗 左侧:  0 厘米 段前: 0 磅 段后: 0 磅"/>
    <w:basedOn w:val="1"/>
    <w:qFormat/>
    <w:uiPriority w:val="0"/>
    <w:pPr>
      <w:widowControl/>
      <w:jc w:val="left"/>
    </w:pPr>
    <w:rPr>
      <w:rFonts w:ascii="Arial" w:hAnsi="Arial" w:cs="宋体"/>
      <w:bCs/>
      <w:kern w:val="0"/>
      <w:sz w:val="24"/>
      <w:lang w:val="en-GB" w:eastAsia="en-US" w:bidi="en-US"/>
    </w:rPr>
  </w:style>
  <w:style w:type="paragraph" w:customStyle="1" w:styleId="1180">
    <w:name w:val="样式 8 磅 加粗 全部大写 居中 左侧:  0 厘米"/>
    <w:basedOn w:val="1"/>
    <w:qFormat/>
    <w:uiPriority w:val="0"/>
    <w:pPr>
      <w:widowControl/>
      <w:spacing w:before="120" w:after="120"/>
      <w:jc w:val="center"/>
    </w:pPr>
    <w:rPr>
      <w:rFonts w:ascii="Arial" w:hAnsi="Arial" w:cs="宋体"/>
      <w:bCs/>
      <w:caps/>
      <w:kern w:val="0"/>
      <w:sz w:val="24"/>
      <w:lang w:val="en-GB" w:eastAsia="en-US" w:bidi="en-US"/>
    </w:rPr>
  </w:style>
  <w:style w:type="paragraph" w:customStyle="1" w:styleId="1181">
    <w:name w:val="&gt;1:remarque"/>
    <w:basedOn w:val="1091"/>
    <w:qFormat/>
    <w:uiPriority w:val="0"/>
    <w:pPr>
      <w:tabs>
        <w:tab w:val="clear" w:pos="351"/>
        <w:tab w:val="clear" w:pos="709"/>
        <w:tab w:val="clear" w:pos="1061"/>
        <w:tab w:val="clear" w:pos="1418"/>
      </w:tabs>
      <w:ind w:left="1276" w:hanging="1276"/>
    </w:pPr>
    <w:rPr>
      <w:i w:val="0"/>
    </w:rPr>
  </w:style>
  <w:style w:type="paragraph" w:customStyle="1" w:styleId="1182">
    <w:name w:val="样式 8 磅 加粗 左侧:  -0.01 厘米 段前: 0 磅 段后: 0 磅"/>
    <w:basedOn w:val="1"/>
    <w:qFormat/>
    <w:uiPriority w:val="0"/>
    <w:pPr>
      <w:widowControl/>
      <w:ind w:left="-6"/>
      <w:jc w:val="left"/>
    </w:pPr>
    <w:rPr>
      <w:rFonts w:ascii="Arial" w:hAnsi="Arial" w:cs="宋体"/>
      <w:bCs/>
      <w:kern w:val="0"/>
      <w:sz w:val="24"/>
      <w:lang w:val="en-GB" w:eastAsia="en-US" w:bidi="en-US"/>
    </w:rPr>
  </w:style>
  <w:style w:type="paragraph" w:customStyle="1" w:styleId="1183">
    <w:name w:val="样式 8 磅 加粗 两端对齐 左侧:  -0.01 厘米 段前: 0 磅 段后: 0 磅"/>
    <w:basedOn w:val="1"/>
    <w:qFormat/>
    <w:uiPriority w:val="0"/>
    <w:pPr>
      <w:widowControl/>
      <w:ind w:left="-6"/>
      <w:jc w:val="left"/>
    </w:pPr>
    <w:rPr>
      <w:rFonts w:ascii="Arial" w:hAnsi="Arial" w:cs="宋体"/>
      <w:bCs/>
      <w:kern w:val="0"/>
      <w:sz w:val="24"/>
      <w:lang w:val="en-GB" w:eastAsia="en-US" w:bidi="en-US"/>
    </w:rPr>
  </w:style>
  <w:style w:type="paragraph" w:customStyle="1" w:styleId="1184">
    <w:name w:val="样式 8 磅 加粗 两端对齐 左侧:  -0.01 厘米 段前: 0 磅 段后: 0 磅1"/>
    <w:basedOn w:val="1"/>
    <w:qFormat/>
    <w:uiPriority w:val="0"/>
    <w:pPr>
      <w:widowControl/>
      <w:ind w:left="-3"/>
      <w:jc w:val="left"/>
    </w:pPr>
    <w:rPr>
      <w:rFonts w:ascii="Arial" w:hAnsi="Arial" w:cs="宋体"/>
      <w:bCs/>
      <w:kern w:val="0"/>
      <w:sz w:val="24"/>
      <w:lang w:val="en-GB" w:eastAsia="en-US" w:bidi="en-US"/>
    </w:rPr>
  </w:style>
  <w:style w:type="paragraph" w:customStyle="1" w:styleId="1185">
    <w:name w:val="样式 8 磅 加粗 全部大写 居中 左侧:  -0.19 厘米 右侧:  -0.19 厘米"/>
    <w:basedOn w:val="1"/>
    <w:qFormat/>
    <w:uiPriority w:val="0"/>
    <w:pPr>
      <w:widowControl/>
      <w:spacing w:before="120" w:after="120"/>
      <w:ind w:left="-108" w:right="-108"/>
      <w:jc w:val="center"/>
    </w:pPr>
    <w:rPr>
      <w:rFonts w:ascii="Arial" w:hAnsi="Arial" w:cs="宋体"/>
      <w:bCs/>
      <w:caps/>
      <w:kern w:val="0"/>
      <w:sz w:val="24"/>
      <w:lang w:val="en-GB" w:eastAsia="en-US" w:bidi="en-US"/>
    </w:rPr>
  </w:style>
  <w:style w:type="paragraph" w:customStyle="1" w:styleId="1186">
    <w:name w:val="样式 Textttexttest + 8 磅 加粗 左侧:  0.05 厘米"/>
    <w:basedOn w:val="586"/>
    <w:qFormat/>
    <w:uiPriority w:val="0"/>
    <w:pPr>
      <w:ind w:left="31"/>
    </w:pPr>
    <w:rPr>
      <w:rFonts w:cs="宋体"/>
      <w:bCs/>
      <w:sz w:val="21"/>
    </w:rPr>
  </w:style>
  <w:style w:type="paragraph" w:customStyle="1" w:styleId="1187">
    <w:name w:val="样式 Textttexttest + 8 磅 加粗"/>
    <w:basedOn w:val="586"/>
    <w:qFormat/>
    <w:uiPriority w:val="0"/>
    <w:rPr>
      <w:bCs/>
      <w:sz w:val="21"/>
    </w:rPr>
  </w:style>
  <w:style w:type="paragraph" w:customStyle="1" w:styleId="1188">
    <w:name w:val="样式 8 磅 加粗 居中 左侧:  0.05 厘米"/>
    <w:basedOn w:val="1"/>
    <w:qFormat/>
    <w:uiPriority w:val="0"/>
    <w:pPr>
      <w:widowControl/>
      <w:spacing w:before="120" w:after="120"/>
      <w:ind w:left="31"/>
      <w:jc w:val="center"/>
    </w:pPr>
    <w:rPr>
      <w:rFonts w:ascii="Arial" w:hAnsi="Arial" w:cs="宋体"/>
      <w:bCs/>
      <w:kern w:val="0"/>
      <w:sz w:val="24"/>
      <w:lang w:val="en-GB" w:eastAsia="en-US" w:bidi="en-US"/>
    </w:rPr>
  </w:style>
  <w:style w:type="paragraph" w:customStyle="1" w:styleId="1189">
    <w:name w:val="样式 Textttexttest + 8 磅 加粗 左侧:  0.05 厘米1"/>
    <w:basedOn w:val="586"/>
    <w:qFormat/>
    <w:uiPriority w:val="0"/>
    <w:pPr>
      <w:ind w:left="31"/>
    </w:pPr>
    <w:rPr>
      <w:rFonts w:cs="宋体"/>
      <w:bCs/>
      <w:sz w:val="21"/>
    </w:rPr>
  </w:style>
  <w:style w:type="paragraph" w:customStyle="1" w:styleId="1190">
    <w:name w:val="样式 Textttexttest + 8 磅 加粗 左侧:  0.05 厘米2"/>
    <w:basedOn w:val="586"/>
    <w:qFormat/>
    <w:uiPriority w:val="0"/>
    <w:pPr>
      <w:ind w:left="31"/>
    </w:pPr>
    <w:rPr>
      <w:rFonts w:cs="宋体"/>
      <w:bCs/>
      <w:sz w:val="21"/>
    </w:rPr>
  </w:style>
  <w:style w:type="paragraph" w:customStyle="1" w:styleId="1191">
    <w:name w:val="样式 宋体 小四 左 行距: 固定值 25 磅"/>
    <w:basedOn w:val="1"/>
    <w:qFormat/>
    <w:uiPriority w:val="0"/>
    <w:pPr>
      <w:widowControl/>
      <w:tabs>
        <w:tab w:val="left" w:pos="876"/>
      </w:tabs>
      <w:spacing w:line="500" w:lineRule="exact"/>
      <w:ind w:left="1191" w:hanging="735"/>
      <w:jc w:val="left"/>
    </w:pPr>
    <w:rPr>
      <w:rFonts w:ascii="宋体" w:hAnsi="宋体" w:cs="宋体"/>
      <w:kern w:val="0"/>
      <w:sz w:val="24"/>
      <w:lang w:eastAsia="en-US" w:bidi="en-US"/>
    </w:rPr>
  </w:style>
  <w:style w:type="paragraph" w:customStyle="1" w:styleId="1192">
    <w:name w:val="&gt;div:listing"/>
    <w:basedOn w:val="1"/>
    <w:qFormat/>
    <w:uiPriority w:val="0"/>
    <w:pPr>
      <w:widowControl/>
      <w:spacing w:line="240" w:lineRule="exact"/>
      <w:jc w:val="left"/>
    </w:pPr>
    <w:rPr>
      <w:rFonts w:ascii="Courier" w:hAnsi="Courier"/>
      <w:b/>
      <w:kern w:val="0"/>
      <w:sz w:val="20"/>
      <w:lang w:eastAsia="fr-FR" w:bidi="en-US"/>
    </w:rPr>
  </w:style>
  <w:style w:type="paragraph" w:customStyle="1" w:styleId="1193">
    <w:name w:val="Normal_table_8"/>
    <w:basedOn w:val="1"/>
    <w:qFormat/>
    <w:uiPriority w:val="0"/>
    <w:pPr>
      <w:keepLines/>
      <w:widowControl/>
      <w:spacing w:before="20" w:after="40" w:line="360" w:lineRule="auto"/>
      <w:jc w:val="left"/>
    </w:pPr>
    <w:rPr>
      <w:rFonts w:ascii="Arial" w:hAnsi="Arial" w:eastAsia="Times New Roman"/>
      <w:kern w:val="0"/>
      <w:sz w:val="16"/>
      <w:lang w:eastAsia="en-US" w:bidi="en-US"/>
    </w:rPr>
  </w:style>
  <w:style w:type="paragraph" w:customStyle="1" w:styleId="1194">
    <w:name w:val="Para Bullet"/>
    <w:basedOn w:val="743"/>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1700" w:hanging="562"/>
    </w:pPr>
  </w:style>
  <w:style w:type="paragraph" w:customStyle="1" w:styleId="1195">
    <w:name w:val="Column Title"/>
    <w:basedOn w:val="1"/>
    <w:qFormat/>
    <w:uiPriority w:val="0"/>
    <w:pPr>
      <w:widowControl/>
      <w:spacing w:line="240" w:lineRule="exact"/>
      <w:jc w:val="left"/>
    </w:pPr>
    <w:rPr>
      <w:rFonts w:ascii="Arial" w:hAnsi="Arial"/>
      <w:b/>
      <w:kern w:val="0"/>
      <w:sz w:val="20"/>
      <w:lang w:eastAsia="fr-FR" w:bidi="en-US"/>
    </w:rPr>
  </w:style>
  <w:style w:type="paragraph" w:customStyle="1" w:styleId="1196">
    <w:name w:val="&gt;caution"/>
    <w:basedOn w:val="1091"/>
    <w:qFormat/>
    <w:uiPriority w:val="0"/>
    <w:pPr>
      <w:tabs>
        <w:tab w:val="clear" w:pos="351"/>
        <w:tab w:val="clear" w:pos="709"/>
        <w:tab w:val="clear" w:pos="1061"/>
        <w:tab w:val="clear" w:pos="1418"/>
      </w:tabs>
      <w:spacing w:before="10"/>
      <w:ind w:left="0"/>
    </w:pPr>
    <w:rPr>
      <w:b/>
    </w:rPr>
  </w:style>
  <w:style w:type="paragraph" w:customStyle="1" w:styleId="1197">
    <w:name w:val="Column Cell"/>
    <w:basedOn w:val="1195"/>
    <w:qFormat/>
    <w:uiPriority w:val="0"/>
    <w:rPr>
      <w:b w:val="0"/>
      <w:sz w:val="16"/>
    </w:rPr>
  </w:style>
  <w:style w:type="paragraph" w:customStyle="1" w:styleId="1198">
    <w:name w:val="info"/>
    <w:basedOn w:val="1"/>
    <w:qFormat/>
    <w:uiPriority w:val="0"/>
    <w:pPr>
      <w:widowControl/>
      <w:jc w:val="center"/>
    </w:pPr>
    <w:rPr>
      <w:rFonts w:ascii="Arial" w:hAnsi="Arial"/>
      <w:b/>
      <w:vanish/>
      <w:color w:val="FF0000"/>
      <w:kern w:val="0"/>
      <w:sz w:val="20"/>
      <w:lang w:eastAsia="fr-FR" w:bidi="en-US"/>
    </w:rPr>
  </w:style>
  <w:style w:type="paragraph" w:customStyle="1" w:styleId="1199">
    <w:name w:val="M:VAR:doc_nom"/>
    <w:basedOn w:val="1"/>
    <w:next w:val="1"/>
    <w:qFormat/>
    <w:uiPriority w:val="0"/>
    <w:pPr>
      <w:widowControl/>
      <w:spacing w:before="1680" w:after="120"/>
      <w:jc w:val="center"/>
    </w:pPr>
    <w:rPr>
      <w:rFonts w:ascii="Arial" w:hAnsi="Arial"/>
      <w:b/>
      <w:kern w:val="0"/>
      <w:sz w:val="28"/>
      <w:lang w:eastAsia="fr-FR" w:bidi="en-US"/>
    </w:rPr>
  </w:style>
  <w:style w:type="paragraph" w:customStyle="1" w:styleId="1200">
    <w:name w:val="M:VAR:num_mod"/>
    <w:basedOn w:val="1"/>
    <w:qFormat/>
    <w:uiPriority w:val="0"/>
    <w:pPr>
      <w:widowControl/>
      <w:spacing w:before="120" w:after="120"/>
      <w:jc w:val="center"/>
    </w:pPr>
    <w:rPr>
      <w:rFonts w:ascii="Arial" w:hAnsi="Arial"/>
      <w:b/>
      <w:kern w:val="0"/>
      <w:sz w:val="20"/>
      <w:lang w:eastAsia="fr-FR" w:bidi="en-US"/>
    </w:rPr>
  </w:style>
  <w:style w:type="paragraph" w:customStyle="1" w:styleId="1201">
    <w:name w:val="M:VAR:doc_securit"/>
    <w:basedOn w:val="1200"/>
    <w:qFormat/>
    <w:uiPriority w:val="0"/>
    <w:pPr>
      <w:spacing w:before="0"/>
    </w:pPr>
    <w:rPr>
      <w:b w:val="0"/>
      <w:caps/>
    </w:rPr>
  </w:style>
  <w:style w:type="paragraph" w:customStyle="1" w:styleId="1202">
    <w:name w:val="M:VAR:titre title"/>
    <w:basedOn w:val="1"/>
    <w:qFormat/>
    <w:uiPriority w:val="0"/>
    <w:pPr>
      <w:widowControl/>
      <w:spacing w:before="1600" w:line="900" w:lineRule="exact"/>
      <w:jc w:val="center"/>
    </w:pPr>
    <w:rPr>
      <w:rFonts w:ascii="Arial" w:hAnsi="Arial"/>
      <w:b/>
      <w:caps/>
      <w:kern w:val="0"/>
      <w:sz w:val="48"/>
      <w:lang w:eastAsia="fr-FR" w:bidi="en-US"/>
    </w:rPr>
  </w:style>
  <w:style w:type="paragraph" w:customStyle="1" w:styleId="1203">
    <w:name w:val="M:VAR:titre suite title"/>
    <w:basedOn w:val="1202"/>
    <w:qFormat/>
    <w:uiPriority w:val="0"/>
    <w:pPr>
      <w:spacing w:before="600"/>
    </w:pPr>
  </w:style>
  <w:style w:type="paragraph" w:customStyle="1" w:styleId="1204">
    <w:name w:val="requirement style"/>
    <w:basedOn w:val="780"/>
    <w:qFormat/>
    <w:uiPriority w:val="0"/>
    <w:rPr>
      <w:color w:val="0000FF"/>
      <w:sz w:val="24"/>
    </w:rPr>
  </w:style>
  <w:style w:type="paragraph" w:customStyle="1" w:styleId="1205">
    <w:name w:val="M:VAR:num_ref"/>
    <w:basedOn w:val="1200"/>
    <w:qFormat/>
    <w:uiPriority w:val="0"/>
    <w:pPr>
      <w:spacing w:before="0" w:after="0"/>
      <w:ind w:right="57"/>
      <w:jc w:val="right"/>
    </w:pPr>
    <w:rPr>
      <w:b w:val="0"/>
      <w:sz w:val="16"/>
    </w:rPr>
  </w:style>
  <w:style w:type="paragraph" w:customStyle="1" w:styleId="1206">
    <w:name w:val="Tab_text2li"/>
    <w:basedOn w:val="800"/>
    <w:qFormat/>
    <w:uiPriority w:val="0"/>
    <w:pPr>
      <w:spacing w:before="120"/>
    </w:pPr>
    <w:rPr>
      <w:rFonts w:ascii="Arial" w:hAnsi="Arial"/>
      <w:sz w:val="20"/>
    </w:rPr>
  </w:style>
  <w:style w:type="paragraph" w:customStyle="1" w:styleId="1207">
    <w:name w:val="PUID"/>
    <w:basedOn w:val="780"/>
    <w:qFormat/>
    <w:uiPriority w:val="0"/>
    <w:pPr>
      <w:pBdr>
        <w:top w:val="single" w:color="auto" w:sz="4" w:space="1"/>
        <w:left w:val="single" w:color="auto" w:sz="4" w:space="4"/>
        <w:bottom w:val="single" w:color="auto" w:sz="4" w:space="1"/>
        <w:right w:val="single" w:color="auto" w:sz="4" w:space="4"/>
      </w:pBdr>
      <w:shd w:val="pct5" w:color="auto" w:fill="auto"/>
      <w:spacing w:after="0"/>
    </w:pPr>
    <w:rPr>
      <w:b/>
      <w:i/>
      <w:sz w:val="16"/>
    </w:rPr>
  </w:style>
  <w:style w:type="paragraph" w:customStyle="1" w:styleId="1208">
    <w:name w:val="Tableau_norm1"/>
    <w:basedOn w:val="810"/>
    <w:qFormat/>
    <w:uiPriority w:val="0"/>
    <w:pPr>
      <w:spacing w:before="40"/>
    </w:pPr>
    <w:rPr>
      <w:rFonts w:ascii="Arial" w:hAnsi="Arial"/>
    </w:rPr>
  </w:style>
  <w:style w:type="paragraph" w:customStyle="1" w:styleId="1209">
    <w:name w:val="Tab_text1li"/>
    <w:basedOn w:val="1195"/>
    <w:qFormat/>
    <w:uiPriority w:val="0"/>
    <w:pPr>
      <w:spacing w:before="180" w:after="180" w:line="280" w:lineRule="exact"/>
      <w:jc w:val="center"/>
    </w:pPr>
  </w:style>
  <w:style w:type="paragraph" w:customStyle="1" w:styleId="1210">
    <w:name w:val="Tableau_norm2centré"/>
    <w:basedOn w:val="800"/>
    <w:qFormat/>
    <w:uiPriority w:val="0"/>
    <w:pPr>
      <w:ind w:right="3"/>
    </w:pPr>
    <w:rPr>
      <w:rFonts w:ascii="Arial" w:hAnsi="Arial"/>
      <w:sz w:val="24"/>
    </w:rPr>
  </w:style>
  <w:style w:type="paragraph" w:customStyle="1" w:styleId="1211">
    <w:name w:val="Tableau_textecentré"/>
    <w:basedOn w:val="800"/>
    <w:qFormat/>
    <w:uiPriority w:val="0"/>
    <w:rPr>
      <w:rFonts w:ascii="Arial" w:hAnsi="Arial"/>
      <w:sz w:val="20"/>
    </w:rPr>
  </w:style>
  <w:style w:type="paragraph" w:customStyle="1" w:styleId="1212">
    <w:name w:val="Tableau_titre"/>
    <w:qFormat/>
    <w:uiPriority w:val="0"/>
    <w:pPr>
      <w:spacing w:before="240" w:after="240" w:line="276" w:lineRule="auto"/>
      <w:jc w:val="center"/>
    </w:pPr>
    <w:rPr>
      <w:rFonts w:ascii="Times New Roman" w:hAnsi="Times New Roman" w:eastAsia="宋体" w:cs="Times New Roman"/>
      <w:b/>
      <w:caps/>
      <w:sz w:val="36"/>
      <w:lang w:val="fr-FR" w:eastAsia="fr-FR" w:bidi="en-US"/>
    </w:rPr>
  </w:style>
  <w:style w:type="paragraph" w:customStyle="1" w:styleId="1213">
    <w:name w:val="Titre 2 lignes titre doc"/>
    <w:basedOn w:val="1"/>
    <w:qFormat/>
    <w:uiPriority w:val="0"/>
    <w:pPr>
      <w:widowControl/>
      <w:spacing w:after="240"/>
      <w:jc w:val="center"/>
    </w:pPr>
    <w:rPr>
      <w:rFonts w:ascii="Arial" w:hAnsi="Arial"/>
      <w:b/>
      <w:caps/>
      <w:kern w:val="0"/>
      <w:sz w:val="24"/>
      <w:lang w:eastAsia="fr-FR" w:bidi="en-US"/>
    </w:rPr>
  </w:style>
  <w:style w:type="paragraph" w:customStyle="1" w:styleId="1214">
    <w:name w:val="Heading #2"/>
    <w:basedOn w:val="41"/>
    <w:qFormat/>
    <w:uiPriority w:val="0"/>
    <w:pPr>
      <w:pBdr>
        <w:bottom w:val="single" w:color="auto" w:sz="4" w:space="1"/>
      </w:pBdr>
      <w:tabs>
        <w:tab w:val="left" w:pos="851"/>
        <w:tab w:val="clear" w:pos="4153"/>
        <w:tab w:val="clear" w:pos="8306"/>
      </w:tabs>
      <w:snapToGrid/>
      <w:jc w:val="both"/>
    </w:pPr>
    <w:rPr>
      <w:rFonts w:ascii="Arial" w:hAnsi="Arial" w:eastAsia="PMingLiU"/>
      <w:b/>
      <w:kern w:val="0"/>
      <w:sz w:val="24"/>
      <w:szCs w:val="20"/>
      <w:lang w:val="en-AU"/>
    </w:rPr>
  </w:style>
  <w:style w:type="paragraph" w:customStyle="1" w:styleId="1215">
    <w:name w:val="IndentParaLevel1"/>
    <w:basedOn w:val="1"/>
    <w:qFormat/>
    <w:uiPriority w:val="0"/>
    <w:pPr>
      <w:widowControl/>
      <w:spacing w:after="200"/>
      <w:ind w:left="709"/>
      <w:jc w:val="left"/>
    </w:pPr>
    <w:rPr>
      <w:rFonts w:eastAsia="PMingLiU"/>
      <w:kern w:val="0"/>
      <w:sz w:val="24"/>
      <w:szCs w:val="24"/>
      <w:lang w:val="en-AU" w:eastAsia="en-US" w:bidi="en-US"/>
    </w:rPr>
  </w:style>
  <w:style w:type="paragraph" w:customStyle="1" w:styleId="1216">
    <w:name w:val="SecurityClassification"/>
    <w:basedOn w:val="41"/>
    <w:next w:val="41"/>
    <w:qFormat/>
    <w:uiPriority w:val="0"/>
    <w:pPr>
      <w:pBdr>
        <w:bottom w:val="single" w:color="auto" w:sz="4" w:space="1"/>
      </w:pBdr>
      <w:tabs>
        <w:tab w:val="center" w:pos="4320"/>
        <w:tab w:val="right" w:pos="8640"/>
        <w:tab w:val="clear" w:pos="4153"/>
        <w:tab w:val="clear" w:pos="8306"/>
      </w:tabs>
      <w:snapToGrid/>
      <w:spacing w:before="480"/>
    </w:pPr>
    <w:rPr>
      <w:rFonts w:ascii="Arial" w:hAnsi="Arial" w:eastAsia="PMingLiU"/>
      <w:b/>
      <w:kern w:val="0"/>
      <w:szCs w:val="20"/>
      <w:lang w:val="en-AU"/>
    </w:rPr>
  </w:style>
  <w:style w:type="paragraph" w:customStyle="1" w:styleId="1217">
    <w:name w:val="Table Bullet"/>
    <w:basedOn w:val="1218"/>
    <w:qFormat/>
    <w:uiPriority w:val="0"/>
    <w:pPr>
      <w:keepNext/>
      <w:tabs>
        <w:tab w:val="left" w:pos="198"/>
        <w:tab w:val="left" w:pos="360"/>
      </w:tabs>
      <w:ind w:left="360" w:hanging="360"/>
    </w:pPr>
  </w:style>
  <w:style w:type="paragraph" w:customStyle="1" w:styleId="1218">
    <w:name w:val="TableText"/>
    <w:basedOn w:val="1"/>
    <w:qFormat/>
    <w:uiPriority w:val="0"/>
    <w:pPr>
      <w:widowControl/>
      <w:spacing w:before="40" w:after="40"/>
      <w:ind w:right="113"/>
      <w:jc w:val="left"/>
    </w:pPr>
    <w:rPr>
      <w:rFonts w:ascii="Arial" w:hAnsi="Arial" w:eastAsia="PMingLiU"/>
      <w:snapToGrid w:val="0"/>
      <w:kern w:val="0"/>
      <w:sz w:val="18"/>
      <w:lang w:val="en-AU" w:eastAsia="en-US" w:bidi="en-US"/>
    </w:rPr>
  </w:style>
  <w:style w:type="paragraph" w:customStyle="1" w:styleId="1219">
    <w:name w:val="Schedule Heading"/>
    <w:basedOn w:val="1"/>
    <w:qFormat/>
    <w:uiPriority w:val="0"/>
    <w:pPr>
      <w:widowControl/>
      <w:spacing w:after="200" w:line="360" w:lineRule="auto"/>
      <w:jc w:val="center"/>
    </w:pPr>
    <w:rPr>
      <w:rFonts w:eastAsia="PMingLiU"/>
      <w:b/>
      <w:kern w:val="0"/>
      <w:sz w:val="24"/>
      <w:szCs w:val="24"/>
      <w:lang w:val="en-AU" w:eastAsia="en-US" w:bidi="en-US"/>
    </w:rPr>
  </w:style>
  <w:style w:type="paragraph" w:customStyle="1" w:styleId="1220">
    <w:name w:val="TX/EXP/1"/>
    <w:basedOn w:val="1"/>
    <w:qFormat/>
    <w:uiPriority w:val="0"/>
    <w:pPr>
      <w:widowControl/>
      <w:tabs>
        <w:tab w:val="left" w:pos="1700"/>
        <w:tab w:val="left" w:pos="3140"/>
        <w:tab w:val="left" w:pos="3420"/>
      </w:tabs>
      <w:spacing w:line="280" w:lineRule="atLeast"/>
      <w:ind w:left="2820" w:hanging="2820"/>
      <w:jc w:val="left"/>
    </w:pPr>
    <w:rPr>
      <w:rFonts w:ascii="FuturaA Bk BT" w:hAnsi="FuturaA Bk BT" w:eastAsia="PMingLiU"/>
      <w:kern w:val="0"/>
      <w:sz w:val="20"/>
      <w:lang w:val="en-GB" w:eastAsia="en-US" w:bidi="en-US"/>
    </w:rPr>
  </w:style>
  <w:style w:type="paragraph" w:customStyle="1" w:styleId="1221">
    <w:name w:val="Para 2nd Subpara"/>
    <w:basedOn w:val="778"/>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261"/>
    </w:pPr>
  </w:style>
  <w:style w:type="paragraph" w:customStyle="1" w:styleId="1222">
    <w:name w:val="FrontPageVersion"/>
    <w:basedOn w:val="1"/>
    <w:qFormat/>
    <w:uiPriority w:val="0"/>
    <w:pPr>
      <w:widowControl/>
      <w:tabs>
        <w:tab w:val="left" w:pos="1134"/>
      </w:tabs>
      <w:spacing w:line="280" w:lineRule="atLeast"/>
      <w:jc w:val="left"/>
    </w:pPr>
    <w:rPr>
      <w:rFonts w:ascii="Invensys Andale" w:hAnsi="Invensys Andale"/>
      <w:kern w:val="0"/>
      <w:sz w:val="20"/>
      <w:szCs w:val="21"/>
      <w:lang w:val="en-AU" w:eastAsia="en-US" w:bidi="en-US"/>
    </w:rPr>
  </w:style>
  <w:style w:type="paragraph" w:customStyle="1" w:styleId="1223">
    <w:name w:val="TOC 标题2"/>
    <w:basedOn w:val="2"/>
    <w:next w:val="1"/>
    <w:qFormat/>
    <w:uiPriority w:val="39"/>
    <w:pPr>
      <w:keepNext w:val="0"/>
      <w:tabs>
        <w:tab w:val="clear" w:pos="885"/>
      </w:tabs>
      <w:adjustRightInd w:val="0"/>
      <w:snapToGrid w:val="0"/>
      <w:spacing w:before="240" w:beforeLines="100"/>
      <w:ind w:left="0" w:firstLine="207" w:firstLineChars="98"/>
      <w:outlineLvl w:val="9"/>
    </w:pPr>
    <w:rPr>
      <w:rFonts w:ascii="Cambria" w:hAnsi="Cambria" w:eastAsia="宋体"/>
      <w:bCs/>
      <w:kern w:val="32"/>
      <w:sz w:val="28"/>
      <w:szCs w:val="28"/>
      <w:lang w:eastAsia="en-US" w:bidi="en-US"/>
    </w:rPr>
  </w:style>
  <w:style w:type="paragraph" w:customStyle="1" w:styleId="1224">
    <w:name w:val="1.5行距正文"/>
    <w:basedOn w:val="1"/>
    <w:qFormat/>
    <w:uiPriority w:val="0"/>
    <w:pPr>
      <w:widowControl/>
      <w:spacing w:line="360" w:lineRule="auto"/>
      <w:ind w:firstLine="200" w:firstLineChars="200"/>
      <w:jc w:val="left"/>
    </w:pPr>
    <w:rPr>
      <w:kern w:val="0"/>
      <w:sz w:val="24"/>
      <w:szCs w:val="24"/>
      <w:lang w:eastAsia="en-US" w:bidi="en-US"/>
    </w:rPr>
  </w:style>
  <w:style w:type="paragraph" w:customStyle="1" w:styleId="1225">
    <w:name w:val="TX/EXP/2"/>
    <w:basedOn w:val="1220"/>
    <w:qFormat/>
    <w:uiPriority w:val="0"/>
    <w:pPr>
      <w:tabs>
        <w:tab w:val="left" w:pos="2820"/>
        <w:tab w:val="left" w:pos="3700"/>
        <w:tab w:val="clear" w:pos="1700"/>
        <w:tab w:val="clear" w:pos="3140"/>
        <w:tab w:val="clear" w:pos="3420"/>
      </w:tabs>
      <w:overflowPunct w:val="0"/>
      <w:autoSpaceDE w:val="0"/>
      <w:autoSpaceDN w:val="0"/>
      <w:adjustRightInd w:val="0"/>
      <w:ind w:left="3100" w:hanging="3100"/>
      <w:textAlignment w:val="baseline"/>
    </w:pPr>
    <w:rPr>
      <w:lang w:val="fr-FR"/>
    </w:rPr>
  </w:style>
  <w:style w:type="paragraph" w:customStyle="1" w:styleId="1226">
    <w:name w:val="NOM"/>
    <w:basedOn w:val="1"/>
    <w:qFormat/>
    <w:uiPriority w:val="0"/>
    <w:pPr>
      <w:pageBreakBefore/>
      <w:widowControl/>
      <w:pBdr>
        <w:top w:val="single" w:color="auto" w:sz="6" w:space="15"/>
        <w:left w:val="single" w:color="auto" w:sz="6" w:space="0"/>
        <w:bottom w:val="single" w:color="auto" w:sz="6" w:space="15"/>
        <w:right w:val="single" w:color="auto" w:sz="6" w:space="1"/>
      </w:pBdr>
      <w:shd w:val="pct10" w:color="00FFFF" w:fill="auto"/>
      <w:overflowPunct w:val="0"/>
      <w:autoSpaceDE w:val="0"/>
      <w:autoSpaceDN w:val="0"/>
      <w:adjustRightInd w:val="0"/>
      <w:jc w:val="center"/>
      <w:textAlignment w:val="baseline"/>
    </w:pPr>
    <w:rPr>
      <w:rFonts w:ascii="Arial" w:hAnsi="Arial" w:eastAsia="PMingLiU"/>
      <w:b/>
      <w:kern w:val="0"/>
      <w:sz w:val="36"/>
      <w:lang w:val="en-AU" w:eastAsia="en-US" w:bidi="en-US"/>
    </w:rPr>
  </w:style>
  <w:style w:type="paragraph" w:customStyle="1" w:styleId="1227">
    <w:name w:val="FONCTIONS/EXP."/>
    <w:basedOn w:val="1"/>
    <w:qFormat/>
    <w:uiPriority w:val="0"/>
    <w:pPr>
      <w:pageBreakBefore/>
      <w:widowControl/>
      <w:pBdr>
        <w:top w:val="single" w:color="auto" w:sz="6" w:space="5"/>
        <w:left w:val="single" w:color="auto" w:sz="6" w:space="5"/>
        <w:bottom w:val="single" w:color="auto" w:sz="6" w:space="5"/>
        <w:right w:val="single" w:color="auto" w:sz="6" w:space="5"/>
      </w:pBdr>
      <w:tabs>
        <w:tab w:val="center" w:pos="8720"/>
      </w:tabs>
      <w:overflowPunct w:val="0"/>
      <w:autoSpaceDE w:val="0"/>
      <w:autoSpaceDN w:val="0"/>
      <w:adjustRightInd w:val="0"/>
      <w:spacing w:after="120" w:line="400" w:lineRule="atLeast"/>
      <w:ind w:left="23"/>
      <w:jc w:val="left"/>
      <w:textAlignment w:val="baseline"/>
    </w:pPr>
    <w:rPr>
      <w:rFonts w:ascii="Arial" w:hAnsi="Arial" w:eastAsia="PMingLiU"/>
      <w:b/>
      <w:caps/>
      <w:kern w:val="0"/>
      <w:sz w:val="24"/>
      <w:lang w:val="en-GB" w:eastAsia="en-US" w:bidi="en-US"/>
    </w:rPr>
  </w:style>
  <w:style w:type="paragraph" w:customStyle="1" w:styleId="1228">
    <w:name w:val="表格文字小 (居中)"/>
    <w:basedOn w:val="1"/>
    <w:qFormat/>
    <w:uiPriority w:val="0"/>
    <w:pPr>
      <w:widowControl/>
      <w:adjustRightInd w:val="0"/>
      <w:spacing w:line="240" w:lineRule="atLeast"/>
      <w:jc w:val="center"/>
      <w:textAlignment w:val="baseline"/>
    </w:pPr>
    <w:rPr>
      <w:rFonts w:ascii="宋体"/>
      <w:kern w:val="0"/>
      <w:sz w:val="18"/>
      <w:szCs w:val="18"/>
      <w:lang w:eastAsia="en-US" w:bidi="en-US"/>
    </w:rPr>
  </w:style>
  <w:style w:type="paragraph" w:customStyle="1" w:styleId="1229">
    <w:name w:val="表标题(小)"/>
    <w:basedOn w:val="1"/>
    <w:next w:val="25"/>
    <w:qFormat/>
    <w:uiPriority w:val="0"/>
    <w:pPr>
      <w:keepNext/>
      <w:widowControl/>
      <w:spacing w:line="360" w:lineRule="auto"/>
      <w:jc w:val="center"/>
      <w:outlineLvl w:val="8"/>
    </w:pPr>
    <w:rPr>
      <w:rFonts w:ascii="宋体"/>
      <w:kern w:val="0"/>
      <w:sz w:val="18"/>
      <w:szCs w:val="18"/>
      <w:lang w:eastAsia="en-US" w:bidi="en-US"/>
    </w:rPr>
  </w:style>
  <w:style w:type="paragraph" w:customStyle="1" w:styleId="1230">
    <w:name w:val="Normal Content"/>
    <w:basedOn w:val="1"/>
    <w:qFormat/>
    <w:uiPriority w:val="0"/>
    <w:pPr>
      <w:widowControl/>
      <w:wordWrap w:val="0"/>
      <w:autoSpaceDE w:val="0"/>
      <w:autoSpaceDN w:val="0"/>
      <w:jc w:val="left"/>
    </w:pPr>
    <w:rPr>
      <w:kern w:val="0"/>
      <w:sz w:val="24"/>
      <w:szCs w:val="21"/>
      <w:lang w:eastAsia="ko-KR" w:bidi="en-US"/>
    </w:rPr>
  </w:style>
  <w:style w:type="paragraph" w:customStyle="1" w:styleId="1231">
    <w:name w:val="广六-正文"/>
    <w:basedOn w:val="1"/>
    <w:next w:val="1"/>
    <w:qFormat/>
    <w:uiPriority w:val="0"/>
    <w:pPr>
      <w:widowControl/>
      <w:snapToGrid w:val="0"/>
      <w:spacing w:afterLines="40" w:line="288" w:lineRule="auto"/>
      <w:jc w:val="left"/>
    </w:pPr>
    <w:rPr>
      <w:rFonts w:ascii="FuturaA Bk BT" w:hAnsi="FuturaA Bk BT" w:cs="宋体"/>
      <w:kern w:val="21"/>
      <w:sz w:val="18"/>
      <w:szCs w:val="18"/>
      <w:lang w:eastAsia="en-US" w:bidi="en-US"/>
    </w:rPr>
  </w:style>
  <w:style w:type="paragraph" w:customStyle="1" w:styleId="1232">
    <w:name w:val="页码2"/>
    <w:basedOn w:val="1"/>
    <w:next w:val="1"/>
    <w:qFormat/>
    <w:uiPriority w:val="0"/>
    <w:pPr>
      <w:widowControl/>
      <w:jc w:val="left"/>
    </w:pPr>
    <w:rPr>
      <w:color w:val="000000"/>
      <w:kern w:val="0"/>
      <w:sz w:val="24"/>
      <w:lang w:eastAsia="fr-FR"/>
    </w:rPr>
  </w:style>
  <w:style w:type="paragraph" w:customStyle="1" w:styleId="1233">
    <w:name w:val="列项——（一级）"/>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1234">
    <w:name w:val="数字编号列项（二级）"/>
    <w:qFormat/>
    <w:uiPriority w:val="0"/>
    <w:pPr>
      <w:numPr>
        <w:ilvl w:val="1"/>
        <w:numId w:val="4"/>
      </w:numPr>
      <w:jc w:val="both"/>
    </w:pPr>
    <w:rPr>
      <w:rFonts w:ascii="宋体" w:hAnsi="Times New Roman" w:eastAsia="宋体" w:cs="Times New Roman"/>
      <w:sz w:val="21"/>
      <w:lang w:val="en-US" w:eastAsia="zh-CN" w:bidi="ar-SA"/>
    </w:rPr>
  </w:style>
  <w:style w:type="paragraph" w:customStyle="1" w:styleId="1235">
    <w:name w:val="编号列项（三级）"/>
    <w:qFormat/>
    <w:uiPriority w:val="0"/>
    <w:pPr>
      <w:numPr>
        <w:ilvl w:val="2"/>
        <w:numId w:val="4"/>
      </w:numPr>
    </w:pPr>
    <w:rPr>
      <w:rFonts w:ascii="宋体" w:hAnsi="Times New Roman" w:eastAsia="宋体" w:cs="Times New Roman"/>
      <w:sz w:val="21"/>
      <w:lang w:val="en-US" w:eastAsia="zh-CN" w:bidi="ar-SA"/>
    </w:rPr>
  </w:style>
  <w:style w:type="paragraph" w:customStyle="1" w:styleId="1236">
    <w:name w:val="样式5"/>
    <w:basedOn w:val="4"/>
    <w:qFormat/>
    <w:uiPriority w:val="0"/>
    <w:pPr>
      <w:widowControl w:val="0"/>
      <w:numPr>
        <w:ilvl w:val="1"/>
        <w:numId w:val="11"/>
      </w:numPr>
      <w:autoSpaceDE w:val="0"/>
      <w:autoSpaceDN w:val="0"/>
      <w:adjustRightInd w:val="0"/>
      <w:spacing w:before="0" w:after="0" w:line="360" w:lineRule="auto"/>
      <w:jc w:val="both"/>
      <w:textAlignment w:val="baseline"/>
      <w:outlineLvl w:val="3"/>
    </w:pPr>
    <w:rPr>
      <w:rFonts w:ascii="宋体" w:hAnsi="宋体" w:eastAsia="宋体"/>
      <w:b w:val="0"/>
      <w:sz w:val="20"/>
      <w:szCs w:val="21"/>
    </w:rPr>
  </w:style>
  <w:style w:type="paragraph" w:customStyle="1" w:styleId="1237">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rPr>
  </w:style>
  <w:style w:type="paragraph" w:customStyle="1" w:styleId="1238">
    <w:name w:val="日期 New"/>
    <w:basedOn w:val="1124"/>
    <w:next w:val="1124"/>
    <w:qFormat/>
    <w:uiPriority w:val="0"/>
  </w:style>
  <w:style w:type="paragraph" w:customStyle="1" w:styleId="1239">
    <w:name w:val="Char Char Char Char Char Char Char Char Char Char Char Char Char1"/>
    <w:basedOn w:val="1"/>
    <w:qFormat/>
    <w:uiPriority w:val="0"/>
    <w:pPr>
      <w:ind w:left="567" w:hanging="279"/>
    </w:pPr>
    <w:rPr>
      <w:sz w:val="24"/>
      <w:szCs w:val="24"/>
    </w:rPr>
  </w:style>
  <w:style w:type="paragraph" w:customStyle="1" w:styleId="1240">
    <w:name w:val="合同1"/>
    <w:basedOn w:val="2"/>
    <w:qFormat/>
    <w:uiPriority w:val="0"/>
    <w:pPr>
      <w:keepNext w:val="0"/>
      <w:widowControl w:val="0"/>
      <w:tabs>
        <w:tab w:val="clear" w:pos="885"/>
      </w:tabs>
      <w:adjustRightInd w:val="0"/>
      <w:snapToGrid w:val="0"/>
      <w:spacing w:before="240" w:beforeLines="100"/>
      <w:ind w:left="-359" w:firstLine="207" w:firstLineChars="98"/>
    </w:pPr>
    <w:rPr>
      <w:rFonts w:ascii="宋体" w:hAnsi="宋体" w:eastAsia="宋体" w:cs="Arial"/>
      <w:color w:val="000000"/>
      <w:sz w:val="28"/>
    </w:rPr>
  </w:style>
  <w:style w:type="paragraph" w:customStyle="1" w:styleId="1241">
    <w:name w:val="标题2"/>
    <w:basedOn w:val="4"/>
    <w:qFormat/>
    <w:uiPriority w:val="0"/>
    <w:pPr>
      <w:widowControl w:val="0"/>
      <w:spacing w:before="0" w:after="0" w:line="360" w:lineRule="auto"/>
      <w:jc w:val="both"/>
    </w:pPr>
    <w:rPr>
      <w:rFonts w:ascii="宋体" w:hAnsi="宋体" w:eastAsia="宋体"/>
      <w:bCs/>
      <w:color w:val="000000"/>
      <w:sz w:val="28"/>
    </w:rPr>
  </w:style>
  <w:style w:type="paragraph" w:customStyle="1" w:styleId="1242">
    <w:name w:val="Char Char Char Char1"/>
    <w:basedOn w:val="1"/>
    <w:qFormat/>
    <w:uiPriority w:val="99"/>
    <w:pPr>
      <w:spacing w:line="360" w:lineRule="auto"/>
      <w:ind w:firstLine="640" w:firstLineChars="200"/>
      <w:jc w:val="left"/>
    </w:pPr>
    <w:rPr>
      <w:b/>
      <w:sz w:val="24"/>
      <w:szCs w:val="24"/>
    </w:rPr>
  </w:style>
  <w:style w:type="paragraph" w:customStyle="1" w:styleId="1243">
    <w:name w:val="表格对中"/>
    <w:basedOn w:val="1"/>
    <w:qFormat/>
    <w:uiPriority w:val="0"/>
    <w:pPr>
      <w:spacing w:line="240" w:lineRule="exact"/>
      <w:jc w:val="center"/>
    </w:pPr>
    <w:rPr>
      <w:rFonts w:ascii="宋体" w:hAnsi="宋体"/>
      <w:sz w:val="24"/>
      <w:szCs w:val="18"/>
    </w:rPr>
  </w:style>
  <w:style w:type="paragraph" w:customStyle="1" w:styleId="1244">
    <w:name w:val="xl380"/>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5">
    <w:name w:val="xl381"/>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46">
    <w:name w:val="xl383"/>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7">
    <w:name w:val="xl384"/>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8">
    <w:name w:val="xl385"/>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9">
    <w:name w:val="xl386"/>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50">
    <w:name w:val="xl387"/>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51">
    <w:name w:val="xl3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2">
    <w:name w:val="xl3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3">
    <w:name w:val="xl3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4">
    <w:name w:val="xl3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5">
    <w:name w:val="xl3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56">
    <w:name w:val="xl3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7">
    <w:name w:val="xl3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8">
    <w:name w:val="xl3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9">
    <w:name w:val="xl396"/>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0">
    <w:name w:val="xl397"/>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1">
    <w:name w:val="xl39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2">
    <w:name w:val="xl399"/>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3">
    <w:name w:val="xl4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64">
    <w:name w:val="xl4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65">
    <w:name w:val="f12"/>
    <w:basedOn w:val="1"/>
    <w:qFormat/>
    <w:uiPriority w:val="99"/>
    <w:pPr>
      <w:widowControl/>
      <w:spacing w:before="100" w:beforeAutospacing="1" w:after="100" w:afterAutospacing="1"/>
      <w:jc w:val="left"/>
    </w:pPr>
    <w:rPr>
      <w:rFonts w:ascii="_GB2312" w:hAnsi="_GB2312"/>
      <w:color w:val="000000"/>
      <w:kern w:val="0"/>
      <w:szCs w:val="21"/>
    </w:rPr>
  </w:style>
  <w:style w:type="paragraph" w:customStyle="1" w:styleId="1266">
    <w:name w:val="xl4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67">
    <w:name w:val="xl4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68">
    <w:name w:val="xl404"/>
    <w:basedOn w:val="1"/>
    <w:qFormat/>
    <w:uiPriority w:val="0"/>
    <w:pPr>
      <w:widowControl/>
      <w:pBdr>
        <w:bottom w:val="single" w:color="FFFFFF" w:sz="4" w:space="0"/>
        <w:right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69">
    <w:name w:val="xl4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70">
    <w:name w:val="xl4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71">
    <w:name w:val="xl407"/>
    <w:basedOn w:val="1"/>
    <w:qFormat/>
    <w:uiPriority w:val="0"/>
    <w:pPr>
      <w:widowControl/>
      <w:pBdr>
        <w:bottom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2">
    <w:name w:val="一级条标题"/>
    <w:basedOn w:val="359"/>
    <w:next w:val="1"/>
    <w:qFormat/>
    <w:uiPriority w:val="99"/>
    <w:pPr>
      <w:spacing w:beforeLines="0" w:afterLines="0"/>
      <w:ind w:left="105"/>
      <w:outlineLvl w:val="2"/>
    </w:pPr>
    <w:rPr>
      <w:rFonts w:hAnsiTheme="minorHAnsi" w:cstheme="minorBidi"/>
      <w:kern w:val="2"/>
      <w:szCs w:val="21"/>
    </w:rPr>
  </w:style>
  <w:style w:type="paragraph" w:customStyle="1" w:styleId="1273">
    <w:name w:val="xl4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4">
    <w:name w:val="xl4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75">
    <w:name w:val="xl4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76">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1277">
    <w:name w:val="xl41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FF0000"/>
      <w:kern w:val="0"/>
      <w:sz w:val="18"/>
      <w:szCs w:val="18"/>
    </w:rPr>
  </w:style>
  <w:style w:type="paragraph" w:customStyle="1" w:styleId="1278">
    <w:name w:val="xl413"/>
    <w:basedOn w:val="1"/>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79">
    <w:name w:val="xl416"/>
    <w:basedOn w:val="1"/>
    <w:qFormat/>
    <w:uiPriority w:val="0"/>
    <w:pPr>
      <w:widowControl/>
      <w:pBdr>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0">
    <w:name w:val="xl417"/>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1">
    <w:name w:val="xl418"/>
    <w:basedOn w:val="1"/>
    <w:qFormat/>
    <w:uiPriority w:val="0"/>
    <w:pPr>
      <w:widowControl/>
      <w:pBdr>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2">
    <w:name w:val="xl419"/>
    <w:basedOn w:val="1"/>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3">
    <w:name w:val="_Style 131"/>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4">
    <w:name w:val="xl4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85">
    <w:name w:val="_Style 133"/>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6">
    <w:name w:val="xl4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87">
    <w:name w:val="_Style 130"/>
    <w:next w:val="1"/>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8">
    <w:name w:val="xl424"/>
    <w:basedOn w:val="1"/>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9">
    <w:name w:val="Char Char Char2"/>
    <w:basedOn w:val="1"/>
    <w:qFormat/>
    <w:uiPriority w:val="99"/>
    <w:pPr>
      <w:widowControl/>
      <w:spacing w:line="240" w:lineRule="exact"/>
      <w:jc w:val="left"/>
    </w:pPr>
    <w:rPr>
      <w:rFonts w:ascii="宋体" w:cs="宋体"/>
      <w:kern w:val="0"/>
      <w:sz w:val="20"/>
      <w:szCs w:val="24"/>
    </w:rPr>
  </w:style>
  <w:style w:type="paragraph" w:customStyle="1" w:styleId="1290">
    <w:name w:val="xl425"/>
    <w:basedOn w:val="1"/>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1">
    <w:name w:val="xl426"/>
    <w:basedOn w:val="1"/>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2">
    <w:name w:val="xl42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93">
    <w:name w:val="xl4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94">
    <w:name w:val="合同2"/>
    <w:basedOn w:val="2"/>
    <w:qFormat/>
    <w:uiPriority w:val="99"/>
    <w:pPr>
      <w:keepNext w:val="0"/>
      <w:widowControl w:val="0"/>
      <w:tabs>
        <w:tab w:val="clear" w:pos="885"/>
      </w:tabs>
      <w:adjustRightInd w:val="0"/>
      <w:snapToGrid w:val="0"/>
      <w:spacing w:before="240" w:beforeLines="100"/>
      <w:ind w:left="0" w:firstLine="207" w:firstLineChars="98"/>
    </w:pPr>
    <w:rPr>
      <w:rFonts w:ascii="宋体" w:hAnsi="宋体" w:eastAsia="宋体" w:cs="Arial"/>
      <w:bCs/>
      <w:sz w:val="28"/>
    </w:rPr>
  </w:style>
  <w:style w:type="paragraph" w:customStyle="1" w:styleId="1295">
    <w:name w:val="p19"/>
    <w:basedOn w:val="1"/>
    <w:qFormat/>
    <w:uiPriority w:val="0"/>
    <w:pPr>
      <w:widowControl/>
      <w:jc w:val="left"/>
    </w:pPr>
    <w:rPr>
      <w:color w:val="FF0000"/>
      <w:kern w:val="0"/>
      <w:szCs w:val="21"/>
    </w:rPr>
  </w:style>
  <w:style w:type="paragraph" w:customStyle="1" w:styleId="1296">
    <w:name w:val="f12pt1"/>
    <w:basedOn w:val="1"/>
    <w:qFormat/>
    <w:uiPriority w:val="99"/>
    <w:pPr>
      <w:widowControl/>
      <w:spacing w:before="100" w:beforeAutospacing="1" w:after="100" w:afterAutospacing="1"/>
      <w:jc w:val="left"/>
    </w:pPr>
    <w:rPr>
      <w:rFonts w:ascii="_GB2312" w:hAnsi="_GB2312"/>
      <w:color w:val="000000"/>
      <w:kern w:val="0"/>
      <w:szCs w:val="21"/>
    </w:rPr>
  </w:style>
  <w:style w:type="paragraph" w:customStyle="1" w:styleId="1297">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298">
    <w:name w:val="需求书用目录1"/>
    <w:basedOn w:val="1"/>
    <w:qFormat/>
    <w:uiPriority w:val="99"/>
    <w:pPr>
      <w:spacing w:before="360" w:after="40"/>
      <w:outlineLvl w:val="0"/>
    </w:pPr>
    <w:rPr>
      <w:rFonts w:ascii="宋体" w:hAnsi="宋体" w:cs="宋体"/>
      <w:szCs w:val="21"/>
    </w:rPr>
  </w:style>
  <w:style w:type="paragraph" w:customStyle="1" w:styleId="1299">
    <w:name w:val="130"/>
    <w:basedOn w:val="1"/>
    <w:qFormat/>
    <w:uiPriority w:val="99"/>
    <w:pPr>
      <w:widowControl/>
      <w:spacing w:before="100" w:beforeAutospacing="1" w:after="100" w:afterAutospacing="1" w:line="324" w:lineRule="auto"/>
      <w:jc w:val="left"/>
    </w:pPr>
    <w:rPr>
      <w:rFonts w:ascii="宋体" w:hAnsi="宋体"/>
      <w:color w:val="000000"/>
      <w:kern w:val="0"/>
      <w:sz w:val="24"/>
      <w:szCs w:val="24"/>
    </w:rPr>
  </w:style>
  <w:style w:type="paragraph" w:customStyle="1" w:styleId="1300">
    <w:name w:val="Char Char Char Char Char Char1 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01">
    <w:name w:val="环小四表格内容"/>
    <w:basedOn w:val="1"/>
    <w:qFormat/>
    <w:uiPriority w:val="0"/>
    <w:pPr>
      <w:spacing w:line="240" w:lineRule="exact"/>
      <w:jc w:val="center"/>
    </w:pPr>
    <w:rPr>
      <w:rFonts w:ascii="宋体" w:hAnsi="宋体"/>
      <w:bCs/>
      <w:sz w:val="18"/>
      <w:szCs w:val="18"/>
    </w:rPr>
  </w:style>
  <w:style w:type="paragraph" w:customStyle="1" w:styleId="1302">
    <w:name w:val="f11"/>
    <w:basedOn w:val="1"/>
    <w:qFormat/>
    <w:uiPriority w:val="99"/>
    <w:pPr>
      <w:widowControl/>
      <w:spacing w:before="100" w:beforeAutospacing="1" w:after="100" w:afterAutospacing="1" w:line="320" w:lineRule="atLeast"/>
      <w:jc w:val="left"/>
    </w:pPr>
    <w:rPr>
      <w:rFonts w:ascii="_GB2312" w:hAnsi="_GB2312"/>
      <w:color w:val="000000"/>
      <w:kern w:val="0"/>
      <w:sz w:val="28"/>
      <w:szCs w:val="28"/>
    </w:rPr>
  </w:style>
  <w:style w:type="paragraph" w:customStyle="1" w:styleId="1303">
    <w:name w:val="索引 12"/>
    <w:basedOn w:val="1"/>
    <w:next w:val="1"/>
    <w:qFormat/>
    <w:uiPriority w:val="0"/>
    <w:pPr>
      <w:jc w:val="center"/>
    </w:pPr>
    <w:rPr>
      <w:rFonts w:ascii="仿宋_GB2312" w:eastAsia="仿宋_GB2312"/>
      <w:bCs/>
      <w:szCs w:val="21"/>
    </w:rPr>
  </w:style>
  <w:style w:type="paragraph" w:customStyle="1" w:styleId="1304">
    <w:name w:val="Char Char Char Char Char Char Char Char Char Char2"/>
    <w:basedOn w:val="1"/>
    <w:qFormat/>
    <w:uiPriority w:val="99"/>
    <w:rPr>
      <w:rFonts w:ascii="Tahoma" w:hAnsi="Tahoma"/>
      <w:sz w:val="24"/>
      <w:szCs w:val="24"/>
    </w:rPr>
  </w:style>
  <w:style w:type="paragraph" w:customStyle="1" w:styleId="1305">
    <w:name w:val="f14"/>
    <w:basedOn w:val="1"/>
    <w:qFormat/>
    <w:uiPriority w:val="99"/>
    <w:pPr>
      <w:widowControl/>
      <w:spacing w:before="100" w:beforeAutospacing="1" w:after="100" w:afterAutospacing="1"/>
      <w:jc w:val="left"/>
    </w:pPr>
    <w:rPr>
      <w:rFonts w:ascii="_GB2312" w:hAnsi="_GB2312"/>
      <w:color w:val="000000"/>
      <w:kern w:val="0"/>
      <w:sz w:val="28"/>
      <w:szCs w:val="28"/>
    </w:rPr>
  </w:style>
  <w:style w:type="paragraph" w:customStyle="1" w:styleId="1306">
    <w:name w:val="表格1"/>
    <w:basedOn w:val="1"/>
    <w:qFormat/>
    <w:uiPriority w:val="0"/>
    <w:pPr>
      <w:tabs>
        <w:tab w:val="left" w:pos="3105"/>
      </w:tabs>
      <w:spacing w:line="240" w:lineRule="exact"/>
      <w:jc w:val="center"/>
    </w:pPr>
    <w:rPr>
      <w:rFonts w:ascii="宋体" w:hAnsi="宋体"/>
      <w:sz w:val="18"/>
      <w:szCs w:val="21"/>
    </w:rPr>
  </w:style>
  <w:style w:type="paragraph" w:customStyle="1" w:styleId="1307">
    <w:name w:val="Char Char Char Char Char Char Char Char Char Char1"/>
    <w:basedOn w:val="1"/>
    <w:qFormat/>
    <w:uiPriority w:val="99"/>
    <w:rPr>
      <w:rFonts w:ascii="Tahoma" w:hAnsi="Tahoma"/>
      <w:sz w:val="24"/>
      <w:szCs w:val="24"/>
    </w:rPr>
  </w:style>
  <w:style w:type="paragraph" w:customStyle="1" w:styleId="1308">
    <w:name w:val="Char Char Char Char Char Char Char Char Char Char"/>
    <w:basedOn w:val="1"/>
    <w:qFormat/>
    <w:uiPriority w:val="99"/>
    <w:rPr>
      <w:rFonts w:ascii="Tahoma" w:hAnsi="Tahoma"/>
      <w:sz w:val="24"/>
      <w:szCs w:val="24"/>
    </w:rPr>
  </w:style>
  <w:style w:type="paragraph" w:customStyle="1" w:styleId="1309">
    <w:name w:val="图"/>
    <w:basedOn w:val="1"/>
    <w:qFormat/>
    <w:uiPriority w:val="99"/>
    <w:pPr>
      <w:keepNext/>
      <w:adjustRightInd w:val="0"/>
      <w:spacing w:before="60" w:after="60" w:line="300" w:lineRule="auto"/>
      <w:jc w:val="center"/>
      <w:textAlignment w:val="center"/>
    </w:pPr>
    <w:rPr>
      <w:snapToGrid w:val="0"/>
      <w:spacing w:val="20"/>
      <w:kern w:val="0"/>
      <w:sz w:val="24"/>
    </w:rPr>
  </w:style>
  <w:style w:type="paragraph" w:customStyle="1" w:styleId="1310">
    <w:name w:val="前言、引言标题"/>
    <w:next w:val="1"/>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11">
    <w:name w:val="正文缩进2格"/>
    <w:basedOn w:val="1"/>
    <w:qFormat/>
    <w:uiPriority w:val="99"/>
    <w:pPr>
      <w:spacing w:line="600" w:lineRule="exact"/>
      <w:ind w:firstLine="639" w:firstLineChars="206"/>
    </w:pPr>
    <w:rPr>
      <w:rFonts w:ascii="仿宋_GB2312" w:hAnsi="宋体" w:eastAsia="仿宋_GB2312"/>
      <w:sz w:val="31"/>
      <w:szCs w:val="28"/>
    </w:rPr>
  </w:style>
  <w:style w:type="paragraph" w:customStyle="1" w:styleId="1312">
    <w:name w:val="f10"/>
    <w:basedOn w:val="1"/>
    <w:qFormat/>
    <w:uiPriority w:val="99"/>
    <w:pPr>
      <w:widowControl/>
      <w:spacing w:before="100" w:beforeAutospacing="1" w:after="100" w:afterAutospacing="1" w:line="260" w:lineRule="atLeast"/>
      <w:jc w:val="left"/>
    </w:pPr>
    <w:rPr>
      <w:rFonts w:ascii="_GB2312" w:hAnsi="_GB2312"/>
      <w:color w:val="000000"/>
      <w:kern w:val="0"/>
      <w:sz w:val="18"/>
      <w:szCs w:val="18"/>
    </w:rPr>
  </w:style>
  <w:style w:type="paragraph" w:customStyle="1" w:styleId="1313">
    <w:name w:val="题注4"/>
    <w:basedOn w:val="1"/>
    <w:next w:val="17"/>
    <w:qFormat/>
    <w:uiPriority w:val="99"/>
    <w:pPr>
      <w:ind w:left="-132" w:leftChars="-64" w:right="-105" w:rightChars="-50" w:hanging="2"/>
      <w:jc w:val="center"/>
    </w:pPr>
    <w:rPr>
      <w:rFonts w:ascii="宋体"/>
      <w:b/>
      <w:color w:val="FF0000"/>
      <w:szCs w:val="21"/>
      <w:lang w:val="en-GB"/>
    </w:rPr>
  </w:style>
  <w:style w:type="paragraph" w:customStyle="1" w:styleId="1314">
    <w:name w:val="须知1"/>
    <w:basedOn w:val="5"/>
    <w:qFormat/>
    <w:uiPriority w:val="99"/>
    <w:pPr>
      <w:widowControl w:val="0"/>
      <w:spacing w:before="260" w:after="312" w:line="240" w:lineRule="auto"/>
      <w:jc w:val="both"/>
    </w:pPr>
    <w:rPr>
      <w:rFonts w:ascii="宋体" w:hAnsi="宋体" w:cs="宋体"/>
      <w:bCs/>
      <w:sz w:val="24"/>
      <w:szCs w:val="24"/>
    </w:rPr>
  </w:style>
  <w:style w:type="paragraph" w:customStyle="1" w:styleId="1315">
    <w:name w:val="150"/>
    <w:basedOn w:val="1"/>
    <w:qFormat/>
    <w:uiPriority w:val="99"/>
    <w:pPr>
      <w:widowControl/>
      <w:spacing w:before="100" w:beforeAutospacing="1" w:after="100" w:afterAutospacing="1" w:line="360" w:lineRule="auto"/>
      <w:jc w:val="left"/>
    </w:pPr>
    <w:rPr>
      <w:rFonts w:ascii="宋体" w:hAnsi="宋体"/>
      <w:color w:val="000000"/>
      <w:kern w:val="0"/>
      <w:sz w:val="24"/>
      <w:szCs w:val="24"/>
    </w:rPr>
  </w:style>
  <w:style w:type="paragraph" w:customStyle="1" w:styleId="1316">
    <w:name w:val="Char Char Char Char Char1 Char1"/>
    <w:basedOn w:val="1"/>
    <w:qFormat/>
    <w:uiPriority w:val="99"/>
    <w:rPr>
      <w:rFonts w:ascii="Tahoma" w:hAnsi="Tahoma"/>
      <w:sz w:val="24"/>
      <w:szCs w:val="24"/>
    </w:rPr>
  </w:style>
  <w:style w:type="paragraph" w:customStyle="1" w:styleId="1317">
    <w:name w:val="Char Char Char Char Char1 Char"/>
    <w:basedOn w:val="1"/>
    <w:qFormat/>
    <w:uiPriority w:val="99"/>
    <w:rPr>
      <w:rFonts w:ascii="Tahoma" w:hAnsi="Tahoma"/>
      <w:sz w:val="24"/>
      <w:szCs w:val="24"/>
    </w:rPr>
  </w:style>
  <w:style w:type="paragraph" w:customStyle="1" w:styleId="1318">
    <w:name w:val="Char Char Char Char Char Char1 Char1"/>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19">
    <w:name w:val="c03"/>
    <w:basedOn w:val="1"/>
    <w:qFormat/>
    <w:uiPriority w:val="99"/>
    <w:pPr>
      <w:widowControl/>
      <w:spacing w:before="100" w:beforeAutospacing="1" w:after="100" w:afterAutospacing="1"/>
      <w:jc w:val="left"/>
    </w:pPr>
    <w:rPr>
      <w:rFonts w:ascii="宋体" w:hAnsi="宋体"/>
      <w:color w:val="000000"/>
      <w:kern w:val="0"/>
      <w:sz w:val="24"/>
      <w:szCs w:val="24"/>
    </w:rPr>
  </w:style>
  <w:style w:type="paragraph" w:customStyle="1" w:styleId="1320">
    <w:name w:val="TOC 标题21"/>
    <w:basedOn w:val="2"/>
    <w:next w:val="1"/>
    <w:qFormat/>
    <w:uiPriority w:val="9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1321">
    <w:name w:val=".o.a"/>
    <w:basedOn w:val="265"/>
    <w:next w:val="265"/>
    <w:qFormat/>
    <w:uiPriority w:val="99"/>
    <w:rPr>
      <w:rFonts w:ascii="宋体" w:eastAsia="宋体" w:cstheme="minorBidi"/>
      <w:color w:val="auto"/>
      <w:kern w:val="2"/>
      <w:lang w:eastAsia="en-US"/>
    </w:rPr>
  </w:style>
  <w:style w:type="paragraph" w:customStyle="1" w:styleId="1322">
    <w:name w:val="_Style 84"/>
    <w:basedOn w:val="1"/>
    <w:qFormat/>
    <w:uiPriority w:val="99"/>
    <w:rPr>
      <w:rFonts w:ascii="Tahoma" w:hAnsi="Tahoma"/>
      <w:sz w:val="24"/>
      <w:szCs w:val="24"/>
    </w:rPr>
  </w:style>
  <w:style w:type="paragraph" w:customStyle="1" w:styleId="1323">
    <w:name w:val="题注5"/>
    <w:basedOn w:val="1"/>
    <w:next w:val="17"/>
    <w:qFormat/>
    <w:uiPriority w:val="99"/>
    <w:pPr>
      <w:jc w:val="center"/>
    </w:pPr>
    <w:rPr>
      <w:rFonts w:ascii="宋体"/>
      <w:b/>
      <w:color w:val="000000"/>
      <w:sz w:val="24"/>
      <w:szCs w:val="21"/>
    </w:rPr>
  </w:style>
  <w:style w:type="paragraph" w:customStyle="1" w:styleId="1324">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1325">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1326">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1327">
    <w:name w:val="Char Char Char11"/>
    <w:basedOn w:val="1"/>
    <w:qFormat/>
    <w:uiPriority w:val="99"/>
    <w:pPr>
      <w:widowControl/>
      <w:spacing w:line="240" w:lineRule="exact"/>
      <w:jc w:val="left"/>
    </w:pPr>
    <w:rPr>
      <w:rFonts w:ascii="宋体" w:cs="宋体"/>
      <w:kern w:val="0"/>
      <w:sz w:val="20"/>
      <w:szCs w:val="24"/>
    </w:rPr>
  </w:style>
  <w:style w:type="paragraph" w:customStyle="1" w:styleId="1328">
    <w:name w:val="8"/>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29">
    <w:name w:val="Char12"/>
    <w:basedOn w:val="1"/>
    <w:qFormat/>
    <w:uiPriority w:val="99"/>
    <w:pPr>
      <w:widowControl/>
      <w:spacing w:line="240" w:lineRule="exact"/>
      <w:jc w:val="left"/>
    </w:pPr>
    <w:rPr>
      <w:rFonts w:ascii="Calibri" w:hAnsi="Calibri"/>
      <w:kern w:val="0"/>
      <w:sz w:val="24"/>
      <w:szCs w:val="24"/>
    </w:rPr>
  </w:style>
  <w:style w:type="paragraph" w:customStyle="1" w:styleId="1330">
    <w:name w:val="7"/>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31">
    <w:name w:val="9"/>
    <w:basedOn w:val="25"/>
    <w:next w:val="63"/>
    <w:qFormat/>
    <w:uiPriority w:val="0"/>
    <w:pPr>
      <w:overflowPunct/>
      <w:autoSpaceDE/>
      <w:autoSpaceDN/>
      <w:adjustRightInd/>
      <w:spacing w:after="120" w:line="240" w:lineRule="auto"/>
      <w:ind w:left="420" w:leftChars="200" w:firstLine="420" w:firstLineChars="200"/>
      <w:jc w:val="left"/>
      <w:textAlignment w:val="auto"/>
    </w:pPr>
    <w:rPr>
      <w:rFonts w:ascii="Times New Roman" w:hAnsi="Times New Roman"/>
      <w:spacing w:val="0"/>
      <w:kern w:val="2"/>
      <w:sz w:val="21"/>
      <w:szCs w:val="22"/>
    </w:rPr>
  </w:style>
  <w:style w:type="paragraph" w:customStyle="1" w:styleId="1332">
    <w:name w:val="正文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3">
    <w:name w:val="表格内文字"/>
    <w:basedOn w:val="731"/>
    <w:qFormat/>
    <w:uiPriority w:val="0"/>
    <w:pPr>
      <w:ind w:firstLine="0"/>
      <w:jc w:val="center"/>
    </w:pPr>
    <w:rPr>
      <w:rFonts w:ascii="黑体" w:eastAsia="黑体"/>
      <w:sz w:val="20"/>
      <w:szCs w:val="21"/>
    </w:rPr>
  </w:style>
  <w:style w:type="paragraph" w:customStyle="1" w:styleId="1334">
    <w:name w:val="索引 11"/>
    <w:basedOn w:val="1"/>
    <w:next w:val="1"/>
    <w:qFormat/>
    <w:uiPriority w:val="0"/>
    <w:pPr>
      <w:jc w:val="center"/>
    </w:pPr>
    <w:rPr>
      <w:rFonts w:ascii="仿宋_GB2312" w:eastAsia="仿宋_GB2312"/>
      <w:bCs/>
      <w:szCs w:val="21"/>
    </w:rPr>
  </w:style>
  <w:style w:type="paragraph" w:customStyle="1" w:styleId="1335">
    <w:name w:val="环小四表内容"/>
    <w:basedOn w:val="1"/>
    <w:qFormat/>
    <w:uiPriority w:val="0"/>
    <w:pPr>
      <w:wordWrap w:val="0"/>
      <w:spacing w:line="240" w:lineRule="exact"/>
      <w:jc w:val="center"/>
    </w:pPr>
    <w:rPr>
      <w:rFonts w:ascii="宋体" w:hAnsi="宋体"/>
      <w:sz w:val="18"/>
      <w:szCs w:val="21"/>
    </w:rPr>
  </w:style>
  <w:style w:type="paragraph" w:customStyle="1" w:styleId="1336">
    <w:name w:val="样式 WG标题3 + 行距: 固定值 18 磅"/>
    <w:basedOn w:val="1"/>
    <w:qFormat/>
    <w:uiPriority w:val="0"/>
    <w:pPr>
      <w:autoSpaceDE w:val="0"/>
      <w:autoSpaceDN w:val="0"/>
      <w:adjustRightInd w:val="0"/>
      <w:spacing w:line="360" w:lineRule="exact"/>
      <w:textAlignment w:val="baseline"/>
      <w:outlineLvl w:val="2"/>
    </w:pPr>
    <w:rPr>
      <w:rFonts w:ascii="宋体" w:hAnsi="宋体" w:cs="宋体"/>
      <w:b/>
      <w:bCs/>
      <w:color w:val="000000"/>
      <w:kern w:val="20"/>
      <w:sz w:val="24"/>
    </w:rPr>
  </w:style>
  <w:style w:type="paragraph" w:customStyle="1" w:styleId="1337">
    <w:name w:val="TOC 标题3"/>
    <w:basedOn w:val="2"/>
    <w:next w:val="1"/>
    <w:unhideWhenUsed/>
    <w:qFormat/>
    <w:uiPriority w:val="39"/>
    <w:pPr>
      <w:keepLines/>
      <w:tabs>
        <w:tab w:val="clear" w:pos="885"/>
      </w:tabs>
      <w:spacing w:before="480" w:line="276" w:lineRule="auto"/>
      <w:ind w:left="0" w:firstLine="0"/>
      <w:jc w:val="left"/>
      <w:outlineLvl w:val="9"/>
    </w:pPr>
    <w:rPr>
      <w:rFonts w:ascii="Cambria" w:hAnsi="Cambria" w:eastAsia="宋体"/>
      <w:bCs/>
      <w:color w:val="366091"/>
      <w:kern w:val="0"/>
      <w:sz w:val="28"/>
      <w:szCs w:val="28"/>
    </w:rPr>
  </w:style>
  <w:style w:type="paragraph" w:customStyle="1" w:styleId="1338">
    <w:name w:val="W表格内容"/>
    <w:basedOn w:val="1"/>
    <w:qFormat/>
    <w:uiPriority w:val="0"/>
    <w:pPr>
      <w:spacing w:line="240" w:lineRule="exact"/>
      <w:jc w:val="center"/>
    </w:pPr>
    <w:rPr>
      <w:rFonts w:ascii="宋体" w:hAnsi="宋体" w:eastAsia="Times New Roman"/>
      <w:bCs/>
      <w:sz w:val="18"/>
      <w:szCs w:val="18"/>
    </w:rPr>
  </w:style>
  <w:style w:type="paragraph" w:customStyle="1" w:styleId="1339">
    <w:name w:val="xl37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kern w:val="0"/>
      <w:sz w:val="20"/>
    </w:rPr>
  </w:style>
  <w:style w:type="paragraph" w:customStyle="1" w:styleId="1340">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341">
    <w:name w:val="列表段落1"/>
    <w:basedOn w:val="1"/>
    <w:qFormat/>
    <w:uiPriority w:val="0"/>
    <w:pPr>
      <w:ind w:firstLine="420" w:firstLineChars="200"/>
    </w:pPr>
    <w:rPr>
      <w:rFonts w:ascii="Calibri" w:hAnsi="Calibri"/>
      <w:szCs w:val="22"/>
    </w:rPr>
  </w:style>
  <w:style w:type="paragraph" w:customStyle="1" w:styleId="1342">
    <w:name w:val="dash666e_901a_8868_683c1"/>
    <w:basedOn w:val="1"/>
    <w:qFormat/>
    <w:uiPriority w:val="0"/>
    <w:pPr>
      <w:widowControl/>
      <w:jc w:val="left"/>
    </w:pPr>
    <w:rPr>
      <w:rFonts w:ascii="宋体" w:hAnsi="宋体" w:cs="宋体"/>
      <w:kern w:val="0"/>
      <w:sz w:val="24"/>
      <w:szCs w:val="24"/>
    </w:rPr>
  </w:style>
  <w:style w:type="table" w:customStyle="1" w:styleId="1343">
    <w:name w:val="网格型2"/>
    <w:basedOn w:val="6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4">
    <w:name w:val="网格型11"/>
    <w:basedOn w:val="64"/>
    <w:qFormat/>
    <w:uiPriority w:val="0"/>
    <w:pPr>
      <w:widowControl w:val="0"/>
      <w:spacing w:line="400" w:lineRule="exact"/>
      <w:jc w:val="both"/>
    </w:pPr>
    <w:tblP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
    <w:tcPr>
      <w:vAlign w:val="center"/>
    </w:tcPr>
    <w:tblStylePr w:type="firstRow">
      <w:pPr>
        <w:wordWrap/>
        <w:jc w:val="center"/>
      </w:pPr>
      <w:tcPr>
        <w:tcBorders>
          <w:top w:val="single" w:color="auto" w:sz="12" w:space="0"/>
          <w:left w:val="single" w:color="auto" w:sz="12" w:space="0"/>
          <w:bottom w:val="single" w:color="auto" w:sz="2" w:space="0"/>
          <w:right w:val="single" w:color="auto" w:sz="12" w:space="0"/>
          <w:insideH w:val="nil"/>
          <w:insideV w:val="single" w:sz="2" w:space="0"/>
          <w:tl2br w:val="nil"/>
          <w:tr2bl w:val="nil"/>
        </w:tcBorders>
        <w:shd w:val="pct10" w:color="auto" w:fill="auto"/>
      </w:tcPr>
    </w:tblStylePr>
  </w:style>
  <w:style w:type="table" w:customStyle="1" w:styleId="1345">
    <w:name w:val="表格主题1"/>
    <w:basedOn w:val="6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6">
    <w:name w:val="网格型3"/>
    <w:basedOn w:val="6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7">
    <w:name w:val="网格型4"/>
    <w:basedOn w:val="6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48">
    <w:name w:val="修订4"/>
    <w:hidden/>
    <w:unhideWhenUsed/>
    <w:qFormat/>
    <w:uiPriority w:val="99"/>
    <w:rPr>
      <w:rFonts w:ascii="Times New Roman" w:hAnsi="Times New Roman" w:eastAsia="宋体" w:cs="Times New Roman"/>
      <w:kern w:val="2"/>
      <w:sz w:val="21"/>
      <w:lang w:val="en-US" w:eastAsia="zh-CN" w:bidi="ar-SA"/>
    </w:rPr>
  </w:style>
  <w:style w:type="paragraph" w:customStyle="1" w:styleId="1349">
    <w:name w:val="修订5"/>
    <w:hidden/>
    <w:unhideWhenUsed/>
    <w:qFormat/>
    <w:uiPriority w:val="99"/>
    <w:rPr>
      <w:rFonts w:ascii="Times New Roman" w:hAnsi="Times New Roman" w:eastAsia="宋体" w:cs="Times New Roman"/>
      <w:kern w:val="2"/>
      <w:sz w:val="21"/>
      <w:lang w:val="en-US" w:eastAsia="zh-CN" w:bidi="ar-SA"/>
    </w:rPr>
  </w:style>
  <w:style w:type="paragraph" w:customStyle="1" w:styleId="1350">
    <w:name w:val="Normal_33"/>
    <w:qFormat/>
    <w:uiPriority w:val="99"/>
    <w:pPr>
      <w:widowControl w:val="0"/>
      <w:jc w:val="both"/>
    </w:pPr>
    <w:rPr>
      <w:rFonts w:ascii="Calibri" w:hAnsi="Calibri" w:eastAsia="宋体" w:cs="Times New Roman"/>
      <w:lang w:val="en-US" w:eastAsia="zh-CN" w:bidi="ar-SA"/>
    </w:rPr>
  </w:style>
  <w:style w:type="paragraph" w:customStyle="1" w:styleId="1351">
    <w:name w:val="Normal_34"/>
    <w:qFormat/>
    <w:uiPriority w:val="99"/>
    <w:pPr>
      <w:widowControl w:val="0"/>
      <w:jc w:val="both"/>
    </w:pPr>
    <w:rPr>
      <w:rFonts w:ascii="Calibri" w:hAnsi="Calibri" w:eastAsia="宋体" w:cs="Times New Roman"/>
      <w:lang w:val="en-US" w:eastAsia="zh-CN" w:bidi="ar-SA"/>
    </w:rPr>
  </w:style>
  <w:style w:type="paragraph" w:customStyle="1" w:styleId="1352">
    <w:name w:val="Normal_35"/>
    <w:qFormat/>
    <w:uiPriority w:val="99"/>
    <w:pPr>
      <w:widowControl w:val="0"/>
      <w:jc w:val="both"/>
    </w:pPr>
    <w:rPr>
      <w:rFonts w:ascii="Calibri" w:hAnsi="Calibri" w:eastAsia="宋体" w:cs="Times New Roman"/>
      <w:lang w:val="en-US" w:eastAsia="zh-CN" w:bidi="ar-SA"/>
    </w:rPr>
  </w:style>
  <w:style w:type="paragraph" w:customStyle="1" w:styleId="1353">
    <w:name w:val="Normal_36"/>
    <w:qFormat/>
    <w:uiPriority w:val="99"/>
    <w:pPr>
      <w:widowControl w:val="0"/>
      <w:jc w:val="both"/>
    </w:pPr>
    <w:rPr>
      <w:rFonts w:ascii="Calibri" w:hAnsi="Calibri" w:eastAsia="宋体" w:cs="Times New Roman"/>
      <w:lang w:val="en-US" w:eastAsia="zh-CN" w:bidi="ar-SA"/>
    </w:rPr>
  </w:style>
  <w:style w:type="paragraph" w:customStyle="1" w:styleId="1354">
    <w:name w:val="Normal_37"/>
    <w:qFormat/>
    <w:uiPriority w:val="99"/>
    <w:pPr>
      <w:widowControl w:val="0"/>
      <w:jc w:val="both"/>
    </w:pPr>
    <w:rPr>
      <w:rFonts w:ascii="Calibri" w:hAnsi="Calibri" w:eastAsia="宋体" w:cs="Times New Roman"/>
      <w:lang w:val="en-US" w:eastAsia="zh-CN" w:bidi="ar-SA"/>
    </w:rPr>
  </w:style>
  <w:style w:type="paragraph" w:customStyle="1" w:styleId="1355">
    <w:name w:val="Normal_38"/>
    <w:qFormat/>
    <w:uiPriority w:val="99"/>
    <w:pPr>
      <w:widowControl w:val="0"/>
      <w:jc w:val="both"/>
    </w:pPr>
    <w:rPr>
      <w:rFonts w:ascii="Calibri" w:hAnsi="Calibri" w:eastAsia="宋体" w:cs="Times New Roman"/>
      <w:lang w:val="en-US" w:eastAsia="zh-CN" w:bidi="ar-SA"/>
    </w:rPr>
  </w:style>
  <w:style w:type="paragraph" w:customStyle="1" w:styleId="1356">
    <w:name w:val="Normal_39"/>
    <w:qFormat/>
    <w:uiPriority w:val="99"/>
    <w:pPr>
      <w:widowControl w:val="0"/>
      <w:jc w:val="both"/>
    </w:pPr>
    <w:rPr>
      <w:rFonts w:ascii="Calibri" w:hAnsi="Calibri" w:eastAsia="宋体" w:cs="Times New Roman"/>
      <w:lang w:val="en-US" w:eastAsia="zh-CN" w:bidi="ar-SA"/>
    </w:rPr>
  </w:style>
  <w:style w:type="paragraph" w:customStyle="1" w:styleId="1357">
    <w:name w:val="Normal_40"/>
    <w:qFormat/>
    <w:uiPriority w:val="99"/>
    <w:pPr>
      <w:widowControl w:val="0"/>
      <w:jc w:val="both"/>
    </w:pPr>
    <w:rPr>
      <w:rFonts w:ascii="Calibri" w:hAnsi="Calibri" w:eastAsia="宋体" w:cs="Times New Roman"/>
      <w:lang w:val="en-US" w:eastAsia="zh-CN" w:bidi="ar-SA"/>
    </w:rPr>
  </w:style>
  <w:style w:type="paragraph" w:customStyle="1" w:styleId="1358">
    <w:name w:val="Normal_41"/>
    <w:qFormat/>
    <w:uiPriority w:val="99"/>
    <w:pPr>
      <w:widowControl w:val="0"/>
      <w:jc w:val="both"/>
    </w:pPr>
    <w:rPr>
      <w:rFonts w:ascii="Calibri" w:hAnsi="Calibri" w:eastAsia="宋体" w:cs="Times New Roman"/>
      <w:lang w:val="en-US" w:eastAsia="zh-CN" w:bidi="ar-SA"/>
    </w:rPr>
  </w:style>
  <w:style w:type="paragraph" w:customStyle="1" w:styleId="1359">
    <w:name w:val="Normal_42"/>
    <w:qFormat/>
    <w:uiPriority w:val="99"/>
    <w:pPr>
      <w:widowControl w:val="0"/>
      <w:jc w:val="both"/>
    </w:pPr>
    <w:rPr>
      <w:rFonts w:ascii="Calibri" w:hAnsi="Calibri" w:eastAsia="宋体" w:cs="Times New Roman"/>
      <w:lang w:val="en-US" w:eastAsia="zh-CN" w:bidi="ar-SA"/>
    </w:rPr>
  </w:style>
  <w:style w:type="paragraph" w:customStyle="1" w:styleId="1360">
    <w:name w:val="Normal_43"/>
    <w:qFormat/>
    <w:uiPriority w:val="99"/>
    <w:pPr>
      <w:widowControl w:val="0"/>
      <w:jc w:val="both"/>
    </w:pPr>
    <w:rPr>
      <w:rFonts w:ascii="Calibri" w:hAnsi="Calibri" w:eastAsia="宋体" w:cs="Times New Roman"/>
      <w:lang w:val="en-US" w:eastAsia="zh-CN" w:bidi="ar-SA"/>
    </w:rPr>
  </w:style>
  <w:style w:type="paragraph" w:customStyle="1" w:styleId="1361">
    <w:name w:val="Normal_44"/>
    <w:qFormat/>
    <w:uiPriority w:val="99"/>
    <w:pPr>
      <w:widowControl w:val="0"/>
      <w:jc w:val="both"/>
    </w:pPr>
    <w:rPr>
      <w:rFonts w:ascii="Calibri" w:hAnsi="Calibri" w:eastAsia="宋体" w:cs="Times New Roman"/>
      <w:lang w:val="en-US" w:eastAsia="zh-CN" w:bidi="ar-SA"/>
    </w:rPr>
  </w:style>
  <w:style w:type="paragraph" w:customStyle="1" w:styleId="1362">
    <w:name w:val="Normal_45"/>
    <w:qFormat/>
    <w:uiPriority w:val="99"/>
    <w:pPr>
      <w:widowControl w:val="0"/>
      <w:jc w:val="both"/>
    </w:pPr>
    <w:rPr>
      <w:rFonts w:ascii="Calibri" w:hAnsi="Calibri" w:eastAsia="宋体" w:cs="Times New Roman"/>
      <w:lang w:val="en-US" w:eastAsia="zh-CN" w:bidi="ar-SA"/>
    </w:rPr>
  </w:style>
  <w:style w:type="paragraph" w:customStyle="1" w:styleId="1363">
    <w:name w:val="Normal_46"/>
    <w:qFormat/>
    <w:uiPriority w:val="99"/>
    <w:pPr>
      <w:widowControl w:val="0"/>
      <w:jc w:val="both"/>
    </w:pPr>
    <w:rPr>
      <w:rFonts w:ascii="Calibri" w:hAnsi="Calibri" w:eastAsia="宋体" w:cs="Times New Roman"/>
      <w:lang w:val="en-US" w:eastAsia="zh-CN" w:bidi="ar-SA"/>
    </w:rPr>
  </w:style>
  <w:style w:type="paragraph" w:customStyle="1" w:styleId="1364">
    <w:name w:val="Normal_47"/>
    <w:qFormat/>
    <w:uiPriority w:val="99"/>
    <w:pPr>
      <w:widowControl w:val="0"/>
      <w:jc w:val="both"/>
    </w:pPr>
    <w:rPr>
      <w:rFonts w:ascii="Calibri" w:hAnsi="Calibri" w:eastAsia="宋体" w:cs="Times New Roman"/>
      <w:lang w:val="en-US" w:eastAsia="zh-CN" w:bidi="ar-SA"/>
    </w:rPr>
  </w:style>
  <w:style w:type="paragraph" w:customStyle="1" w:styleId="1365">
    <w:name w:val="Normal_48"/>
    <w:qFormat/>
    <w:uiPriority w:val="99"/>
    <w:pPr>
      <w:widowControl w:val="0"/>
      <w:jc w:val="both"/>
    </w:pPr>
    <w:rPr>
      <w:rFonts w:ascii="Calibri" w:hAnsi="Calibri" w:eastAsia="宋体" w:cs="Times New Roman"/>
      <w:lang w:val="en-US" w:eastAsia="zh-CN" w:bidi="ar-SA"/>
    </w:rPr>
  </w:style>
  <w:style w:type="paragraph" w:customStyle="1" w:styleId="1366">
    <w:name w:val="Normal_49"/>
    <w:qFormat/>
    <w:uiPriority w:val="99"/>
    <w:pPr>
      <w:widowControl w:val="0"/>
      <w:jc w:val="both"/>
    </w:pPr>
    <w:rPr>
      <w:rFonts w:ascii="Calibri" w:hAnsi="Calibri" w:eastAsia="宋体" w:cs="Times New Roman"/>
      <w:lang w:val="en-US" w:eastAsia="zh-CN" w:bidi="ar-SA"/>
    </w:rPr>
  </w:style>
  <w:style w:type="paragraph" w:customStyle="1" w:styleId="1367">
    <w:name w:val="Normal_50"/>
    <w:qFormat/>
    <w:uiPriority w:val="99"/>
    <w:pPr>
      <w:widowControl w:val="0"/>
      <w:jc w:val="both"/>
    </w:pPr>
    <w:rPr>
      <w:rFonts w:ascii="Calibri" w:hAnsi="Calibri" w:eastAsia="宋体" w:cs="Times New Roman"/>
      <w:lang w:val="en-US" w:eastAsia="zh-CN" w:bidi="ar-SA"/>
    </w:rPr>
  </w:style>
  <w:style w:type="paragraph" w:customStyle="1" w:styleId="1368">
    <w:name w:val="Normal_51"/>
    <w:qFormat/>
    <w:uiPriority w:val="99"/>
    <w:pPr>
      <w:widowControl w:val="0"/>
      <w:jc w:val="both"/>
    </w:pPr>
    <w:rPr>
      <w:rFonts w:ascii="Calibri" w:hAnsi="Calibri" w:eastAsia="宋体" w:cs="Times New Roman"/>
      <w:lang w:val="en-US" w:eastAsia="zh-CN" w:bidi="ar-SA"/>
    </w:rPr>
  </w:style>
  <w:style w:type="paragraph" w:customStyle="1" w:styleId="1369">
    <w:name w:val="Normal_52"/>
    <w:qFormat/>
    <w:uiPriority w:val="99"/>
    <w:pPr>
      <w:widowControl w:val="0"/>
      <w:jc w:val="both"/>
    </w:pPr>
    <w:rPr>
      <w:rFonts w:ascii="Calibri" w:hAnsi="Calibri" w:eastAsia="宋体" w:cs="Times New Roman"/>
      <w:lang w:val="en-US" w:eastAsia="zh-CN" w:bidi="ar-SA"/>
    </w:rPr>
  </w:style>
  <w:style w:type="paragraph" w:customStyle="1" w:styleId="1370">
    <w:name w:val="Normal_53"/>
    <w:qFormat/>
    <w:uiPriority w:val="99"/>
    <w:pPr>
      <w:widowControl w:val="0"/>
      <w:jc w:val="both"/>
    </w:pPr>
    <w:rPr>
      <w:rFonts w:ascii="Calibri" w:hAnsi="Calibri" w:eastAsia="宋体" w:cs="Times New Roman"/>
      <w:lang w:val="en-US" w:eastAsia="zh-CN" w:bidi="ar-SA"/>
    </w:rPr>
  </w:style>
  <w:style w:type="paragraph" w:customStyle="1" w:styleId="1371">
    <w:name w:val="Normal_54"/>
    <w:qFormat/>
    <w:uiPriority w:val="99"/>
    <w:pPr>
      <w:widowControl w:val="0"/>
      <w:jc w:val="both"/>
    </w:pPr>
    <w:rPr>
      <w:rFonts w:ascii="Calibri" w:hAnsi="Calibri" w:eastAsia="宋体" w:cs="Times New Roman"/>
      <w:lang w:val="en-US" w:eastAsia="zh-CN" w:bidi="ar-SA"/>
    </w:rPr>
  </w:style>
  <w:style w:type="paragraph" w:customStyle="1" w:styleId="1372">
    <w:name w:val="Normal_55"/>
    <w:qFormat/>
    <w:uiPriority w:val="99"/>
    <w:pPr>
      <w:widowControl w:val="0"/>
      <w:jc w:val="both"/>
    </w:pPr>
    <w:rPr>
      <w:rFonts w:ascii="Calibri" w:hAnsi="Calibri" w:eastAsia="宋体" w:cs="Times New Roman"/>
      <w:lang w:val="en-US" w:eastAsia="zh-CN" w:bidi="ar-SA"/>
    </w:rPr>
  </w:style>
  <w:style w:type="paragraph" w:customStyle="1" w:styleId="1373">
    <w:name w:val="Normal_56"/>
    <w:qFormat/>
    <w:uiPriority w:val="99"/>
    <w:pPr>
      <w:widowControl w:val="0"/>
      <w:jc w:val="both"/>
    </w:pPr>
    <w:rPr>
      <w:rFonts w:ascii="Calibri" w:hAnsi="Calibri" w:eastAsia="宋体" w:cs="Times New Roman"/>
      <w:lang w:val="en-US" w:eastAsia="zh-CN" w:bidi="ar-SA"/>
    </w:rPr>
  </w:style>
  <w:style w:type="paragraph" w:customStyle="1" w:styleId="1374">
    <w:name w:val="Normal_57"/>
    <w:qFormat/>
    <w:uiPriority w:val="99"/>
    <w:pPr>
      <w:widowControl w:val="0"/>
      <w:jc w:val="both"/>
    </w:pPr>
    <w:rPr>
      <w:rFonts w:ascii="Calibri" w:hAnsi="Calibri" w:eastAsia="宋体" w:cs="Times New Roman"/>
      <w:lang w:val="en-US" w:eastAsia="zh-CN" w:bidi="ar-SA"/>
    </w:rPr>
  </w:style>
  <w:style w:type="paragraph" w:customStyle="1" w:styleId="1375">
    <w:name w:val="Normal_58"/>
    <w:qFormat/>
    <w:uiPriority w:val="99"/>
    <w:pPr>
      <w:widowControl w:val="0"/>
      <w:jc w:val="both"/>
    </w:pPr>
    <w:rPr>
      <w:rFonts w:ascii="Calibri" w:hAnsi="Calibri" w:eastAsia="宋体" w:cs="Times New Roman"/>
      <w:lang w:val="en-US" w:eastAsia="zh-CN" w:bidi="ar-SA"/>
    </w:rPr>
  </w:style>
  <w:style w:type="paragraph" w:customStyle="1" w:styleId="1376">
    <w:name w:val="Normal_59"/>
    <w:qFormat/>
    <w:uiPriority w:val="99"/>
    <w:pPr>
      <w:widowControl w:val="0"/>
      <w:jc w:val="both"/>
    </w:pPr>
    <w:rPr>
      <w:rFonts w:ascii="Calibri" w:hAnsi="Calibri" w:eastAsia="宋体" w:cs="Times New Roman"/>
      <w:lang w:val="en-US" w:eastAsia="zh-CN" w:bidi="ar-SA"/>
    </w:rPr>
  </w:style>
  <w:style w:type="paragraph" w:customStyle="1" w:styleId="1377">
    <w:name w:val="Normal_60"/>
    <w:qFormat/>
    <w:uiPriority w:val="99"/>
    <w:pPr>
      <w:widowControl w:val="0"/>
      <w:jc w:val="both"/>
    </w:pPr>
    <w:rPr>
      <w:rFonts w:ascii="Calibri" w:hAnsi="Calibri" w:eastAsia="宋体" w:cs="Times New Roman"/>
      <w:lang w:val="en-US" w:eastAsia="zh-CN" w:bidi="ar-SA"/>
    </w:rPr>
  </w:style>
  <w:style w:type="paragraph" w:customStyle="1" w:styleId="1378">
    <w:name w:val="Revision"/>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A1568C-A038-4514-837C-476315E2FFF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66</Pages>
  <Words>33795</Words>
  <Characters>35826</Characters>
  <Lines>1702</Lines>
  <Paragraphs>1646</Paragraphs>
  <TotalTime>16</TotalTime>
  <ScaleCrop>false</ScaleCrop>
  <LinksUpToDate>false</LinksUpToDate>
  <CharactersWithSpaces>37883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2025-07-07T09:47:00Z</dcterms:created>
  <dc:creator>Administrator</dc:creator>
  <cp:lastModifiedBy>Administrator</cp:lastModifiedBy>
  <cp:lastPrinted>2025-08-29T04:22:00Z</cp:lastPrinted>
  <dcterms:modified xsi:type="dcterms:W3CDTF">2025-11-10T11:31:40Z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740215F586084FCC9D917CE02468DCBA_13</vt:lpwstr>
  </property>
  <property fmtid="{D5CDD505-2E9C-101B-9397-08002B2CF9AE}" pid="4" name="commondata">
    <vt:lpwstr>eyJoZGlkIjoiYWJmMjA3MzdjYzk4NmUzZTZkZGFmZTBkMThkZWIxMzQifQ==</vt:lpwstr>
  </property>
  <property fmtid="{D5CDD505-2E9C-101B-9397-08002B2CF9AE}" pid="5" name="KSOTemplateDocerSaveRecord">
    <vt:lpwstr>eyJoZGlkIjoiNzAxYTYzZWM1N2QxNGU2ZjAwOGNiYTUzNGUwYmExNTYiLCJ1c2VySWQiOiI1MTE5MzE3MTMifQ==</vt:lpwstr>
  </property>
</Properties>
</file>