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31E270">
      <w:pPr>
        <w:widowControl/>
        <w:wordWrap w:val="0"/>
        <w:spacing w:line="360" w:lineRule="auto"/>
        <w:rPr>
          <w:rFonts w:ascii="黑体" w:hAnsi="黑体" w:eastAsia="黑体"/>
          <w:color w:val="auto"/>
          <w:sz w:val="28"/>
          <w:szCs w:val="28"/>
          <w:highlight w:val="none"/>
          <w:u w:val="single"/>
        </w:rPr>
      </w:pPr>
      <w:bookmarkStart w:id="0" w:name="_Toc43689937"/>
    </w:p>
    <w:p w14:paraId="2D723F4E">
      <w:pPr>
        <w:wordWrap w:val="0"/>
        <w:spacing w:line="360" w:lineRule="auto"/>
        <w:jc w:val="center"/>
        <w:rPr>
          <w:b/>
          <w:bCs/>
          <w:color w:val="auto"/>
          <w:sz w:val="44"/>
          <w:szCs w:val="44"/>
          <w:highlight w:val="none"/>
        </w:rPr>
      </w:pPr>
    </w:p>
    <w:p w14:paraId="6C44B6C8">
      <w:pPr>
        <w:wordWrap w:val="0"/>
        <w:spacing w:line="360" w:lineRule="auto"/>
        <w:jc w:val="center"/>
        <w:rPr>
          <w:b/>
          <w:bCs/>
          <w:color w:val="auto"/>
          <w:sz w:val="44"/>
          <w:szCs w:val="44"/>
          <w:highlight w:val="none"/>
        </w:rPr>
      </w:pPr>
    </w:p>
    <w:p w14:paraId="090FA9F1">
      <w:pPr>
        <w:wordWrap w:val="0"/>
        <w:spacing w:line="360" w:lineRule="auto"/>
        <w:jc w:val="center"/>
        <w:rPr>
          <w:rFonts w:hint="default"/>
          <w:b/>
          <w:bCs/>
          <w:color w:val="auto"/>
          <w:spacing w:val="-11"/>
          <w:sz w:val="44"/>
          <w:szCs w:val="44"/>
          <w:highlight w:val="none"/>
          <w:lang w:val="en-US"/>
        </w:rPr>
      </w:pPr>
      <w:r>
        <w:rPr>
          <w:rFonts w:hint="eastAsia"/>
          <w:b/>
          <w:bCs/>
          <w:color w:val="auto"/>
          <w:spacing w:val="-11"/>
          <w:sz w:val="44"/>
          <w:szCs w:val="44"/>
          <w:highlight w:val="none"/>
          <w:lang w:val="en-US" w:eastAsia="zh-CN"/>
        </w:rPr>
        <w:t>2025年长沙穗城轨道交通有限公司年度员工体检项目</w:t>
      </w:r>
    </w:p>
    <w:p w14:paraId="10D4CFE2">
      <w:pPr>
        <w:wordWrap w:val="0"/>
        <w:spacing w:line="360" w:lineRule="auto"/>
        <w:jc w:val="center"/>
        <w:rPr>
          <w:b/>
          <w:bCs/>
          <w:color w:val="auto"/>
          <w:sz w:val="44"/>
          <w:szCs w:val="44"/>
          <w:highlight w:val="none"/>
        </w:rPr>
      </w:pPr>
    </w:p>
    <w:p w14:paraId="3CF1CC6B">
      <w:pPr>
        <w:wordWrap w:val="0"/>
        <w:spacing w:line="360" w:lineRule="auto"/>
        <w:rPr>
          <w:color w:val="auto"/>
          <w:highlight w:val="none"/>
        </w:rPr>
      </w:pPr>
    </w:p>
    <w:p w14:paraId="6177F958">
      <w:pPr>
        <w:wordWrap w:val="0"/>
        <w:autoSpaceDE w:val="0"/>
        <w:autoSpaceDN w:val="0"/>
        <w:spacing w:before="120" w:beforeLines="50" w:line="360" w:lineRule="auto"/>
        <w:jc w:val="center"/>
        <w:textAlignment w:val="bottom"/>
        <w:rPr>
          <w:rFonts w:ascii="宋体" w:hAnsi="宋体"/>
          <w:b/>
          <w:color w:val="auto"/>
          <w:sz w:val="100"/>
          <w:szCs w:val="100"/>
          <w:highlight w:val="none"/>
        </w:rPr>
      </w:pPr>
      <w:r>
        <w:rPr>
          <w:rFonts w:hint="eastAsia" w:ascii="宋体" w:hAnsi="宋体"/>
          <w:b/>
          <w:color w:val="auto"/>
          <w:sz w:val="100"/>
          <w:szCs w:val="100"/>
          <w:highlight w:val="none"/>
        </w:rPr>
        <w:t>招 标 文 件</w:t>
      </w:r>
    </w:p>
    <w:p w14:paraId="0B421D5E">
      <w:pPr>
        <w:widowControl/>
        <w:wordWrap w:val="0"/>
        <w:spacing w:line="360" w:lineRule="auto"/>
        <w:ind w:left="-2"/>
        <w:jc w:val="center"/>
        <w:rPr>
          <w:rFonts w:ascii="宋体" w:hAnsi="宋体" w:cs="宋体"/>
          <w:color w:val="auto"/>
          <w:sz w:val="36"/>
          <w:szCs w:val="36"/>
          <w:highlight w:val="none"/>
          <w:u w:val="single"/>
        </w:rPr>
      </w:pPr>
    </w:p>
    <w:p w14:paraId="69E34864">
      <w:pPr>
        <w:wordWrap w:val="0"/>
        <w:spacing w:line="360" w:lineRule="auto"/>
        <w:rPr>
          <w:rFonts w:ascii="宋体" w:hAnsi="宋体" w:cs="宋体"/>
          <w:color w:val="auto"/>
          <w:sz w:val="28"/>
          <w:szCs w:val="28"/>
          <w:highlight w:val="none"/>
        </w:rPr>
      </w:pPr>
    </w:p>
    <w:p w14:paraId="2FBFEF47">
      <w:pPr>
        <w:wordWrap w:val="0"/>
        <w:spacing w:line="360" w:lineRule="auto"/>
        <w:ind w:firstLine="1260" w:firstLineChars="450"/>
        <w:rPr>
          <w:rFonts w:ascii="宋体" w:hAnsi="宋体" w:cs="宋体"/>
          <w:color w:val="auto"/>
          <w:sz w:val="28"/>
          <w:szCs w:val="28"/>
          <w:highlight w:val="none"/>
        </w:rPr>
      </w:pPr>
    </w:p>
    <w:p w14:paraId="79384406">
      <w:pPr>
        <w:wordWrap w:val="0"/>
        <w:spacing w:line="360" w:lineRule="auto"/>
        <w:ind w:firstLine="1260" w:firstLineChars="450"/>
        <w:rPr>
          <w:rFonts w:ascii="宋体" w:hAnsi="宋体" w:cs="宋体"/>
          <w:color w:val="auto"/>
          <w:sz w:val="28"/>
          <w:szCs w:val="28"/>
          <w:highlight w:val="none"/>
        </w:rPr>
      </w:pPr>
    </w:p>
    <w:p w14:paraId="4B42A847">
      <w:pPr>
        <w:wordWrap w:val="0"/>
        <w:spacing w:line="360" w:lineRule="auto"/>
        <w:ind w:firstLine="1265" w:firstLineChars="450"/>
        <w:rPr>
          <w:rFonts w:ascii="宋体" w:hAnsi="宋体" w:cs="宋体"/>
          <w:b/>
          <w:color w:val="auto"/>
          <w:sz w:val="28"/>
          <w:szCs w:val="28"/>
          <w:highlight w:val="none"/>
        </w:rPr>
      </w:pPr>
    </w:p>
    <w:p w14:paraId="5A2299D9">
      <w:pPr>
        <w:wordWrap w:val="0"/>
        <w:spacing w:line="360" w:lineRule="auto"/>
        <w:ind w:firstLine="1417" w:firstLineChars="392"/>
        <w:rPr>
          <w:rFonts w:hint="eastAsia" w:ascii="宋体" w:hAnsi="宋体" w:eastAsia="宋体" w:cs="宋体"/>
          <w:color w:val="auto"/>
          <w:sz w:val="32"/>
          <w:szCs w:val="32"/>
          <w:highlight w:val="none"/>
          <w:u w:val="single"/>
          <w:lang w:eastAsia="zh-CN"/>
        </w:rPr>
      </w:pPr>
      <w:r>
        <w:rPr>
          <w:rFonts w:hint="eastAsia" w:ascii="宋体" w:hAnsi="宋体" w:cs="宋体"/>
          <w:b/>
          <w:color w:val="auto"/>
          <w:sz w:val="36"/>
          <w:szCs w:val="36"/>
          <w:highlight w:val="none"/>
        </w:rPr>
        <w:t>招标编号：</w:t>
      </w:r>
      <w:r>
        <w:rPr>
          <w:rFonts w:hint="eastAsia" w:ascii="宋体" w:hAnsi="宋体" w:cs="宋体"/>
          <w:b/>
          <w:color w:val="auto"/>
          <w:sz w:val="36"/>
          <w:szCs w:val="36"/>
          <w:highlight w:val="none"/>
          <w:lang w:val="en-US" w:eastAsia="zh-CN"/>
        </w:rPr>
        <w:t>CSSC-2025-09</w:t>
      </w:r>
    </w:p>
    <w:p w14:paraId="5B0641DC">
      <w:pPr>
        <w:wordWrap w:val="0"/>
        <w:spacing w:line="360" w:lineRule="auto"/>
        <w:ind w:firstLine="1417" w:firstLineChars="392"/>
        <w:rPr>
          <w:rFonts w:ascii="宋体" w:hAnsi="宋体" w:cs="宋体"/>
          <w:b/>
          <w:color w:val="auto"/>
          <w:sz w:val="36"/>
          <w:szCs w:val="36"/>
          <w:highlight w:val="none"/>
        </w:rPr>
      </w:pPr>
      <w:r>
        <w:rPr>
          <w:rFonts w:hint="eastAsia" w:ascii="宋体" w:hAnsi="宋体" w:cs="宋体"/>
          <w:b/>
          <w:color w:val="auto"/>
          <w:sz w:val="36"/>
          <w:szCs w:val="36"/>
          <w:highlight w:val="none"/>
        </w:rPr>
        <w:t>招 标 人：</w:t>
      </w:r>
      <w:r>
        <w:rPr>
          <w:rFonts w:hint="eastAsia" w:ascii="宋体" w:hAnsi="宋体" w:cs="宋体"/>
          <w:b/>
          <w:bCs/>
          <w:color w:val="auto"/>
          <w:sz w:val="36"/>
          <w:szCs w:val="36"/>
          <w:highlight w:val="none"/>
        </w:rPr>
        <w:t>长沙穗城轨道交通有限公司</w:t>
      </w:r>
    </w:p>
    <w:p w14:paraId="3CBFB835">
      <w:pPr>
        <w:wordWrap w:val="0"/>
        <w:spacing w:line="360" w:lineRule="auto"/>
        <w:ind w:firstLine="1417" w:firstLineChars="392"/>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日    期：</w:t>
      </w:r>
      <w:r>
        <w:rPr>
          <w:rFonts w:hint="eastAsia" w:ascii="宋体" w:hAnsi="宋体" w:cs="宋体"/>
          <w:b/>
          <w:color w:val="auto"/>
          <w:sz w:val="36"/>
          <w:szCs w:val="36"/>
          <w:highlight w:val="none"/>
          <w:lang w:val="en-US" w:eastAsia="zh-CN"/>
        </w:rPr>
        <w:t xml:space="preserve">2025年9月  </w:t>
      </w:r>
    </w:p>
    <w:p w14:paraId="16950584">
      <w:pPr>
        <w:wordWrap w:val="0"/>
        <w:rPr>
          <w:rFonts w:ascii="宋体" w:hAnsi="宋体"/>
          <w:b/>
          <w:color w:val="auto"/>
          <w:sz w:val="44"/>
          <w:szCs w:val="44"/>
          <w:highlight w:val="none"/>
        </w:rPr>
      </w:pPr>
      <w:r>
        <w:rPr>
          <w:rFonts w:ascii="宋体" w:hAnsi="宋体"/>
          <w:b/>
          <w:color w:val="auto"/>
          <w:sz w:val="44"/>
          <w:szCs w:val="44"/>
          <w:highlight w:val="none"/>
        </w:rPr>
        <w:br w:type="page"/>
      </w:r>
    </w:p>
    <w:p w14:paraId="1091D719">
      <w:pPr>
        <w:widowControl/>
        <w:wordWrap w:val="0"/>
        <w:adjustRightInd w:val="0"/>
        <w:snapToGrid w:val="0"/>
        <w:spacing w:after="287" w:afterLines="100" w:line="360" w:lineRule="auto"/>
        <w:jc w:val="center"/>
        <w:rPr>
          <w:rFonts w:ascii="宋体" w:hAnsi="宋体"/>
          <w:b/>
          <w:color w:val="auto"/>
          <w:sz w:val="44"/>
          <w:szCs w:val="44"/>
          <w:highlight w:val="none"/>
        </w:rPr>
      </w:pPr>
      <w:r>
        <w:rPr>
          <w:rFonts w:ascii="宋体" w:hAnsi="宋体"/>
          <w:b/>
          <w:color w:val="auto"/>
          <w:sz w:val="44"/>
          <w:szCs w:val="44"/>
          <w:highlight w:val="none"/>
        </w:rPr>
        <w:t>目  录</w:t>
      </w:r>
    </w:p>
    <w:p w14:paraId="2E9078A5">
      <w:pPr>
        <w:pStyle w:val="42"/>
        <w:tabs>
          <w:tab w:val="right" w:leader="dot" w:pos="9746"/>
        </w:tabs>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\l _Toc13452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52"/>
          <w:highlight w:val="none"/>
        </w:rPr>
        <w:t>第一章 招标公告</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_Toc13452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3</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fldChar w:fldCharType="end"/>
      </w:r>
    </w:p>
    <w:p w14:paraId="2C2A3525">
      <w:pPr>
        <w:pStyle w:val="42"/>
        <w:tabs>
          <w:tab w:val="right" w:leader="dot" w:pos="9746"/>
        </w:tabs>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\l _Toc21641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52"/>
          <w:highlight w:val="none"/>
        </w:rPr>
        <w:t>第二章 投标人须知</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_Toc21641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10</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fldChar w:fldCharType="end"/>
      </w:r>
    </w:p>
    <w:p w14:paraId="2ADB8AC8">
      <w:pPr>
        <w:pStyle w:val="42"/>
        <w:tabs>
          <w:tab w:val="right" w:leader="dot" w:pos="9746"/>
        </w:tabs>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\l _Toc15979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52"/>
          <w:highlight w:val="none"/>
        </w:rPr>
        <w:t>第三章 评标办法（综合评估法）</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_Toc15979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28</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fldChar w:fldCharType="end"/>
      </w:r>
    </w:p>
    <w:p w14:paraId="5DC6EA7A">
      <w:pPr>
        <w:pStyle w:val="42"/>
        <w:tabs>
          <w:tab w:val="right" w:leader="dot" w:pos="9746"/>
        </w:tabs>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\l _Toc16233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52"/>
          <w:highlight w:val="none"/>
        </w:rPr>
        <w:t>第四章 合同条款及格式</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_Toc16233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35</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fldChar w:fldCharType="end"/>
      </w:r>
    </w:p>
    <w:p w14:paraId="5EA44FCC">
      <w:pPr>
        <w:pStyle w:val="42"/>
        <w:tabs>
          <w:tab w:val="right" w:leader="dot" w:pos="9746"/>
        </w:tabs>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\l _Toc2933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kern w:val="2"/>
          <w:sz w:val="24"/>
          <w:szCs w:val="52"/>
          <w:highlight w:val="none"/>
          <w:lang w:val="en-US" w:eastAsia="zh-CN" w:bidi="ar-SA"/>
        </w:rPr>
        <w:t xml:space="preserve">第五章 </w:t>
      </w:r>
      <w:r>
        <w:rPr>
          <w:rFonts w:hint="eastAsia" w:ascii="宋体" w:hAnsi="宋体" w:eastAsia="宋体" w:cs="宋体"/>
          <w:color w:val="auto"/>
          <w:sz w:val="24"/>
          <w:szCs w:val="52"/>
          <w:highlight w:val="none"/>
        </w:rPr>
        <w:t>用户需求书</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_Toc2933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59</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fldChar w:fldCharType="end"/>
      </w:r>
    </w:p>
    <w:p w14:paraId="4D3BB857">
      <w:pPr>
        <w:pStyle w:val="42"/>
        <w:tabs>
          <w:tab w:val="right" w:leader="dot" w:pos="9746"/>
        </w:tabs>
        <w:spacing w:line="360" w:lineRule="auto"/>
        <w:rPr>
          <w:rFonts w:hint="eastAsia" w:ascii="宋体" w:hAnsi="宋体" w:eastAsia="宋体" w:cs="宋体"/>
          <w:color w:val="auto"/>
          <w:highlight w:val="none"/>
        </w:rPr>
      </w:pP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\l _Toc15516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52"/>
          <w:highlight w:val="none"/>
        </w:rPr>
        <w:t>第六章 投标文件格式</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PAGEREF _Toc15516 \h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71</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fldChar w:fldCharType="end"/>
      </w:r>
    </w:p>
    <w:p w14:paraId="3606C457">
      <w:pPr>
        <w:rPr>
          <w:color w:val="auto"/>
          <w:highlight w:val="none"/>
        </w:rPr>
      </w:pPr>
      <w:r>
        <w:rPr>
          <w:rFonts w:hint="eastAsia" w:ascii="宋体" w:hAnsi="宋体" w:eastAsia="宋体" w:cs="宋体"/>
          <w:color w:val="auto"/>
          <w:highlight w:val="none"/>
        </w:rPr>
        <w:fldChar w:fldCharType="end"/>
      </w:r>
    </w:p>
    <w:p w14:paraId="544DADAE">
      <w:pPr>
        <w:rPr>
          <w:rFonts w:hAnsi="黑体"/>
          <w:color w:val="auto"/>
          <w:sz w:val="44"/>
          <w:szCs w:val="44"/>
          <w:highlight w:val="none"/>
        </w:rPr>
      </w:pPr>
      <w:r>
        <w:rPr>
          <w:rFonts w:hAnsi="黑体"/>
          <w:color w:val="auto"/>
          <w:sz w:val="44"/>
          <w:szCs w:val="44"/>
          <w:highlight w:val="none"/>
        </w:rPr>
        <w:br w:type="page"/>
      </w:r>
    </w:p>
    <w:p w14:paraId="0DB1AFC2">
      <w:pPr>
        <w:pStyle w:val="2"/>
        <w:wordWrap w:val="0"/>
        <w:adjustRightInd w:val="0"/>
        <w:snapToGrid w:val="0"/>
        <w:spacing w:after="157" w:afterLines="50" w:line="360" w:lineRule="auto"/>
        <w:ind w:left="0" w:leftChars="0" w:right="0" w:rightChars="0" w:firstLine="0" w:firstLineChars="0"/>
        <w:jc w:val="center"/>
        <w:rPr>
          <w:rFonts w:hAnsi="黑体"/>
          <w:color w:val="auto"/>
          <w:sz w:val="44"/>
          <w:szCs w:val="44"/>
          <w:highlight w:val="none"/>
        </w:rPr>
      </w:pPr>
      <w:bookmarkStart w:id="1" w:name="_Toc13452"/>
      <w:bookmarkStart w:id="2" w:name="_Toc18068"/>
      <w:r>
        <w:rPr>
          <w:rFonts w:hAnsi="黑体"/>
          <w:color w:val="auto"/>
          <w:sz w:val="44"/>
          <w:szCs w:val="44"/>
          <w:highlight w:val="none"/>
        </w:rPr>
        <w:t>第一章</w:t>
      </w:r>
      <w:r>
        <w:rPr>
          <w:rFonts w:hint="eastAsia" w:hAnsi="黑体"/>
          <w:color w:val="auto"/>
          <w:sz w:val="44"/>
          <w:szCs w:val="44"/>
          <w:highlight w:val="none"/>
        </w:rPr>
        <w:t xml:space="preserve"> </w:t>
      </w:r>
      <w:r>
        <w:rPr>
          <w:rFonts w:hAnsi="黑体"/>
          <w:color w:val="auto"/>
          <w:sz w:val="44"/>
          <w:szCs w:val="44"/>
          <w:highlight w:val="none"/>
        </w:rPr>
        <w:t>招标公告</w:t>
      </w:r>
      <w:bookmarkEnd w:id="1"/>
      <w:bookmarkEnd w:id="2"/>
    </w:p>
    <w:p w14:paraId="066FC61B">
      <w:pPr>
        <w:wordWrap w:val="0"/>
        <w:spacing w:before="0" w:beforeLines="0" w:after="0" w:afterLines="0" w:line="360" w:lineRule="auto"/>
        <w:ind w:left="221" w:right="340" w:firstLine="204" w:firstLineChars="97"/>
        <w:jc w:val="left"/>
        <w:outlineLvl w:val="1"/>
        <w:rPr>
          <w:rFonts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1.招标条件</w:t>
      </w:r>
    </w:p>
    <w:p w14:paraId="4C85A047">
      <w:pPr>
        <w:wordWrap w:val="0"/>
        <w:spacing w:beforeLines="0" w:afterLines="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本招标项目</w:t>
      </w:r>
      <w:r>
        <w:rPr>
          <w:rFonts w:hint="eastAsia" w:ascii="宋体" w:hAnsi="宋体" w:cs="宋体"/>
          <w:snapToGrid w:val="0"/>
          <w:color w:val="auto"/>
          <w:kern w:val="0"/>
          <w:szCs w:val="21"/>
          <w:highlight w:val="none"/>
          <w:lang w:val="en-US" w:eastAsia="zh-CN"/>
        </w:rPr>
        <w:t>2025年长沙穗城轨道交通有限公司年度员工体检项目</w:t>
      </w:r>
      <w:r>
        <w:rPr>
          <w:rFonts w:hint="eastAsia" w:ascii="宋体" w:hAnsi="宋体" w:cs="宋体"/>
          <w:color w:val="auto"/>
          <w:szCs w:val="21"/>
          <w:highlight w:val="none"/>
        </w:rPr>
        <w:t>，招标编号为</w:t>
      </w:r>
      <w:r>
        <w:rPr>
          <w:rFonts w:hint="eastAsia" w:ascii="宋体" w:hAnsi="宋体" w:cs="宋体"/>
          <w:color w:val="auto"/>
          <w:szCs w:val="21"/>
          <w:highlight w:val="none"/>
          <w:u w:val="single"/>
          <w:lang w:val="en-US" w:eastAsia="zh-CN"/>
        </w:rPr>
        <w:t>CSSC-2025-09</w:t>
      </w:r>
      <w:r>
        <w:rPr>
          <w:rFonts w:hint="eastAsia" w:ascii="宋体" w:hAnsi="宋体" w:cs="宋体"/>
          <w:color w:val="auto"/>
          <w:szCs w:val="21"/>
          <w:highlight w:val="none"/>
        </w:rPr>
        <w:t>，招标人为</w:t>
      </w:r>
      <w:r>
        <w:rPr>
          <w:rFonts w:hint="eastAsia" w:ascii="宋体" w:hAnsi="宋体" w:cs="宋体"/>
          <w:snapToGrid w:val="0"/>
          <w:color w:val="auto"/>
          <w:kern w:val="0"/>
          <w:szCs w:val="21"/>
          <w:highlight w:val="none"/>
        </w:rPr>
        <w:t>长沙穗城轨道交通有限公司</w:t>
      </w:r>
      <w:r>
        <w:rPr>
          <w:rFonts w:hint="eastAsia" w:ascii="宋体" w:hAnsi="宋体" w:cs="宋体"/>
          <w:color w:val="auto"/>
          <w:szCs w:val="21"/>
          <w:highlight w:val="none"/>
        </w:rPr>
        <w:t>，招标项目资金来源已落实。该项目已具备招标条件，现进行公开招标。</w:t>
      </w:r>
    </w:p>
    <w:p w14:paraId="3398360C">
      <w:pPr>
        <w:wordWrap w:val="0"/>
        <w:spacing w:before="0" w:beforeLines="0" w:after="0" w:afterLines="0" w:line="360" w:lineRule="auto"/>
        <w:ind w:left="221" w:right="340" w:firstLine="204" w:firstLineChars="97"/>
        <w:jc w:val="left"/>
        <w:outlineLvl w:val="1"/>
        <w:rPr>
          <w:rFonts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2.项目概况与招标范围</w:t>
      </w:r>
    </w:p>
    <w:p w14:paraId="0D49AB5F">
      <w:pPr>
        <w:wordWrap w:val="0"/>
        <w:spacing w:beforeLines="0" w:afterLines="0"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w:t>
      </w:r>
      <w:r>
        <w:rPr>
          <w:rFonts w:hint="eastAsia" w:ascii="宋体" w:hAnsi="宋体" w:cs="宋体"/>
          <w:snapToGrid w:val="0"/>
          <w:color w:val="auto"/>
          <w:kern w:val="0"/>
          <w:szCs w:val="21"/>
          <w:highlight w:val="none"/>
          <w:lang w:val="en-US" w:eastAsia="zh-CN"/>
        </w:rPr>
        <w:t>2025年长沙穗城轨道交通有限公司年度员工体检项目</w:t>
      </w:r>
    </w:p>
    <w:p w14:paraId="5FCA6266">
      <w:pPr>
        <w:wordWrap w:val="0"/>
        <w:spacing w:beforeLines="0" w:afterLines="0" w:line="360" w:lineRule="auto"/>
        <w:ind w:firstLine="420" w:firstLineChars="200"/>
        <w:rPr>
          <w:rFonts w:ascii="宋体" w:hAnsi="宋体" w:cs="宋体"/>
          <w:color w:val="auto"/>
          <w:szCs w:val="21"/>
          <w:highlight w:val="none"/>
        </w:rPr>
      </w:pPr>
      <w:r>
        <w:rPr>
          <w:rFonts w:ascii="宋体" w:hAnsi="宋体" w:cs="宋体"/>
          <w:color w:val="auto"/>
          <w:szCs w:val="21"/>
          <w:highlight w:val="none"/>
        </w:rPr>
        <w:t>2.2</w:t>
      </w:r>
      <w:r>
        <w:rPr>
          <w:rFonts w:hint="eastAsia" w:ascii="宋体" w:hAnsi="宋体" w:eastAsia="宋体" w:cs="宋体"/>
          <w:snapToGrid w:val="0"/>
          <w:color w:val="auto"/>
          <w:kern w:val="0"/>
          <w:szCs w:val="21"/>
          <w:highlight w:val="none"/>
        </w:rPr>
        <w:t>项目类型：</w:t>
      </w:r>
      <w:r>
        <w:rPr>
          <w:rFonts w:hint="eastAsia" w:ascii="宋体" w:hAnsi="宋体" w:eastAsia="宋体" w:cs="宋体"/>
          <w:snapToGrid w:val="0"/>
          <w:color w:val="auto"/>
          <w:kern w:val="0"/>
          <w:szCs w:val="21"/>
          <w:highlight w:val="none"/>
          <w:lang w:eastAsia="zh-CN"/>
        </w:rPr>
        <w:t>服务类</w:t>
      </w:r>
    </w:p>
    <w:p w14:paraId="5CD50558">
      <w:pPr>
        <w:wordWrap w:val="0"/>
        <w:spacing w:beforeLines="0" w:afterLines="0"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2.3</w:t>
      </w:r>
      <w:r>
        <w:rPr>
          <w:rFonts w:ascii="宋体" w:hAnsi="宋体" w:cs="宋体"/>
          <w:color w:val="auto"/>
          <w:szCs w:val="21"/>
          <w:highlight w:val="none"/>
        </w:rPr>
        <w:t>招标</w:t>
      </w:r>
      <w:r>
        <w:rPr>
          <w:rFonts w:hint="eastAsia" w:ascii="宋体" w:hAnsi="宋体" w:cs="宋体"/>
          <w:color w:val="auto"/>
          <w:szCs w:val="21"/>
          <w:highlight w:val="none"/>
        </w:rPr>
        <w:t>编号：</w:t>
      </w:r>
      <w:r>
        <w:rPr>
          <w:rFonts w:hint="eastAsia" w:ascii="宋体" w:hAnsi="宋体" w:cs="宋体"/>
          <w:color w:val="auto"/>
          <w:szCs w:val="21"/>
          <w:highlight w:val="none"/>
          <w:lang w:val="en-US" w:eastAsia="zh-CN"/>
        </w:rPr>
        <w:t>CSSC-2025-09</w:t>
      </w:r>
    </w:p>
    <w:p w14:paraId="38186D57">
      <w:pPr>
        <w:wordWrap w:val="0"/>
        <w:spacing w:beforeLines="0" w:afterLines="0" w:line="360" w:lineRule="auto"/>
        <w:ind w:firstLine="420" w:firstLineChars="200"/>
        <w:rPr>
          <w:rFonts w:ascii="宋体" w:hAnsi="宋体" w:eastAsia="宋体" w:cs="宋体"/>
          <w:snapToGrid w:val="0"/>
          <w:color w:val="auto"/>
          <w:kern w:val="0"/>
          <w:szCs w:val="21"/>
          <w:highlight w:val="none"/>
        </w:rPr>
      </w:pPr>
      <w:r>
        <w:rPr>
          <w:rFonts w:ascii="宋体" w:hAnsi="宋体" w:cs="宋体"/>
          <w:color w:val="auto"/>
          <w:szCs w:val="21"/>
          <w:highlight w:val="none"/>
        </w:rPr>
        <w:t>2.</w:t>
      </w:r>
      <w:r>
        <w:rPr>
          <w:rFonts w:hint="eastAsia" w:ascii="宋体" w:hAnsi="宋体" w:cs="宋体"/>
          <w:color w:val="auto"/>
          <w:szCs w:val="21"/>
          <w:highlight w:val="none"/>
          <w:lang w:val="en-US" w:eastAsia="zh-CN"/>
        </w:rPr>
        <w:t>4</w:t>
      </w:r>
      <w:r>
        <w:rPr>
          <w:rFonts w:ascii="宋体" w:hAnsi="宋体" w:eastAsia="宋体" w:cs="宋体"/>
          <w:snapToGrid w:val="0"/>
          <w:color w:val="auto"/>
          <w:kern w:val="0"/>
          <w:szCs w:val="21"/>
          <w:highlight w:val="none"/>
        </w:rPr>
        <w:t>最高投标限价（含税）：</w:t>
      </w:r>
      <w:r>
        <w:rPr>
          <w:rFonts w:hint="eastAsia" w:ascii="宋体" w:hAnsi="宋体" w:eastAsia="宋体" w:cs="宋体"/>
          <w:snapToGrid w:val="0"/>
          <w:color w:val="auto"/>
          <w:kern w:val="0"/>
          <w:szCs w:val="21"/>
          <w:highlight w:val="none"/>
        </w:rPr>
        <w:t>本项目总价上限为</w:t>
      </w:r>
      <w:r>
        <w:rPr>
          <w:rFonts w:hint="eastAsia" w:ascii="宋体" w:hAnsi="宋体" w:eastAsia="宋体" w:cs="宋体"/>
          <w:snapToGrid w:val="0"/>
          <w:color w:val="auto"/>
          <w:kern w:val="0"/>
          <w:sz w:val="21"/>
          <w:szCs w:val="21"/>
          <w:highlight w:val="none"/>
          <w:lang w:val="en-US" w:eastAsia="zh-CN"/>
        </w:rPr>
        <w:t>3102126</w:t>
      </w:r>
      <w:r>
        <w:rPr>
          <w:rFonts w:hint="eastAsia" w:ascii="宋体" w:hAnsi="宋体" w:eastAsia="宋体" w:cs="宋体"/>
          <w:snapToGrid w:val="0"/>
          <w:color w:val="auto"/>
          <w:kern w:val="0"/>
          <w:szCs w:val="21"/>
          <w:highlight w:val="none"/>
        </w:rPr>
        <w:t>元(含税)，且为单项限价，具体详见附件1《</w:t>
      </w:r>
      <w:r>
        <w:rPr>
          <w:rFonts w:hint="eastAsia" w:ascii="宋体" w:hAnsi="宋体" w:eastAsia="宋体" w:cs="宋体"/>
          <w:snapToGrid w:val="0"/>
          <w:color w:val="auto"/>
          <w:kern w:val="0"/>
          <w:szCs w:val="21"/>
          <w:highlight w:val="none"/>
          <w:lang w:eastAsia="zh-CN"/>
        </w:rPr>
        <w:t>202</w:t>
      </w:r>
      <w:r>
        <w:rPr>
          <w:rFonts w:hint="eastAsia" w:ascii="宋体" w:hAnsi="宋体" w:eastAsia="宋体" w:cs="宋体"/>
          <w:snapToGrid w:val="0"/>
          <w:color w:val="auto"/>
          <w:kern w:val="0"/>
          <w:szCs w:val="21"/>
          <w:highlight w:val="none"/>
          <w:lang w:val="en-US" w:eastAsia="zh-CN"/>
        </w:rPr>
        <w:t>5</w:t>
      </w:r>
      <w:r>
        <w:rPr>
          <w:rFonts w:hint="eastAsia" w:ascii="宋体" w:hAnsi="宋体" w:eastAsia="宋体" w:cs="宋体"/>
          <w:snapToGrid w:val="0"/>
          <w:color w:val="auto"/>
          <w:kern w:val="0"/>
          <w:szCs w:val="21"/>
          <w:highlight w:val="none"/>
        </w:rPr>
        <w:t>年长沙穗城轨道交通有限公司年度员工体检项目单项控制价公示表》</w:t>
      </w:r>
      <w:r>
        <w:rPr>
          <w:rFonts w:hint="eastAsia" w:ascii="宋体" w:hAnsi="宋体" w:cs="宋体"/>
          <w:color w:val="auto"/>
          <w:szCs w:val="21"/>
          <w:highlight w:val="none"/>
        </w:rPr>
        <w:t>。</w:t>
      </w:r>
    </w:p>
    <w:p w14:paraId="212BCC68">
      <w:pPr>
        <w:spacing w:beforeLines="0" w:afterLines="0"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2.5标段划分：1个标段。</w:t>
      </w:r>
    </w:p>
    <w:p w14:paraId="31C3DFE3">
      <w:pPr>
        <w:spacing w:beforeLines="0" w:afterLines="0"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2.6项目实施地点：长沙市。</w:t>
      </w:r>
    </w:p>
    <w:p w14:paraId="48A318E7">
      <w:pPr>
        <w:spacing w:beforeLines="0" w:afterLines="0"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2.7服务期限：3年</w:t>
      </w:r>
    </w:p>
    <w:p w14:paraId="3ACFC741">
      <w:pPr>
        <w:spacing w:beforeLines="0" w:afterLines="0" w:line="360" w:lineRule="auto"/>
        <w:ind w:firstLine="420" w:firstLineChars="200"/>
        <w:rPr>
          <w:rFonts w:hint="default" w:ascii="宋体" w:hAnsi="宋体" w:eastAsia="宋体" w:cs="宋体"/>
          <w:color w:val="auto"/>
          <w:szCs w:val="21"/>
          <w:highlight w:val="none"/>
          <w:u w:val="none"/>
          <w:lang w:val="en-US" w:eastAsia="zh-CN"/>
        </w:rPr>
      </w:pPr>
      <w:r>
        <w:rPr>
          <w:rFonts w:hint="eastAsia" w:ascii="宋体" w:hAnsi="宋体" w:cs="宋体"/>
          <w:color w:val="auto"/>
          <w:szCs w:val="21"/>
          <w:highlight w:val="none"/>
          <w:u w:val="none"/>
        </w:rPr>
        <w:t>2.8招标范围：本项目内容包括为长沙穗城轨道交通有限公司全体员工提供为期三年（2025-2027年度）的体检服务，采用“基础项目+自选项目”的“1+X”模式，并提供报告交付、健康管理及相关延伸服务</w:t>
      </w:r>
      <w:r>
        <w:rPr>
          <w:rFonts w:hint="eastAsia" w:ascii="宋体" w:hAnsi="宋体" w:eastAsia="宋体" w:cs="宋体"/>
          <w:snapToGrid w:val="0"/>
          <w:color w:val="auto"/>
          <w:kern w:val="0"/>
          <w:szCs w:val="21"/>
          <w:highlight w:val="none"/>
          <w:lang w:val="en-US" w:eastAsia="zh-CN"/>
        </w:rPr>
        <w:t>。</w:t>
      </w:r>
    </w:p>
    <w:p w14:paraId="5BCD0787">
      <w:pPr>
        <w:wordWrap w:val="0"/>
        <w:spacing w:before="0" w:beforeLines="0" w:after="0" w:afterLines="0" w:line="360" w:lineRule="auto"/>
        <w:ind w:left="221" w:right="340" w:firstLine="204" w:firstLineChars="97"/>
        <w:jc w:val="left"/>
        <w:outlineLvl w:val="1"/>
        <w:rPr>
          <w:rFonts w:ascii="宋体" w:hAnsi="宋体" w:cs="宋体"/>
          <w:b/>
          <w:snapToGrid w:val="0"/>
          <w:color w:val="auto"/>
          <w:kern w:val="0"/>
          <w:szCs w:val="21"/>
          <w:highlight w:val="none"/>
          <w:u w:val="none"/>
        </w:rPr>
      </w:pPr>
      <w:r>
        <w:rPr>
          <w:rFonts w:hint="eastAsia" w:ascii="宋体" w:hAnsi="宋体" w:cs="宋体"/>
          <w:b/>
          <w:snapToGrid w:val="0"/>
          <w:color w:val="auto"/>
          <w:kern w:val="0"/>
          <w:szCs w:val="21"/>
          <w:highlight w:val="none"/>
          <w:u w:val="none"/>
        </w:rPr>
        <w:t>3.投标人资格要求</w:t>
      </w:r>
    </w:p>
    <w:p w14:paraId="636BD58C">
      <w:pPr>
        <w:wordWrap w:val="0"/>
        <w:adjustRightInd w:val="0"/>
        <w:snapToGrid w:val="0"/>
        <w:spacing w:beforeLines="0" w:afterLines="0" w:line="360" w:lineRule="auto"/>
        <w:ind w:firstLine="420" w:firstLineChars="200"/>
        <w:rPr>
          <w:rFonts w:ascii="宋体" w:hAnsi="宋体" w:cs="宋体"/>
          <w:color w:val="auto"/>
          <w:szCs w:val="21"/>
          <w:highlight w:val="none"/>
          <w:u w:val="none"/>
        </w:rPr>
      </w:pPr>
      <w:r>
        <w:rPr>
          <w:rFonts w:hint="eastAsia" w:ascii="宋体" w:hAnsi="宋体" w:cs="宋体"/>
          <w:color w:val="auto"/>
          <w:szCs w:val="21"/>
          <w:highlight w:val="none"/>
          <w:u w:val="none"/>
        </w:rPr>
        <w:t>3.1</w:t>
      </w:r>
      <w:r>
        <w:rPr>
          <w:rFonts w:hint="eastAsia" w:ascii="宋体" w:hAnsi="宋体" w:eastAsia="宋体" w:cs="宋体"/>
          <w:bCs/>
          <w:snapToGrid w:val="0"/>
          <w:color w:val="auto"/>
          <w:kern w:val="0"/>
          <w:szCs w:val="21"/>
          <w:highlight w:val="none"/>
          <w:lang w:eastAsia="zh-CN"/>
        </w:rPr>
        <w:t>投标人</w:t>
      </w:r>
      <w:r>
        <w:rPr>
          <w:rFonts w:hint="eastAsia" w:ascii="宋体" w:hAnsi="宋体" w:eastAsia="宋体" w:cs="宋体"/>
          <w:bCs/>
          <w:snapToGrid w:val="0"/>
          <w:color w:val="auto"/>
          <w:kern w:val="0"/>
          <w:szCs w:val="21"/>
          <w:highlight w:val="none"/>
        </w:rPr>
        <w:t>须具备</w:t>
      </w:r>
      <w:r>
        <w:rPr>
          <w:rFonts w:hint="eastAsia" w:ascii="宋体" w:hAnsi="宋体" w:eastAsia="宋体" w:cs="宋体"/>
          <w:color w:val="auto"/>
          <w:szCs w:val="21"/>
          <w:highlight w:val="none"/>
        </w:rPr>
        <w:t>独立法人资格并</w:t>
      </w:r>
      <w:r>
        <w:rPr>
          <w:rFonts w:hint="eastAsia" w:ascii="宋体" w:hAnsi="宋体" w:eastAsia="宋体" w:cs="宋体"/>
          <w:bCs/>
          <w:snapToGrid w:val="0"/>
          <w:color w:val="auto"/>
          <w:kern w:val="0"/>
          <w:szCs w:val="21"/>
          <w:highlight w:val="none"/>
        </w:rPr>
        <w:t>依法取得营业执照</w:t>
      </w:r>
      <w:r>
        <w:rPr>
          <w:rFonts w:hint="eastAsia" w:ascii="宋体" w:hAnsi="宋体" w:eastAsia="宋体" w:cs="宋体"/>
          <w:bCs/>
          <w:snapToGrid w:val="0"/>
          <w:color w:val="000000"/>
          <w:kern w:val="0"/>
          <w:szCs w:val="21"/>
          <w:highlight w:val="none"/>
          <w:lang w:val="en-US" w:eastAsia="zh-CN"/>
        </w:rPr>
        <w:t>(</w:t>
      </w:r>
      <w:r>
        <w:rPr>
          <w:rFonts w:hint="eastAsia" w:ascii="宋体" w:hAnsi="宋体" w:eastAsia="宋体" w:cs="宋体"/>
          <w:bCs/>
          <w:snapToGrid w:val="0"/>
          <w:color w:val="000000"/>
          <w:kern w:val="0"/>
          <w:szCs w:val="21"/>
          <w:highlight w:val="none"/>
        </w:rPr>
        <w:t>或法人登记证书</w:t>
      </w:r>
      <w:r>
        <w:rPr>
          <w:rFonts w:hint="eastAsia" w:ascii="宋体" w:hAnsi="宋体" w:eastAsia="宋体" w:cs="宋体"/>
          <w:bCs/>
          <w:snapToGrid w:val="0"/>
          <w:color w:val="000000"/>
          <w:kern w:val="0"/>
          <w:szCs w:val="21"/>
          <w:highlight w:val="none"/>
          <w:lang w:val="en-US" w:eastAsia="zh-CN"/>
        </w:rPr>
        <w:t>)</w:t>
      </w:r>
      <w:r>
        <w:rPr>
          <w:rFonts w:hint="eastAsia" w:ascii="宋体" w:hAnsi="宋体" w:eastAsia="宋体" w:cs="宋体"/>
          <w:bCs/>
          <w:snapToGrid w:val="0"/>
          <w:color w:val="auto"/>
          <w:kern w:val="0"/>
          <w:szCs w:val="21"/>
          <w:highlight w:val="none"/>
        </w:rPr>
        <w:t>，且营业执照</w:t>
      </w:r>
      <w:r>
        <w:rPr>
          <w:rFonts w:hint="eastAsia" w:ascii="宋体" w:hAnsi="宋体" w:eastAsia="宋体" w:cs="宋体"/>
          <w:bCs/>
          <w:snapToGrid w:val="0"/>
          <w:color w:val="000000"/>
          <w:kern w:val="0"/>
          <w:szCs w:val="21"/>
          <w:highlight w:val="none"/>
          <w:lang w:val="en-US" w:eastAsia="zh-CN"/>
        </w:rPr>
        <w:t>(</w:t>
      </w:r>
      <w:r>
        <w:rPr>
          <w:rFonts w:hint="eastAsia" w:ascii="宋体" w:hAnsi="宋体" w:eastAsia="宋体" w:cs="宋体"/>
          <w:bCs/>
          <w:snapToGrid w:val="0"/>
          <w:color w:val="000000"/>
          <w:kern w:val="0"/>
          <w:szCs w:val="21"/>
          <w:highlight w:val="none"/>
        </w:rPr>
        <w:t>或法人登记证书</w:t>
      </w:r>
      <w:r>
        <w:rPr>
          <w:rFonts w:hint="eastAsia" w:ascii="宋体" w:hAnsi="宋体" w:eastAsia="宋体" w:cs="宋体"/>
          <w:bCs/>
          <w:snapToGrid w:val="0"/>
          <w:color w:val="000000"/>
          <w:kern w:val="0"/>
          <w:szCs w:val="21"/>
          <w:highlight w:val="none"/>
          <w:lang w:val="en-US" w:eastAsia="zh-CN"/>
        </w:rPr>
        <w:t>)</w:t>
      </w:r>
      <w:r>
        <w:rPr>
          <w:rFonts w:hint="eastAsia" w:ascii="宋体" w:hAnsi="宋体" w:eastAsia="宋体" w:cs="宋体"/>
          <w:bCs/>
          <w:snapToGrid w:val="0"/>
          <w:color w:val="auto"/>
          <w:kern w:val="0"/>
          <w:szCs w:val="21"/>
          <w:highlight w:val="none"/>
        </w:rPr>
        <w:t>处于有效期内</w:t>
      </w:r>
      <w:r>
        <w:rPr>
          <w:rFonts w:hint="eastAsia" w:ascii="宋体" w:hAnsi="宋体" w:cs="宋体"/>
          <w:color w:val="auto"/>
          <w:szCs w:val="21"/>
          <w:highlight w:val="none"/>
          <w:u w:val="none"/>
        </w:rPr>
        <w:t>。</w:t>
      </w:r>
    </w:p>
    <w:p w14:paraId="611B9E32">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textAlignment w:val="auto"/>
        <w:rPr>
          <w:rFonts w:hint="eastAsia" w:ascii="宋体" w:hAnsi="宋体" w:eastAsia="宋体" w:cs="宋体"/>
          <w:color w:val="auto"/>
          <w:sz w:val="21"/>
          <w:szCs w:val="24"/>
          <w:highlight w:val="none"/>
          <w:lang w:val="en-US" w:eastAsia="zh-CN"/>
        </w:rPr>
      </w:pPr>
      <w:r>
        <w:rPr>
          <w:rFonts w:hint="eastAsia" w:ascii="宋体" w:hAnsi="宋体" w:eastAsia="宋体" w:cs="宋体"/>
          <w:color w:val="auto"/>
          <w:szCs w:val="21"/>
          <w:highlight w:val="none"/>
          <w:u w:val="none"/>
          <w:lang w:val="en-US" w:eastAsia="zh-CN"/>
        </w:rPr>
        <w:t>3.2</w:t>
      </w:r>
      <w:r>
        <w:rPr>
          <w:rFonts w:hint="eastAsia" w:ascii="宋体" w:hAnsi="宋体" w:eastAsia="宋体" w:cs="宋体"/>
          <w:color w:val="auto"/>
          <w:szCs w:val="21"/>
          <w:highlight w:val="none"/>
        </w:rPr>
        <w:t>入围业绩要求</w:t>
      </w:r>
      <w:r>
        <w:rPr>
          <w:rFonts w:hint="eastAsia" w:ascii="宋体" w:hAnsi="宋体" w:eastAsia="宋体" w:cs="宋体"/>
          <w:color w:val="auto"/>
          <w:sz w:val="21"/>
          <w:szCs w:val="24"/>
          <w:highlight w:val="none"/>
          <w:lang w:val="en-US" w:eastAsia="zh-CN"/>
        </w:rPr>
        <w:t>：</w:t>
      </w:r>
    </w:p>
    <w:p w14:paraId="748D92FC">
      <w:pPr>
        <w:wordWrap w:val="0"/>
        <w:spacing w:beforeLines="0" w:afterLines="0"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人自2022年1月1日至投标截止时间内至少具有一项类似业绩，并已提供该业绩证明材料。类似业绩是指单项合同金额不少于50万元/年或单项合同体检人数不少于400人/年的体检项目；类似业绩证明材料须提供合同复印件，合同复印件至少包括合同首页、盖章页及类似业绩要求内容相关页；类似业绩时间以合同中较晚一方的签字时间为准；以上业绩不接受联合体业绩、港澳台或境外业绩。</w:t>
      </w:r>
    </w:p>
    <w:p w14:paraId="0670E9FE">
      <w:pPr>
        <w:wordWrap w:val="0"/>
        <w:spacing w:beforeLines="0" w:afterLines="0"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3.3</w:t>
      </w:r>
      <w:r>
        <w:rPr>
          <w:rFonts w:hint="eastAsia" w:ascii="宋体" w:hAnsi="宋体" w:eastAsia="宋体" w:cs="宋体"/>
          <w:bCs/>
          <w:iCs/>
          <w:snapToGrid w:val="0"/>
          <w:color w:val="auto"/>
          <w:kern w:val="0"/>
          <w:szCs w:val="21"/>
          <w:highlight w:val="none"/>
          <w:lang w:eastAsia="zh-CN"/>
        </w:rPr>
        <w:t>投标人</w:t>
      </w:r>
      <w:r>
        <w:rPr>
          <w:rFonts w:ascii="宋体" w:hAnsi="宋体" w:eastAsia="宋体" w:cs="宋体"/>
          <w:bCs/>
          <w:iCs/>
          <w:snapToGrid w:val="0"/>
          <w:color w:val="auto"/>
          <w:kern w:val="0"/>
          <w:szCs w:val="21"/>
          <w:highlight w:val="none"/>
        </w:rPr>
        <w:t>须具备</w:t>
      </w:r>
      <w:r>
        <w:rPr>
          <w:rFonts w:hint="eastAsia" w:ascii="宋体" w:hAnsi="宋体" w:eastAsia="宋体" w:cs="宋体"/>
          <w:bCs/>
          <w:snapToGrid w:val="0"/>
          <w:color w:val="auto"/>
          <w:kern w:val="0"/>
          <w:sz w:val="21"/>
          <w:szCs w:val="21"/>
          <w:highlight w:val="none"/>
          <w:lang w:val="en-US" w:eastAsia="zh-CN" w:bidi="ar"/>
        </w:rPr>
        <w:t>国家卫生行政主管部门颁发的《医疗机构执业许可证》，许可证须在有效期内</w:t>
      </w:r>
      <w:r>
        <w:rPr>
          <w:rFonts w:hint="eastAsia" w:ascii="宋体" w:hAnsi="宋体" w:eastAsia="宋体" w:cs="宋体"/>
          <w:color w:val="auto"/>
          <w:szCs w:val="21"/>
          <w:highlight w:val="none"/>
          <w:lang w:val="en-US" w:eastAsia="zh-CN"/>
        </w:rPr>
        <w:t>。</w:t>
      </w:r>
    </w:p>
    <w:p w14:paraId="69DFCD4E">
      <w:pPr>
        <w:pStyle w:val="272"/>
        <w:wordWrap w:val="0"/>
        <w:ind w:left="0" w:leftChars="0" w:firstLine="420" w:firstLineChars="200"/>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3.4单位负责人为同一人或者存在控股、管理关系的不同单位，不得同时参加同一标段投标或者未划分标段的同一招标项目投标，否则相关投标均无效</w:t>
      </w:r>
      <w:r>
        <w:rPr>
          <w:rFonts w:hint="eastAsia" w:hAnsi="宋体" w:cs="宋体"/>
          <w:color w:val="auto"/>
          <w:sz w:val="21"/>
          <w:szCs w:val="21"/>
          <w:highlight w:val="none"/>
          <w:lang w:eastAsia="zh-CN"/>
        </w:rPr>
        <w:t>。</w:t>
      </w:r>
    </w:p>
    <w:p w14:paraId="603B82D0">
      <w:pPr>
        <w:wordWrap w:val="0"/>
        <w:spacing w:beforeLines="0" w:afterLines="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cs="宋体"/>
          <w:color w:val="auto"/>
          <w:szCs w:val="21"/>
          <w:highlight w:val="none"/>
          <w:lang w:val="en-US" w:eastAsia="zh-CN"/>
        </w:rPr>
        <w:t>5</w:t>
      </w:r>
      <w:r>
        <w:rPr>
          <w:rFonts w:hint="eastAsia" w:ascii="宋体" w:hAnsi="宋体" w:eastAsia="宋体" w:cs="宋体"/>
          <w:snapToGrid w:val="0"/>
          <w:color w:val="auto"/>
          <w:kern w:val="0"/>
          <w:szCs w:val="21"/>
          <w:highlight w:val="none"/>
          <w:lang w:val="en-US" w:eastAsia="zh-CN"/>
        </w:rPr>
        <w:t>投标人不得被“信用中国”网站（www.creditchina.gov.cn)列入失信被执行人和重大税收违法案件当事人名单；投标人须提供“信用中国”网站（www.creditchina.gov.cn）下载的信用信息报告，报告生成日期须在本项目投标截止之日前7日内</w:t>
      </w:r>
      <w:r>
        <w:rPr>
          <w:rFonts w:hint="eastAsia" w:ascii="宋体" w:hAnsi="宋体" w:eastAsia="宋体" w:cs="宋体"/>
          <w:color w:val="auto"/>
          <w:szCs w:val="21"/>
          <w:highlight w:val="none"/>
        </w:rPr>
        <w:t>。</w:t>
      </w:r>
    </w:p>
    <w:p w14:paraId="1202BEAD">
      <w:pPr>
        <w:wordWrap w:val="0"/>
        <w:spacing w:beforeLines="0" w:afterLines="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被长沙市轨道交通集团有限公司或长沙穗城轨道交通有限公司函告禁止在一定期限内参与轨道项目投标的单位按函告内容执行。</w:t>
      </w:r>
    </w:p>
    <w:p w14:paraId="2FE5B87C">
      <w:pPr>
        <w:wordWrap w:val="0"/>
        <w:spacing w:beforeLines="0" w:afterLines="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本项目不接受联合体投标。</w:t>
      </w:r>
    </w:p>
    <w:p w14:paraId="0768461D">
      <w:pPr>
        <w:wordWrap w:val="0"/>
        <w:spacing w:beforeLines="0" w:afterLines="0" w:line="360" w:lineRule="auto"/>
        <w:ind w:firstLine="422" w:firstLineChars="200"/>
        <w:rPr>
          <w:rFonts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4.</w:t>
      </w:r>
      <w:r>
        <w:rPr>
          <w:rFonts w:hint="eastAsia" w:ascii="宋体" w:hAnsi="宋体" w:eastAsia="宋体" w:cs="宋体"/>
          <w:b/>
          <w:snapToGrid w:val="0"/>
          <w:color w:val="auto"/>
          <w:kern w:val="0"/>
          <w:szCs w:val="21"/>
          <w:highlight w:val="none"/>
        </w:rPr>
        <w:t>评标办法</w:t>
      </w:r>
      <w:r>
        <w:rPr>
          <w:rFonts w:hint="eastAsia" w:ascii="宋体" w:hAnsi="宋体" w:eastAsia="宋体" w:cs="宋体"/>
          <w:b/>
          <w:snapToGrid w:val="0"/>
          <w:color w:val="auto"/>
          <w:kern w:val="0"/>
          <w:szCs w:val="21"/>
          <w:highlight w:val="none"/>
          <w:lang w:val="en-US" w:eastAsia="zh-CN"/>
        </w:rPr>
        <w:t>及流程</w:t>
      </w:r>
    </w:p>
    <w:p w14:paraId="2CBDB29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4.1</w:t>
      </w:r>
      <w:r>
        <w:rPr>
          <w:rFonts w:hint="eastAsia" w:ascii="宋体" w:hAnsi="宋体" w:eastAsia="宋体" w:cs="Times New Roman"/>
          <w:color w:val="auto"/>
          <w:szCs w:val="21"/>
          <w:highlight w:val="none"/>
        </w:rPr>
        <w:t>本项目评标办法采用综合评</w:t>
      </w:r>
      <w:r>
        <w:rPr>
          <w:rFonts w:hint="eastAsia" w:ascii="宋体" w:hAnsi="宋体" w:eastAsia="宋体" w:cs="Times New Roman"/>
          <w:color w:val="auto"/>
          <w:szCs w:val="21"/>
          <w:highlight w:val="none"/>
          <w:lang w:val="en-US" w:eastAsia="zh-CN"/>
        </w:rPr>
        <w:t>分</w:t>
      </w:r>
      <w:r>
        <w:rPr>
          <w:rFonts w:hint="eastAsia" w:ascii="宋体" w:hAnsi="宋体" w:eastAsia="宋体" w:cs="Times New Roman"/>
          <w:color w:val="auto"/>
          <w:szCs w:val="21"/>
          <w:highlight w:val="none"/>
        </w:rPr>
        <w:t>法，资格审查方式为资格后审。</w:t>
      </w:r>
    </w:p>
    <w:p w14:paraId="6F2BBA5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 w:val="21"/>
          <w:szCs w:val="21"/>
          <w:highlight w:val="none"/>
          <w:lang w:val="en-US" w:eastAsia="zh-CN"/>
        </w:rPr>
        <w:t>4.2</w:t>
      </w:r>
      <w:r>
        <w:rPr>
          <w:rFonts w:hint="eastAsia" w:ascii="宋体" w:hAnsi="宋体" w:eastAsia="宋体" w:cs="Times New Roman"/>
          <w:color w:val="auto"/>
          <w:sz w:val="21"/>
          <w:szCs w:val="21"/>
          <w:highlight w:val="none"/>
        </w:rPr>
        <w:t>除</w:t>
      </w:r>
      <w:r>
        <w:rPr>
          <w:rFonts w:hint="eastAsia" w:ascii="宋体" w:hAnsi="宋体" w:eastAsia="宋体" w:cs="Times New Roman"/>
          <w:color w:val="auto"/>
          <w:sz w:val="21"/>
          <w:szCs w:val="21"/>
          <w:highlight w:val="none"/>
          <w:lang w:val="en-US" w:eastAsia="zh-CN"/>
        </w:rPr>
        <w:t>招标</w:t>
      </w:r>
      <w:r>
        <w:rPr>
          <w:rFonts w:hint="eastAsia" w:ascii="宋体" w:hAnsi="宋体" w:eastAsia="宋体" w:cs="Times New Roman"/>
          <w:color w:val="auto"/>
          <w:sz w:val="21"/>
          <w:szCs w:val="21"/>
          <w:highlight w:val="none"/>
        </w:rPr>
        <w:t>文件另有规定外，第一、第二中</w:t>
      </w:r>
      <w:r>
        <w:rPr>
          <w:rFonts w:hint="eastAsia" w:ascii="宋体" w:hAnsi="宋体" w:cs="Times New Roman"/>
          <w:color w:val="auto"/>
          <w:sz w:val="21"/>
          <w:szCs w:val="21"/>
          <w:highlight w:val="none"/>
          <w:lang w:val="en-US" w:eastAsia="zh-CN"/>
        </w:rPr>
        <w:t>标</w:t>
      </w:r>
      <w:r>
        <w:rPr>
          <w:rFonts w:hint="eastAsia" w:ascii="宋体" w:hAnsi="宋体" w:eastAsia="宋体" w:cs="Times New Roman"/>
          <w:color w:val="auto"/>
          <w:sz w:val="21"/>
          <w:szCs w:val="21"/>
          <w:highlight w:val="none"/>
        </w:rPr>
        <w:t>选候选人将为本项目最终中</w:t>
      </w:r>
      <w:r>
        <w:rPr>
          <w:rFonts w:hint="eastAsia" w:ascii="宋体" w:hAnsi="宋体" w:cs="Times New Roman"/>
          <w:color w:val="auto"/>
          <w:sz w:val="21"/>
          <w:szCs w:val="21"/>
          <w:highlight w:val="none"/>
          <w:lang w:val="en-US" w:eastAsia="zh-CN"/>
        </w:rPr>
        <w:t>标</w:t>
      </w:r>
      <w:r>
        <w:rPr>
          <w:rFonts w:hint="eastAsia" w:ascii="宋体" w:hAnsi="宋体" w:eastAsia="宋体" w:cs="Times New Roman"/>
          <w:color w:val="auto"/>
          <w:sz w:val="21"/>
          <w:szCs w:val="21"/>
          <w:highlight w:val="none"/>
        </w:rPr>
        <w:t>人</w:t>
      </w:r>
      <w:r>
        <w:rPr>
          <w:rFonts w:hint="eastAsia" w:ascii="宋体" w:hAnsi="宋体" w:cs="Times New Roman"/>
          <w:color w:val="auto"/>
          <w:sz w:val="21"/>
          <w:szCs w:val="21"/>
          <w:highlight w:val="none"/>
          <w:lang w:eastAsia="zh-CN"/>
        </w:rPr>
        <w:t>。</w:t>
      </w:r>
    </w:p>
    <w:p w14:paraId="755EDB68">
      <w:pPr>
        <w:wordWrap w:val="0"/>
        <w:spacing w:before="0" w:beforeLines="0" w:after="0" w:afterLines="0" w:line="360" w:lineRule="auto"/>
        <w:ind w:left="221" w:right="340" w:firstLine="204" w:firstLineChars="97"/>
        <w:jc w:val="left"/>
        <w:outlineLvl w:val="1"/>
        <w:rPr>
          <w:rFonts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5.投标保证金</w:t>
      </w:r>
    </w:p>
    <w:p w14:paraId="78755DA9">
      <w:pPr>
        <w:keepNext w:val="0"/>
        <w:keepLines w:val="0"/>
        <w:pageBreakBefore w:val="0"/>
        <w:widowControl w:val="0"/>
        <w:tabs>
          <w:tab w:val="left" w:pos="4040"/>
          <w:tab w:val="left" w:pos="4420"/>
          <w:tab w:val="left" w:pos="4520"/>
          <w:tab w:val="left" w:pos="4620"/>
          <w:tab w:val="left" w:pos="4980"/>
          <w:tab w:val="left" w:pos="5180"/>
          <w:tab w:val="left" w:pos="5780"/>
          <w:tab w:val="left" w:pos="6280"/>
          <w:tab w:val="left" w:pos="7420"/>
          <w:tab w:val="left" w:pos="8800"/>
        </w:tabs>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5.1投标保证金金额：人民币（大写）</w:t>
      </w:r>
      <w:r>
        <w:rPr>
          <w:rFonts w:hint="eastAsia" w:ascii="宋体" w:hAnsi="宋体" w:eastAsia="宋体" w:cs="宋体"/>
          <w:color w:val="auto"/>
          <w:szCs w:val="21"/>
          <w:highlight w:val="none"/>
          <w:u w:val="single"/>
          <w:lang w:val="en-US" w:eastAsia="zh-CN"/>
        </w:rPr>
        <w:t>陆</w:t>
      </w:r>
      <w:r>
        <w:rPr>
          <w:rFonts w:hint="eastAsia" w:ascii="宋体" w:hAnsi="宋体" w:eastAsia="宋体" w:cs="宋体"/>
          <w:color w:val="auto"/>
          <w:szCs w:val="21"/>
          <w:highlight w:val="none"/>
          <w:u w:val="single"/>
        </w:rPr>
        <w:t>万元</w:t>
      </w:r>
      <w:r>
        <w:rPr>
          <w:rFonts w:hint="eastAsia" w:ascii="宋体" w:hAnsi="宋体" w:eastAsia="宋体" w:cs="宋体"/>
          <w:color w:val="auto"/>
          <w:szCs w:val="21"/>
          <w:highlight w:val="none"/>
          <w:u w:val="single"/>
          <w:lang w:val="en-US" w:eastAsia="zh-CN"/>
        </w:rPr>
        <w:t>整</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lang w:val="en-US" w:eastAsia="zh-CN"/>
        </w:rPr>
        <w:t xml:space="preserve"> 6000</w:t>
      </w:r>
      <w:r>
        <w:rPr>
          <w:rFonts w:hint="eastAsia" w:ascii="宋体" w:hAnsi="宋体" w:eastAsia="宋体" w:cs="宋体"/>
          <w:color w:val="auto"/>
          <w:szCs w:val="21"/>
          <w:highlight w:val="none"/>
          <w:u w:val="single"/>
        </w:rPr>
        <w:t>0.00</w:t>
      </w:r>
      <w:r>
        <w:rPr>
          <w:rFonts w:hint="eastAsia" w:ascii="宋体" w:hAnsi="宋体" w:eastAsia="宋体" w:cs="宋体"/>
          <w:color w:val="auto"/>
          <w:szCs w:val="21"/>
          <w:highlight w:val="none"/>
          <w:lang w:val="en-US" w:eastAsia="zh-CN"/>
        </w:rPr>
        <w:t>元</w:t>
      </w:r>
      <w:r>
        <w:rPr>
          <w:rFonts w:hint="eastAsia" w:ascii="宋体" w:hAnsi="宋体" w:eastAsia="宋体" w:cs="宋体"/>
          <w:color w:val="auto"/>
          <w:szCs w:val="21"/>
          <w:highlight w:val="none"/>
        </w:rPr>
        <w:t>）。</w:t>
      </w:r>
    </w:p>
    <w:p w14:paraId="3A3B9EFB">
      <w:pPr>
        <w:keepNext w:val="0"/>
        <w:keepLines w:val="0"/>
        <w:pageBreakBefore w:val="0"/>
        <w:widowControl w:val="0"/>
        <w:tabs>
          <w:tab w:val="left" w:pos="4040"/>
          <w:tab w:val="left" w:pos="4420"/>
          <w:tab w:val="left" w:pos="4520"/>
          <w:tab w:val="left" w:pos="4620"/>
          <w:tab w:val="left" w:pos="4980"/>
          <w:tab w:val="left" w:pos="5180"/>
          <w:tab w:val="left" w:pos="5780"/>
          <w:tab w:val="left" w:pos="6280"/>
          <w:tab w:val="left" w:pos="7420"/>
          <w:tab w:val="left" w:pos="8800"/>
        </w:tabs>
        <w:kinsoku/>
        <w:wordWrap w:val="0"/>
        <w:overflowPunct/>
        <w:topLinePunct w:val="0"/>
        <w:autoSpaceDE/>
        <w:autoSpaceDN/>
        <w:bidi w:val="0"/>
        <w:adjustRightInd/>
        <w:snapToGrid/>
        <w:spacing w:line="360" w:lineRule="auto"/>
        <w:ind w:firstLine="420" w:firstLineChars="200"/>
        <w:jc w:val="lef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5.2</w:t>
      </w:r>
      <w:r>
        <w:rPr>
          <w:rFonts w:hint="eastAsia" w:ascii="宋体" w:hAnsi="宋体" w:eastAsia="宋体" w:cs="宋体"/>
          <w:snapToGrid w:val="0"/>
          <w:color w:val="auto"/>
          <w:kern w:val="0"/>
          <w:szCs w:val="21"/>
          <w:highlight w:val="none"/>
        </w:rPr>
        <w:t>投标保证金递交形式：银行转账或银行保函的方式提交。</w:t>
      </w:r>
    </w:p>
    <w:p w14:paraId="5CBB4B7B">
      <w:pPr>
        <w:wordWrap w:val="0"/>
        <w:spacing w:beforeLines="0" w:afterLines="0" w:line="360" w:lineRule="auto"/>
        <w:ind w:firstLine="420" w:firstLineChars="200"/>
        <w:rPr>
          <w:rFonts w:hint="eastAsia" w:ascii="宋体" w:hAnsi="宋体" w:cs="宋体"/>
          <w:snapToGrid w:val="0"/>
          <w:color w:val="auto"/>
          <w:kern w:val="0"/>
          <w:szCs w:val="21"/>
          <w:highlight w:val="none"/>
        </w:rPr>
      </w:pPr>
      <w:r>
        <w:rPr>
          <w:rFonts w:hint="eastAsia" w:ascii="宋体" w:hAnsi="宋体" w:eastAsia="宋体" w:cs="宋体"/>
          <w:color w:val="auto"/>
          <w:szCs w:val="21"/>
          <w:highlight w:val="none"/>
        </w:rPr>
        <w:t>5.3</w:t>
      </w:r>
      <w:r>
        <w:rPr>
          <w:rFonts w:hint="eastAsia" w:ascii="宋体" w:hAnsi="宋体" w:eastAsia="宋体" w:cs="宋体"/>
          <w:snapToGrid w:val="0"/>
          <w:color w:val="auto"/>
          <w:kern w:val="0"/>
          <w:szCs w:val="21"/>
          <w:highlight w:val="none"/>
        </w:rPr>
        <w:t>投标保证金托管账户获取方式：所有参与项目竞争的供应商（纸质标）均应在潇湘交易云平台（www.avicwings.com）完成注册，凭注册账号登录潇湘交易云平台供应商系统，获取虚拟子账号并完成投标保证金缴纳（已完成注册的直接用注册账号登录供应商系统）。虚拟子账号是随机产生的，不同投标人、不同项目（标段）的虚拟子账号是唯一的，各供应商（投标人）在缴纳投标保证金时须认准本单位当前所投项目的虚拟子账号，缴纳至错误虚拟子账号的投标保证金信息系统不能识别，视为未按招标文件要求递交投标保证金</w:t>
      </w:r>
      <w:r>
        <w:rPr>
          <w:rFonts w:hint="eastAsia" w:ascii="宋体" w:hAnsi="宋体" w:cs="宋体"/>
          <w:snapToGrid w:val="0"/>
          <w:color w:val="auto"/>
          <w:kern w:val="0"/>
          <w:szCs w:val="21"/>
          <w:highlight w:val="none"/>
        </w:rPr>
        <w:t>。</w:t>
      </w:r>
    </w:p>
    <w:p w14:paraId="3C4B898A">
      <w:pPr>
        <w:wordWrap w:val="0"/>
        <w:spacing w:beforeLines="0" w:afterLines="0"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具体操作流程如下：</w:t>
      </w:r>
    </w:p>
    <w:p w14:paraId="750FEED0">
      <w:pPr>
        <w:wordWrap w:val="0"/>
        <w:spacing w:beforeLines="0" w:afterLines="0" w:line="360" w:lineRule="auto"/>
        <w:ind w:firstLine="420" w:firstLineChars="200"/>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平台首页在潇湘交易云企业控制台入口“注册/修改企业信息”处完成账号注册--&gt;凭注册账号登录供应商系统--&gt;在“采购公告/邀请函”栏目找到对应项目--&gt;点击“进入项目”按钮进入项目工作台--&gt;在“网上投标”页签点击“递交保证金”按钮--&gt;点击“缴纳”按钮获取虚拟子账号--&gt;使用公司对公账号向虚拟子账号转入保证金--&gt;跟踪保证金缴纳状态，完成缴纳。</w:t>
      </w:r>
    </w:p>
    <w:p w14:paraId="26C5F700">
      <w:pPr>
        <w:wordWrap w:val="0"/>
        <w:spacing w:beforeLines="0" w:afterLines="0" w:line="360" w:lineRule="auto"/>
        <w:ind w:firstLine="420" w:firstLineChars="200"/>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5.4交纳方式：银行转账形式提交的，从投标人单位基本账户转入投标保证金的托管账户管理。招标人不接受以现金方式提交的投标保证金，以现金方式提交的投标保证金无效；银行保函形式提交的，投标人须在交标时同步提供保函原件，保函格式自拟，保函有效期应当不小于投标有效期；不满足上述要求的，其投标将被否决。</w:t>
      </w:r>
    </w:p>
    <w:p w14:paraId="14A29FA0">
      <w:pPr>
        <w:wordWrap w:val="0"/>
        <w:spacing w:beforeLines="0" w:afterLines="0" w:line="360" w:lineRule="auto"/>
        <w:ind w:firstLine="420" w:firstLineChars="200"/>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5.5交纳时间：投标截止时间前。投标保证金要求在交纳截止时间（含）到达账户（以潇湘交易云平台投标保证金电子化管理系统公布的到账时间为准），请各供应商（投标人）尽量提前缴纳投标保证金，避免在递交截止时间后到账而导致投标失败。</w:t>
      </w:r>
    </w:p>
    <w:p w14:paraId="35DD8226">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cs="宋体"/>
          <w:snapToGrid w:val="0"/>
          <w:color w:val="auto"/>
          <w:kern w:val="0"/>
          <w:szCs w:val="21"/>
          <w:highlight w:val="none"/>
        </w:rPr>
        <w:t>系统操作咨询及问题反馈电话：</w:t>
      </w:r>
      <w:r>
        <w:rPr>
          <w:rFonts w:hint="eastAsia" w:ascii="宋体" w:hAnsi="宋体" w:cs="宋体"/>
          <w:snapToGrid w:val="0"/>
          <w:color w:val="auto"/>
          <w:kern w:val="0"/>
          <w:szCs w:val="21"/>
          <w:highlight w:val="none"/>
          <w:lang w:eastAsia="zh-CN"/>
        </w:rPr>
        <w:t>0731-85675505</w:t>
      </w:r>
    </w:p>
    <w:p w14:paraId="784A45E7">
      <w:pPr>
        <w:wordWrap w:val="0"/>
        <w:spacing w:beforeLines="0" w:afterLines="0" w:line="360" w:lineRule="auto"/>
        <w:ind w:left="221" w:right="340" w:firstLine="204" w:firstLineChars="97"/>
        <w:jc w:val="left"/>
        <w:outlineLvl w:val="1"/>
        <w:rPr>
          <w:rFonts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6.招标文件的澄清与答疑</w:t>
      </w:r>
    </w:p>
    <w:p w14:paraId="76394627">
      <w:pPr>
        <w:wordWrap w:val="0"/>
        <w:spacing w:beforeLines="0" w:afterLines="0" w:line="360" w:lineRule="auto"/>
        <w:ind w:firstLine="420" w:firstLineChars="200"/>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6.1本项目不组织招标答疑会和现场踏勘。</w:t>
      </w:r>
    </w:p>
    <w:p w14:paraId="4753D9C5">
      <w:pPr>
        <w:wordWrap w:val="0"/>
        <w:spacing w:beforeLines="0" w:afterLines="0" w:line="360" w:lineRule="auto"/>
        <w:ind w:firstLine="420" w:firstLineChars="200"/>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6.2投标人若对招标文件有任何疑问，应在202</w:t>
      </w:r>
      <w:r>
        <w:rPr>
          <w:rFonts w:hint="eastAsia" w:ascii="宋体" w:hAnsi="宋体" w:cs="宋体"/>
          <w:snapToGrid w:val="0"/>
          <w:color w:val="auto"/>
          <w:kern w:val="0"/>
          <w:szCs w:val="21"/>
          <w:highlight w:val="none"/>
          <w:lang w:val="en-US" w:eastAsia="zh-CN"/>
        </w:rPr>
        <w:t>5</w:t>
      </w:r>
      <w:r>
        <w:rPr>
          <w:rFonts w:hint="eastAsia" w:ascii="宋体" w:hAnsi="宋体" w:cs="宋体"/>
          <w:snapToGrid w:val="0"/>
          <w:color w:val="auto"/>
          <w:kern w:val="0"/>
          <w:szCs w:val="21"/>
          <w:highlight w:val="none"/>
        </w:rPr>
        <w:t>年</w:t>
      </w:r>
      <w:r>
        <w:rPr>
          <w:rFonts w:hint="eastAsia" w:ascii="宋体" w:hAnsi="宋体" w:cs="宋体"/>
          <w:snapToGrid w:val="0"/>
          <w:color w:val="auto"/>
          <w:kern w:val="0"/>
          <w:szCs w:val="21"/>
          <w:highlight w:val="none"/>
          <w:lang w:val="en-US" w:eastAsia="zh-CN"/>
        </w:rPr>
        <w:t>09</w:t>
      </w:r>
      <w:r>
        <w:rPr>
          <w:rFonts w:hint="eastAsia" w:ascii="宋体" w:hAnsi="宋体" w:cs="宋体"/>
          <w:snapToGrid w:val="0"/>
          <w:color w:val="auto"/>
          <w:kern w:val="0"/>
          <w:szCs w:val="21"/>
          <w:highlight w:val="none"/>
        </w:rPr>
        <w:t>月</w:t>
      </w:r>
      <w:r>
        <w:rPr>
          <w:rFonts w:hint="eastAsia" w:ascii="宋体" w:hAnsi="宋体" w:cs="宋体"/>
          <w:snapToGrid w:val="0"/>
          <w:color w:val="auto"/>
          <w:kern w:val="0"/>
          <w:szCs w:val="21"/>
          <w:highlight w:val="none"/>
          <w:lang w:val="en-US" w:eastAsia="zh-CN"/>
        </w:rPr>
        <w:t>24</w:t>
      </w:r>
      <w:r>
        <w:rPr>
          <w:rFonts w:hint="eastAsia" w:ascii="宋体" w:hAnsi="宋体" w:cs="宋体"/>
          <w:snapToGrid w:val="0"/>
          <w:color w:val="auto"/>
          <w:kern w:val="0"/>
          <w:szCs w:val="21"/>
          <w:highlight w:val="none"/>
        </w:rPr>
        <w:t>日</w:t>
      </w:r>
      <w:r>
        <w:rPr>
          <w:rFonts w:hint="eastAsia" w:ascii="宋体" w:hAnsi="宋体" w:cs="宋体"/>
          <w:snapToGrid w:val="0"/>
          <w:color w:val="auto"/>
          <w:kern w:val="0"/>
          <w:szCs w:val="21"/>
          <w:highlight w:val="none"/>
        </w:rPr>
        <w:t>17：00时（含）前以书面形式向本项目招标代理机构提出。</w:t>
      </w:r>
    </w:p>
    <w:p w14:paraId="56AB1F56">
      <w:pPr>
        <w:wordWrap w:val="0"/>
        <w:spacing w:beforeLines="0" w:afterLines="0" w:line="360" w:lineRule="auto"/>
        <w:ind w:firstLine="420" w:firstLineChars="200"/>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6.3在投标截止时间前，招标人可主动地或在解答投标人提出的问题时对招标文件进行澄清。</w:t>
      </w:r>
    </w:p>
    <w:p w14:paraId="116D015E">
      <w:pPr>
        <w:wordWrap w:val="0"/>
        <w:spacing w:beforeLines="0" w:afterLines="0" w:line="360" w:lineRule="auto"/>
        <w:ind w:firstLine="420" w:firstLineChars="200"/>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6.4答疑文件、修改澄清文件将在潇湘交易云平台（http://www.avicwings.com）、中国招标投标公共服务平台（http://www.cebpubservice.com/）发布，敬请获得招标文件的所有投标人关注，恕不另行通知，如有遗漏，招标人概不负责。</w:t>
      </w:r>
    </w:p>
    <w:p w14:paraId="79A92DD2">
      <w:pPr>
        <w:wordWrap w:val="0"/>
        <w:spacing w:beforeLines="0" w:afterLines="0" w:line="360" w:lineRule="auto"/>
        <w:ind w:left="221" w:right="340" w:firstLine="204" w:firstLineChars="97"/>
        <w:jc w:val="left"/>
        <w:outlineLvl w:val="1"/>
        <w:rPr>
          <w:rFonts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7.投标文件的递交及开标</w:t>
      </w:r>
    </w:p>
    <w:p w14:paraId="6B4482AF">
      <w:pPr>
        <w:wordWrap w:val="0"/>
        <w:spacing w:beforeLines="0" w:afterLines="0" w:line="360" w:lineRule="auto"/>
        <w:ind w:firstLine="420" w:firstLineChars="200"/>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7.1提交投标文件的截止时间及开标时间：202</w:t>
      </w:r>
      <w:r>
        <w:rPr>
          <w:rFonts w:hint="eastAsia" w:ascii="宋体" w:hAnsi="宋体" w:cs="宋体"/>
          <w:snapToGrid w:val="0"/>
          <w:color w:val="auto"/>
          <w:kern w:val="0"/>
          <w:szCs w:val="21"/>
          <w:highlight w:val="none"/>
          <w:lang w:val="en-US" w:eastAsia="zh-CN"/>
        </w:rPr>
        <w:t>5</w:t>
      </w:r>
      <w:r>
        <w:rPr>
          <w:rFonts w:hint="eastAsia" w:ascii="宋体" w:hAnsi="宋体" w:cs="宋体"/>
          <w:snapToGrid w:val="0"/>
          <w:color w:val="auto"/>
          <w:kern w:val="0"/>
          <w:szCs w:val="21"/>
          <w:highlight w:val="none"/>
        </w:rPr>
        <w:t>年</w:t>
      </w:r>
      <w:r>
        <w:rPr>
          <w:rFonts w:hint="eastAsia" w:ascii="宋体" w:hAnsi="宋体" w:cs="宋体"/>
          <w:snapToGrid w:val="0"/>
          <w:color w:val="auto"/>
          <w:kern w:val="0"/>
          <w:szCs w:val="21"/>
          <w:highlight w:val="none"/>
          <w:lang w:val="en-US" w:eastAsia="zh-CN"/>
        </w:rPr>
        <w:t>10</w:t>
      </w:r>
      <w:r>
        <w:rPr>
          <w:rFonts w:hint="eastAsia" w:ascii="宋体" w:hAnsi="宋体" w:cs="宋体"/>
          <w:snapToGrid w:val="0"/>
          <w:color w:val="auto"/>
          <w:kern w:val="0"/>
          <w:szCs w:val="21"/>
          <w:highlight w:val="none"/>
        </w:rPr>
        <w:t>月</w:t>
      </w:r>
      <w:r>
        <w:rPr>
          <w:rFonts w:hint="eastAsia" w:ascii="宋体" w:hAnsi="宋体" w:cs="宋体"/>
          <w:snapToGrid w:val="0"/>
          <w:color w:val="auto"/>
          <w:kern w:val="0"/>
          <w:szCs w:val="21"/>
          <w:highlight w:val="none"/>
          <w:lang w:val="en-US" w:eastAsia="zh-CN"/>
        </w:rPr>
        <w:t>10</w:t>
      </w:r>
      <w:r>
        <w:rPr>
          <w:rFonts w:hint="eastAsia" w:ascii="宋体" w:hAnsi="宋体" w:cs="宋体"/>
          <w:snapToGrid w:val="0"/>
          <w:color w:val="auto"/>
          <w:kern w:val="0"/>
          <w:szCs w:val="21"/>
          <w:highlight w:val="none"/>
        </w:rPr>
        <w:t>日9:30时</w:t>
      </w:r>
      <w:r>
        <w:rPr>
          <w:rFonts w:hint="eastAsia" w:ascii="宋体" w:hAnsi="宋体" w:cs="宋体"/>
          <w:snapToGrid w:val="0"/>
          <w:color w:val="auto"/>
          <w:kern w:val="0"/>
          <w:szCs w:val="21"/>
          <w:highlight w:val="none"/>
        </w:rPr>
        <w:t>（北京时间）。</w:t>
      </w:r>
    </w:p>
    <w:p w14:paraId="7FC01441">
      <w:pPr>
        <w:wordWrap w:val="0"/>
        <w:spacing w:beforeLines="0" w:afterLines="0" w:line="360" w:lineRule="auto"/>
        <w:ind w:firstLine="420" w:firstLineChars="200"/>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7.2提交投标文件地点及开标地点：湖南省长沙市芙蓉区蓉园路6号湖南省老干部大学金秋楼10楼【中航公共资源交易平台】相应开标室。</w:t>
      </w:r>
    </w:p>
    <w:p w14:paraId="72662D57">
      <w:pPr>
        <w:wordWrap w:val="0"/>
        <w:spacing w:beforeLines="0" w:afterLines="0" w:line="360" w:lineRule="auto"/>
        <w:ind w:firstLine="420" w:firstLineChars="200"/>
        <w:rPr>
          <w:rFonts w:hint="eastAsia" w:ascii="宋体" w:hAnsi="宋体" w:eastAsia="宋体" w:cs="宋体"/>
          <w:snapToGrid w:val="0"/>
          <w:color w:val="auto"/>
          <w:kern w:val="0"/>
          <w:szCs w:val="21"/>
          <w:highlight w:val="none"/>
          <w:lang w:eastAsia="zh-CN"/>
        </w:rPr>
      </w:pPr>
      <w:r>
        <w:rPr>
          <w:rFonts w:hint="eastAsia" w:ascii="宋体" w:hAnsi="宋体" w:cs="宋体"/>
          <w:snapToGrid w:val="0"/>
          <w:color w:val="auto"/>
          <w:kern w:val="0"/>
          <w:szCs w:val="21"/>
          <w:highlight w:val="none"/>
        </w:rPr>
        <w:t>7.3逾期送达的或者未送达指定地点或未按要求密封的投标文件，招标人不予受理（★）</w:t>
      </w:r>
      <w:r>
        <w:rPr>
          <w:rFonts w:hint="eastAsia" w:ascii="宋体" w:hAnsi="宋体" w:cs="宋体"/>
          <w:snapToGrid w:val="0"/>
          <w:color w:val="auto"/>
          <w:kern w:val="0"/>
          <w:szCs w:val="21"/>
          <w:highlight w:val="none"/>
          <w:lang w:eastAsia="zh-CN"/>
        </w:rPr>
        <w:t>。</w:t>
      </w:r>
    </w:p>
    <w:p w14:paraId="588F71FC">
      <w:pPr>
        <w:wordWrap w:val="0"/>
        <w:spacing w:beforeLines="0" w:afterLines="0" w:line="360" w:lineRule="auto"/>
        <w:ind w:left="221" w:right="340" w:firstLine="204" w:firstLineChars="97"/>
        <w:jc w:val="left"/>
        <w:outlineLvl w:val="1"/>
        <w:rPr>
          <w:rFonts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8.发布公告的媒介</w:t>
      </w:r>
    </w:p>
    <w:p w14:paraId="69D07A51">
      <w:pPr>
        <w:wordWrap w:val="0"/>
        <w:spacing w:beforeLines="0" w:afterLines="0" w:line="360" w:lineRule="auto"/>
        <w:ind w:firstLine="420" w:firstLineChars="200"/>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本项目招标公告和结果公告在潇湘交易云平台（http://www.avicwings.com）、中国招标投标公共服务平台（http://www.cebpubservice.com/）发布。</w:t>
      </w:r>
    </w:p>
    <w:p w14:paraId="71FECC8B">
      <w:pPr>
        <w:keepNext w:val="0"/>
        <w:keepLines w:val="0"/>
        <w:pageBreakBefore w:val="0"/>
        <w:widowControl w:val="0"/>
        <w:kinsoku/>
        <w:wordWrap/>
        <w:overflowPunct/>
        <w:topLinePunct w:val="0"/>
        <w:autoSpaceDE/>
        <w:autoSpaceDN/>
        <w:bidi w:val="0"/>
        <w:adjustRightInd/>
        <w:snapToGrid/>
        <w:spacing w:beforeLines="0" w:afterLines="0" w:line="360" w:lineRule="auto"/>
        <w:ind w:firstLine="422" w:firstLineChars="200"/>
        <w:textAlignment w:val="auto"/>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lang w:val="en-US" w:eastAsia="zh-CN"/>
        </w:rPr>
        <w:t>9.监督机构</w:t>
      </w:r>
    </w:p>
    <w:p w14:paraId="7B61D758">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textAlignment w:val="auto"/>
        <w:rPr>
          <w:rFonts w:hint="eastAsia"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val="en-US" w:eastAsia="zh-CN"/>
        </w:rPr>
        <w:t>本次招标项目招标投标监督机构为长沙穗城轨道交通有限公司经营管理部</w:t>
      </w:r>
    </w:p>
    <w:p w14:paraId="32695227">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textAlignment w:val="auto"/>
        <w:rPr>
          <w:rFonts w:hint="eastAsia"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val="en-US" w:eastAsia="zh-CN"/>
        </w:rPr>
        <w:t>联系人：魏先生，电话：0731-81635488。</w:t>
      </w:r>
    </w:p>
    <w:p w14:paraId="6755F819">
      <w:pPr>
        <w:keepNext w:val="0"/>
        <w:keepLines w:val="0"/>
        <w:pageBreakBefore w:val="0"/>
        <w:widowControl w:val="0"/>
        <w:kinsoku/>
        <w:wordWrap/>
        <w:overflowPunct/>
        <w:topLinePunct w:val="0"/>
        <w:autoSpaceDE/>
        <w:autoSpaceDN/>
        <w:bidi w:val="0"/>
        <w:adjustRightInd/>
        <w:snapToGrid/>
        <w:spacing w:beforeLines="0" w:afterLines="0" w:line="360" w:lineRule="auto"/>
        <w:ind w:firstLine="422" w:firstLineChars="200"/>
        <w:textAlignment w:val="auto"/>
        <w:rPr>
          <w:rFonts w:hint="eastAsia" w:ascii="宋体" w:hAnsi="宋体" w:eastAsia="宋体" w:cs="宋体"/>
          <w:b/>
          <w:bCs/>
          <w:color w:val="auto"/>
          <w:sz w:val="21"/>
          <w:szCs w:val="24"/>
          <w:highlight w:val="none"/>
        </w:rPr>
      </w:pPr>
      <w:r>
        <w:rPr>
          <w:rFonts w:hint="eastAsia" w:ascii="宋体" w:hAnsi="宋体" w:cs="宋体"/>
          <w:b/>
          <w:bCs/>
          <w:color w:val="auto"/>
          <w:sz w:val="21"/>
          <w:szCs w:val="24"/>
          <w:highlight w:val="none"/>
          <w:lang w:val="en-US" w:eastAsia="zh-CN"/>
        </w:rPr>
        <w:t>10</w:t>
      </w:r>
      <w:r>
        <w:rPr>
          <w:rFonts w:hint="eastAsia" w:ascii="宋体" w:hAnsi="宋体" w:eastAsia="宋体" w:cs="宋体"/>
          <w:b/>
          <w:bCs/>
          <w:color w:val="auto"/>
          <w:sz w:val="21"/>
          <w:szCs w:val="24"/>
          <w:highlight w:val="none"/>
          <w:lang w:val="en-US" w:eastAsia="zh-CN"/>
        </w:rPr>
        <w:t>.招标人及其委托的招标代理机构的名称、地址和联系方法</w:t>
      </w:r>
    </w:p>
    <w:p w14:paraId="2D6EE315">
      <w:pPr>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招标人：长沙穗城轨道交通有限公司</w:t>
      </w:r>
    </w:p>
    <w:p w14:paraId="5090E662">
      <w:pPr>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地址：湖南省长沙县榔梨街道东六路南段85号轨道交通六号线黄梨路车辆段</w:t>
      </w:r>
    </w:p>
    <w:p w14:paraId="4963BD8F">
      <w:pPr>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招标代理机构：</w:t>
      </w:r>
      <w:r>
        <w:rPr>
          <w:rFonts w:hint="eastAsia" w:ascii="宋体" w:hAnsi="宋体" w:cs="宋体"/>
          <w:snapToGrid w:val="0"/>
          <w:color w:val="auto"/>
          <w:kern w:val="0"/>
          <w:szCs w:val="21"/>
          <w:highlight w:val="none"/>
        </w:rPr>
        <w:t>中技建设咨询有限公司</w:t>
      </w:r>
    </w:p>
    <w:p w14:paraId="44CD0B73">
      <w:pPr>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地  址：</w:t>
      </w:r>
      <w:r>
        <w:rPr>
          <w:rFonts w:hint="eastAsia" w:ascii="宋体" w:hAnsi="宋体" w:cs="宋体"/>
          <w:snapToGrid w:val="0"/>
          <w:color w:val="auto"/>
          <w:kern w:val="0"/>
          <w:szCs w:val="21"/>
          <w:highlight w:val="none"/>
        </w:rPr>
        <w:t>湖南省长沙市雨花区湘府中路117号高升金典商务楼12层</w:t>
      </w:r>
    </w:p>
    <w:p w14:paraId="2BC91B09">
      <w:pPr>
        <w:spacing w:line="360" w:lineRule="auto"/>
        <w:ind w:firstLine="420" w:firstLineChars="200"/>
        <w:rPr>
          <w:rFonts w:hint="default" w:ascii="宋体" w:hAnsi="宋体" w:eastAsia="宋体" w:cs="宋体"/>
          <w:snapToGrid w:val="0"/>
          <w:color w:val="auto"/>
          <w:kern w:val="0"/>
          <w:szCs w:val="21"/>
          <w:highlight w:val="none"/>
          <w:lang w:val="en-US" w:eastAsia="zh-CN"/>
        </w:rPr>
      </w:pPr>
      <w:r>
        <w:rPr>
          <w:rFonts w:hint="eastAsia" w:ascii="宋体" w:hAnsi="宋体" w:cs="宋体"/>
          <w:snapToGrid w:val="0"/>
          <w:color w:val="auto"/>
          <w:kern w:val="0"/>
          <w:szCs w:val="21"/>
          <w:highlight w:val="none"/>
        </w:rPr>
        <w:t>联系人：</w:t>
      </w:r>
      <w:r>
        <w:rPr>
          <w:rFonts w:hint="eastAsia" w:ascii="宋体" w:hAnsi="宋体" w:eastAsia="宋体" w:cs="宋体"/>
          <w:highlight w:val="none"/>
          <w:lang w:val="en-US" w:eastAsia="zh-CN"/>
        </w:rPr>
        <w:t>杨邵芳</w:t>
      </w:r>
      <w:r>
        <w:rPr>
          <w:rFonts w:hint="eastAsia" w:ascii="宋体" w:hAnsi="宋体" w:eastAsia="宋体" w:cs="宋体"/>
          <w:highlight w:val="none"/>
        </w:rPr>
        <w:t>、陈紫璇、</w:t>
      </w:r>
      <w:r>
        <w:rPr>
          <w:rFonts w:hint="eastAsia" w:ascii="宋体" w:hAnsi="宋体" w:eastAsia="宋体" w:cs="宋体"/>
          <w:highlight w:val="none"/>
          <w:lang w:val="en-US" w:eastAsia="zh-CN"/>
        </w:rPr>
        <w:t>呙于旭</w:t>
      </w:r>
    </w:p>
    <w:p w14:paraId="62C411BC">
      <w:pPr>
        <w:wordWrap/>
        <w:spacing w:beforeLines="-2147483648" w:afterLines="-2147483648" w:line="360" w:lineRule="auto"/>
        <w:ind w:firstLine="420" w:firstLineChars="200"/>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电  话：</w:t>
      </w:r>
      <w:r>
        <w:rPr>
          <w:rFonts w:hint="eastAsia" w:ascii="宋体" w:hAnsi="宋体" w:eastAsia="宋体" w:cs="宋体"/>
          <w:snapToGrid w:val="0"/>
          <w:color w:val="000000"/>
          <w:kern w:val="0"/>
          <w:szCs w:val="21"/>
          <w:highlight w:val="none"/>
          <w:lang w:val="en-US" w:eastAsia="zh-CN"/>
        </w:rPr>
        <w:t>15180916766、</w:t>
      </w:r>
      <w:r>
        <w:rPr>
          <w:rFonts w:hint="eastAsia" w:ascii="宋体" w:hAnsi="宋体" w:eastAsia="宋体" w:cs="宋体"/>
          <w:snapToGrid w:val="0"/>
          <w:color w:val="000000"/>
          <w:kern w:val="0"/>
          <w:szCs w:val="21"/>
          <w:highlight w:val="none"/>
        </w:rPr>
        <w:t>18229947217、1877487781</w:t>
      </w:r>
      <w:r>
        <w:rPr>
          <w:rFonts w:ascii="宋体" w:hAnsi="宋体" w:eastAsia="宋体" w:cs="宋体"/>
          <w:snapToGrid w:val="0"/>
          <w:color w:val="000000"/>
          <w:kern w:val="0"/>
          <w:szCs w:val="21"/>
          <w:highlight w:val="none"/>
        </w:rPr>
        <w:t>2</w:t>
      </w:r>
    </w:p>
    <w:p w14:paraId="732FF279">
      <w:pPr>
        <w:rPr>
          <w:rFonts w:ascii="宋体" w:hAnsi="宋体" w:eastAsia="宋体" w:cs="宋体"/>
          <w:b/>
          <w:bCs/>
          <w:snapToGrid w:val="0"/>
          <w:color w:val="auto"/>
          <w:kern w:val="0"/>
          <w:sz w:val="21"/>
          <w:szCs w:val="21"/>
          <w:highlight w:val="none"/>
        </w:rPr>
      </w:pPr>
      <w:r>
        <w:rPr>
          <w:rFonts w:hAnsi="黑体"/>
          <w:color w:val="auto"/>
          <w:sz w:val="44"/>
          <w:szCs w:val="44"/>
          <w:highlight w:val="none"/>
        </w:rPr>
        <w:br w:type="page"/>
      </w:r>
      <w:r>
        <w:rPr>
          <w:rFonts w:hint="eastAsia" w:ascii="宋体" w:hAnsi="宋体" w:eastAsia="宋体" w:cs="宋体"/>
          <w:b/>
          <w:bCs/>
          <w:snapToGrid w:val="0"/>
          <w:color w:val="auto"/>
          <w:kern w:val="0"/>
          <w:sz w:val="21"/>
          <w:szCs w:val="21"/>
          <w:highlight w:val="none"/>
        </w:rPr>
        <w:t>附件</w:t>
      </w:r>
      <w:r>
        <w:rPr>
          <w:rFonts w:ascii="宋体" w:hAnsi="宋体" w:eastAsia="宋体" w:cs="宋体"/>
          <w:b/>
          <w:bCs/>
          <w:snapToGrid w:val="0"/>
          <w:color w:val="auto"/>
          <w:kern w:val="0"/>
          <w:sz w:val="21"/>
          <w:szCs w:val="21"/>
          <w:highlight w:val="none"/>
        </w:rPr>
        <w:t>1</w:t>
      </w:r>
      <w:r>
        <w:rPr>
          <w:rFonts w:hint="eastAsia" w:ascii="宋体" w:hAnsi="宋体" w:eastAsia="宋体" w:cs="宋体"/>
          <w:b/>
          <w:bCs/>
          <w:snapToGrid w:val="0"/>
          <w:color w:val="auto"/>
          <w:kern w:val="0"/>
          <w:sz w:val="21"/>
          <w:szCs w:val="21"/>
          <w:highlight w:val="none"/>
        </w:rPr>
        <w:t>：《</w:t>
      </w:r>
      <w:r>
        <w:rPr>
          <w:rFonts w:hint="eastAsia" w:ascii="宋体" w:hAnsi="宋体" w:eastAsia="宋体" w:cs="宋体"/>
          <w:b/>
          <w:bCs/>
          <w:snapToGrid w:val="0"/>
          <w:color w:val="auto"/>
          <w:kern w:val="0"/>
          <w:sz w:val="21"/>
          <w:szCs w:val="21"/>
          <w:highlight w:val="none"/>
          <w:lang w:eastAsia="zh-CN"/>
        </w:rPr>
        <w:t>202</w:t>
      </w:r>
      <w:r>
        <w:rPr>
          <w:rFonts w:hint="eastAsia" w:ascii="宋体" w:hAnsi="宋体" w:cs="宋体"/>
          <w:b/>
          <w:bCs/>
          <w:snapToGrid w:val="0"/>
          <w:color w:val="auto"/>
          <w:kern w:val="0"/>
          <w:sz w:val="21"/>
          <w:szCs w:val="21"/>
          <w:highlight w:val="none"/>
          <w:lang w:val="en-US" w:eastAsia="zh-CN"/>
        </w:rPr>
        <w:t>5</w:t>
      </w:r>
      <w:r>
        <w:rPr>
          <w:rFonts w:hint="eastAsia" w:ascii="宋体" w:hAnsi="宋体" w:eastAsia="宋体" w:cs="宋体"/>
          <w:b/>
          <w:bCs/>
          <w:snapToGrid w:val="0"/>
          <w:color w:val="auto"/>
          <w:kern w:val="0"/>
          <w:sz w:val="21"/>
          <w:szCs w:val="21"/>
          <w:highlight w:val="none"/>
        </w:rPr>
        <w:t>年长沙穗城轨道交通有限公司年度员工体检项目单项控制价公示表》</w:t>
      </w:r>
    </w:p>
    <w:tbl>
      <w:tblPr>
        <w:tblStyle w:val="64"/>
        <w:tblW w:w="809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
        <w:gridCol w:w="760"/>
        <w:gridCol w:w="570"/>
        <w:gridCol w:w="1239"/>
        <w:gridCol w:w="3378"/>
        <w:gridCol w:w="2140"/>
      </w:tblGrid>
      <w:tr w14:paraId="10B3E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65"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9156B0">
            <w:pPr>
              <w:keepNext w:val="0"/>
              <w:keepLines w:val="0"/>
              <w:widowControl/>
              <w:suppressLineNumbers w:val="0"/>
              <w:jc w:val="center"/>
              <w:textAlignment w:val="center"/>
              <w:rPr>
                <w:rFonts w:ascii="黑体" w:hAnsi="宋体" w:eastAsia="黑体" w:cs="黑体"/>
                <w:b/>
                <w:bCs/>
                <w:i w:val="0"/>
                <w:iCs w:val="0"/>
                <w:color w:val="auto"/>
                <w:sz w:val="20"/>
                <w:szCs w:val="20"/>
                <w:u w:val="none"/>
              </w:rPr>
            </w:pPr>
            <w:r>
              <w:rPr>
                <w:rFonts w:hint="eastAsia" w:ascii="黑体" w:hAnsi="宋体" w:eastAsia="黑体" w:cs="黑体"/>
                <w:b/>
                <w:bCs/>
                <w:i w:val="0"/>
                <w:iCs w:val="0"/>
                <w:color w:val="auto"/>
                <w:kern w:val="0"/>
                <w:sz w:val="20"/>
                <w:szCs w:val="20"/>
                <w:u w:val="none"/>
                <w:lang w:val="en-US" w:eastAsia="zh-CN" w:bidi="ar"/>
              </w:rPr>
              <w:t>序号</w:t>
            </w:r>
          </w:p>
        </w:tc>
        <w:tc>
          <w:tcPr>
            <w:tcW w:w="5187"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320C51">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kern w:val="0"/>
                <w:sz w:val="20"/>
                <w:szCs w:val="20"/>
                <w:u w:val="none"/>
                <w:lang w:val="en-US" w:eastAsia="zh-CN" w:bidi="ar"/>
              </w:rPr>
              <w:t>体检项目</w:t>
            </w:r>
          </w:p>
        </w:tc>
        <w:tc>
          <w:tcPr>
            <w:tcW w:w="2140" w:type="dxa"/>
            <w:vMerge w:val="restart"/>
            <w:tcBorders>
              <w:top w:val="single" w:color="000000" w:sz="4" w:space="0"/>
              <w:left w:val="single" w:color="000000" w:sz="4" w:space="0"/>
              <w:bottom w:val="single" w:color="000000" w:sz="4" w:space="0"/>
              <w:right w:val="single" w:color="000000" w:sz="4" w:space="0"/>
            </w:tcBorders>
            <w:noWrap w:val="0"/>
            <w:vAlign w:val="center"/>
          </w:tcPr>
          <w:p w14:paraId="62B05716">
            <w:pPr>
              <w:keepNext w:val="0"/>
              <w:keepLines w:val="0"/>
              <w:widowControl/>
              <w:suppressLineNumbers w:val="0"/>
              <w:jc w:val="center"/>
              <w:textAlignment w:val="center"/>
              <w:rPr>
                <w:rFonts w:hint="eastAsia" w:ascii="黑体" w:hAnsi="宋体" w:eastAsia="黑体" w:cs="黑体"/>
                <w:b/>
                <w:bCs/>
                <w:i w:val="0"/>
                <w:iCs w:val="0"/>
                <w:color w:val="auto"/>
                <w:kern w:val="0"/>
                <w:sz w:val="20"/>
                <w:szCs w:val="20"/>
                <w:u w:val="none"/>
                <w:lang w:val="en-US" w:eastAsia="zh-CN" w:bidi="ar"/>
              </w:rPr>
            </w:pPr>
            <w:r>
              <w:rPr>
                <w:rFonts w:hint="eastAsia" w:ascii="黑体" w:hAnsi="宋体" w:eastAsia="黑体" w:cs="黑体"/>
                <w:b/>
                <w:bCs/>
                <w:i w:val="0"/>
                <w:iCs w:val="0"/>
                <w:color w:val="auto"/>
                <w:kern w:val="0"/>
                <w:sz w:val="20"/>
                <w:szCs w:val="20"/>
                <w:u w:val="none"/>
                <w:lang w:val="en-US" w:eastAsia="zh-CN" w:bidi="ar"/>
              </w:rPr>
              <w:t>单项控制价</w:t>
            </w:r>
          </w:p>
          <w:p w14:paraId="03856979">
            <w:pPr>
              <w:keepNext w:val="0"/>
              <w:keepLines w:val="0"/>
              <w:widowControl/>
              <w:suppressLineNumbers w:val="0"/>
              <w:jc w:val="center"/>
              <w:textAlignment w:val="center"/>
              <w:rPr>
                <w:rFonts w:hint="eastAsia" w:ascii="黑体" w:hAnsi="宋体" w:eastAsia="黑体" w:cs="黑体"/>
                <w:b/>
                <w:bCs/>
                <w:i w:val="0"/>
                <w:iCs w:val="0"/>
                <w:color w:val="auto"/>
                <w:sz w:val="20"/>
                <w:szCs w:val="20"/>
                <w:u w:val="none"/>
              </w:rPr>
            </w:pPr>
            <w:r>
              <w:rPr>
                <w:rFonts w:hint="eastAsia" w:ascii="黑体" w:hAnsi="宋体" w:eastAsia="黑体" w:cs="黑体"/>
                <w:b/>
                <w:bCs/>
                <w:i w:val="0"/>
                <w:iCs w:val="0"/>
                <w:color w:val="auto"/>
                <w:kern w:val="0"/>
                <w:sz w:val="20"/>
                <w:szCs w:val="20"/>
                <w:u w:val="none"/>
                <w:lang w:val="en-US" w:eastAsia="zh-CN" w:bidi="ar"/>
              </w:rPr>
              <w:t>（元）</w:t>
            </w:r>
          </w:p>
        </w:tc>
      </w:tr>
      <w:tr w14:paraId="0FEEF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765"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34F1E3">
            <w:pPr>
              <w:jc w:val="center"/>
              <w:rPr>
                <w:rFonts w:hint="eastAsia" w:ascii="黑体" w:hAnsi="宋体" w:eastAsia="黑体" w:cs="黑体"/>
                <w:b/>
                <w:bCs/>
                <w:i w:val="0"/>
                <w:iCs w:val="0"/>
                <w:color w:val="auto"/>
                <w:sz w:val="20"/>
                <w:szCs w:val="20"/>
                <w:u w:val="none"/>
              </w:rPr>
            </w:pPr>
          </w:p>
        </w:tc>
        <w:tc>
          <w:tcPr>
            <w:tcW w:w="5187" w:type="dxa"/>
            <w:gridSpan w:val="3"/>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1D2EA5">
            <w:pPr>
              <w:jc w:val="center"/>
              <w:rPr>
                <w:rFonts w:hint="eastAsia" w:ascii="黑体" w:hAnsi="宋体" w:eastAsia="黑体" w:cs="黑体"/>
                <w:b/>
                <w:bCs/>
                <w:i w:val="0"/>
                <w:iCs w:val="0"/>
                <w:color w:val="auto"/>
                <w:sz w:val="20"/>
                <w:szCs w:val="20"/>
                <w:u w:val="none"/>
              </w:rPr>
            </w:pPr>
          </w:p>
        </w:tc>
        <w:tc>
          <w:tcPr>
            <w:tcW w:w="21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8778CC">
            <w:pPr>
              <w:jc w:val="center"/>
              <w:rPr>
                <w:rFonts w:hint="eastAsia" w:ascii="黑体" w:hAnsi="宋体" w:eastAsia="黑体" w:cs="黑体"/>
                <w:b/>
                <w:bCs/>
                <w:i w:val="0"/>
                <w:iCs w:val="0"/>
                <w:color w:val="auto"/>
                <w:sz w:val="20"/>
                <w:szCs w:val="20"/>
                <w:u w:val="none"/>
              </w:rPr>
            </w:pPr>
          </w:p>
        </w:tc>
      </w:tr>
      <w:tr w14:paraId="59861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00" w:hRule="atLeast"/>
        </w:trPr>
        <w:tc>
          <w:tcPr>
            <w:tcW w:w="8087" w:type="dxa"/>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091D28">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一、基础体检项目★</w:t>
            </w:r>
          </w:p>
        </w:tc>
      </w:tr>
      <w:tr w14:paraId="3824A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2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4713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C713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一般项目</w:t>
            </w:r>
          </w:p>
        </w:tc>
        <w:tc>
          <w:tcPr>
            <w:tcW w:w="2140" w:type="dxa"/>
            <w:vMerge w:val="restart"/>
            <w:tcBorders>
              <w:top w:val="single" w:color="000000" w:sz="4" w:space="0"/>
              <w:left w:val="single" w:color="000000" w:sz="4" w:space="0"/>
              <w:right w:val="single" w:color="000000" w:sz="4" w:space="0"/>
            </w:tcBorders>
            <w:noWrap/>
            <w:vAlign w:val="center"/>
          </w:tcPr>
          <w:p w14:paraId="632C6540">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default" w:ascii="宋体" w:hAnsi="宋体" w:eastAsia="宋体" w:cs="宋体"/>
                <w:i w:val="0"/>
                <w:iCs w:val="0"/>
                <w:color w:val="auto"/>
                <w:kern w:val="0"/>
                <w:sz w:val="20"/>
                <w:szCs w:val="20"/>
                <w:u w:val="none"/>
                <w:lang w:val="en-US" w:eastAsia="zh-CN" w:bidi="ar"/>
              </w:rPr>
              <w:t>31.2</w:t>
            </w:r>
            <w:r>
              <w:rPr>
                <w:rFonts w:hint="eastAsia" w:ascii="宋体" w:hAnsi="宋体" w:eastAsia="宋体" w:cs="宋体"/>
                <w:i w:val="0"/>
                <w:iCs w:val="0"/>
                <w:color w:val="auto"/>
                <w:kern w:val="0"/>
                <w:sz w:val="20"/>
                <w:szCs w:val="20"/>
                <w:u w:val="none"/>
                <w:lang w:val="en-US" w:eastAsia="zh-CN" w:bidi="ar"/>
              </w:rPr>
              <w:t>7</w:t>
            </w:r>
          </w:p>
        </w:tc>
      </w:tr>
      <w:tr w14:paraId="41ECD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2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7A87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86F3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内科</w:t>
            </w:r>
          </w:p>
        </w:tc>
        <w:tc>
          <w:tcPr>
            <w:tcW w:w="2140" w:type="dxa"/>
            <w:vMerge w:val="continue"/>
            <w:tcBorders>
              <w:left w:val="single" w:color="000000" w:sz="4" w:space="0"/>
              <w:right w:val="single" w:color="000000" w:sz="4" w:space="0"/>
            </w:tcBorders>
            <w:noWrap/>
            <w:vAlign w:val="center"/>
          </w:tcPr>
          <w:p w14:paraId="0BBE24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r>
      <w:tr w14:paraId="6F2FD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2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FAFD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C300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外科</w:t>
            </w:r>
          </w:p>
        </w:tc>
        <w:tc>
          <w:tcPr>
            <w:tcW w:w="2140" w:type="dxa"/>
            <w:vMerge w:val="continue"/>
            <w:tcBorders>
              <w:left w:val="single" w:color="000000" w:sz="4" w:space="0"/>
              <w:right w:val="single" w:color="000000" w:sz="4" w:space="0"/>
            </w:tcBorders>
            <w:noWrap/>
            <w:vAlign w:val="center"/>
          </w:tcPr>
          <w:p w14:paraId="64150D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r>
      <w:tr w14:paraId="29543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2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40CE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E604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耳鼻喉科</w:t>
            </w:r>
          </w:p>
        </w:tc>
        <w:tc>
          <w:tcPr>
            <w:tcW w:w="2140" w:type="dxa"/>
            <w:vMerge w:val="continue"/>
            <w:tcBorders>
              <w:left w:val="single" w:color="000000" w:sz="4" w:space="0"/>
              <w:right w:val="single" w:color="000000" w:sz="4" w:space="0"/>
            </w:tcBorders>
            <w:noWrap/>
            <w:vAlign w:val="center"/>
          </w:tcPr>
          <w:p w14:paraId="7803E8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r>
      <w:tr w14:paraId="6188B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2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2BD2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C49F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口腔科</w:t>
            </w:r>
          </w:p>
        </w:tc>
        <w:tc>
          <w:tcPr>
            <w:tcW w:w="2140" w:type="dxa"/>
            <w:vMerge w:val="continue"/>
            <w:tcBorders>
              <w:left w:val="single" w:color="000000" w:sz="4" w:space="0"/>
              <w:bottom w:val="single" w:color="000000" w:sz="4" w:space="0"/>
              <w:right w:val="single" w:color="000000" w:sz="4" w:space="0"/>
            </w:tcBorders>
            <w:noWrap/>
            <w:vAlign w:val="center"/>
          </w:tcPr>
          <w:p w14:paraId="717551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r>
      <w:tr w14:paraId="2F69B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1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0262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4CCDB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眼科</w:t>
            </w:r>
          </w:p>
        </w:tc>
        <w:tc>
          <w:tcPr>
            <w:tcW w:w="33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247C76">
            <w:pPr>
              <w:keepNext w:val="0"/>
              <w:keepLines w:val="0"/>
              <w:widowControl/>
              <w:suppressLineNumbers w:val="0"/>
              <w:jc w:val="left"/>
              <w:textAlignment w:val="center"/>
              <w:rPr>
                <w:rFonts w:ascii="Times New Roman" w:hAnsi="Times New Roman" w:eastAsia="宋体" w:cs="Times New Roman"/>
                <w:color w:val="auto"/>
                <w:szCs w:val="22"/>
              </w:rPr>
            </w:pPr>
            <w:r>
              <w:rPr>
                <w:rFonts w:hint="eastAsia" w:ascii="宋体" w:hAnsi="宋体" w:eastAsia="宋体" w:cs="宋体"/>
                <w:i w:val="0"/>
                <w:iCs w:val="0"/>
                <w:color w:val="auto"/>
                <w:kern w:val="0"/>
                <w:sz w:val="20"/>
                <w:szCs w:val="20"/>
                <w:u w:val="none"/>
                <w:lang w:val="en-US" w:eastAsia="zh-CN" w:bidi="ar"/>
              </w:rPr>
              <w:t>包括但不限于眼底检查（裂隙灯下）、视力、辨色力</w:t>
            </w:r>
          </w:p>
        </w:tc>
        <w:tc>
          <w:tcPr>
            <w:tcW w:w="2140" w:type="dxa"/>
            <w:tcBorders>
              <w:top w:val="single" w:color="000000" w:sz="4" w:space="0"/>
              <w:left w:val="single" w:color="000000" w:sz="4" w:space="0"/>
              <w:bottom w:val="single" w:color="000000" w:sz="4" w:space="0"/>
              <w:right w:val="single" w:color="000000" w:sz="4" w:space="0"/>
            </w:tcBorders>
            <w:noWrap w:val="0"/>
            <w:vAlign w:val="center"/>
          </w:tcPr>
          <w:p w14:paraId="0F45ACD0">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15.25</w:t>
            </w:r>
          </w:p>
        </w:tc>
      </w:tr>
      <w:tr w14:paraId="4822A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66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5798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6E71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血细胞分析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（全血细胞计数加五分类）</w:t>
            </w:r>
          </w:p>
        </w:tc>
        <w:tc>
          <w:tcPr>
            <w:tcW w:w="2140" w:type="dxa"/>
            <w:tcBorders>
              <w:top w:val="nil"/>
              <w:left w:val="single" w:color="000000" w:sz="4" w:space="0"/>
              <w:bottom w:val="single" w:color="000000" w:sz="4" w:space="0"/>
              <w:right w:val="single" w:color="000000" w:sz="4" w:space="0"/>
            </w:tcBorders>
            <w:noWrap/>
            <w:vAlign w:val="center"/>
          </w:tcPr>
          <w:p w14:paraId="775EC1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15.25</w:t>
            </w:r>
          </w:p>
        </w:tc>
      </w:tr>
      <w:tr w14:paraId="100C5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7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B980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9558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尿液分析（含镜检）</w:t>
            </w:r>
          </w:p>
        </w:tc>
        <w:tc>
          <w:tcPr>
            <w:tcW w:w="2140" w:type="dxa"/>
            <w:tcBorders>
              <w:top w:val="nil"/>
              <w:left w:val="single" w:color="000000" w:sz="4" w:space="0"/>
              <w:bottom w:val="single" w:color="000000" w:sz="4" w:space="0"/>
              <w:right w:val="single" w:color="000000" w:sz="4" w:space="0"/>
            </w:tcBorders>
            <w:noWrap/>
            <w:vAlign w:val="center"/>
          </w:tcPr>
          <w:p w14:paraId="26EDCF96">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7.63</w:t>
            </w:r>
          </w:p>
        </w:tc>
      </w:tr>
      <w:tr w14:paraId="25917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4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4C8C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BA53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粪便常规(机器法)</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加隐血试验</w:t>
            </w:r>
          </w:p>
        </w:tc>
        <w:tc>
          <w:tcPr>
            <w:tcW w:w="2140" w:type="dxa"/>
            <w:tcBorders>
              <w:top w:val="nil"/>
              <w:left w:val="single" w:color="000000" w:sz="4" w:space="0"/>
              <w:bottom w:val="single" w:color="000000" w:sz="4" w:space="0"/>
              <w:right w:val="single" w:color="000000" w:sz="4" w:space="0"/>
            </w:tcBorders>
            <w:noWrap/>
            <w:vAlign w:val="center"/>
          </w:tcPr>
          <w:p w14:paraId="498E65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22.88</w:t>
            </w:r>
          </w:p>
        </w:tc>
      </w:tr>
      <w:tr w14:paraId="0B90E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52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9D49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5B23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肝功能十一项</w:t>
            </w:r>
          </w:p>
        </w:tc>
        <w:tc>
          <w:tcPr>
            <w:tcW w:w="2140" w:type="dxa"/>
            <w:tcBorders>
              <w:top w:val="nil"/>
              <w:left w:val="single" w:color="000000" w:sz="4" w:space="0"/>
              <w:bottom w:val="single" w:color="000000" w:sz="4" w:space="0"/>
              <w:right w:val="single" w:color="000000" w:sz="4" w:space="0"/>
            </w:tcBorders>
            <w:noWrap/>
            <w:vAlign w:val="center"/>
          </w:tcPr>
          <w:p w14:paraId="15F39F4B">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41.94</w:t>
            </w:r>
          </w:p>
        </w:tc>
      </w:tr>
      <w:tr w14:paraId="46F30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6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AFE8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9ED9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乙型病毒性肝炎检测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（乙肝三对检查）</w:t>
            </w:r>
          </w:p>
        </w:tc>
        <w:tc>
          <w:tcPr>
            <w:tcW w:w="2140" w:type="dxa"/>
            <w:tcBorders>
              <w:top w:val="single" w:color="000000" w:sz="4" w:space="0"/>
              <w:left w:val="single" w:color="000000" w:sz="4" w:space="0"/>
              <w:bottom w:val="single" w:color="000000" w:sz="4" w:space="0"/>
              <w:right w:val="single" w:color="000000" w:sz="4" w:space="0"/>
            </w:tcBorders>
            <w:noWrap/>
            <w:vAlign w:val="center"/>
          </w:tcPr>
          <w:p w14:paraId="43AAACA6">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19.07</w:t>
            </w:r>
          </w:p>
        </w:tc>
      </w:tr>
      <w:tr w14:paraId="20019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3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A549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C678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肾功能三项</w:t>
            </w:r>
          </w:p>
        </w:tc>
        <w:tc>
          <w:tcPr>
            <w:tcW w:w="33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E09CAD">
            <w:pPr>
              <w:keepNext w:val="0"/>
              <w:keepLines w:val="0"/>
              <w:widowControl/>
              <w:suppressLineNumbers w:val="0"/>
              <w:jc w:val="center"/>
              <w:textAlignment w:val="center"/>
              <w:rPr>
                <w:rFonts w:ascii="Times New Roman" w:hAnsi="Times New Roman" w:eastAsia="宋体" w:cs="Times New Roman"/>
                <w:color w:val="auto"/>
                <w:szCs w:val="22"/>
              </w:rPr>
            </w:pPr>
            <w:r>
              <w:rPr>
                <w:rFonts w:hint="eastAsia" w:ascii="宋体" w:hAnsi="宋体" w:eastAsia="宋体" w:cs="宋体"/>
                <w:i w:val="0"/>
                <w:iCs w:val="0"/>
                <w:color w:val="auto"/>
                <w:kern w:val="0"/>
                <w:sz w:val="20"/>
                <w:szCs w:val="20"/>
                <w:u w:val="none"/>
                <w:lang w:val="en-US" w:eastAsia="zh-CN" w:bidi="ar"/>
              </w:rPr>
              <w:t>尿素氮（BUN）、尿酸（UA）、肌酐（Cr）</w:t>
            </w:r>
          </w:p>
        </w:tc>
        <w:tc>
          <w:tcPr>
            <w:tcW w:w="2140" w:type="dxa"/>
            <w:tcBorders>
              <w:top w:val="nil"/>
              <w:left w:val="single" w:color="000000" w:sz="4" w:space="0"/>
              <w:bottom w:val="single" w:color="000000" w:sz="4" w:space="0"/>
              <w:right w:val="single" w:color="000000" w:sz="4" w:space="0"/>
            </w:tcBorders>
            <w:noWrap/>
            <w:vAlign w:val="center"/>
          </w:tcPr>
          <w:p w14:paraId="745BA0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color w:val="auto"/>
                <w:kern w:val="0"/>
                <w:sz w:val="20"/>
                <w:szCs w:val="20"/>
                <w:u w:val="none"/>
                <w:lang w:bidi="ar"/>
              </w:rPr>
              <w:t xml:space="preserve">13.73 </w:t>
            </w:r>
          </w:p>
        </w:tc>
      </w:tr>
      <w:tr w14:paraId="14D37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62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4DD6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E071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空腹血糖</w:t>
            </w:r>
          </w:p>
        </w:tc>
        <w:tc>
          <w:tcPr>
            <w:tcW w:w="2140" w:type="dxa"/>
            <w:tcBorders>
              <w:top w:val="nil"/>
              <w:left w:val="single" w:color="000000" w:sz="4" w:space="0"/>
              <w:bottom w:val="single" w:color="000000" w:sz="4" w:space="0"/>
              <w:right w:val="single" w:color="000000" w:sz="4" w:space="0"/>
            </w:tcBorders>
            <w:noWrap/>
            <w:vAlign w:val="center"/>
          </w:tcPr>
          <w:p w14:paraId="32821B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color w:val="auto"/>
                <w:kern w:val="0"/>
                <w:sz w:val="20"/>
                <w:szCs w:val="20"/>
                <w:u w:val="none"/>
                <w:lang w:bidi="ar"/>
              </w:rPr>
              <w:t xml:space="preserve">3.81 </w:t>
            </w:r>
          </w:p>
        </w:tc>
      </w:tr>
      <w:tr w14:paraId="4DD42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0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C6CA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0B23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血脂四项</w:t>
            </w:r>
          </w:p>
        </w:tc>
        <w:tc>
          <w:tcPr>
            <w:tcW w:w="33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B91EC9">
            <w:pPr>
              <w:keepNext w:val="0"/>
              <w:keepLines w:val="0"/>
              <w:widowControl/>
              <w:suppressLineNumbers w:val="0"/>
              <w:jc w:val="center"/>
              <w:textAlignment w:val="center"/>
              <w:rPr>
                <w:rFonts w:ascii="Times New Roman" w:hAnsi="Times New Roman" w:eastAsia="宋体" w:cs="Times New Roman"/>
                <w:color w:val="auto"/>
                <w:szCs w:val="22"/>
              </w:rPr>
            </w:pPr>
            <w:r>
              <w:rPr>
                <w:rFonts w:hint="eastAsia" w:ascii="宋体" w:hAnsi="宋体" w:eastAsia="宋体" w:cs="宋体"/>
                <w:i w:val="0"/>
                <w:iCs w:val="0"/>
                <w:color w:val="auto"/>
                <w:kern w:val="0"/>
                <w:sz w:val="20"/>
                <w:szCs w:val="20"/>
                <w:u w:val="none"/>
                <w:lang w:val="en-US" w:eastAsia="zh-CN" w:bidi="ar"/>
              </w:rPr>
              <w:t>总胆固醇（CHOL）、甘油三脂（TG）、高密度胆固醇（HDL）、低密度胆固醇（LDL）</w:t>
            </w:r>
          </w:p>
        </w:tc>
        <w:tc>
          <w:tcPr>
            <w:tcW w:w="2140" w:type="dxa"/>
            <w:tcBorders>
              <w:top w:val="nil"/>
              <w:left w:val="single" w:color="000000" w:sz="4" w:space="0"/>
              <w:bottom w:val="single" w:color="000000" w:sz="4" w:space="0"/>
              <w:right w:val="single" w:color="000000" w:sz="4" w:space="0"/>
            </w:tcBorders>
            <w:noWrap/>
            <w:vAlign w:val="center"/>
          </w:tcPr>
          <w:p w14:paraId="19D923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color w:val="auto"/>
                <w:kern w:val="0"/>
                <w:sz w:val="20"/>
                <w:szCs w:val="20"/>
                <w:u w:val="none"/>
                <w:lang w:bidi="ar"/>
              </w:rPr>
              <w:t xml:space="preserve">18.30 </w:t>
            </w:r>
          </w:p>
        </w:tc>
      </w:tr>
      <w:tr w14:paraId="33425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118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DA80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2BEA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心电图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（同步12导）</w:t>
            </w:r>
          </w:p>
        </w:tc>
        <w:tc>
          <w:tcPr>
            <w:tcW w:w="2140" w:type="dxa"/>
            <w:tcBorders>
              <w:top w:val="nil"/>
              <w:left w:val="single" w:color="000000" w:sz="4" w:space="0"/>
              <w:bottom w:val="single" w:color="000000" w:sz="4" w:space="0"/>
              <w:right w:val="single" w:color="000000" w:sz="4" w:space="0"/>
            </w:tcBorders>
            <w:noWrap/>
            <w:vAlign w:val="center"/>
          </w:tcPr>
          <w:p w14:paraId="3736C9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color w:val="auto"/>
                <w:kern w:val="0"/>
                <w:sz w:val="20"/>
                <w:szCs w:val="20"/>
                <w:u w:val="none"/>
                <w:lang w:bidi="ar"/>
              </w:rPr>
              <w:t xml:space="preserve">16.78 </w:t>
            </w:r>
          </w:p>
        </w:tc>
      </w:tr>
      <w:tr w14:paraId="5DA5D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42" w:hRule="atLeast"/>
        </w:trPr>
        <w:tc>
          <w:tcPr>
            <w:tcW w:w="1330" w:type="dxa"/>
            <w:gridSpan w:val="2"/>
            <w:vMerge w:val="restart"/>
            <w:tcBorders>
              <w:top w:val="single" w:color="000000" w:sz="4" w:space="0"/>
              <w:left w:val="single" w:color="000000" w:sz="4" w:space="0"/>
              <w:right w:val="single" w:color="000000" w:sz="4" w:space="0"/>
            </w:tcBorders>
            <w:shd w:val="clear" w:color="auto" w:fill="FFFFFF"/>
            <w:noWrap w:val="0"/>
            <w:vAlign w:val="center"/>
          </w:tcPr>
          <w:p w14:paraId="7D31CD50">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16</w:t>
            </w:r>
          </w:p>
        </w:tc>
        <w:tc>
          <w:tcPr>
            <w:tcW w:w="1239"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4F9D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彩超</w:t>
            </w:r>
          </w:p>
        </w:tc>
        <w:tc>
          <w:tcPr>
            <w:tcW w:w="33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032E92">
            <w:pPr>
              <w:keepNext w:val="0"/>
              <w:keepLines w:val="0"/>
              <w:widowControl/>
              <w:suppressLineNumbers w:val="0"/>
              <w:jc w:val="center"/>
              <w:textAlignment w:val="center"/>
              <w:rPr>
                <w:rFonts w:ascii="Times New Roman" w:hAnsi="Times New Roman" w:eastAsia="宋体" w:cs="Times New Roman"/>
                <w:color w:val="auto"/>
                <w:szCs w:val="22"/>
              </w:rPr>
            </w:pPr>
            <w:r>
              <w:rPr>
                <w:rFonts w:hint="eastAsia" w:ascii="宋体" w:hAnsi="宋体" w:eastAsia="宋体" w:cs="宋体"/>
                <w:i w:val="0"/>
                <w:iCs w:val="0"/>
                <w:color w:val="auto"/>
                <w:kern w:val="0"/>
                <w:sz w:val="20"/>
                <w:szCs w:val="20"/>
                <w:u w:val="none"/>
                <w:lang w:val="en-US" w:eastAsia="zh-CN" w:bidi="ar"/>
              </w:rPr>
              <w:t>上腹部彩超：肝、胆、脾、胰、双肾</w:t>
            </w:r>
          </w:p>
        </w:tc>
        <w:tc>
          <w:tcPr>
            <w:tcW w:w="2140" w:type="dxa"/>
            <w:tcBorders>
              <w:top w:val="nil"/>
              <w:left w:val="single" w:color="000000" w:sz="4" w:space="0"/>
              <w:bottom w:val="single" w:color="000000" w:sz="4" w:space="0"/>
              <w:right w:val="single" w:color="000000" w:sz="4" w:space="0"/>
            </w:tcBorders>
            <w:noWrap/>
            <w:vAlign w:val="center"/>
          </w:tcPr>
          <w:p w14:paraId="2C6804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color w:val="auto"/>
                <w:kern w:val="0"/>
                <w:sz w:val="20"/>
                <w:szCs w:val="20"/>
                <w:u w:val="none"/>
                <w:lang w:bidi="ar"/>
              </w:rPr>
              <w:t xml:space="preserve">99.14 </w:t>
            </w:r>
          </w:p>
        </w:tc>
      </w:tr>
      <w:tr w14:paraId="130E0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80" w:hRule="atLeast"/>
        </w:trPr>
        <w:tc>
          <w:tcPr>
            <w:tcW w:w="1330" w:type="dxa"/>
            <w:gridSpan w:val="2"/>
            <w:vMerge w:val="continue"/>
            <w:tcBorders>
              <w:left w:val="single" w:color="000000" w:sz="4" w:space="0"/>
              <w:right w:val="single" w:color="000000" w:sz="4" w:space="0"/>
            </w:tcBorders>
            <w:shd w:val="clear" w:color="auto" w:fill="FFFFFF"/>
            <w:noWrap w:val="0"/>
            <w:vAlign w:val="center"/>
          </w:tcPr>
          <w:p w14:paraId="7165D7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23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90803C">
            <w:pPr>
              <w:jc w:val="center"/>
              <w:rPr>
                <w:rFonts w:hint="eastAsia" w:ascii="宋体" w:hAnsi="宋体" w:eastAsia="宋体" w:cs="宋体"/>
                <w:i w:val="0"/>
                <w:iCs w:val="0"/>
                <w:color w:val="auto"/>
                <w:sz w:val="20"/>
                <w:szCs w:val="20"/>
                <w:u w:val="none"/>
              </w:rPr>
            </w:pPr>
          </w:p>
        </w:tc>
        <w:tc>
          <w:tcPr>
            <w:tcW w:w="33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1D95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男性:生殖器或前列腺</w:t>
            </w:r>
          </w:p>
        </w:tc>
        <w:tc>
          <w:tcPr>
            <w:tcW w:w="2140" w:type="dxa"/>
            <w:tcBorders>
              <w:top w:val="single" w:color="000000" w:sz="4" w:space="0"/>
              <w:left w:val="single" w:color="000000" w:sz="4" w:space="0"/>
              <w:bottom w:val="single" w:color="000000" w:sz="4" w:space="0"/>
              <w:right w:val="single" w:color="000000" w:sz="4" w:space="0"/>
            </w:tcBorders>
            <w:noWrap/>
            <w:vAlign w:val="center"/>
          </w:tcPr>
          <w:p w14:paraId="730F60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color w:val="auto"/>
                <w:kern w:val="0"/>
                <w:sz w:val="20"/>
                <w:szCs w:val="20"/>
                <w:u w:val="none"/>
                <w:lang w:bidi="ar"/>
              </w:rPr>
              <w:t xml:space="preserve">99.14 </w:t>
            </w:r>
          </w:p>
        </w:tc>
      </w:tr>
      <w:tr w14:paraId="789C8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280" w:hRule="atLeast"/>
        </w:trPr>
        <w:tc>
          <w:tcPr>
            <w:tcW w:w="1330" w:type="dxa"/>
            <w:gridSpan w:val="2"/>
            <w:vMerge w:val="continue"/>
            <w:tcBorders>
              <w:left w:val="single" w:color="000000" w:sz="4" w:space="0"/>
              <w:bottom w:val="single" w:color="000000" w:sz="4" w:space="0"/>
              <w:right w:val="single" w:color="000000" w:sz="4" w:space="0"/>
            </w:tcBorders>
            <w:shd w:val="clear" w:color="auto" w:fill="FFFFFF"/>
            <w:noWrap w:val="0"/>
            <w:vAlign w:val="center"/>
          </w:tcPr>
          <w:p w14:paraId="784A8A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23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9B0E44">
            <w:pPr>
              <w:jc w:val="center"/>
              <w:rPr>
                <w:rFonts w:hint="eastAsia" w:ascii="宋体" w:hAnsi="宋体" w:eastAsia="宋体" w:cs="宋体"/>
                <w:i w:val="0"/>
                <w:iCs w:val="0"/>
                <w:color w:val="auto"/>
                <w:sz w:val="20"/>
                <w:szCs w:val="20"/>
                <w:u w:val="none"/>
              </w:rPr>
            </w:pPr>
          </w:p>
        </w:tc>
        <w:tc>
          <w:tcPr>
            <w:tcW w:w="33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D238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甲状腺及颈部淋巴结彩超</w:t>
            </w:r>
          </w:p>
        </w:tc>
        <w:tc>
          <w:tcPr>
            <w:tcW w:w="2140" w:type="dxa"/>
            <w:tcBorders>
              <w:top w:val="single" w:color="000000" w:sz="4" w:space="0"/>
              <w:left w:val="single" w:color="000000" w:sz="4" w:space="0"/>
              <w:bottom w:val="single" w:color="000000" w:sz="4" w:space="0"/>
              <w:right w:val="single" w:color="000000" w:sz="4" w:space="0"/>
            </w:tcBorders>
            <w:noWrap/>
            <w:vAlign w:val="center"/>
          </w:tcPr>
          <w:p w14:paraId="3615F2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color w:val="auto"/>
                <w:kern w:val="0"/>
                <w:sz w:val="20"/>
                <w:szCs w:val="20"/>
                <w:u w:val="none"/>
                <w:lang w:bidi="ar"/>
              </w:rPr>
              <w:t xml:space="preserve">76.26 </w:t>
            </w:r>
          </w:p>
        </w:tc>
      </w:tr>
      <w:tr w14:paraId="2C98A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447E35">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17</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77F1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放射科</w:t>
            </w:r>
          </w:p>
        </w:tc>
        <w:tc>
          <w:tcPr>
            <w:tcW w:w="33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3ADF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肺部低剂量螺旋CT</w:t>
            </w:r>
          </w:p>
        </w:tc>
        <w:tc>
          <w:tcPr>
            <w:tcW w:w="2140" w:type="dxa"/>
            <w:tcBorders>
              <w:top w:val="nil"/>
              <w:left w:val="single" w:color="000000" w:sz="4" w:space="0"/>
              <w:bottom w:val="single" w:color="000000" w:sz="4" w:space="0"/>
              <w:right w:val="single" w:color="000000" w:sz="4" w:space="0"/>
            </w:tcBorders>
            <w:noWrap/>
            <w:vAlign w:val="center"/>
          </w:tcPr>
          <w:p w14:paraId="65AFE516">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270.73</w:t>
            </w:r>
          </w:p>
        </w:tc>
      </w:tr>
      <w:tr w14:paraId="0014A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5947"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F0D135">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cs="宋体"/>
                <w:b w:val="0"/>
                <w:bCs w:val="0"/>
                <w:snapToGrid/>
                <w:color w:val="auto"/>
                <w:spacing w:val="0"/>
                <w:kern w:val="0"/>
                <w:sz w:val="20"/>
                <w:szCs w:val="20"/>
                <w:u w:val="none"/>
                <w:lang w:bidi="ar"/>
              </w:rPr>
              <w:t>基本项目合计</w:t>
            </w:r>
          </w:p>
        </w:tc>
        <w:tc>
          <w:tcPr>
            <w:tcW w:w="2140" w:type="dxa"/>
            <w:tcBorders>
              <w:top w:val="nil"/>
              <w:left w:val="single" w:color="000000" w:sz="4" w:space="0"/>
              <w:bottom w:val="single" w:color="000000" w:sz="4" w:space="0"/>
              <w:right w:val="single" w:color="000000" w:sz="4" w:space="0"/>
            </w:tcBorders>
            <w:noWrap/>
            <w:vAlign w:val="center"/>
          </w:tcPr>
          <w:p w14:paraId="71BC038A">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751.18</w:t>
            </w:r>
          </w:p>
        </w:tc>
      </w:tr>
      <w:tr w14:paraId="590BA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52" w:hRule="atLeast"/>
        </w:trPr>
        <w:tc>
          <w:tcPr>
            <w:tcW w:w="8087" w:type="dxa"/>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9DE062">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二、自选体检项目★</w:t>
            </w:r>
          </w:p>
        </w:tc>
      </w:tr>
      <w:tr w14:paraId="5D6C5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3398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6072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C-反应蛋白测定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（CRP，免疫学方法）</w:t>
            </w:r>
          </w:p>
        </w:tc>
        <w:tc>
          <w:tcPr>
            <w:tcW w:w="2140" w:type="dxa"/>
            <w:tcBorders>
              <w:top w:val="single" w:color="000000" w:sz="4" w:space="0"/>
              <w:left w:val="single" w:color="000000" w:sz="4" w:space="0"/>
              <w:bottom w:val="single" w:color="000000" w:sz="4" w:space="0"/>
              <w:right w:val="single" w:color="000000" w:sz="4" w:space="0"/>
            </w:tcBorders>
            <w:noWrap/>
            <w:vAlign w:val="center"/>
          </w:tcPr>
          <w:p w14:paraId="0166DBA8">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13.5</w:t>
            </w:r>
          </w:p>
        </w:tc>
      </w:tr>
      <w:tr w14:paraId="51071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6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A41C1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94E6F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类风湿因子测定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RF，免疫学方法)</w:t>
            </w:r>
          </w:p>
        </w:tc>
        <w:tc>
          <w:tcPr>
            <w:tcW w:w="2140" w:type="dxa"/>
            <w:tcBorders>
              <w:top w:val="nil"/>
              <w:left w:val="single" w:color="000000" w:sz="4" w:space="0"/>
              <w:bottom w:val="single" w:color="000000" w:sz="4" w:space="0"/>
              <w:right w:val="single" w:color="000000" w:sz="4" w:space="0"/>
            </w:tcBorders>
            <w:shd w:val="clear" w:color="auto" w:fill="auto"/>
            <w:noWrap w:val="0"/>
            <w:vAlign w:val="center"/>
          </w:tcPr>
          <w:p w14:paraId="2857472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22.50 </w:t>
            </w:r>
          </w:p>
        </w:tc>
      </w:tr>
      <w:tr w14:paraId="0F5BA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DBA5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10CC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血清胱抑素</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7D4C8">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12.00 </w:t>
            </w:r>
          </w:p>
        </w:tc>
      </w:tr>
      <w:tr w14:paraId="3AA82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0477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F558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凝血常规检查（仪器法）</w:t>
            </w:r>
          </w:p>
        </w:tc>
        <w:tc>
          <w:tcPr>
            <w:tcW w:w="2140" w:type="dxa"/>
            <w:tcBorders>
              <w:top w:val="nil"/>
              <w:left w:val="single" w:color="000000" w:sz="4" w:space="0"/>
              <w:bottom w:val="single" w:color="000000" w:sz="4" w:space="0"/>
              <w:right w:val="single" w:color="000000" w:sz="4" w:space="0"/>
            </w:tcBorders>
            <w:shd w:val="clear" w:color="auto" w:fill="auto"/>
            <w:noWrap/>
            <w:vAlign w:val="center"/>
          </w:tcPr>
          <w:p w14:paraId="494A77FB">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56.25 </w:t>
            </w:r>
          </w:p>
        </w:tc>
      </w:tr>
      <w:tr w14:paraId="373F0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92"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B87B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9104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免疫球蛋白全套</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2B0D5">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60.00 </w:t>
            </w:r>
          </w:p>
        </w:tc>
      </w:tr>
      <w:tr w14:paraId="6EFCF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123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D8FD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1C69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TORCH十项定性（优生优育）</w:t>
            </w:r>
          </w:p>
        </w:tc>
        <w:tc>
          <w:tcPr>
            <w:tcW w:w="2140" w:type="dxa"/>
            <w:tcBorders>
              <w:top w:val="nil"/>
              <w:left w:val="single" w:color="000000" w:sz="4" w:space="0"/>
              <w:bottom w:val="single" w:color="000000" w:sz="4" w:space="0"/>
              <w:right w:val="single" w:color="000000" w:sz="4" w:space="0"/>
            </w:tcBorders>
            <w:shd w:val="clear" w:color="auto" w:fill="auto"/>
            <w:noWrap/>
            <w:vAlign w:val="center"/>
          </w:tcPr>
          <w:p w14:paraId="2B323AB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157.50 </w:t>
            </w:r>
          </w:p>
        </w:tc>
      </w:tr>
      <w:tr w14:paraId="58916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1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4180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9CE9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支原体培养及药敏</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E8AF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37.50 </w:t>
            </w:r>
          </w:p>
        </w:tc>
      </w:tr>
      <w:tr w14:paraId="3C705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0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55AB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15C3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衣原体培养及药敏</w:t>
            </w:r>
          </w:p>
        </w:tc>
        <w:tc>
          <w:tcPr>
            <w:tcW w:w="2140" w:type="dxa"/>
            <w:tcBorders>
              <w:top w:val="nil"/>
              <w:left w:val="single" w:color="000000" w:sz="4" w:space="0"/>
              <w:bottom w:val="single" w:color="000000" w:sz="4" w:space="0"/>
              <w:right w:val="single" w:color="000000" w:sz="4" w:space="0"/>
            </w:tcBorders>
            <w:shd w:val="clear" w:color="auto" w:fill="auto"/>
            <w:noWrap/>
            <w:vAlign w:val="center"/>
          </w:tcPr>
          <w:p w14:paraId="7BEB3121">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30.00 </w:t>
            </w:r>
          </w:p>
        </w:tc>
      </w:tr>
      <w:tr w14:paraId="38C7D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4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870E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16B7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肝纤维化四项</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36EF8">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82.50 </w:t>
            </w:r>
          </w:p>
        </w:tc>
      </w:tr>
      <w:tr w14:paraId="407A3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DCD9C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10</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74D80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乙型肝炎HBV-DNA病毒核酸定量检测</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718E5">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180.00 </w:t>
            </w:r>
          </w:p>
        </w:tc>
      </w:tr>
      <w:tr w14:paraId="2220A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923230">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11</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9C744C">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丙型肝炎病毒核心抗原检测</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09DBC4">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41.25 </w:t>
            </w:r>
          </w:p>
        </w:tc>
      </w:tr>
      <w:tr w14:paraId="3EE86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FD769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12</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87846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丙型肝炎HCV-RNA病毒核酸定量检测</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8B099">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165.00 </w:t>
            </w:r>
          </w:p>
        </w:tc>
      </w:tr>
      <w:tr w14:paraId="3101B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49ED8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0469A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餐后2小时血糖</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1CB8E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3.75 </w:t>
            </w:r>
          </w:p>
        </w:tc>
      </w:tr>
      <w:tr w14:paraId="7912D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3E4BFA">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14</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17C75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高敏肌钙蛋白Ⅰ（化学发光法）</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769A70">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90.00 </w:t>
            </w:r>
          </w:p>
        </w:tc>
      </w:tr>
      <w:tr w14:paraId="4A4A4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287"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98E85C">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15</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0EFB9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心肌酶三项</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A7704B">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45.00 </w:t>
            </w:r>
          </w:p>
        </w:tc>
      </w:tr>
      <w:tr w14:paraId="6E9E6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011FB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16</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072A92">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糖化血红蛋白（高效液相分析法)</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C9DC16">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33.75 </w:t>
            </w:r>
          </w:p>
        </w:tc>
      </w:tr>
      <w:tr w14:paraId="0F1C0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CFA7D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17</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6A661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空腹胰岛素测定</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103014">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45.00 </w:t>
            </w:r>
          </w:p>
        </w:tc>
      </w:tr>
      <w:tr w14:paraId="4BD66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78EAE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18</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6FA5A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胰岛素抗体(INS-Ab)</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E0D86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37.50 </w:t>
            </w:r>
          </w:p>
        </w:tc>
      </w:tr>
      <w:tr w14:paraId="2774B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2B15B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19</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6F30F4">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空腹C肽测定</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E967B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45.00 </w:t>
            </w:r>
          </w:p>
        </w:tc>
      </w:tr>
      <w:tr w14:paraId="7C5B2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CCA0D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20</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6E874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同型半胱氨酸</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32CDC4">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45.00 </w:t>
            </w:r>
          </w:p>
        </w:tc>
      </w:tr>
      <w:tr w14:paraId="690C5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5F2FB4">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21</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045029">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pp-1000动脉硬化及血管病监测</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69B186">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56.25 </w:t>
            </w:r>
          </w:p>
        </w:tc>
      </w:tr>
      <w:tr w14:paraId="6C0B0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78CD1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E494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人体成分测定</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A3043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45.00 </w:t>
            </w:r>
          </w:p>
        </w:tc>
      </w:tr>
      <w:tr w14:paraId="671E2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FABC8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89966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经颅多普勒（TCD）</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15EF4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82.50 </w:t>
            </w:r>
          </w:p>
        </w:tc>
      </w:tr>
      <w:tr w14:paraId="716C7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0BFB0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49921B">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颈部动脉彩超（8根血管）</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9EBE96">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172.50 </w:t>
            </w:r>
          </w:p>
        </w:tc>
      </w:tr>
      <w:tr w14:paraId="2E7EE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8AA76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25</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46F739">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心脏彩色多普勒超声</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96267A">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195.00 </w:t>
            </w:r>
          </w:p>
        </w:tc>
      </w:tr>
      <w:tr w14:paraId="16433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11829A">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26</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43B32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CT螺旋平扫-部位检查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（第二个部位）(默认腰椎)</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2BB310">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399.38 </w:t>
            </w:r>
          </w:p>
        </w:tc>
      </w:tr>
      <w:tr w14:paraId="13303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97"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8CD41B">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27</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2515F6">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甲状腺功能初筛（化学发光法）</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E6B3BC">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90.00 </w:t>
            </w:r>
          </w:p>
        </w:tc>
      </w:tr>
      <w:tr w14:paraId="3506F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527"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EE8E69">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28</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E31135">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甲状腺功能检查（化学发光法）</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2992C0">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137.25 </w:t>
            </w:r>
          </w:p>
        </w:tc>
      </w:tr>
      <w:tr w14:paraId="2BA0E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F4C5A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29</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1A02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25羟维生素D测定（色谱法）</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AFB55">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60.00 </w:t>
            </w:r>
          </w:p>
        </w:tc>
      </w:tr>
      <w:tr w14:paraId="3495D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799"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43C08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30</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B3147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骨密度测定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（单能，含图文报告）</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A257F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52.50 </w:t>
            </w:r>
          </w:p>
        </w:tc>
      </w:tr>
      <w:tr w14:paraId="0C19A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512"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A7B47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F89065">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13碳尿素呼气试验</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49F586">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90.00 </w:t>
            </w:r>
          </w:p>
        </w:tc>
      </w:tr>
      <w:tr w14:paraId="7CEC8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A36D1A">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32</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D1ABA4">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胃泌素-17检测</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E054CA">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60.00 </w:t>
            </w:r>
          </w:p>
        </w:tc>
      </w:tr>
      <w:tr w14:paraId="7FEC7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522"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0BD9F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33</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5B0F4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胃蛋白酶原检测</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531C8">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60.00 </w:t>
            </w:r>
          </w:p>
        </w:tc>
      </w:tr>
      <w:tr w14:paraId="1648E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FBD8A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1EB09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多肿瘤标志物12项联合检测</w:t>
            </w:r>
          </w:p>
        </w:tc>
        <w:tc>
          <w:tcPr>
            <w:tcW w:w="33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3CF1FE">
            <w:pPr>
              <w:keepNext w:val="0"/>
              <w:keepLines w:val="0"/>
              <w:widowControl/>
              <w:suppressLineNumbers w:val="0"/>
              <w:jc w:val="center"/>
              <w:textAlignment w:val="center"/>
              <w:rPr>
                <w:rFonts w:ascii="Times New Roman" w:hAnsi="Times New Roman" w:eastAsia="宋体" w:cs="Times New Roman"/>
                <w:color w:val="auto"/>
                <w:szCs w:val="22"/>
              </w:rPr>
            </w:pPr>
            <w:r>
              <w:rPr>
                <w:rFonts w:hint="eastAsia" w:ascii="宋体" w:hAnsi="宋体" w:eastAsia="宋体" w:cs="宋体"/>
                <w:i w:val="0"/>
                <w:iCs w:val="0"/>
                <w:color w:val="auto"/>
                <w:kern w:val="0"/>
                <w:sz w:val="20"/>
                <w:szCs w:val="20"/>
                <w:u w:val="none"/>
                <w:lang w:val="en-US" w:eastAsia="zh-CN" w:bidi="ar"/>
              </w:rPr>
              <w:t>男性检测CA19-9、CA125、CA72-4、AFP、NSE、CEA、Cyfra21-1、T-PSA、F-PSA、PGⅠ、PGⅡ、Pro-GRP。</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女性检测CA19-9、CA125、CA72-4、AFP、NSE、CEA、Cyfra21-1、PGⅠ、PGⅡ、CA15-3、β-HCG、Pro-GRP。</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（化学发光法）</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FEA89A">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405.00 </w:t>
            </w:r>
          </w:p>
        </w:tc>
      </w:tr>
      <w:tr w14:paraId="4F742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5B223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35</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C03D90">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甲胎蛋白（AFP，化学发光法）</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50CB24">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45.00 </w:t>
            </w:r>
          </w:p>
        </w:tc>
      </w:tr>
      <w:tr w14:paraId="122FD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968054">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36</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4244B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癌胚抗原CEA（CEA，化学发光法）</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402DEC">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45.00 </w:t>
            </w:r>
          </w:p>
        </w:tc>
      </w:tr>
      <w:tr w14:paraId="6BC80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7FA34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37</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124015">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糖类抗原199测定（CA19-9，化学发光法）</w:t>
            </w:r>
          </w:p>
        </w:tc>
        <w:tc>
          <w:tcPr>
            <w:tcW w:w="2140" w:type="dxa"/>
            <w:tcBorders>
              <w:top w:val="single" w:color="000000" w:sz="4" w:space="0"/>
              <w:left w:val="single" w:color="000000" w:sz="4" w:space="0"/>
              <w:bottom w:val="single" w:color="000000" w:sz="4" w:space="0"/>
              <w:right w:val="single" w:color="000000" w:sz="4" w:space="0"/>
            </w:tcBorders>
            <w:noWrap w:val="0"/>
            <w:vAlign w:val="center"/>
          </w:tcPr>
          <w:p w14:paraId="2B439BC6">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90.00 </w:t>
            </w:r>
          </w:p>
        </w:tc>
      </w:tr>
      <w:tr w14:paraId="58F31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DA2766">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38</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F13E8B">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糖类抗原CA24-2</w:t>
            </w:r>
          </w:p>
        </w:tc>
        <w:tc>
          <w:tcPr>
            <w:tcW w:w="2140" w:type="dxa"/>
            <w:tcBorders>
              <w:top w:val="single" w:color="000000" w:sz="4" w:space="0"/>
              <w:left w:val="single" w:color="000000" w:sz="4" w:space="0"/>
              <w:bottom w:val="single" w:color="000000" w:sz="4" w:space="0"/>
              <w:right w:val="single" w:color="000000" w:sz="4" w:space="0"/>
            </w:tcBorders>
            <w:noWrap w:val="0"/>
            <w:vAlign w:val="center"/>
          </w:tcPr>
          <w:p w14:paraId="5F096FA9">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90.00 </w:t>
            </w:r>
          </w:p>
        </w:tc>
      </w:tr>
      <w:tr w14:paraId="15899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5A7375">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39</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CE34D6">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糖类抗原CA72-4测定</w:t>
            </w:r>
          </w:p>
        </w:tc>
        <w:tc>
          <w:tcPr>
            <w:tcW w:w="2140" w:type="dxa"/>
            <w:tcBorders>
              <w:top w:val="single" w:color="000000" w:sz="4" w:space="0"/>
              <w:left w:val="single" w:color="000000" w:sz="4" w:space="0"/>
              <w:bottom w:val="single" w:color="000000" w:sz="4" w:space="0"/>
              <w:right w:val="single" w:color="000000" w:sz="4" w:space="0"/>
            </w:tcBorders>
            <w:noWrap w:val="0"/>
            <w:vAlign w:val="center"/>
          </w:tcPr>
          <w:p w14:paraId="4459FDB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90.00 </w:t>
            </w:r>
          </w:p>
        </w:tc>
      </w:tr>
      <w:tr w14:paraId="3D146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9D0DC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40</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CBC61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糖类抗原CA50测定（化学发光法）</w:t>
            </w:r>
          </w:p>
        </w:tc>
        <w:tc>
          <w:tcPr>
            <w:tcW w:w="2140" w:type="dxa"/>
            <w:tcBorders>
              <w:top w:val="single" w:color="000000" w:sz="4" w:space="0"/>
              <w:left w:val="single" w:color="000000" w:sz="4" w:space="0"/>
              <w:bottom w:val="single" w:color="000000" w:sz="4" w:space="0"/>
              <w:right w:val="single" w:color="000000" w:sz="4" w:space="0"/>
            </w:tcBorders>
            <w:noWrap w:val="0"/>
            <w:vAlign w:val="center"/>
          </w:tcPr>
          <w:p w14:paraId="4A3797C6">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90.00 </w:t>
            </w:r>
          </w:p>
        </w:tc>
      </w:tr>
      <w:tr w14:paraId="04043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86F156">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41</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D4751A">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细胞角蛋白19片段(CYFRA21-1)测定</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C3D2DE">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67.50 </w:t>
            </w:r>
          </w:p>
        </w:tc>
      </w:tr>
      <w:tr w14:paraId="75DA1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006E3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42</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9E615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人附睾分泌蛋白(HE4)测定</w:t>
            </w:r>
          </w:p>
        </w:tc>
        <w:tc>
          <w:tcPr>
            <w:tcW w:w="2140" w:type="dxa"/>
            <w:tcBorders>
              <w:top w:val="single" w:color="000000" w:sz="4" w:space="0"/>
              <w:left w:val="single" w:color="000000" w:sz="4" w:space="0"/>
              <w:bottom w:val="single" w:color="000000" w:sz="4" w:space="0"/>
              <w:right w:val="single" w:color="000000" w:sz="4" w:space="0"/>
            </w:tcBorders>
            <w:noWrap w:val="0"/>
            <w:vAlign w:val="center"/>
          </w:tcPr>
          <w:p w14:paraId="4C17EEC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60.00 </w:t>
            </w:r>
          </w:p>
        </w:tc>
      </w:tr>
      <w:tr w14:paraId="16E9F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242"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420ED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43</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E23A8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神经元特异性烯醇化酶（ＮＳＥ）（肺）</w:t>
            </w:r>
          </w:p>
        </w:tc>
        <w:tc>
          <w:tcPr>
            <w:tcW w:w="2140" w:type="dxa"/>
            <w:tcBorders>
              <w:top w:val="single" w:color="000000" w:sz="4" w:space="0"/>
              <w:left w:val="single" w:color="000000" w:sz="4" w:space="0"/>
              <w:bottom w:val="single" w:color="000000" w:sz="4" w:space="0"/>
              <w:right w:val="single" w:color="000000" w:sz="4" w:space="0"/>
            </w:tcBorders>
            <w:noWrap w:val="0"/>
            <w:vAlign w:val="center"/>
          </w:tcPr>
          <w:p w14:paraId="3F231CC4">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60.00 </w:t>
            </w:r>
          </w:p>
        </w:tc>
      </w:tr>
      <w:tr w14:paraId="76033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E3EEC4">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44</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0691E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胃泌素释放肽前体(ProGRP)测定</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077A3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48.75 </w:t>
            </w:r>
          </w:p>
        </w:tc>
      </w:tr>
      <w:tr w14:paraId="1A5F3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4E0A62">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45</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937CB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恶性肿瘤特异生长因子(TSGF)测定</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7EA10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41.25 </w:t>
            </w:r>
          </w:p>
        </w:tc>
      </w:tr>
      <w:tr w14:paraId="45012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1E33DC">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46</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DA13B6">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前列腺小体外泄蛋检测(PSEP)</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6C262E">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120.00 </w:t>
            </w:r>
          </w:p>
        </w:tc>
      </w:tr>
      <w:tr w14:paraId="2B719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FC5300">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47</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B10FF5">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总前列腺特异性抗原检测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(TPSE，化学发光法P)</w:t>
            </w:r>
          </w:p>
        </w:tc>
        <w:tc>
          <w:tcPr>
            <w:tcW w:w="2140" w:type="dxa"/>
            <w:tcBorders>
              <w:top w:val="single" w:color="000000" w:sz="4" w:space="0"/>
              <w:left w:val="single" w:color="000000" w:sz="4" w:space="0"/>
              <w:bottom w:val="single" w:color="000000" w:sz="4" w:space="0"/>
              <w:right w:val="single" w:color="000000" w:sz="4" w:space="0"/>
            </w:tcBorders>
            <w:noWrap w:val="0"/>
            <w:vAlign w:val="center"/>
          </w:tcPr>
          <w:p w14:paraId="3ACF43B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90.00 </w:t>
            </w:r>
          </w:p>
        </w:tc>
      </w:tr>
      <w:tr w14:paraId="24EDF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858CC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48</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25E516">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游离前列腺特异性抗原(FPSA)测定</w:t>
            </w:r>
          </w:p>
        </w:tc>
        <w:tc>
          <w:tcPr>
            <w:tcW w:w="2140" w:type="dxa"/>
            <w:tcBorders>
              <w:top w:val="single" w:color="000000" w:sz="4" w:space="0"/>
              <w:left w:val="single" w:color="000000" w:sz="4" w:space="0"/>
              <w:bottom w:val="single" w:color="000000" w:sz="4" w:space="0"/>
              <w:right w:val="single" w:color="000000" w:sz="4" w:space="0"/>
            </w:tcBorders>
            <w:noWrap w:val="0"/>
            <w:vAlign w:val="center"/>
          </w:tcPr>
          <w:p w14:paraId="4CA1F3B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90.00 </w:t>
            </w:r>
          </w:p>
        </w:tc>
      </w:tr>
      <w:tr w14:paraId="127DC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BE6F4B">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49</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88E15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癌抗原125（CA125，化学发光法）</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C4EE64">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90.00 </w:t>
            </w:r>
          </w:p>
        </w:tc>
      </w:tr>
      <w:tr w14:paraId="5F3C8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1ED13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50</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FFA5C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鳞状细胞癌癌相关抗原测定（SCC，化学发光法）</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EDF183">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37.50 </w:t>
            </w:r>
          </w:p>
        </w:tc>
      </w:tr>
      <w:tr w14:paraId="1431D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50250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51</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293235">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EB病毒抗体筛查试验</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10FAD4">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91.50 </w:t>
            </w:r>
          </w:p>
        </w:tc>
      </w:tr>
      <w:tr w14:paraId="0E1ED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611690">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52</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9709B5">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尿核基质蛋白22测定（NMP22）</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704F46">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90.00 </w:t>
            </w:r>
          </w:p>
        </w:tc>
      </w:tr>
      <w:tr w14:paraId="1454F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D6E85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53</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9C44F6">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血管內皮因子测定（VEGF）</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EA271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112.50 </w:t>
            </w:r>
          </w:p>
        </w:tc>
      </w:tr>
      <w:tr w14:paraId="5DE17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FE48F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54</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1A49F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细胞周期分析（STK1）</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707362">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157.50 </w:t>
            </w:r>
          </w:p>
        </w:tc>
      </w:tr>
      <w:tr w14:paraId="169F1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90" w:hRule="atLeast"/>
        </w:trPr>
        <w:tc>
          <w:tcPr>
            <w:tcW w:w="5947"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2F938D">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cs="宋体"/>
                <w:b w:val="0"/>
                <w:bCs w:val="0"/>
                <w:snapToGrid/>
                <w:color w:val="auto"/>
                <w:kern w:val="0"/>
                <w:sz w:val="20"/>
                <w:szCs w:val="20"/>
                <w:u w:val="none"/>
                <w:lang w:bidi="ar"/>
              </w:rPr>
              <w:t>自选体检项目</w:t>
            </w:r>
            <w:r>
              <w:rPr>
                <w:rFonts w:hint="eastAsia" w:ascii="宋体" w:hAnsi="宋体" w:cs="宋体"/>
                <w:b w:val="0"/>
                <w:bCs w:val="0"/>
                <w:snapToGrid/>
                <w:color w:val="auto"/>
                <w:kern w:val="0"/>
                <w:sz w:val="20"/>
                <w:szCs w:val="20"/>
                <w:u w:val="none"/>
                <w:lang w:val="en-US" w:eastAsia="zh-CN" w:bidi="ar"/>
              </w:rPr>
              <w:t>合计</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74A76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4714.88</w:t>
            </w:r>
          </w:p>
        </w:tc>
      </w:tr>
      <w:tr w14:paraId="26AEF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00" w:hRule="atLeast"/>
        </w:trPr>
        <w:tc>
          <w:tcPr>
            <w:tcW w:w="8087" w:type="dxa"/>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A21EB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三、女员工专项检查★</w:t>
            </w:r>
          </w:p>
        </w:tc>
      </w:tr>
      <w:tr w14:paraId="39E0D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50" w:hRule="atLeast"/>
        </w:trPr>
        <w:tc>
          <w:tcPr>
            <w:tcW w:w="1330" w:type="dxa"/>
            <w:gridSpan w:val="2"/>
            <w:tcBorders>
              <w:top w:val="nil"/>
              <w:left w:val="single" w:color="000000" w:sz="4" w:space="0"/>
              <w:bottom w:val="single" w:color="000000" w:sz="4" w:space="0"/>
              <w:right w:val="single" w:color="000000" w:sz="4" w:space="0"/>
            </w:tcBorders>
            <w:shd w:val="clear" w:color="auto" w:fill="FFFFFF"/>
            <w:noWrap w:val="0"/>
            <w:vAlign w:val="center"/>
          </w:tcPr>
          <w:p w14:paraId="3B47DC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617" w:type="dxa"/>
            <w:gridSpan w:val="2"/>
            <w:tcBorders>
              <w:top w:val="nil"/>
              <w:left w:val="single" w:color="000000" w:sz="4" w:space="0"/>
              <w:bottom w:val="single" w:color="000000" w:sz="4" w:space="0"/>
              <w:right w:val="single" w:color="000000" w:sz="4" w:space="0"/>
            </w:tcBorders>
            <w:shd w:val="clear" w:color="auto" w:fill="FFFFFF"/>
            <w:noWrap w:val="0"/>
            <w:vAlign w:val="center"/>
          </w:tcPr>
          <w:p w14:paraId="6A69B2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经腹/经阴妇科彩超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(含超声计算机图文报告）</w:t>
            </w:r>
          </w:p>
        </w:tc>
        <w:tc>
          <w:tcPr>
            <w:tcW w:w="2140" w:type="dxa"/>
            <w:vMerge w:val="restart"/>
            <w:tcBorders>
              <w:top w:val="single" w:color="000000" w:sz="4" w:space="0"/>
              <w:left w:val="single" w:color="000000" w:sz="4" w:space="0"/>
              <w:right w:val="single" w:color="000000" w:sz="4" w:space="0"/>
            </w:tcBorders>
            <w:noWrap w:val="0"/>
            <w:vAlign w:val="center"/>
          </w:tcPr>
          <w:p w14:paraId="589B02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187.5</w:t>
            </w:r>
          </w:p>
        </w:tc>
      </w:tr>
      <w:tr w14:paraId="70E87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4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4A35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0C25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乳腺彩超（含超声计算机图文报告）</w:t>
            </w:r>
          </w:p>
        </w:tc>
        <w:tc>
          <w:tcPr>
            <w:tcW w:w="2140" w:type="dxa"/>
            <w:vMerge w:val="continue"/>
            <w:tcBorders>
              <w:left w:val="single" w:color="000000" w:sz="4" w:space="0"/>
              <w:bottom w:val="single" w:color="000000" w:sz="4" w:space="0"/>
              <w:right w:val="single" w:color="000000" w:sz="4" w:space="0"/>
            </w:tcBorders>
            <w:noWrap w:val="0"/>
            <w:vAlign w:val="center"/>
          </w:tcPr>
          <w:p w14:paraId="21BE9C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r>
      <w:tr w14:paraId="1B89F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42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1BBC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1FF7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妇科检查</w:t>
            </w:r>
          </w:p>
        </w:tc>
        <w:tc>
          <w:tcPr>
            <w:tcW w:w="2140" w:type="dxa"/>
            <w:vMerge w:val="restart"/>
            <w:tcBorders>
              <w:top w:val="single" w:color="000000" w:sz="4" w:space="0"/>
              <w:left w:val="single" w:color="000000" w:sz="4" w:space="0"/>
              <w:right w:val="single" w:color="000000" w:sz="4" w:space="0"/>
            </w:tcBorders>
            <w:noWrap w:val="0"/>
            <w:vAlign w:val="center"/>
          </w:tcPr>
          <w:p w14:paraId="3DCAA5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68.25</w:t>
            </w:r>
          </w:p>
        </w:tc>
      </w:tr>
      <w:tr w14:paraId="1A967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5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D246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E27E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白带常规</w:t>
            </w:r>
          </w:p>
        </w:tc>
        <w:tc>
          <w:tcPr>
            <w:tcW w:w="337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9061BB">
            <w:pPr>
              <w:keepNext w:val="0"/>
              <w:keepLines w:val="0"/>
              <w:widowControl/>
              <w:suppressLineNumbers w:val="0"/>
              <w:jc w:val="left"/>
              <w:textAlignment w:val="center"/>
              <w:rPr>
                <w:rFonts w:ascii="Times New Roman" w:hAnsi="Times New Roman" w:eastAsia="宋体" w:cs="Times New Roman"/>
                <w:color w:val="auto"/>
                <w:szCs w:val="22"/>
              </w:rPr>
            </w:pPr>
            <w:r>
              <w:rPr>
                <w:rFonts w:hint="eastAsia" w:ascii="宋体" w:hAnsi="宋体" w:eastAsia="宋体" w:cs="宋体"/>
                <w:i w:val="0"/>
                <w:iCs w:val="0"/>
                <w:color w:val="auto"/>
                <w:kern w:val="0"/>
                <w:sz w:val="20"/>
                <w:szCs w:val="20"/>
                <w:u w:val="none"/>
                <w:lang w:val="en-US" w:eastAsia="zh-CN" w:bidi="ar"/>
              </w:rPr>
              <w:t>白带清洁度、上皮细胞(白带)、白细胞(白带) 、红细胞(白带)、白带查霉菌、霉菌孢子（阴道）、白带查滴虫、线索细胞</w:t>
            </w:r>
          </w:p>
        </w:tc>
        <w:tc>
          <w:tcPr>
            <w:tcW w:w="2140" w:type="dxa"/>
            <w:vMerge w:val="continue"/>
            <w:tcBorders>
              <w:left w:val="single" w:color="000000" w:sz="4" w:space="0"/>
              <w:bottom w:val="single" w:color="000000" w:sz="4" w:space="0"/>
              <w:right w:val="single" w:color="000000" w:sz="4" w:space="0"/>
            </w:tcBorders>
            <w:noWrap w:val="0"/>
            <w:vAlign w:val="center"/>
          </w:tcPr>
          <w:p w14:paraId="05B576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r>
      <w:tr w14:paraId="73972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7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2693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B393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薄层液基细胞学检查(TCT)</w:t>
            </w:r>
          </w:p>
        </w:tc>
        <w:tc>
          <w:tcPr>
            <w:tcW w:w="2140" w:type="dxa"/>
            <w:tcBorders>
              <w:top w:val="single" w:color="000000" w:sz="4" w:space="0"/>
              <w:left w:val="single" w:color="000000" w:sz="4" w:space="0"/>
              <w:bottom w:val="single" w:color="000000" w:sz="4" w:space="0"/>
              <w:right w:val="single" w:color="000000" w:sz="4" w:space="0"/>
            </w:tcBorders>
            <w:noWrap w:val="0"/>
            <w:vAlign w:val="center"/>
          </w:tcPr>
          <w:p w14:paraId="0B4481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150.00 </w:t>
            </w:r>
          </w:p>
        </w:tc>
      </w:tr>
      <w:tr w14:paraId="6E295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8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DF63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95F1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人乳头瘤病毒(HPV23型)核酸检测</w:t>
            </w:r>
          </w:p>
        </w:tc>
        <w:tc>
          <w:tcPr>
            <w:tcW w:w="2140" w:type="dxa"/>
            <w:tcBorders>
              <w:top w:val="single" w:color="000000" w:sz="4" w:space="0"/>
              <w:left w:val="single" w:color="000000" w:sz="4" w:space="0"/>
              <w:bottom w:val="single" w:color="000000" w:sz="4" w:space="0"/>
              <w:right w:val="single" w:color="000000" w:sz="4" w:space="0"/>
            </w:tcBorders>
            <w:noWrap w:val="0"/>
            <w:vAlign w:val="center"/>
          </w:tcPr>
          <w:p w14:paraId="26E0F7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240.00 </w:t>
            </w:r>
          </w:p>
        </w:tc>
      </w:tr>
      <w:tr w14:paraId="17BE8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70" w:hRule="atLeast"/>
        </w:trPr>
        <w:tc>
          <w:tcPr>
            <w:tcW w:w="133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4495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4617"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13D0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糖类抗原CA15-3测定</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39D5B">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90.00 </w:t>
            </w:r>
          </w:p>
        </w:tc>
      </w:tr>
      <w:tr w14:paraId="3B581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70" w:hRule="atLeast"/>
        </w:trPr>
        <w:tc>
          <w:tcPr>
            <w:tcW w:w="5947"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3D5410">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女员工专项检查</w:t>
            </w:r>
            <w:r>
              <w:rPr>
                <w:rFonts w:hint="eastAsia" w:ascii="宋体" w:hAnsi="宋体" w:cs="宋体"/>
                <w:i w:val="0"/>
                <w:iCs w:val="0"/>
                <w:color w:val="auto"/>
                <w:kern w:val="0"/>
                <w:sz w:val="20"/>
                <w:szCs w:val="20"/>
                <w:u w:val="none"/>
                <w:lang w:val="en-US" w:eastAsia="zh-CN" w:bidi="ar"/>
              </w:rPr>
              <w:t>项目合计</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7151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735.75</w:t>
            </w:r>
          </w:p>
        </w:tc>
      </w:tr>
      <w:tr w14:paraId="32415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5" w:type="dxa"/>
          <w:trHeight w:val="370" w:hRule="atLeast"/>
        </w:trPr>
        <w:tc>
          <w:tcPr>
            <w:tcW w:w="5947" w:type="dxa"/>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FA2276">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cs="宋体"/>
                <w:i w:val="0"/>
                <w:iCs w:val="0"/>
                <w:color w:val="auto"/>
                <w:kern w:val="0"/>
                <w:sz w:val="20"/>
                <w:szCs w:val="20"/>
                <w:u w:val="none"/>
                <w:lang w:val="en-US" w:eastAsia="zh-CN" w:bidi="ar"/>
              </w:rPr>
              <w:t>单价合计</w:t>
            </w:r>
          </w:p>
        </w:tc>
        <w:tc>
          <w:tcPr>
            <w:tcW w:w="2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E44B7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6201.81</w:t>
            </w:r>
          </w:p>
        </w:tc>
      </w:tr>
    </w:tbl>
    <w:p w14:paraId="039BF9CD">
      <w:pPr>
        <w:rPr>
          <w:rFonts w:ascii="Calibri" w:hAnsi="Calibri" w:eastAsia="宋体" w:cs="Times New Roman"/>
          <w:color w:val="auto"/>
          <w:szCs w:val="24"/>
        </w:rPr>
      </w:pPr>
      <w:r>
        <w:rPr>
          <w:rFonts w:ascii="Calibri" w:hAnsi="Calibri" w:eastAsia="宋体" w:cs="Times New Roman"/>
          <w:color w:val="auto"/>
          <w:szCs w:val="24"/>
        </w:rPr>
        <w:br w:type="page"/>
      </w:r>
    </w:p>
    <w:p w14:paraId="4E7A90D8">
      <w:pPr>
        <w:pStyle w:val="2"/>
        <w:wordWrap w:val="0"/>
        <w:spacing w:line="360" w:lineRule="auto"/>
        <w:ind w:left="0" w:leftChars="0" w:right="0" w:rightChars="0" w:firstLine="0" w:firstLineChars="0"/>
        <w:jc w:val="center"/>
        <w:rPr>
          <w:rFonts w:ascii="宋体" w:hAnsi="宋体"/>
          <w:b w:val="0"/>
          <w:color w:val="auto"/>
          <w:sz w:val="44"/>
          <w:szCs w:val="44"/>
          <w:highlight w:val="none"/>
        </w:rPr>
      </w:pPr>
      <w:bookmarkStart w:id="3" w:name="_Toc21641"/>
      <w:bookmarkStart w:id="4" w:name="_Toc29909"/>
      <w:r>
        <w:rPr>
          <w:rFonts w:hAnsi="黑体"/>
          <w:color w:val="auto"/>
          <w:sz w:val="44"/>
          <w:szCs w:val="44"/>
          <w:highlight w:val="none"/>
        </w:rPr>
        <w:t>第二章</w:t>
      </w:r>
      <w:r>
        <w:rPr>
          <w:rFonts w:hint="eastAsia" w:hAnsi="黑体"/>
          <w:color w:val="auto"/>
          <w:sz w:val="44"/>
          <w:szCs w:val="44"/>
          <w:highlight w:val="none"/>
        </w:rPr>
        <w:t xml:space="preserve"> </w:t>
      </w:r>
      <w:r>
        <w:rPr>
          <w:rFonts w:hAnsi="黑体"/>
          <w:color w:val="auto"/>
          <w:sz w:val="44"/>
          <w:szCs w:val="44"/>
          <w:highlight w:val="none"/>
        </w:rPr>
        <w:t>投标人须知</w:t>
      </w:r>
      <w:bookmarkEnd w:id="3"/>
      <w:bookmarkEnd w:id="4"/>
    </w:p>
    <w:p w14:paraId="418219A2">
      <w:pPr>
        <w:pStyle w:val="137"/>
        <w:wordWrap w:val="0"/>
        <w:spacing w:after="240" w:line="360" w:lineRule="auto"/>
        <w:ind w:left="220" w:right="339"/>
        <w:jc w:val="center"/>
        <w:rPr>
          <w:rFonts w:ascii="Calibri" w:cs="宋体"/>
          <w:color w:val="auto"/>
          <w:szCs w:val="28"/>
          <w:highlight w:val="none"/>
        </w:rPr>
      </w:pPr>
      <w:r>
        <w:rPr>
          <w:rFonts w:ascii="Calibri" w:cs="宋体"/>
          <w:color w:val="auto"/>
          <w:szCs w:val="28"/>
          <w:highlight w:val="none"/>
        </w:rPr>
        <w:t>投标人须知前附表</w:t>
      </w:r>
    </w:p>
    <w:tbl>
      <w:tblPr>
        <w:tblStyle w:val="64"/>
        <w:tblW w:w="914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6"/>
        <w:gridCol w:w="849"/>
        <w:gridCol w:w="2126"/>
        <w:gridCol w:w="1134"/>
        <w:gridCol w:w="4340"/>
      </w:tblGrid>
      <w:tr w14:paraId="7A0C5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696" w:type="dxa"/>
            <w:tcBorders>
              <w:right w:val="single" w:color="auto" w:sz="4" w:space="0"/>
            </w:tcBorders>
            <w:vAlign w:val="center"/>
          </w:tcPr>
          <w:p w14:paraId="51D7810F">
            <w:pPr>
              <w:wordWrap w:val="0"/>
              <w:jc w:val="center"/>
              <w:rPr>
                <w:rFonts w:ascii="宋体" w:hAnsi="宋体"/>
                <w:b/>
                <w:color w:val="auto"/>
                <w:szCs w:val="21"/>
                <w:highlight w:val="none"/>
              </w:rPr>
            </w:pPr>
            <w:r>
              <w:rPr>
                <w:rFonts w:hint="eastAsia" w:ascii="宋体" w:hAnsi="宋体"/>
                <w:b/>
                <w:color w:val="auto"/>
                <w:szCs w:val="21"/>
                <w:highlight w:val="none"/>
              </w:rPr>
              <w:t>序号</w:t>
            </w:r>
          </w:p>
        </w:tc>
        <w:tc>
          <w:tcPr>
            <w:tcW w:w="849" w:type="dxa"/>
            <w:tcBorders>
              <w:left w:val="single" w:color="auto" w:sz="4" w:space="0"/>
            </w:tcBorders>
            <w:vAlign w:val="center"/>
          </w:tcPr>
          <w:p w14:paraId="08DAE339">
            <w:pPr>
              <w:wordWrap w:val="0"/>
              <w:jc w:val="center"/>
              <w:rPr>
                <w:rFonts w:ascii="宋体" w:hAnsi="宋体"/>
                <w:b/>
                <w:color w:val="auto"/>
                <w:szCs w:val="21"/>
                <w:highlight w:val="none"/>
              </w:rPr>
            </w:pPr>
            <w:r>
              <w:rPr>
                <w:rFonts w:hint="eastAsia" w:ascii="宋体" w:hAnsi="宋体"/>
                <w:b/>
                <w:color w:val="auto"/>
                <w:szCs w:val="21"/>
                <w:highlight w:val="none"/>
              </w:rPr>
              <w:t>条款号</w:t>
            </w:r>
          </w:p>
        </w:tc>
        <w:tc>
          <w:tcPr>
            <w:tcW w:w="2126" w:type="dxa"/>
            <w:vAlign w:val="center"/>
          </w:tcPr>
          <w:p w14:paraId="19B80B2C">
            <w:pPr>
              <w:wordWrap w:val="0"/>
              <w:jc w:val="center"/>
              <w:rPr>
                <w:rFonts w:ascii="宋体" w:hAnsi="宋体"/>
                <w:b/>
                <w:color w:val="auto"/>
                <w:szCs w:val="21"/>
                <w:highlight w:val="none"/>
              </w:rPr>
            </w:pPr>
            <w:r>
              <w:rPr>
                <w:rFonts w:hint="eastAsia" w:ascii="宋体" w:hAnsi="宋体"/>
                <w:b/>
                <w:color w:val="auto"/>
                <w:szCs w:val="21"/>
                <w:highlight w:val="none"/>
              </w:rPr>
              <w:t>条款名称</w:t>
            </w:r>
          </w:p>
        </w:tc>
        <w:tc>
          <w:tcPr>
            <w:tcW w:w="5474" w:type="dxa"/>
            <w:gridSpan w:val="2"/>
            <w:vAlign w:val="center"/>
          </w:tcPr>
          <w:p w14:paraId="221DA379">
            <w:pPr>
              <w:wordWrap w:val="0"/>
              <w:jc w:val="center"/>
              <w:rPr>
                <w:rFonts w:ascii="宋体" w:hAnsi="宋体"/>
                <w:b/>
                <w:color w:val="auto"/>
                <w:szCs w:val="21"/>
                <w:highlight w:val="none"/>
              </w:rPr>
            </w:pPr>
            <w:r>
              <w:rPr>
                <w:rFonts w:hint="eastAsia" w:ascii="宋体" w:hAnsi="宋体"/>
                <w:b/>
                <w:color w:val="auto"/>
                <w:szCs w:val="21"/>
                <w:highlight w:val="none"/>
              </w:rPr>
              <w:t>编列内容</w:t>
            </w:r>
          </w:p>
        </w:tc>
      </w:tr>
      <w:tr w14:paraId="65C35C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696" w:type="dxa"/>
            <w:tcBorders>
              <w:right w:val="single" w:color="auto" w:sz="4" w:space="0"/>
            </w:tcBorders>
            <w:vAlign w:val="center"/>
          </w:tcPr>
          <w:p w14:paraId="7ABBADA7">
            <w:pPr>
              <w:wordWrap w:val="0"/>
              <w:jc w:val="center"/>
              <w:rPr>
                <w:rFonts w:ascii="宋体" w:hAnsi="宋体"/>
                <w:color w:val="auto"/>
                <w:szCs w:val="21"/>
                <w:highlight w:val="none"/>
              </w:rPr>
            </w:pPr>
            <w:r>
              <w:rPr>
                <w:rFonts w:hint="eastAsia" w:ascii="宋体" w:hAnsi="宋体"/>
                <w:color w:val="auto"/>
                <w:szCs w:val="21"/>
                <w:highlight w:val="none"/>
              </w:rPr>
              <w:t>1</w:t>
            </w:r>
          </w:p>
        </w:tc>
        <w:tc>
          <w:tcPr>
            <w:tcW w:w="849" w:type="dxa"/>
            <w:tcBorders>
              <w:left w:val="single" w:color="auto" w:sz="4" w:space="0"/>
            </w:tcBorders>
            <w:vAlign w:val="center"/>
          </w:tcPr>
          <w:p w14:paraId="430F972D">
            <w:pPr>
              <w:wordWrap w:val="0"/>
              <w:jc w:val="center"/>
              <w:rPr>
                <w:rFonts w:ascii="宋体" w:hAnsi="宋体"/>
                <w:color w:val="auto"/>
                <w:szCs w:val="21"/>
                <w:highlight w:val="none"/>
              </w:rPr>
            </w:pPr>
            <w:r>
              <w:rPr>
                <w:rFonts w:hint="eastAsia" w:ascii="宋体" w:hAnsi="宋体"/>
                <w:color w:val="auto"/>
                <w:szCs w:val="21"/>
                <w:highlight w:val="none"/>
              </w:rPr>
              <w:t>1.1.2</w:t>
            </w:r>
          </w:p>
        </w:tc>
        <w:tc>
          <w:tcPr>
            <w:tcW w:w="2126" w:type="dxa"/>
            <w:vAlign w:val="center"/>
          </w:tcPr>
          <w:p w14:paraId="532A3D50">
            <w:pPr>
              <w:wordWrap w:val="0"/>
              <w:jc w:val="center"/>
              <w:rPr>
                <w:rFonts w:ascii="宋体" w:hAnsi="宋体"/>
                <w:color w:val="auto"/>
                <w:szCs w:val="21"/>
                <w:highlight w:val="none"/>
              </w:rPr>
            </w:pPr>
            <w:r>
              <w:rPr>
                <w:rFonts w:ascii="宋体" w:hAnsi="宋体"/>
                <w:color w:val="auto"/>
                <w:szCs w:val="21"/>
                <w:highlight w:val="none"/>
              </w:rPr>
              <w:t>招标人</w:t>
            </w:r>
          </w:p>
        </w:tc>
        <w:tc>
          <w:tcPr>
            <w:tcW w:w="5474" w:type="dxa"/>
            <w:gridSpan w:val="2"/>
            <w:vAlign w:val="center"/>
          </w:tcPr>
          <w:p w14:paraId="68F8617A">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19FD63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696" w:type="dxa"/>
            <w:tcBorders>
              <w:right w:val="single" w:color="auto" w:sz="4" w:space="0"/>
            </w:tcBorders>
            <w:vAlign w:val="center"/>
          </w:tcPr>
          <w:p w14:paraId="519399A8">
            <w:pPr>
              <w:wordWrap w:val="0"/>
              <w:jc w:val="center"/>
              <w:rPr>
                <w:rFonts w:ascii="宋体" w:hAnsi="宋体"/>
                <w:color w:val="auto"/>
                <w:szCs w:val="21"/>
                <w:highlight w:val="none"/>
              </w:rPr>
            </w:pPr>
            <w:r>
              <w:rPr>
                <w:rFonts w:hint="eastAsia" w:ascii="宋体" w:hAnsi="宋体"/>
                <w:color w:val="auto"/>
                <w:szCs w:val="21"/>
                <w:highlight w:val="none"/>
              </w:rPr>
              <w:t>2</w:t>
            </w:r>
          </w:p>
        </w:tc>
        <w:tc>
          <w:tcPr>
            <w:tcW w:w="849" w:type="dxa"/>
            <w:tcBorders>
              <w:left w:val="single" w:color="auto" w:sz="4" w:space="0"/>
            </w:tcBorders>
            <w:vAlign w:val="center"/>
          </w:tcPr>
          <w:p w14:paraId="4A224C99">
            <w:pPr>
              <w:wordWrap w:val="0"/>
              <w:jc w:val="center"/>
              <w:rPr>
                <w:rFonts w:ascii="宋体" w:hAnsi="宋体"/>
                <w:color w:val="auto"/>
                <w:szCs w:val="21"/>
                <w:highlight w:val="none"/>
              </w:rPr>
            </w:pPr>
            <w:r>
              <w:rPr>
                <w:rFonts w:hint="eastAsia" w:ascii="宋体" w:hAnsi="宋体"/>
                <w:color w:val="auto"/>
                <w:szCs w:val="21"/>
                <w:highlight w:val="none"/>
              </w:rPr>
              <w:t>1.1.3</w:t>
            </w:r>
          </w:p>
        </w:tc>
        <w:tc>
          <w:tcPr>
            <w:tcW w:w="2126" w:type="dxa"/>
            <w:vAlign w:val="center"/>
          </w:tcPr>
          <w:p w14:paraId="7E832D75">
            <w:pPr>
              <w:wordWrap w:val="0"/>
              <w:jc w:val="center"/>
              <w:rPr>
                <w:rFonts w:ascii="宋体" w:hAnsi="宋体"/>
                <w:color w:val="auto"/>
                <w:szCs w:val="21"/>
                <w:highlight w:val="none"/>
              </w:rPr>
            </w:pPr>
            <w:r>
              <w:rPr>
                <w:rFonts w:ascii="宋体" w:hAnsi="宋体"/>
                <w:color w:val="auto"/>
                <w:szCs w:val="21"/>
                <w:highlight w:val="none"/>
              </w:rPr>
              <w:t>招标项目名称</w:t>
            </w:r>
          </w:p>
        </w:tc>
        <w:tc>
          <w:tcPr>
            <w:tcW w:w="5474" w:type="dxa"/>
            <w:gridSpan w:val="2"/>
            <w:vAlign w:val="center"/>
          </w:tcPr>
          <w:p w14:paraId="10830F9C">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291C61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696" w:type="dxa"/>
            <w:tcBorders>
              <w:right w:val="single" w:color="auto" w:sz="4" w:space="0"/>
            </w:tcBorders>
            <w:vAlign w:val="center"/>
          </w:tcPr>
          <w:p w14:paraId="640C2A9E">
            <w:pPr>
              <w:wordWrap w:val="0"/>
              <w:jc w:val="center"/>
              <w:rPr>
                <w:rFonts w:ascii="宋体" w:hAnsi="宋体"/>
                <w:color w:val="auto"/>
                <w:szCs w:val="21"/>
                <w:highlight w:val="none"/>
              </w:rPr>
            </w:pPr>
            <w:r>
              <w:rPr>
                <w:rFonts w:hint="eastAsia" w:ascii="宋体" w:hAnsi="宋体"/>
                <w:color w:val="auto"/>
                <w:szCs w:val="21"/>
                <w:highlight w:val="none"/>
              </w:rPr>
              <w:t>3</w:t>
            </w:r>
          </w:p>
        </w:tc>
        <w:tc>
          <w:tcPr>
            <w:tcW w:w="849" w:type="dxa"/>
            <w:tcBorders>
              <w:left w:val="single" w:color="auto" w:sz="4" w:space="0"/>
            </w:tcBorders>
            <w:vAlign w:val="center"/>
          </w:tcPr>
          <w:p w14:paraId="79206127">
            <w:pPr>
              <w:wordWrap w:val="0"/>
              <w:jc w:val="center"/>
              <w:rPr>
                <w:rFonts w:ascii="宋体" w:hAnsi="宋体"/>
                <w:color w:val="auto"/>
                <w:szCs w:val="21"/>
                <w:highlight w:val="none"/>
              </w:rPr>
            </w:pPr>
            <w:r>
              <w:rPr>
                <w:rFonts w:hint="eastAsia" w:ascii="宋体" w:hAnsi="宋体"/>
                <w:color w:val="auto"/>
                <w:szCs w:val="21"/>
                <w:highlight w:val="none"/>
              </w:rPr>
              <w:t>1.3.1</w:t>
            </w:r>
          </w:p>
        </w:tc>
        <w:tc>
          <w:tcPr>
            <w:tcW w:w="2126" w:type="dxa"/>
            <w:vAlign w:val="center"/>
          </w:tcPr>
          <w:p w14:paraId="29FB8CB4">
            <w:pPr>
              <w:wordWrap w:val="0"/>
              <w:jc w:val="center"/>
              <w:rPr>
                <w:rFonts w:ascii="宋体" w:hAnsi="宋体"/>
                <w:color w:val="auto"/>
                <w:szCs w:val="21"/>
                <w:highlight w:val="none"/>
              </w:rPr>
            </w:pPr>
            <w:r>
              <w:rPr>
                <w:rFonts w:ascii="宋体" w:hAnsi="宋体"/>
                <w:color w:val="auto"/>
                <w:szCs w:val="21"/>
                <w:highlight w:val="none"/>
              </w:rPr>
              <w:t>招标范围</w:t>
            </w:r>
          </w:p>
        </w:tc>
        <w:tc>
          <w:tcPr>
            <w:tcW w:w="5474" w:type="dxa"/>
            <w:gridSpan w:val="2"/>
            <w:vAlign w:val="center"/>
          </w:tcPr>
          <w:p w14:paraId="49804529">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627D04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696" w:type="dxa"/>
            <w:tcBorders>
              <w:right w:val="single" w:color="auto" w:sz="4" w:space="0"/>
            </w:tcBorders>
            <w:vAlign w:val="center"/>
          </w:tcPr>
          <w:p w14:paraId="6F38B5AB">
            <w:pPr>
              <w:wordWrap w:val="0"/>
              <w:jc w:val="center"/>
              <w:rPr>
                <w:rFonts w:ascii="宋体" w:hAnsi="宋体"/>
                <w:color w:val="auto"/>
                <w:szCs w:val="21"/>
                <w:highlight w:val="none"/>
              </w:rPr>
            </w:pPr>
            <w:r>
              <w:rPr>
                <w:rFonts w:hint="eastAsia" w:ascii="宋体" w:hAnsi="宋体"/>
                <w:color w:val="auto"/>
                <w:szCs w:val="21"/>
                <w:highlight w:val="none"/>
              </w:rPr>
              <w:t>4</w:t>
            </w:r>
          </w:p>
        </w:tc>
        <w:tc>
          <w:tcPr>
            <w:tcW w:w="849" w:type="dxa"/>
            <w:tcBorders>
              <w:left w:val="single" w:color="auto" w:sz="4" w:space="0"/>
            </w:tcBorders>
            <w:vAlign w:val="center"/>
          </w:tcPr>
          <w:p w14:paraId="10D11B04">
            <w:pPr>
              <w:wordWrap w:val="0"/>
              <w:jc w:val="center"/>
              <w:rPr>
                <w:rFonts w:ascii="宋体" w:hAnsi="宋体"/>
                <w:color w:val="auto"/>
                <w:szCs w:val="21"/>
                <w:highlight w:val="none"/>
              </w:rPr>
            </w:pPr>
            <w:r>
              <w:rPr>
                <w:rFonts w:hint="eastAsia" w:ascii="宋体" w:hAnsi="宋体"/>
                <w:color w:val="auto"/>
                <w:szCs w:val="21"/>
                <w:highlight w:val="none"/>
              </w:rPr>
              <w:t>1.3.2</w:t>
            </w:r>
          </w:p>
        </w:tc>
        <w:tc>
          <w:tcPr>
            <w:tcW w:w="2126" w:type="dxa"/>
            <w:vAlign w:val="center"/>
          </w:tcPr>
          <w:p w14:paraId="3AF996D7">
            <w:pPr>
              <w:wordWrap w:val="0"/>
              <w:jc w:val="center"/>
              <w:rPr>
                <w:rFonts w:ascii="宋体" w:hAnsi="宋体"/>
                <w:color w:val="auto"/>
                <w:szCs w:val="21"/>
                <w:highlight w:val="none"/>
              </w:rPr>
            </w:pPr>
            <w:r>
              <w:rPr>
                <w:rFonts w:hint="eastAsia" w:ascii="宋体" w:hAnsi="宋体"/>
                <w:color w:val="auto"/>
                <w:szCs w:val="21"/>
                <w:highlight w:val="none"/>
              </w:rPr>
              <w:t>服务期限</w:t>
            </w:r>
          </w:p>
        </w:tc>
        <w:tc>
          <w:tcPr>
            <w:tcW w:w="5474" w:type="dxa"/>
            <w:gridSpan w:val="2"/>
            <w:vAlign w:val="center"/>
          </w:tcPr>
          <w:p w14:paraId="6B60D0F8">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6A08F8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7" w:hRule="atLeast"/>
          <w:jc w:val="center"/>
        </w:trPr>
        <w:tc>
          <w:tcPr>
            <w:tcW w:w="696" w:type="dxa"/>
            <w:tcBorders>
              <w:right w:val="single" w:color="auto" w:sz="4" w:space="0"/>
            </w:tcBorders>
            <w:vAlign w:val="center"/>
          </w:tcPr>
          <w:p w14:paraId="20D529F5">
            <w:pPr>
              <w:wordWrap w:val="0"/>
              <w:jc w:val="center"/>
              <w:rPr>
                <w:rFonts w:ascii="宋体" w:hAnsi="宋体"/>
                <w:color w:val="auto"/>
                <w:szCs w:val="21"/>
                <w:highlight w:val="none"/>
              </w:rPr>
            </w:pPr>
            <w:r>
              <w:rPr>
                <w:rFonts w:hint="eastAsia" w:ascii="宋体" w:hAnsi="宋体"/>
                <w:color w:val="auto"/>
                <w:szCs w:val="21"/>
                <w:highlight w:val="none"/>
              </w:rPr>
              <w:t>5</w:t>
            </w:r>
          </w:p>
        </w:tc>
        <w:tc>
          <w:tcPr>
            <w:tcW w:w="849" w:type="dxa"/>
            <w:tcBorders>
              <w:left w:val="single" w:color="auto" w:sz="4" w:space="0"/>
            </w:tcBorders>
            <w:vAlign w:val="center"/>
          </w:tcPr>
          <w:p w14:paraId="1CAF9A9D">
            <w:pPr>
              <w:wordWrap w:val="0"/>
              <w:jc w:val="center"/>
              <w:rPr>
                <w:rFonts w:ascii="宋体" w:hAnsi="宋体"/>
                <w:color w:val="auto"/>
                <w:szCs w:val="21"/>
                <w:highlight w:val="none"/>
              </w:rPr>
            </w:pPr>
            <w:r>
              <w:rPr>
                <w:rFonts w:hint="eastAsia" w:ascii="宋体" w:hAnsi="宋体"/>
                <w:color w:val="auto"/>
                <w:szCs w:val="21"/>
                <w:highlight w:val="none"/>
              </w:rPr>
              <w:t>1.4.1</w:t>
            </w:r>
          </w:p>
        </w:tc>
        <w:tc>
          <w:tcPr>
            <w:tcW w:w="2126" w:type="dxa"/>
            <w:vAlign w:val="center"/>
          </w:tcPr>
          <w:p w14:paraId="37FCA9CA">
            <w:pPr>
              <w:wordWrap w:val="0"/>
              <w:jc w:val="center"/>
              <w:rPr>
                <w:rFonts w:ascii="宋体" w:hAnsi="宋体"/>
                <w:color w:val="auto"/>
                <w:szCs w:val="21"/>
                <w:highlight w:val="none"/>
              </w:rPr>
            </w:pPr>
            <w:r>
              <w:rPr>
                <w:rFonts w:hint="eastAsia" w:ascii="宋体" w:hAnsi="宋体"/>
                <w:color w:val="auto"/>
                <w:szCs w:val="21"/>
                <w:highlight w:val="none"/>
              </w:rPr>
              <w:t>投标人资格要求</w:t>
            </w:r>
          </w:p>
        </w:tc>
        <w:tc>
          <w:tcPr>
            <w:tcW w:w="5474" w:type="dxa"/>
            <w:gridSpan w:val="2"/>
            <w:vAlign w:val="center"/>
          </w:tcPr>
          <w:p w14:paraId="1CE981F2">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4C4B7D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7087EA01">
            <w:pPr>
              <w:wordWrap w:val="0"/>
              <w:jc w:val="center"/>
              <w:rPr>
                <w:rFonts w:ascii="宋体" w:hAnsi="宋体"/>
                <w:color w:val="auto"/>
                <w:szCs w:val="21"/>
                <w:highlight w:val="none"/>
              </w:rPr>
            </w:pPr>
            <w:r>
              <w:rPr>
                <w:rFonts w:hint="eastAsia" w:ascii="宋体" w:hAnsi="宋体"/>
                <w:color w:val="auto"/>
                <w:szCs w:val="21"/>
                <w:highlight w:val="none"/>
              </w:rPr>
              <w:t>6</w:t>
            </w:r>
          </w:p>
        </w:tc>
        <w:tc>
          <w:tcPr>
            <w:tcW w:w="849" w:type="dxa"/>
            <w:tcBorders>
              <w:left w:val="single" w:color="auto" w:sz="4" w:space="0"/>
            </w:tcBorders>
            <w:vAlign w:val="center"/>
          </w:tcPr>
          <w:p w14:paraId="58030DF0">
            <w:pPr>
              <w:wordWrap w:val="0"/>
              <w:jc w:val="center"/>
              <w:rPr>
                <w:rFonts w:ascii="宋体" w:hAnsi="宋体"/>
                <w:color w:val="auto"/>
                <w:szCs w:val="21"/>
                <w:highlight w:val="none"/>
              </w:rPr>
            </w:pPr>
            <w:r>
              <w:rPr>
                <w:rFonts w:hint="eastAsia" w:ascii="宋体" w:hAnsi="宋体"/>
                <w:color w:val="auto"/>
                <w:szCs w:val="21"/>
                <w:highlight w:val="none"/>
              </w:rPr>
              <w:t>1.4.2</w:t>
            </w:r>
          </w:p>
        </w:tc>
        <w:tc>
          <w:tcPr>
            <w:tcW w:w="2126" w:type="dxa"/>
            <w:vAlign w:val="center"/>
          </w:tcPr>
          <w:p w14:paraId="4EE53709">
            <w:pPr>
              <w:wordWrap w:val="0"/>
              <w:rPr>
                <w:rFonts w:ascii="宋体" w:hAnsi="宋体"/>
                <w:color w:val="auto"/>
                <w:szCs w:val="21"/>
                <w:highlight w:val="none"/>
              </w:rPr>
            </w:pPr>
            <w:r>
              <w:rPr>
                <w:rFonts w:hint="eastAsia" w:ascii="宋体" w:hAnsi="宋体"/>
                <w:color w:val="auto"/>
                <w:szCs w:val="21"/>
                <w:highlight w:val="none"/>
              </w:rPr>
              <w:t>是否接受联合体投标</w:t>
            </w:r>
          </w:p>
        </w:tc>
        <w:tc>
          <w:tcPr>
            <w:tcW w:w="5474" w:type="dxa"/>
            <w:gridSpan w:val="2"/>
            <w:vAlign w:val="center"/>
          </w:tcPr>
          <w:p w14:paraId="0DEAC935">
            <w:pPr>
              <w:wordWrap w:val="0"/>
              <w:rPr>
                <w:rFonts w:ascii="宋体" w:hAnsi="宋体"/>
                <w:color w:val="auto"/>
                <w:szCs w:val="21"/>
                <w:highlight w:val="none"/>
              </w:rPr>
            </w:pPr>
            <w:r>
              <w:rPr>
                <w:rFonts w:hint="eastAsia" w:ascii="宋体" w:hAnsi="宋体"/>
                <w:color w:val="auto"/>
                <w:szCs w:val="21"/>
                <w:highlight w:val="none"/>
              </w:rPr>
              <w:sym w:font="Wingdings 2" w:char="0052"/>
            </w:r>
            <w:r>
              <w:rPr>
                <w:rFonts w:hint="eastAsia" w:ascii="宋体" w:hAnsi="宋体"/>
                <w:color w:val="auto"/>
                <w:szCs w:val="21"/>
                <w:highlight w:val="none"/>
              </w:rPr>
              <w:t>不接受</w:t>
            </w:r>
          </w:p>
          <w:p w14:paraId="31214A35">
            <w:pPr>
              <w:wordWrap w:val="0"/>
              <w:rPr>
                <w:rFonts w:ascii="宋体" w:hAnsi="宋体"/>
                <w:color w:val="auto"/>
                <w:szCs w:val="21"/>
                <w:highlight w:val="none"/>
              </w:rPr>
            </w:pPr>
            <w:r>
              <w:rPr>
                <w:rFonts w:hint="eastAsia" w:ascii="宋体" w:hAnsi="宋体"/>
                <w:color w:val="auto"/>
                <w:szCs w:val="21"/>
                <w:highlight w:val="none"/>
              </w:rPr>
              <w:t>□接受，应满足下列要求：详见招标公告</w:t>
            </w:r>
          </w:p>
        </w:tc>
      </w:tr>
      <w:tr w14:paraId="549FF0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734D2D2E">
            <w:pPr>
              <w:wordWrap w:val="0"/>
              <w:jc w:val="center"/>
              <w:rPr>
                <w:rFonts w:ascii="宋体" w:hAnsi="宋体"/>
                <w:color w:val="auto"/>
                <w:szCs w:val="21"/>
                <w:highlight w:val="none"/>
              </w:rPr>
            </w:pPr>
            <w:r>
              <w:rPr>
                <w:rFonts w:hint="eastAsia" w:ascii="宋体" w:hAnsi="宋体"/>
                <w:color w:val="auto"/>
                <w:szCs w:val="21"/>
                <w:highlight w:val="none"/>
              </w:rPr>
              <w:t>7</w:t>
            </w:r>
          </w:p>
        </w:tc>
        <w:tc>
          <w:tcPr>
            <w:tcW w:w="849" w:type="dxa"/>
            <w:tcBorders>
              <w:left w:val="single" w:color="auto" w:sz="4" w:space="0"/>
            </w:tcBorders>
            <w:vAlign w:val="center"/>
          </w:tcPr>
          <w:p w14:paraId="76DD23F6">
            <w:pPr>
              <w:wordWrap w:val="0"/>
              <w:jc w:val="center"/>
              <w:rPr>
                <w:rFonts w:ascii="宋体" w:hAnsi="宋体"/>
                <w:color w:val="auto"/>
                <w:szCs w:val="21"/>
                <w:highlight w:val="none"/>
              </w:rPr>
            </w:pPr>
            <w:r>
              <w:rPr>
                <w:rFonts w:hint="eastAsia" w:ascii="宋体" w:hAnsi="宋体"/>
                <w:color w:val="auto"/>
                <w:szCs w:val="21"/>
                <w:highlight w:val="none"/>
              </w:rPr>
              <w:t>1.10.1</w:t>
            </w:r>
          </w:p>
        </w:tc>
        <w:tc>
          <w:tcPr>
            <w:tcW w:w="2126" w:type="dxa"/>
            <w:vAlign w:val="center"/>
          </w:tcPr>
          <w:p w14:paraId="4798BB21">
            <w:pPr>
              <w:wordWrap w:val="0"/>
              <w:jc w:val="center"/>
              <w:rPr>
                <w:rFonts w:ascii="宋体" w:hAnsi="宋体"/>
                <w:color w:val="auto"/>
                <w:szCs w:val="21"/>
                <w:highlight w:val="none"/>
              </w:rPr>
            </w:pPr>
            <w:r>
              <w:rPr>
                <w:rFonts w:ascii="宋体" w:hAnsi="宋体"/>
                <w:color w:val="auto"/>
                <w:szCs w:val="21"/>
                <w:highlight w:val="none"/>
              </w:rPr>
              <w:t>实质性要求和条件</w:t>
            </w:r>
          </w:p>
        </w:tc>
        <w:tc>
          <w:tcPr>
            <w:tcW w:w="5474" w:type="dxa"/>
            <w:gridSpan w:val="2"/>
            <w:vAlign w:val="center"/>
          </w:tcPr>
          <w:p w14:paraId="16459AA4">
            <w:pPr>
              <w:wordWrap w:val="0"/>
              <w:rPr>
                <w:rStyle w:val="190"/>
                <w:rFonts w:hint="default"/>
                <w:color w:val="auto"/>
                <w:sz w:val="21"/>
                <w:szCs w:val="21"/>
                <w:highlight w:val="none"/>
              </w:rPr>
            </w:pPr>
            <w:r>
              <w:rPr>
                <w:rStyle w:val="190"/>
                <w:rFonts w:hint="default"/>
                <w:color w:val="auto"/>
                <w:sz w:val="21"/>
                <w:szCs w:val="21"/>
                <w:highlight w:val="none"/>
              </w:rPr>
              <w:t>1、招标文件中规定的</w:t>
            </w:r>
            <w:r>
              <w:rPr>
                <w:rStyle w:val="190"/>
                <w:rFonts w:hint="default"/>
                <w:b/>
                <w:bCs/>
                <w:color w:val="auto"/>
                <w:sz w:val="21"/>
                <w:szCs w:val="21"/>
                <w:highlight w:val="none"/>
              </w:rPr>
              <w:t>否决</w:t>
            </w:r>
            <w:r>
              <w:rPr>
                <w:rStyle w:val="190"/>
                <w:rFonts w:hint="default"/>
                <w:color w:val="auto"/>
                <w:sz w:val="21"/>
                <w:szCs w:val="21"/>
                <w:highlight w:val="none"/>
              </w:rPr>
              <w:t>性条款；</w:t>
            </w:r>
          </w:p>
          <w:p w14:paraId="1B985AD5">
            <w:pPr>
              <w:wordWrap w:val="0"/>
              <w:rPr>
                <w:rFonts w:ascii="宋体" w:hAnsi="宋体"/>
                <w:color w:val="auto"/>
                <w:szCs w:val="21"/>
                <w:highlight w:val="none"/>
              </w:rPr>
            </w:pPr>
            <w:r>
              <w:rPr>
                <w:rStyle w:val="190"/>
                <w:rFonts w:hint="default"/>
                <w:color w:val="auto"/>
                <w:sz w:val="21"/>
                <w:szCs w:val="21"/>
                <w:highlight w:val="none"/>
              </w:rPr>
              <w:t>2、招标文件中标注“★”符号的条款。</w:t>
            </w:r>
          </w:p>
        </w:tc>
      </w:tr>
      <w:tr w14:paraId="79548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22A73877">
            <w:pPr>
              <w:wordWrap w:val="0"/>
              <w:jc w:val="center"/>
              <w:rPr>
                <w:rFonts w:ascii="宋体" w:hAnsi="宋体"/>
                <w:color w:val="auto"/>
                <w:szCs w:val="21"/>
                <w:highlight w:val="none"/>
              </w:rPr>
            </w:pPr>
            <w:r>
              <w:rPr>
                <w:rFonts w:hint="eastAsia" w:ascii="宋体" w:hAnsi="宋体"/>
                <w:color w:val="auto"/>
                <w:szCs w:val="21"/>
                <w:highlight w:val="none"/>
              </w:rPr>
              <w:t>8</w:t>
            </w:r>
          </w:p>
        </w:tc>
        <w:tc>
          <w:tcPr>
            <w:tcW w:w="849" w:type="dxa"/>
            <w:tcBorders>
              <w:left w:val="single" w:color="auto" w:sz="4" w:space="0"/>
            </w:tcBorders>
            <w:vAlign w:val="center"/>
          </w:tcPr>
          <w:p w14:paraId="19A31027">
            <w:pPr>
              <w:wordWrap w:val="0"/>
              <w:jc w:val="center"/>
              <w:rPr>
                <w:rFonts w:ascii="宋体" w:hAnsi="宋体"/>
                <w:color w:val="auto"/>
                <w:szCs w:val="21"/>
                <w:highlight w:val="none"/>
              </w:rPr>
            </w:pPr>
            <w:r>
              <w:rPr>
                <w:rFonts w:ascii="宋体" w:hAnsi="宋体"/>
                <w:color w:val="auto"/>
                <w:szCs w:val="21"/>
                <w:highlight w:val="none"/>
              </w:rPr>
              <w:t>1.1</w:t>
            </w:r>
            <w:r>
              <w:rPr>
                <w:rFonts w:hint="eastAsia" w:ascii="宋体" w:hAnsi="宋体"/>
                <w:color w:val="auto"/>
                <w:szCs w:val="21"/>
                <w:highlight w:val="none"/>
              </w:rPr>
              <w:t>0</w:t>
            </w:r>
            <w:r>
              <w:rPr>
                <w:rFonts w:ascii="宋体" w:hAnsi="宋体"/>
                <w:color w:val="auto"/>
                <w:szCs w:val="21"/>
                <w:highlight w:val="none"/>
              </w:rPr>
              <w:t>.4</w:t>
            </w:r>
          </w:p>
        </w:tc>
        <w:tc>
          <w:tcPr>
            <w:tcW w:w="2126" w:type="dxa"/>
            <w:vAlign w:val="center"/>
          </w:tcPr>
          <w:p w14:paraId="73393534">
            <w:pPr>
              <w:wordWrap w:val="0"/>
              <w:jc w:val="center"/>
              <w:rPr>
                <w:rFonts w:ascii="宋体" w:hAnsi="宋体"/>
                <w:color w:val="auto"/>
                <w:szCs w:val="21"/>
                <w:highlight w:val="none"/>
              </w:rPr>
            </w:pPr>
            <w:r>
              <w:rPr>
                <w:rFonts w:hint="eastAsia" w:ascii="宋体" w:hAnsi="宋体"/>
                <w:color w:val="auto"/>
                <w:szCs w:val="21"/>
                <w:highlight w:val="none"/>
              </w:rPr>
              <w:t>非</w:t>
            </w:r>
            <w:r>
              <w:rPr>
                <w:rFonts w:ascii="宋体" w:hAnsi="宋体"/>
                <w:color w:val="auto"/>
                <w:szCs w:val="21"/>
                <w:highlight w:val="none"/>
              </w:rPr>
              <w:t>实质性要求</w:t>
            </w:r>
            <w:r>
              <w:rPr>
                <w:rFonts w:hint="eastAsia" w:ascii="宋体" w:hAnsi="宋体"/>
                <w:color w:val="auto"/>
                <w:szCs w:val="21"/>
                <w:highlight w:val="none"/>
              </w:rPr>
              <w:t>/</w:t>
            </w:r>
            <w:r>
              <w:rPr>
                <w:rFonts w:ascii="宋体" w:hAnsi="宋体"/>
                <w:color w:val="auto"/>
                <w:szCs w:val="21"/>
                <w:highlight w:val="none"/>
              </w:rPr>
              <w:t>条件允许</w:t>
            </w:r>
            <w:r>
              <w:rPr>
                <w:rFonts w:hint="eastAsia" w:ascii="宋体" w:hAnsi="宋体"/>
                <w:color w:val="auto"/>
                <w:szCs w:val="21"/>
                <w:highlight w:val="none"/>
              </w:rPr>
              <w:t>偏差的</w:t>
            </w:r>
            <w:r>
              <w:rPr>
                <w:rFonts w:ascii="宋体" w:hAnsi="宋体"/>
                <w:color w:val="auto"/>
                <w:szCs w:val="21"/>
                <w:highlight w:val="none"/>
              </w:rPr>
              <w:t>最</w:t>
            </w:r>
            <w:r>
              <w:rPr>
                <w:rFonts w:hint="eastAsia" w:ascii="宋体" w:hAnsi="宋体"/>
                <w:color w:val="auto"/>
                <w:szCs w:val="21"/>
                <w:highlight w:val="none"/>
              </w:rPr>
              <w:t>高</w:t>
            </w:r>
            <w:r>
              <w:rPr>
                <w:rFonts w:ascii="宋体" w:hAnsi="宋体"/>
                <w:color w:val="auto"/>
                <w:szCs w:val="21"/>
                <w:highlight w:val="none"/>
              </w:rPr>
              <w:t>项数</w:t>
            </w:r>
          </w:p>
        </w:tc>
        <w:tc>
          <w:tcPr>
            <w:tcW w:w="5474" w:type="dxa"/>
            <w:gridSpan w:val="2"/>
            <w:vAlign w:val="center"/>
          </w:tcPr>
          <w:p w14:paraId="74CA29F8">
            <w:pPr>
              <w:wordWrap w:val="0"/>
              <w:rPr>
                <w:rStyle w:val="190"/>
                <w:rFonts w:hint="default"/>
                <w:color w:val="auto"/>
                <w:sz w:val="21"/>
                <w:szCs w:val="21"/>
                <w:highlight w:val="none"/>
              </w:rPr>
            </w:pPr>
            <w:r>
              <w:rPr>
                <w:rStyle w:val="190"/>
                <w:rFonts w:hint="default"/>
                <w:color w:val="auto"/>
                <w:sz w:val="21"/>
                <w:szCs w:val="21"/>
                <w:highlight w:val="none"/>
              </w:rPr>
              <w:t>偏差范围：非实质性要求/条件</w:t>
            </w:r>
          </w:p>
          <w:p w14:paraId="0654EF34">
            <w:pPr>
              <w:wordWrap w:val="0"/>
              <w:rPr>
                <w:rStyle w:val="190"/>
                <w:rFonts w:hint="default"/>
                <w:color w:val="auto"/>
                <w:sz w:val="21"/>
                <w:szCs w:val="21"/>
                <w:highlight w:val="none"/>
              </w:rPr>
            </w:pPr>
            <w:r>
              <w:rPr>
                <w:rStyle w:val="190"/>
                <w:rFonts w:hint="default"/>
                <w:color w:val="auto"/>
                <w:sz w:val="21"/>
                <w:szCs w:val="21"/>
                <w:highlight w:val="none"/>
              </w:rPr>
              <w:t>最高项数：偏差项数之和</w:t>
            </w:r>
            <w:r>
              <w:rPr>
                <w:rFonts w:hint="eastAsia" w:ascii="宋体" w:hAnsi="宋体"/>
                <w:color w:val="auto"/>
                <w:szCs w:val="21"/>
                <w:highlight w:val="none"/>
              </w:rPr>
              <w:t>≥10项将</w:t>
            </w:r>
            <w:r>
              <w:rPr>
                <w:rFonts w:hint="eastAsia" w:ascii="宋体" w:hAnsi="宋体"/>
                <w:b/>
                <w:bCs/>
                <w:color w:val="auto"/>
                <w:szCs w:val="21"/>
                <w:highlight w:val="none"/>
              </w:rPr>
              <w:t>否决</w:t>
            </w:r>
            <w:r>
              <w:rPr>
                <w:rFonts w:hint="eastAsia" w:ascii="宋体" w:hAnsi="宋体"/>
                <w:color w:val="auto"/>
                <w:szCs w:val="21"/>
                <w:highlight w:val="none"/>
              </w:rPr>
              <w:t>投标。相同内容不重复计算项数。</w:t>
            </w:r>
          </w:p>
        </w:tc>
      </w:tr>
      <w:tr w14:paraId="141CC4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5CDB7BF1">
            <w:pPr>
              <w:wordWrap w:val="0"/>
              <w:jc w:val="center"/>
              <w:rPr>
                <w:rFonts w:ascii="宋体" w:hAnsi="宋体"/>
                <w:color w:val="auto"/>
                <w:szCs w:val="21"/>
                <w:highlight w:val="none"/>
              </w:rPr>
            </w:pPr>
            <w:r>
              <w:rPr>
                <w:rFonts w:hint="eastAsia" w:ascii="宋体" w:hAnsi="宋体"/>
                <w:color w:val="auto"/>
                <w:szCs w:val="21"/>
                <w:highlight w:val="none"/>
              </w:rPr>
              <w:t>9</w:t>
            </w:r>
          </w:p>
        </w:tc>
        <w:tc>
          <w:tcPr>
            <w:tcW w:w="849" w:type="dxa"/>
            <w:tcBorders>
              <w:left w:val="single" w:color="auto" w:sz="4" w:space="0"/>
            </w:tcBorders>
            <w:vAlign w:val="center"/>
          </w:tcPr>
          <w:p w14:paraId="17DD4EA2">
            <w:pPr>
              <w:wordWrap w:val="0"/>
              <w:jc w:val="center"/>
              <w:rPr>
                <w:rFonts w:ascii="宋体" w:hAnsi="宋体"/>
                <w:color w:val="auto"/>
                <w:szCs w:val="21"/>
                <w:highlight w:val="none"/>
              </w:rPr>
            </w:pPr>
            <w:r>
              <w:rPr>
                <w:rFonts w:hint="eastAsia" w:ascii="宋体" w:hAnsi="宋体"/>
                <w:color w:val="auto"/>
                <w:szCs w:val="21"/>
                <w:highlight w:val="none"/>
              </w:rPr>
              <w:t>2.1</w:t>
            </w:r>
          </w:p>
        </w:tc>
        <w:tc>
          <w:tcPr>
            <w:tcW w:w="2126" w:type="dxa"/>
            <w:vAlign w:val="center"/>
          </w:tcPr>
          <w:p w14:paraId="5EFEC1A8">
            <w:pPr>
              <w:wordWrap w:val="0"/>
              <w:jc w:val="center"/>
              <w:rPr>
                <w:rFonts w:ascii="宋体" w:hAnsi="宋体"/>
                <w:color w:val="auto"/>
                <w:szCs w:val="21"/>
                <w:highlight w:val="none"/>
              </w:rPr>
            </w:pPr>
            <w:r>
              <w:rPr>
                <w:rFonts w:ascii="宋体" w:hAnsi="宋体"/>
                <w:color w:val="auto"/>
                <w:szCs w:val="21"/>
                <w:highlight w:val="none"/>
              </w:rPr>
              <w:t>构成招标文件的</w:t>
            </w:r>
          </w:p>
          <w:p w14:paraId="3EA3DBA6">
            <w:pPr>
              <w:wordWrap w:val="0"/>
              <w:jc w:val="center"/>
              <w:rPr>
                <w:rFonts w:ascii="宋体" w:hAnsi="宋体"/>
                <w:color w:val="auto"/>
                <w:szCs w:val="21"/>
                <w:highlight w:val="none"/>
              </w:rPr>
            </w:pPr>
            <w:r>
              <w:rPr>
                <w:rFonts w:ascii="宋体" w:hAnsi="宋体"/>
                <w:color w:val="auto"/>
                <w:szCs w:val="21"/>
                <w:highlight w:val="none"/>
              </w:rPr>
              <w:t>其他资料</w:t>
            </w:r>
          </w:p>
        </w:tc>
        <w:tc>
          <w:tcPr>
            <w:tcW w:w="5474" w:type="dxa"/>
            <w:gridSpan w:val="2"/>
            <w:vAlign w:val="center"/>
          </w:tcPr>
          <w:p w14:paraId="47A34327">
            <w:pPr>
              <w:wordWrap w:val="0"/>
              <w:rPr>
                <w:rFonts w:ascii="宋体" w:hAnsi="宋体"/>
                <w:color w:val="auto"/>
                <w:szCs w:val="21"/>
                <w:highlight w:val="none"/>
              </w:rPr>
            </w:pPr>
            <w:r>
              <w:rPr>
                <w:rFonts w:hint="eastAsia" w:ascii="宋体" w:hAnsi="宋体"/>
                <w:color w:val="auto"/>
                <w:szCs w:val="21"/>
                <w:highlight w:val="none"/>
              </w:rPr>
              <w:t>招标澄清、修改、补充公告等（如有）</w:t>
            </w:r>
          </w:p>
        </w:tc>
      </w:tr>
      <w:tr w14:paraId="570DFE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76CC9771">
            <w:pPr>
              <w:wordWrap w:val="0"/>
              <w:jc w:val="center"/>
              <w:rPr>
                <w:rFonts w:ascii="宋体" w:hAnsi="宋体"/>
                <w:color w:val="auto"/>
                <w:szCs w:val="21"/>
                <w:highlight w:val="none"/>
              </w:rPr>
            </w:pPr>
            <w:r>
              <w:rPr>
                <w:rFonts w:hint="eastAsia" w:ascii="宋体" w:hAnsi="宋体"/>
                <w:color w:val="auto"/>
                <w:szCs w:val="21"/>
                <w:highlight w:val="none"/>
              </w:rPr>
              <w:t>10</w:t>
            </w:r>
          </w:p>
        </w:tc>
        <w:tc>
          <w:tcPr>
            <w:tcW w:w="849" w:type="dxa"/>
            <w:tcBorders>
              <w:left w:val="single" w:color="auto" w:sz="4" w:space="0"/>
            </w:tcBorders>
            <w:vAlign w:val="center"/>
          </w:tcPr>
          <w:p w14:paraId="17901125">
            <w:pPr>
              <w:wordWrap w:val="0"/>
              <w:jc w:val="center"/>
              <w:rPr>
                <w:rFonts w:ascii="宋体" w:hAnsi="宋体"/>
                <w:color w:val="auto"/>
                <w:szCs w:val="21"/>
                <w:highlight w:val="none"/>
              </w:rPr>
            </w:pPr>
            <w:r>
              <w:rPr>
                <w:rFonts w:hint="eastAsia" w:ascii="宋体" w:hAnsi="宋体"/>
                <w:color w:val="auto"/>
                <w:szCs w:val="21"/>
                <w:highlight w:val="none"/>
              </w:rPr>
              <w:t>2.2.1</w:t>
            </w:r>
          </w:p>
        </w:tc>
        <w:tc>
          <w:tcPr>
            <w:tcW w:w="2126" w:type="dxa"/>
            <w:vAlign w:val="center"/>
          </w:tcPr>
          <w:p w14:paraId="285E760E">
            <w:pPr>
              <w:wordWrap w:val="0"/>
              <w:jc w:val="center"/>
              <w:rPr>
                <w:rFonts w:ascii="宋体" w:hAnsi="宋体"/>
                <w:color w:val="auto"/>
                <w:szCs w:val="21"/>
                <w:highlight w:val="none"/>
              </w:rPr>
            </w:pPr>
            <w:r>
              <w:rPr>
                <w:rFonts w:ascii="宋体" w:hAnsi="宋体"/>
                <w:color w:val="auto"/>
                <w:szCs w:val="21"/>
                <w:highlight w:val="none"/>
              </w:rPr>
              <w:t>投标人要求澄清招标文件</w:t>
            </w:r>
            <w:r>
              <w:rPr>
                <w:rFonts w:hint="eastAsia" w:ascii="宋体" w:hAnsi="宋体"/>
                <w:color w:val="auto"/>
                <w:szCs w:val="21"/>
                <w:highlight w:val="none"/>
              </w:rPr>
              <w:t>时间和形式</w:t>
            </w:r>
          </w:p>
        </w:tc>
        <w:tc>
          <w:tcPr>
            <w:tcW w:w="5474" w:type="dxa"/>
            <w:gridSpan w:val="2"/>
            <w:vAlign w:val="center"/>
          </w:tcPr>
          <w:p w14:paraId="06C35EA4">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71650A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2A090825">
            <w:pPr>
              <w:wordWrap w:val="0"/>
              <w:jc w:val="center"/>
              <w:rPr>
                <w:rFonts w:ascii="宋体" w:hAnsi="宋体"/>
                <w:color w:val="auto"/>
                <w:szCs w:val="21"/>
                <w:highlight w:val="none"/>
              </w:rPr>
            </w:pPr>
            <w:r>
              <w:rPr>
                <w:rFonts w:hint="eastAsia" w:ascii="宋体" w:hAnsi="宋体"/>
                <w:color w:val="auto"/>
                <w:szCs w:val="21"/>
                <w:highlight w:val="none"/>
              </w:rPr>
              <w:t>11</w:t>
            </w:r>
          </w:p>
        </w:tc>
        <w:tc>
          <w:tcPr>
            <w:tcW w:w="849" w:type="dxa"/>
            <w:tcBorders>
              <w:left w:val="single" w:color="auto" w:sz="4" w:space="0"/>
            </w:tcBorders>
            <w:vAlign w:val="center"/>
          </w:tcPr>
          <w:p w14:paraId="0B2DB693">
            <w:pPr>
              <w:wordWrap w:val="0"/>
              <w:jc w:val="center"/>
              <w:rPr>
                <w:rFonts w:ascii="宋体" w:hAnsi="宋体"/>
                <w:color w:val="auto"/>
                <w:szCs w:val="21"/>
                <w:highlight w:val="none"/>
              </w:rPr>
            </w:pPr>
            <w:r>
              <w:rPr>
                <w:rFonts w:hint="eastAsia" w:ascii="宋体" w:hAnsi="宋体"/>
                <w:color w:val="auto"/>
                <w:szCs w:val="21"/>
                <w:highlight w:val="none"/>
              </w:rPr>
              <w:t>2.2.2</w:t>
            </w:r>
          </w:p>
        </w:tc>
        <w:tc>
          <w:tcPr>
            <w:tcW w:w="2126" w:type="dxa"/>
            <w:vAlign w:val="center"/>
          </w:tcPr>
          <w:p w14:paraId="68E2BDE4">
            <w:pPr>
              <w:wordWrap w:val="0"/>
              <w:jc w:val="center"/>
              <w:rPr>
                <w:rFonts w:ascii="宋体" w:hAnsi="宋体"/>
                <w:color w:val="auto"/>
                <w:szCs w:val="21"/>
                <w:highlight w:val="none"/>
              </w:rPr>
            </w:pPr>
            <w:r>
              <w:rPr>
                <w:rFonts w:ascii="宋体" w:hAnsi="宋体"/>
                <w:color w:val="auto"/>
                <w:szCs w:val="21"/>
                <w:highlight w:val="none"/>
              </w:rPr>
              <w:t>招标文件澄清发出的形式</w:t>
            </w:r>
          </w:p>
        </w:tc>
        <w:tc>
          <w:tcPr>
            <w:tcW w:w="5474" w:type="dxa"/>
            <w:gridSpan w:val="2"/>
            <w:vAlign w:val="center"/>
          </w:tcPr>
          <w:p w14:paraId="75F0FB49">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7B974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60F11CDF">
            <w:pPr>
              <w:wordWrap w:val="0"/>
              <w:jc w:val="center"/>
              <w:rPr>
                <w:rFonts w:ascii="宋体" w:hAnsi="宋体"/>
                <w:color w:val="auto"/>
                <w:szCs w:val="21"/>
                <w:highlight w:val="none"/>
              </w:rPr>
            </w:pPr>
            <w:r>
              <w:rPr>
                <w:rFonts w:hint="eastAsia" w:ascii="宋体" w:hAnsi="宋体"/>
                <w:color w:val="auto"/>
                <w:szCs w:val="21"/>
                <w:highlight w:val="none"/>
              </w:rPr>
              <w:t>12</w:t>
            </w:r>
          </w:p>
        </w:tc>
        <w:tc>
          <w:tcPr>
            <w:tcW w:w="849" w:type="dxa"/>
            <w:tcBorders>
              <w:left w:val="single" w:color="auto" w:sz="4" w:space="0"/>
            </w:tcBorders>
            <w:vAlign w:val="center"/>
          </w:tcPr>
          <w:p w14:paraId="54FD9C48">
            <w:pPr>
              <w:wordWrap w:val="0"/>
              <w:jc w:val="center"/>
              <w:rPr>
                <w:rFonts w:ascii="宋体" w:hAnsi="宋体"/>
                <w:color w:val="auto"/>
                <w:szCs w:val="21"/>
                <w:highlight w:val="none"/>
              </w:rPr>
            </w:pPr>
            <w:r>
              <w:rPr>
                <w:rFonts w:hint="eastAsia" w:ascii="宋体" w:hAnsi="宋体"/>
                <w:color w:val="auto"/>
                <w:szCs w:val="21"/>
                <w:highlight w:val="none"/>
              </w:rPr>
              <w:t>2.3.1</w:t>
            </w:r>
          </w:p>
        </w:tc>
        <w:tc>
          <w:tcPr>
            <w:tcW w:w="2126" w:type="dxa"/>
            <w:vAlign w:val="center"/>
          </w:tcPr>
          <w:p w14:paraId="546A0A54">
            <w:pPr>
              <w:wordWrap w:val="0"/>
              <w:jc w:val="center"/>
              <w:rPr>
                <w:rFonts w:ascii="宋体" w:hAnsi="宋体"/>
                <w:color w:val="auto"/>
                <w:szCs w:val="21"/>
                <w:highlight w:val="none"/>
              </w:rPr>
            </w:pPr>
            <w:r>
              <w:rPr>
                <w:rFonts w:ascii="宋体" w:hAnsi="宋体"/>
                <w:color w:val="auto"/>
                <w:szCs w:val="21"/>
                <w:highlight w:val="none"/>
              </w:rPr>
              <w:t>招标文件修改发出的形式</w:t>
            </w:r>
          </w:p>
        </w:tc>
        <w:tc>
          <w:tcPr>
            <w:tcW w:w="5474" w:type="dxa"/>
            <w:gridSpan w:val="2"/>
            <w:vAlign w:val="center"/>
          </w:tcPr>
          <w:p w14:paraId="402B87F2">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0892B1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74185CE3">
            <w:pPr>
              <w:wordWrap w:val="0"/>
              <w:jc w:val="center"/>
              <w:rPr>
                <w:rFonts w:ascii="宋体" w:hAnsi="宋体"/>
                <w:color w:val="auto"/>
                <w:szCs w:val="21"/>
                <w:highlight w:val="none"/>
              </w:rPr>
            </w:pPr>
            <w:r>
              <w:rPr>
                <w:rFonts w:hint="eastAsia" w:ascii="宋体" w:hAnsi="宋体"/>
                <w:color w:val="auto"/>
                <w:szCs w:val="21"/>
                <w:highlight w:val="none"/>
              </w:rPr>
              <w:t>13</w:t>
            </w:r>
          </w:p>
        </w:tc>
        <w:tc>
          <w:tcPr>
            <w:tcW w:w="849" w:type="dxa"/>
            <w:tcBorders>
              <w:left w:val="single" w:color="auto" w:sz="4" w:space="0"/>
            </w:tcBorders>
            <w:vAlign w:val="center"/>
          </w:tcPr>
          <w:p w14:paraId="12997F0C">
            <w:pPr>
              <w:wordWrap w:val="0"/>
              <w:jc w:val="center"/>
              <w:rPr>
                <w:rFonts w:ascii="宋体" w:hAnsi="宋体"/>
                <w:color w:val="auto"/>
                <w:szCs w:val="21"/>
                <w:highlight w:val="none"/>
              </w:rPr>
            </w:pPr>
            <w:r>
              <w:rPr>
                <w:rFonts w:hint="eastAsia" w:ascii="宋体" w:hAnsi="宋体"/>
                <w:color w:val="auto"/>
                <w:szCs w:val="21"/>
                <w:highlight w:val="none"/>
              </w:rPr>
              <w:t>3.2.4</w:t>
            </w:r>
          </w:p>
        </w:tc>
        <w:tc>
          <w:tcPr>
            <w:tcW w:w="2126" w:type="dxa"/>
            <w:vAlign w:val="center"/>
          </w:tcPr>
          <w:p w14:paraId="356B2C39">
            <w:pPr>
              <w:wordWrap w:val="0"/>
              <w:jc w:val="center"/>
              <w:rPr>
                <w:rFonts w:ascii="宋体" w:hAnsi="宋体"/>
                <w:color w:val="auto"/>
                <w:szCs w:val="21"/>
                <w:highlight w:val="none"/>
              </w:rPr>
            </w:pPr>
            <w:r>
              <w:rPr>
                <w:rFonts w:hint="eastAsia" w:hAnsi="宋体"/>
                <w:color w:val="auto"/>
                <w:szCs w:val="21"/>
                <w:highlight w:val="none"/>
              </w:rPr>
              <w:t>最高投标限价</w:t>
            </w:r>
          </w:p>
        </w:tc>
        <w:tc>
          <w:tcPr>
            <w:tcW w:w="5474" w:type="dxa"/>
            <w:gridSpan w:val="2"/>
            <w:vAlign w:val="center"/>
          </w:tcPr>
          <w:p w14:paraId="2AC81545">
            <w:pPr>
              <w:wordWrap w:val="0"/>
              <w:rPr>
                <w:rFonts w:ascii="宋体" w:hAnsi="宋体"/>
                <w:color w:val="auto"/>
                <w:szCs w:val="21"/>
                <w:highlight w:val="none"/>
              </w:rPr>
            </w:pPr>
            <w:r>
              <w:rPr>
                <w:rFonts w:hint="eastAsia" w:ascii="宋体" w:hAnsi="宋体"/>
                <w:color w:val="auto"/>
                <w:szCs w:val="21"/>
                <w:highlight w:val="none"/>
              </w:rPr>
              <w:t>本项目总价上限为3102126元(含税)</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且</w:t>
            </w:r>
            <w:r>
              <w:rPr>
                <w:rFonts w:hint="eastAsia" w:ascii="宋体" w:hAnsi="宋体"/>
                <w:color w:val="auto"/>
                <w:szCs w:val="21"/>
                <w:highlight w:val="none"/>
              </w:rPr>
              <w:t>为单项限价，具体</w:t>
            </w:r>
            <w:r>
              <w:rPr>
                <w:rFonts w:hint="eastAsia" w:ascii="宋体" w:hAnsi="宋体"/>
                <w:color w:val="auto"/>
                <w:szCs w:val="21"/>
                <w:highlight w:val="none"/>
                <w:lang w:val="en-US" w:eastAsia="zh-CN"/>
              </w:rPr>
              <w:t>第一章</w:t>
            </w:r>
            <w:r>
              <w:rPr>
                <w:rFonts w:hint="eastAsia" w:ascii="宋体" w:hAnsi="宋体"/>
                <w:color w:val="auto"/>
                <w:szCs w:val="21"/>
                <w:highlight w:val="none"/>
              </w:rPr>
              <w:t>详见附件1：《2025年长沙穗城轨道交通有限公司年度员工体检项目单项控制价公示表》。</w:t>
            </w:r>
          </w:p>
          <w:p w14:paraId="0C1BB29B">
            <w:pPr>
              <w:wordWrap w:val="0"/>
              <w:rPr>
                <w:rFonts w:ascii="宋体" w:hAnsi="宋体"/>
                <w:color w:val="auto"/>
                <w:szCs w:val="21"/>
                <w:highlight w:val="none"/>
              </w:rPr>
            </w:pPr>
            <w:r>
              <w:rPr>
                <w:rFonts w:hint="eastAsia" w:ascii="宋体" w:hAnsi="宋体"/>
                <w:color w:val="auto"/>
                <w:szCs w:val="21"/>
                <w:highlight w:val="none"/>
              </w:rPr>
              <w:t>投标人在投标时，投标报价不得高于最高投标限价</w:t>
            </w:r>
            <w:r>
              <w:rPr>
                <w:rFonts w:hint="eastAsia" w:ascii="宋体" w:hAnsi="宋体"/>
                <w:color w:val="auto"/>
                <w:szCs w:val="21"/>
                <w:highlight w:val="none"/>
                <w:lang w:val="en-US" w:eastAsia="zh-CN"/>
              </w:rPr>
              <w:t>及单项控制价</w:t>
            </w:r>
            <w:r>
              <w:rPr>
                <w:rFonts w:hint="eastAsia" w:ascii="宋体" w:hAnsi="宋体"/>
                <w:color w:val="auto"/>
                <w:szCs w:val="21"/>
                <w:highlight w:val="none"/>
              </w:rPr>
              <w:t>。超过最高投标限价</w:t>
            </w:r>
            <w:r>
              <w:rPr>
                <w:rFonts w:hint="eastAsia" w:ascii="宋体" w:hAnsi="宋体"/>
                <w:color w:val="auto"/>
                <w:szCs w:val="21"/>
                <w:highlight w:val="none"/>
                <w:lang w:val="en-US" w:eastAsia="zh-CN"/>
              </w:rPr>
              <w:t>或单项控制价</w:t>
            </w:r>
            <w:r>
              <w:rPr>
                <w:rFonts w:hint="eastAsia" w:ascii="宋体" w:hAnsi="宋体"/>
                <w:color w:val="auto"/>
                <w:szCs w:val="21"/>
                <w:highlight w:val="none"/>
              </w:rPr>
              <w:t>的投标报价方为</w:t>
            </w:r>
            <w:r>
              <w:rPr>
                <w:rFonts w:hint="eastAsia" w:ascii="宋体" w:hAnsi="宋体"/>
                <w:color w:val="auto"/>
                <w:szCs w:val="21"/>
                <w:highlight w:val="none"/>
                <w:lang w:val="en-US" w:eastAsia="zh-CN"/>
              </w:rPr>
              <w:t>无</w:t>
            </w:r>
            <w:r>
              <w:rPr>
                <w:rFonts w:hint="eastAsia" w:ascii="宋体" w:hAnsi="宋体"/>
                <w:color w:val="auto"/>
                <w:szCs w:val="21"/>
                <w:highlight w:val="none"/>
              </w:rPr>
              <w:t>效报价。</w:t>
            </w:r>
          </w:p>
        </w:tc>
      </w:tr>
      <w:tr w14:paraId="68B526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96" w:type="dxa"/>
            <w:tcBorders>
              <w:right w:val="single" w:color="auto" w:sz="4" w:space="0"/>
            </w:tcBorders>
            <w:vAlign w:val="center"/>
          </w:tcPr>
          <w:p w14:paraId="240C8428">
            <w:pPr>
              <w:wordWrap w:val="0"/>
              <w:jc w:val="center"/>
              <w:rPr>
                <w:rFonts w:ascii="宋体" w:hAnsi="宋体"/>
                <w:color w:val="auto"/>
                <w:szCs w:val="21"/>
                <w:highlight w:val="none"/>
              </w:rPr>
            </w:pPr>
            <w:r>
              <w:rPr>
                <w:rFonts w:hint="eastAsia" w:ascii="宋体" w:hAnsi="宋体"/>
                <w:color w:val="auto"/>
                <w:szCs w:val="21"/>
                <w:highlight w:val="none"/>
              </w:rPr>
              <w:t>14</w:t>
            </w:r>
          </w:p>
        </w:tc>
        <w:tc>
          <w:tcPr>
            <w:tcW w:w="849" w:type="dxa"/>
            <w:tcBorders>
              <w:left w:val="single" w:color="auto" w:sz="4" w:space="0"/>
            </w:tcBorders>
            <w:vAlign w:val="center"/>
          </w:tcPr>
          <w:p w14:paraId="0C4078CA">
            <w:pPr>
              <w:wordWrap w:val="0"/>
              <w:jc w:val="center"/>
              <w:rPr>
                <w:rFonts w:ascii="宋体" w:hAnsi="宋体"/>
                <w:color w:val="auto"/>
                <w:szCs w:val="21"/>
                <w:highlight w:val="none"/>
              </w:rPr>
            </w:pPr>
            <w:r>
              <w:rPr>
                <w:rFonts w:hint="eastAsia" w:ascii="宋体" w:hAnsi="宋体"/>
                <w:color w:val="auto"/>
                <w:szCs w:val="21"/>
                <w:highlight w:val="none"/>
              </w:rPr>
              <w:t>3.2.6</w:t>
            </w:r>
          </w:p>
        </w:tc>
        <w:tc>
          <w:tcPr>
            <w:tcW w:w="2126" w:type="dxa"/>
            <w:vAlign w:val="center"/>
          </w:tcPr>
          <w:p w14:paraId="285D6477">
            <w:pPr>
              <w:wordWrap w:val="0"/>
              <w:jc w:val="center"/>
              <w:rPr>
                <w:rFonts w:ascii="宋体" w:hAnsi="宋体"/>
                <w:color w:val="auto"/>
                <w:szCs w:val="21"/>
                <w:highlight w:val="none"/>
              </w:rPr>
            </w:pPr>
            <w:r>
              <w:rPr>
                <w:rFonts w:hint="eastAsia" w:ascii="宋体" w:hAnsi="宋体"/>
                <w:color w:val="auto"/>
                <w:szCs w:val="21"/>
                <w:highlight w:val="none"/>
              </w:rPr>
              <w:t>投标报价的其他要求</w:t>
            </w:r>
          </w:p>
        </w:tc>
        <w:tc>
          <w:tcPr>
            <w:tcW w:w="5474" w:type="dxa"/>
            <w:gridSpan w:val="2"/>
            <w:vAlign w:val="center"/>
          </w:tcPr>
          <w:p w14:paraId="4120C224">
            <w:pPr>
              <w:wordWrap w:val="0"/>
              <w:rPr>
                <w:rFonts w:ascii="宋体" w:hAnsi="宋体"/>
                <w:color w:val="auto"/>
                <w:szCs w:val="21"/>
                <w:highlight w:val="none"/>
              </w:rPr>
            </w:pPr>
            <w:r>
              <w:rPr>
                <w:rFonts w:hint="eastAsia" w:ascii="宋体" w:hAnsi="宋体"/>
                <w:color w:val="auto"/>
                <w:szCs w:val="21"/>
                <w:highlight w:val="none"/>
              </w:rPr>
              <w:t>1、投标报价是指为完成合同文件约定的招标项目内容所发生的全部费用。</w:t>
            </w:r>
          </w:p>
          <w:p w14:paraId="59153948">
            <w:pPr>
              <w:wordWrap w:val="0"/>
              <w:rPr>
                <w:rFonts w:ascii="宋体" w:hAnsi="宋体"/>
                <w:color w:val="auto"/>
                <w:szCs w:val="21"/>
                <w:highlight w:val="none"/>
              </w:rPr>
            </w:pPr>
            <w:r>
              <w:rPr>
                <w:rFonts w:hint="eastAsia" w:ascii="宋体" w:hAnsi="宋体"/>
                <w:color w:val="auto"/>
                <w:szCs w:val="21"/>
                <w:highlight w:val="none"/>
              </w:rPr>
              <w:t>2、在合同谈判或履行期间，如发现投标报价有漏缺项、缺件，中标人应无条件无偿补齐。履行合同所需的一切费用，视为已包含在投标报价中，并且不因此而影响交付招标人使用的时间。由于明细报价填报不完整、不清楚或存在其它任何失误，所导致的任何不利后果均应当由投标人自行承担。</w:t>
            </w:r>
          </w:p>
        </w:tc>
      </w:tr>
      <w:tr w14:paraId="49E703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4" w:hRule="atLeast"/>
          <w:jc w:val="center"/>
        </w:trPr>
        <w:tc>
          <w:tcPr>
            <w:tcW w:w="696" w:type="dxa"/>
            <w:tcBorders>
              <w:right w:val="single" w:color="auto" w:sz="4" w:space="0"/>
            </w:tcBorders>
            <w:vAlign w:val="center"/>
          </w:tcPr>
          <w:p w14:paraId="7138D3D8">
            <w:pPr>
              <w:wordWrap w:val="0"/>
              <w:jc w:val="center"/>
              <w:rPr>
                <w:rFonts w:ascii="宋体" w:hAnsi="宋体"/>
                <w:color w:val="auto"/>
                <w:szCs w:val="21"/>
                <w:highlight w:val="none"/>
              </w:rPr>
            </w:pPr>
            <w:r>
              <w:rPr>
                <w:rFonts w:hint="eastAsia" w:ascii="宋体" w:hAnsi="宋体"/>
                <w:color w:val="auto"/>
                <w:szCs w:val="21"/>
                <w:highlight w:val="none"/>
              </w:rPr>
              <w:t>15</w:t>
            </w:r>
          </w:p>
        </w:tc>
        <w:tc>
          <w:tcPr>
            <w:tcW w:w="849" w:type="dxa"/>
            <w:tcBorders>
              <w:left w:val="single" w:color="auto" w:sz="4" w:space="0"/>
            </w:tcBorders>
            <w:vAlign w:val="center"/>
          </w:tcPr>
          <w:p w14:paraId="1CB90E0C">
            <w:pPr>
              <w:wordWrap w:val="0"/>
              <w:jc w:val="center"/>
              <w:rPr>
                <w:rFonts w:ascii="宋体" w:hAnsi="宋体"/>
                <w:color w:val="auto"/>
                <w:szCs w:val="21"/>
                <w:highlight w:val="none"/>
              </w:rPr>
            </w:pPr>
            <w:r>
              <w:rPr>
                <w:rFonts w:hint="eastAsia" w:ascii="宋体" w:hAnsi="宋体"/>
                <w:color w:val="auto"/>
                <w:szCs w:val="21"/>
                <w:highlight w:val="none"/>
              </w:rPr>
              <w:t>3.3.1</w:t>
            </w:r>
          </w:p>
        </w:tc>
        <w:tc>
          <w:tcPr>
            <w:tcW w:w="2126" w:type="dxa"/>
            <w:vAlign w:val="center"/>
          </w:tcPr>
          <w:p w14:paraId="0B2AAD9E">
            <w:pPr>
              <w:wordWrap w:val="0"/>
              <w:jc w:val="center"/>
              <w:rPr>
                <w:rFonts w:ascii="宋体" w:hAnsi="宋体"/>
                <w:color w:val="auto"/>
                <w:szCs w:val="21"/>
                <w:highlight w:val="none"/>
              </w:rPr>
            </w:pPr>
            <w:r>
              <w:rPr>
                <w:rFonts w:hint="eastAsia" w:ascii="宋体" w:hAnsi="宋体"/>
                <w:color w:val="auto"/>
                <w:szCs w:val="21"/>
                <w:highlight w:val="none"/>
              </w:rPr>
              <w:t>投标有效期</w:t>
            </w:r>
          </w:p>
        </w:tc>
        <w:tc>
          <w:tcPr>
            <w:tcW w:w="5474" w:type="dxa"/>
            <w:gridSpan w:val="2"/>
            <w:vAlign w:val="center"/>
          </w:tcPr>
          <w:p w14:paraId="5E8394A6">
            <w:pPr>
              <w:wordWrap w:val="0"/>
              <w:rPr>
                <w:rFonts w:ascii="宋体" w:hAnsi="宋体"/>
                <w:color w:val="auto"/>
                <w:szCs w:val="21"/>
                <w:highlight w:val="none"/>
              </w:rPr>
            </w:pPr>
            <w:r>
              <w:rPr>
                <w:rFonts w:hint="eastAsia" w:ascii="宋体" w:hAnsi="宋体"/>
                <w:color w:val="auto"/>
                <w:szCs w:val="21"/>
                <w:highlight w:val="none"/>
              </w:rPr>
              <w:t>180日历天，从投标截止之日起算。</w:t>
            </w:r>
          </w:p>
        </w:tc>
      </w:tr>
      <w:tr w14:paraId="3CC95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60DBA7DA">
            <w:pPr>
              <w:wordWrap w:val="0"/>
              <w:jc w:val="center"/>
              <w:rPr>
                <w:rFonts w:ascii="宋体" w:hAnsi="宋体"/>
                <w:color w:val="auto"/>
                <w:szCs w:val="21"/>
                <w:highlight w:val="none"/>
              </w:rPr>
            </w:pPr>
            <w:r>
              <w:rPr>
                <w:rFonts w:hint="eastAsia" w:ascii="宋体" w:hAnsi="宋体"/>
                <w:color w:val="auto"/>
                <w:szCs w:val="21"/>
                <w:highlight w:val="none"/>
              </w:rPr>
              <w:t>16</w:t>
            </w:r>
          </w:p>
        </w:tc>
        <w:tc>
          <w:tcPr>
            <w:tcW w:w="849" w:type="dxa"/>
            <w:tcBorders>
              <w:left w:val="single" w:color="auto" w:sz="4" w:space="0"/>
            </w:tcBorders>
            <w:vAlign w:val="center"/>
          </w:tcPr>
          <w:p w14:paraId="51594A5C">
            <w:pPr>
              <w:wordWrap w:val="0"/>
              <w:jc w:val="center"/>
              <w:rPr>
                <w:rFonts w:ascii="宋体" w:hAnsi="宋体"/>
                <w:color w:val="auto"/>
                <w:szCs w:val="21"/>
                <w:highlight w:val="none"/>
              </w:rPr>
            </w:pPr>
            <w:r>
              <w:rPr>
                <w:rFonts w:hint="eastAsia" w:ascii="宋体" w:hAnsi="宋体"/>
                <w:color w:val="auto"/>
                <w:szCs w:val="21"/>
                <w:highlight w:val="none"/>
              </w:rPr>
              <w:t>3.4.1</w:t>
            </w:r>
          </w:p>
        </w:tc>
        <w:tc>
          <w:tcPr>
            <w:tcW w:w="2126" w:type="dxa"/>
            <w:vAlign w:val="center"/>
          </w:tcPr>
          <w:p w14:paraId="58F7BFD6">
            <w:pPr>
              <w:wordWrap w:val="0"/>
              <w:jc w:val="center"/>
              <w:rPr>
                <w:rFonts w:ascii="宋体" w:hAnsi="宋体"/>
                <w:color w:val="auto"/>
                <w:szCs w:val="21"/>
                <w:highlight w:val="none"/>
              </w:rPr>
            </w:pPr>
            <w:r>
              <w:rPr>
                <w:rFonts w:hint="eastAsia" w:ascii="宋体" w:hAnsi="宋体"/>
                <w:color w:val="auto"/>
                <w:szCs w:val="21"/>
                <w:highlight w:val="none"/>
              </w:rPr>
              <w:t>投标保证金</w:t>
            </w:r>
          </w:p>
        </w:tc>
        <w:tc>
          <w:tcPr>
            <w:tcW w:w="5474" w:type="dxa"/>
            <w:gridSpan w:val="2"/>
            <w:vAlign w:val="center"/>
          </w:tcPr>
          <w:p w14:paraId="03FCA90C">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要求提供保证金</w:t>
            </w:r>
          </w:p>
          <w:p w14:paraId="0A12C480">
            <w:pPr>
              <w:wordWrap w:val="0"/>
              <w:adjustRightInd w:val="0"/>
              <w:snapToGrid w:val="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数额为：</w:t>
            </w:r>
            <w:r>
              <w:rPr>
                <w:rFonts w:hint="eastAsia" w:ascii="宋体" w:hAnsi="宋体"/>
                <w:color w:val="auto"/>
                <w:szCs w:val="21"/>
                <w:highlight w:val="none"/>
                <w:lang w:val="en-US" w:eastAsia="zh-CN"/>
              </w:rPr>
              <w:t>人民币陆万元整</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60000</w:t>
            </w:r>
            <w:r>
              <w:rPr>
                <w:rFonts w:hint="eastAsia" w:ascii="宋体" w:hAnsi="宋体" w:cs="宋体"/>
                <w:color w:val="auto"/>
                <w:szCs w:val="21"/>
                <w:highlight w:val="none"/>
              </w:rPr>
              <w:t>元）</w:t>
            </w:r>
          </w:p>
          <w:p w14:paraId="5940AF83">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缴纳方式：</w:t>
            </w:r>
            <w:r>
              <w:rPr>
                <w:rFonts w:hint="eastAsia" w:ascii="宋体" w:hAnsi="宋体"/>
                <w:color w:val="auto"/>
                <w:szCs w:val="21"/>
                <w:highlight w:val="none"/>
              </w:rPr>
              <w:t>☑</w:t>
            </w:r>
            <w:r>
              <w:rPr>
                <w:rFonts w:hint="eastAsia" w:ascii="宋体" w:hAnsi="宋体" w:cs="宋体"/>
                <w:color w:val="auto"/>
                <w:szCs w:val="21"/>
                <w:highlight w:val="none"/>
              </w:rPr>
              <w:t xml:space="preserve">银行转帐   </w:t>
            </w:r>
            <w:r>
              <w:rPr>
                <w:rFonts w:hint="eastAsia" w:ascii="宋体" w:hAnsi="宋体"/>
                <w:color w:val="auto"/>
                <w:szCs w:val="21"/>
                <w:highlight w:val="none"/>
              </w:rPr>
              <w:t>☑</w:t>
            </w:r>
            <w:r>
              <w:rPr>
                <w:rFonts w:hint="eastAsia" w:ascii="宋体" w:hAnsi="宋体" w:cs="宋体"/>
                <w:color w:val="auto"/>
                <w:szCs w:val="21"/>
                <w:highlight w:val="none"/>
              </w:rPr>
              <w:t>银行保函</w:t>
            </w:r>
          </w:p>
          <w:p w14:paraId="1A0149AA">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银行转账</w:t>
            </w:r>
            <w:r>
              <w:rPr>
                <w:rFonts w:hint="eastAsia" w:ascii="宋体" w:hAnsi="宋体" w:cs="宋体"/>
                <w:color w:val="auto"/>
                <w:szCs w:val="21"/>
                <w:highlight w:val="none"/>
              </w:rPr>
              <w:t>。</w:t>
            </w:r>
          </w:p>
          <w:p w14:paraId="2ECF6A72">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1.1投标保证金托管账户获取方式：所有参与项目竞争的供应商（纸质标）均应在潇湘交易云平台（www.avicwings.com）完成注册，凭注册账号登录潇湘交易云平台供应商系统，获取虚拟子账号并完成投标保证金缴纳（已完成注册的直接用注册账号登录供应商系统）。虚拟子账号是随机产生的，不同投标人、不同项目（标段）的虚拟子账号是唯一的，各供应商（投标人）在缴纳投标保证金时须认准本单位当前所投项目的虚拟子账号，缴纳至错误虚拟子账号的投标保证金信息系统不能识别，视为未按招标文件要求递交投标保证金。</w:t>
            </w:r>
          </w:p>
          <w:p w14:paraId="575BF321">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具体操作流程如下：</w:t>
            </w:r>
          </w:p>
          <w:p w14:paraId="435334B1">
            <w:pPr>
              <w:wordWrap w:val="0"/>
              <w:adjustRightInd w:val="0"/>
              <w:snapToGrid w:val="0"/>
              <w:rPr>
                <w:rFonts w:ascii="宋体" w:hAnsi="宋体" w:cs="宋体"/>
                <w:color w:val="auto"/>
                <w:szCs w:val="21"/>
                <w:highlight w:val="none"/>
              </w:rPr>
            </w:pPr>
            <w:r>
              <w:rPr>
                <w:rFonts w:hint="eastAsia" w:ascii="宋体" w:hAnsi="宋体" w:eastAsia="宋体" w:cs="宋体"/>
                <w:snapToGrid w:val="0"/>
                <w:color w:val="auto"/>
                <w:kern w:val="0"/>
                <w:szCs w:val="21"/>
                <w:highlight w:val="none"/>
              </w:rPr>
              <w:t>平台首页在潇湘交易云企业控制台入口“注册/修改企业信息”处完成账号注册--&gt;凭注册账号登录供应商系统--&gt;在“采购公告/邀请函”栏目找到对应项目--&gt;点击“进入项目”按钮进入项目工作台--&gt;在“网上投标”页签点击“递交保证金”按钮--&gt;点击“缴纳”按钮获取虚拟子账号--&gt;使用公司对公账号向虚拟子账号转入保证金--&gt;跟踪保证金缴纳状态，完成缴纳</w:t>
            </w:r>
            <w:r>
              <w:rPr>
                <w:rFonts w:hint="eastAsia" w:ascii="宋体" w:hAnsi="宋体" w:cs="宋体"/>
                <w:color w:val="auto"/>
                <w:szCs w:val="21"/>
                <w:highlight w:val="none"/>
              </w:rPr>
              <w:t>。</w:t>
            </w:r>
          </w:p>
          <w:p w14:paraId="2D56A48B">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1.2交纳方式：银行转账，从投标人单位基本账户转入投标保证金的托管账户管理。招标人不接受以现金方式提交的投标保证金，以现金方式提交的投标保证金无效。</w:t>
            </w:r>
          </w:p>
          <w:p w14:paraId="155E31EE">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1.3交纳时间：投标截止时间前。投标保证金要求在交纳截止时间（含）到达账户（以潇湘交易云平台投标保证金电子化管理系统公布的到账时间为准），请各供应商（投标人）尽量提前缴纳投标保证金，避免在递交截止时间后到账而导致投标失败。</w:t>
            </w:r>
          </w:p>
          <w:p w14:paraId="5777A758">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系统操作咨询及问题反馈电话：</w:t>
            </w:r>
            <w:r>
              <w:rPr>
                <w:rFonts w:hint="eastAsia" w:ascii="宋体" w:hAnsi="宋体" w:cs="宋体"/>
                <w:color w:val="auto"/>
                <w:szCs w:val="21"/>
                <w:highlight w:val="none"/>
                <w:lang w:eastAsia="zh-CN"/>
              </w:rPr>
              <w:t>0731-85675505</w:t>
            </w:r>
          </w:p>
          <w:p w14:paraId="164AF56B">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2、银行保函。</w:t>
            </w:r>
          </w:p>
          <w:p w14:paraId="53E504BA">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2.1银行保函形式提交的，</w:t>
            </w:r>
            <w:r>
              <w:rPr>
                <w:rFonts w:hint="eastAsia" w:ascii="宋体" w:hAnsi="宋体" w:cs="宋体"/>
                <w:b/>
                <w:bCs/>
                <w:color w:val="auto"/>
                <w:szCs w:val="21"/>
                <w:highlight w:val="none"/>
              </w:rPr>
              <w:t>投标人须在交标时同步提供保函原件</w:t>
            </w:r>
            <w:r>
              <w:rPr>
                <w:rFonts w:hint="eastAsia" w:ascii="宋体" w:hAnsi="宋体" w:cs="宋体"/>
                <w:color w:val="auto"/>
                <w:szCs w:val="21"/>
                <w:highlight w:val="none"/>
              </w:rPr>
              <w:t>，保函格式自拟，保函有效期应当不小于投标有效期；不满足上述要求的，其投标将被否决。</w:t>
            </w:r>
          </w:p>
          <w:p w14:paraId="053DB092">
            <w:pPr>
              <w:wordWrap w:val="0"/>
              <w:adjustRightInd w:val="0"/>
              <w:snapToGrid w:val="0"/>
              <w:rPr>
                <w:rFonts w:ascii="宋体" w:hAnsi="宋体"/>
                <w:b/>
                <w:color w:val="auto"/>
                <w:szCs w:val="21"/>
                <w:highlight w:val="none"/>
              </w:rPr>
            </w:pPr>
            <w:r>
              <w:rPr>
                <w:rFonts w:hint="eastAsia" w:ascii="宋体" w:hAnsi="宋体" w:cs="宋体"/>
                <w:b/>
                <w:color w:val="auto"/>
                <w:szCs w:val="21"/>
                <w:highlight w:val="none"/>
              </w:rPr>
              <w:t>注：投标人和担保人对保函的真实性和合法性负责。</w:t>
            </w:r>
          </w:p>
        </w:tc>
      </w:tr>
      <w:tr w14:paraId="73B14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96" w:type="dxa"/>
            <w:tcBorders>
              <w:right w:val="single" w:color="auto" w:sz="4" w:space="0"/>
            </w:tcBorders>
            <w:vAlign w:val="center"/>
          </w:tcPr>
          <w:p w14:paraId="1FF73210">
            <w:pPr>
              <w:wordWrap w:val="0"/>
              <w:jc w:val="center"/>
              <w:rPr>
                <w:rFonts w:ascii="宋体" w:hAnsi="宋体"/>
                <w:color w:val="auto"/>
                <w:szCs w:val="21"/>
                <w:highlight w:val="none"/>
              </w:rPr>
            </w:pPr>
            <w:r>
              <w:rPr>
                <w:rFonts w:hint="eastAsia" w:ascii="宋体" w:hAnsi="宋体"/>
                <w:color w:val="auto"/>
                <w:szCs w:val="21"/>
                <w:highlight w:val="none"/>
              </w:rPr>
              <w:t>17</w:t>
            </w:r>
          </w:p>
        </w:tc>
        <w:tc>
          <w:tcPr>
            <w:tcW w:w="849" w:type="dxa"/>
            <w:tcBorders>
              <w:left w:val="single" w:color="auto" w:sz="4" w:space="0"/>
            </w:tcBorders>
            <w:vAlign w:val="center"/>
          </w:tcPr>
          <w:p w14:paraId="640A2CEC">
            <w:pPr>
              <w:wordWrap w:val="0"/>
              <w:jc w:val="center"/>
              <w:rPr>
                <w:rFonts w:ascii="宋体" w:hAnsi="宋体"/>
                <w:color w:val="auto"/>
                <w:szCs w:val="21"/>
                <w:highlight w:val="none"/>
              </w:rPr>
            </w:pPr>
            <w:r>
              <w:rPr>
                <w:rFonts w:hint="eastAsia" w:ascii="宋体" w:hAnsi="宋体"/>
                <w:color w:val="auto"/>
                <w:szCs w:val="21"/>
                <w:highlight w:val="none"/>
              </w:rPr>
              <w:t>3.7</w:t>
            </w:r>
          </w:p>
        </w:tc>
        <w:tc>
          <w:tcPr>
            <w:tcW w:w="2126" w:type="dxa"/>
            <w:vAlign w:val="center"/>
          </w:tcPr>
          <w:p w14:paraId="358C2CB7">
            <w:pPr>
              <w:wordWrap w:val="0"/>
              <w:jc w:val="center"/>
              <w:rPr>
                <w:rFonts w:ascii="宋体" w:hAnsi="宋体"/>
                <w:color w:val="auto"/>
                <w:szCs w:val="21"/>
                <w:highlight w:val="none"/>
              </w:rPr>
            </w:pPr>
            <w:r>
              <w:rPr>
                <w:rFonts w:hint="eastAsia" w:ascii="宋体" w:hAnsi="宋体"/>
                <w:color w:val="auto"/>
                <w:szCs w:val="21"/>
                <w:highlight w:val="none"/>
              </w:rPr>
              <w:t>投标文件的编制</w:t>
            </w:r>
          </w:p>
        </w:tc>
        <w:tc>
          <w:tcPr>
            <w:tcW w:w="5474" w:type="dxa"/>
            <w:gridSpan w:val="2"/>
            <w:vAlign w:val="center"/>
          </w:tcPr>
          <w:p w14:paraId="742C521D">
            <w:pPr>
              <w:wordWrap/>
              <w:jc w:val="left"/>
              <w:rPr>
                <w:rFonts w:ascii="宋体" w:hAnsi="宋体"/>
                <w:color w:val="auto"/>
                <w:szCs w:val="21"/>
                <w:highlight w:val="none"/>
              </w:rPr>
            </w:pPr>
            <w:r>
              <w:rPr>
                <w:rFonts w:hint="eastAsia" w:ascii="宋体" w:hAnsi="宋体"/>
                <w:color w:val="auto"/>
                <w:szCs w:val="21"/>
                <w:highlight w:val="none"/>
              </w:rPr>
              <w:t>1、招标文件第六章“投标文件格式”规定处必须由投标人的法定代表人</w:t>
            </w:r>
            <w:r>
              <w:rPr>
                <w:rFonts w:hint="eastAsia" w:ascii="宋体" w:hAnsi="宋体" w:cs="宋体"/>
                <w:iCs/>
                <w:color w:val="auto"/>
                <w:szCs w:val="21"/>
                <w:highlight w:val="none"/>
              </w:rPr>
              <w:t>/负责人</w:t>
            </w:r>
            <w:r>
              <w:rPr>
                <w:rFonts w:hint="eastAsia" w:ascii="宋体" w:hAnsi="宋体"/>
                <w:color w:val="auto"/>
                <w:szCs w:val="21"/>
                <w:highlight w:val="none"/>
              </w:rPr>
              <w:t>或授权委托代理人签字或盖章和加盖企业法人公章。</w:t>
            </w:r>
          </w:p>
          <w:p w14:paraId="4982B939">
            <w:pPr>
              <w:wordWrap w:val="0"/>
              <w:rPr>
                <w:rFonts w:ascii="宋体" w:hAnsi="宋体"/>
                <w:color w:val="auto"/>
                <w:szCs w:val="21"/>
                <w:highlight w:val="none"/>
              </w:rPr>
            </w:pPr>
            <w:r>
              <w:rPr>
                <w:rFonts w:hint="eastAsia" w:ascii="宋体" w:hAnsi="宋体"/>
                <w:color w:val="auto"/>
                <w:szCs w:val="21"/>
                <w:highlight w:val="none"/>
              </w:rPr>
              <w:t>2、投标文件一式</w:t>
            </w:r>
            <w:r>
              <w:rPr>
                <w:rFonts w:hint="eastAsia" w:ascii="宋体" w:hAnsi="宋体"/>
                <w:color w:val="auto"/>
                <w:szCs w:val="21"/>
                <w:highlight w:val="none"/>
                <w:lang w:val="en-US" w:eastAsia="zh-CN"/>
              </w:rPr>
              <w:t>五</w:t>
            </w:r>
            <w:r>
              <w:rPr>
                <w:rFonts w:hint="eastAsia" w:ascii="宋体" w:hAnsi="宋体"/>
                <w:color w:val="auto"/>
                <w:szCs w:val="21"/>
                <w:highlight w:val="none"/>
              </w:rPr>
              <w:t>份，正本一份，副本</w:t>
            </w:r>
            <w:r>
              <w:rPr>
                <w:rFonts w:hint="eastAsia" w:ascii="宋体" w:hAnsi="宋体"/>
                <w:color w:val="auto"/>
                <w:szCs w:val="21"/>
                <w:highlight w:val="none"/>
                <w:lang w:val="en-US" w:eastAsia="zh-CN"/>
              </w:rPr>
              <w:t>四</w:t>
            </w:r>
            <w:r>
              <w:rPr>
                <w:rFonts w:hint="eastAsia" w:ascii="宋体" w:hAnsi="宋体"/>
                <w:color w:val="auto"/>
                <w:szCs w:val="21"/>
                <w:highlight w:val="none"/>
              </w:rPr>
              <w:t>份，电子文本一份（须为投标文件正本扫描件）。</w:t>
            </w:r>
          </w:p>
        </w:tc>
      </w:tr>
      <w:tr w14:paraId="4AE537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2" w:hRule="atLeast"/>
          <w:jc w:val="center"/>
        </w:trPr>
        <w:tc>
          <w:tcPr>
            <w:tcW w:w="696" w:type="dxa"/>
            <w:tcBorders>
              <w:right w:val="single" w:color="auto" w:sz="4" w:space="0"/>
            </w:tcBorders>
            <w:vAlign w:val="center"/>
          </w:tcPr>
          <w:p w14:paraId="2A4DCA92">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18</w:t>
            </w:r>
          </w:p>
        </w:tc>
        <w:tc>
          <w:tcPr>
            <w:tcW w:w="849" w:type="dxa"/>
            <w:tcBorders>
              <w:left w:val="single" w:color="auto" w:sz="4" w:space="0"/>
            </w:tcBorders>
            <w:vAlign w:val="center"/>
          </w:tcPr>
          <w:p w14:paraId="384AB570">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3.8</w:t>
            </w:r>
          </w:p>
        </w:tc>
        <w:tc>
          <w:tcPr>
            <w:tcW w:w="2126" w:type="dxa"/>
            <w:vAlign w:val="center"/>
          </w:tcPr>
          <w:p w14:paraId="0FDAED29">
            <w:pPr>
              <w:wordWrap w:val="0"/>
              <w:jc w:val="center"/>
              <w:rPr>
                <w:rFonts w:ascii="宋体" w:hAnsi="宋体"/>
                <w:color w:val="auto"/>
                <w:szCs w:val="21"/>
                <w:highlight w:val="none"/>
              </w:rPr>
            </w:pPr>
            <w:r>
              <w:rPr>
                <w:rFonts w:hint="eastAsia" w:ascii="宋体" w:hAnsi="宋体"/>
                <w:color w:val="auto"/>
                <w:szCs w:val="21"/>
                <w:highlight w:val="none"/>
              </w:rPr>
              <w:t>投标文件封套</w:t>
            </w:r>
          </w:p>
          <w:p w14:paraId="7D501399">
            <w:pPr>
              <w:wordWrap w:val="0"/>
              <w:jc w:val="center"/>
              <w:rPr>
                <w:rFonts w:hint="eastAsia" w:ascii="宋体" w:hAnsi="宋体"/>
                <w:color w:val="auto"/>
                <w:szCs w:val="21"/>
                <w:highlight w:val="none"/>
              </w:rPr>
            </w:pPr>
            <w:r>
              <w:rPr>
                <w:rFonts w:hint="eastAsia" w:ascii="宋体" w:hAnsi="宋体"/>
                <w:color w:val="auto"/>
                <w:szCs w:val="21"/>
                <w:highlight w:val="none"/>
              </w:rPr>
              <w:t>标识要求</w:t>
            </w:r>
          </w:p>
        </w:tc>
        <w:tc>
          <w:tcPr>
            <w:tcW w:w="5474" w:type="dxa"/>
            <w:gridSpan w:val="2"/>
            <w:vAlign w:val="center"/>
          </w:tcPr>
          <w:p w14:paraId="15AECD6E">
            <w:pPr>
              <w:rPr>
                <w:rFonts w:ascii="宋体" w:hAnsi="宋体" w:cs="宋体"/>
                <w:color w:val="auto"/>
                <w:szCs w:val="21"/>
                <w:highlight w:val="none"/>
              </w:rPr>
            </w:pPr>
            <w:r>
              <w:rPr>
                <w:rFonts w:hint="eastAsia" w:ascii="宋体" w:hAnsi="宋体" w:cs="宋体"/>
                <w:color w:val="auto"/>
                <w:szCs w:val="21"/>
                <w:highlight w:val="none"/>
              </w:rPr>
              <w:t>封套上须写明：</w:t>
            </w:r>
          </w:p>
          <w:p w14:paraId="0D64F23C">
            <w:pPr>
              <w:rPr>
                <w:rFonts w:ascii="宋体" w:hAnsi="宋体" w:cs="宋体"/>
                <w:color w:val="auto"/>
                <w:szCs w:val="21"/>
                <w:highlight w:val="none"/>
                <w:u w:val="single"/>
              </w:rPr>
            </w:pPr>
            <w:r>
              <w:rPr>
                <w:rFonts w:hint="eastAsia" w:ascii="宋体" w:hAnsi="宋体" w:cs="宋体"/>
                <w:color w:val="auto"/>
                <w:szCs w:val="21"/>
                <w:highlight w:val="none"/>
              </w:rPr>
              <w:t>招标人名称：</w:t>
            </w:r>
            <w:r>
              <w:rPr>
                <w:rFonts w:hint="eastAsia" w:ascii="宋体" w:hAnsi="宋体" w:cs="宋体"/>
                <w:color w:val="auto"/>
                <w:szCs w:val="21"/>
                <w:highlight w:val="none"/>
                <w:u w:val="single"/>
              </w:rPr>
              <w:t xml:space="preserve">                        </w:t>
            </w:r>
          </w:p>
          <w:p w14:paraId="41D8616D">
            <w:pPr>
              <w:snapToGrid w:val="0"/>
              <w:rPr>
                <w:rFonts w:ascii="宋体" w:hAnsi="宋体" w:cs="宋体"/>
                <w:color w:val="auto"/>
                <w:szCs w:val="21"/>
                <w:highlight w:val="none"/>
              </w:rPr>
            </w:pPr>
            <w:r>
              <w:rPr>
                <w:rFonts w:hint="eastAsia" w:ascii="宋体" w:hAnsi="宋体" w:cs="宋体"/>
                <w:color w:val="auto"/>
                <w:szCs w:val="21"/>
                <w:highlight w:val="none"/>
              </w:rPr>
              <w:t>投标人全称（盖章）：</w:t>
            </w:r>
            <w:r>
              <w:rPr>
                <w:rFonts w:hint="eastAsia" w:ascii="宋体" w:hAnsi="宋体" w:cs="宋体"/>
                <w:color w:val="auto"/>
                <w:szCs w:val="21"/>
                <w:highlight w:val="none"/>
                <w:u w:val="single"/>
              </w:rPr>
              <w:t xml:space="preserve">                      </w:t>
            </w:r>
          </w:p>
          <w:p w14:paraId="41E911D3">
            <w:pPr>
              <w:snapToGrid w:val="0"/>
              <w:rPr>
                <w:rFonts w:ascii="宋体" w:hAnsi="宋体" w:cs="宋体"/>
                <w:color w:val="auto"/>
                <w:szCs w:val="21"/>
                <w:highlight w:val="none"/>
              </w:rPr>
            </w:pPr>
            <w:r>
              <w:rPr>
                <w:rFonts w:hint="eastAsia" w:ascii="宋体" w:hAnsi="宋体" w:cs="宋体"/>
                <w:color w:val="auto"/>
                <w:szCs w:val="21"/>
                <w:highlight w:val="none"/>
              </w:rPr>
              <w:t>投标人的地址：</w:t>
            </w:r>
            <w:r>
              <w:rPr>
                <w:rFonts w:hint="eastAsia" w:ascii="宋体" w:hAnsi="宋体" w:cs="宋体"/>
                <w:color w:val="auto"/>
                <w:szCs w:val="21"/>
                <w:highlight w:val="none"/>
                <w:u w:val="single"/>
              </w:rPr>
              <w:t xml:space="preserve">                    </w:t>
            </w:r>
          </w:p>
          <w:p w14:paraId="1A316542">
            <w:pPr>
              <w:wordWrap w:val="0"/>
              <w:rPr>
                <w:rFonts w:hint="eastAsia" w:ascii="宋体" w:hAnsi="宋体"/>
                <w:color w:val="auto"/>
                <w:szCs w:val="21"/>
                <w:highlight w:val="none"/>
              </w:rPr>
            </w:pPr>
            <w:r>
              <w:rPr>
                <w:rFonts w:hint="eastAsia" w:ascii="宋体" w:hAnsi="宋体" w:cs="宋体"/>
                <w:color w:val="auto"/>
                <w:szCs w:val="21"/>
                <w:highlight w:val="none"/>
                <w:u w:val="single"/>
              </w:rPr>
              <w:t>（项目名称）</w:t>
            </w:r>
            <w:r>
              <w:rPr>
                <w:rFonts w:hint="eastAsia" w:ascii="宋体" w:hAnsi="宋体" w:cs="宋体"/>
                <w:color w:val="auto"/>
                <w:szCs w:val="21"/>
                <w:highlight w:val="none"/>
              </w:rPr>
              <w:t>投标文件在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（投标截止时间）前不得开启</w:t>
            </w:r>
          </w:p>
        </w:tc>
      </w:tr>
      <w:tr w14:paraId="082101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2" w:hRule="atLeast"/>
          <w:jc w:val="center"/>
        </w:trPr>
        <w:tc>
          <w:tcPr>
            <w:tcW w:w="696" w:type="dxa"/>
            <w:tcBorders>
              <w:right w:val="single" w:color="auto" w:sz="4" w:space="0"/>
            </w:tcBorders>
            <w:vAlign w:val="center"/>
          </w:tcPr>
          <w:p w14:paraId="11A7497E">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19</w:t>
            </w:r>
          </w:p>
        </w:tc>
        <w:tc>
          <w:tcPr>
            <w:tcW w:w="849" w:type="dxa"/>
            <w:tcBorders>
              <w:left w:val="single" w:color="auto" w:sz="4" w:space="0"/>
            </w:tcBorders>
            <w:vAlign w:val="center"/>
          </w:tcPr>
          <w:p w14:paraId="467AB7DD">
            <w:pPr>
              <w:wordWrap w:val="0"/>
              <w:jc w:val="center"/>
              <w:rPr>
                <w:rFonts w:ascii="宋体" w:hAnsi="宋体"/>
                <w:color w:val="auto"/>
                <w:szCs w:val="21"/>
                <w:highlight w:val="none"/>
              </w:rPr>
            </w:pPr>
            <w:r>
              <w:rPr>
                <w:rFonts w:hint="eastAsia" w:ascii="宋体" w:hAnsi="宋体"/>
                <w:color w:val="auto"/>
                <w:szCs w:val="21"/>
                <w:highlight w:val="none"/>
              </w:rPr>
              <w:t>4.1.1</w:t>
            </w:r>
          </w:p>
        </w:tc>
        <w:tc>
          <w:tcPr>
            <w:tcW w:w="2126" w:type="dxa"/>
            <w:vAlign w:val="center"/>
          </w:tcPr>
          <w:p w14:paraId="64D837C0">
            <w:pPr>
              <w:wordWrap w:val="0"/>
              <w:jc w:val="center"/>
              <w:rPr>
                <w:rFonts w:ascii="宋体" w:hAnsi="宋体"/>
                <w:color w:val="auto"/>
                <w:szCs w:val="21"/>
                <w:highlight w:val="none"/>
              </w:rPr>
            </w:pPr>
            <w:r>
              <w:rPr>
                <w:rFonts w:ascii="宋体" w:hAnsi="宋体"/>
                <w:color w:val="auto"/>
                <w:szCs w:val="21"/>
                <w:highlight w:val="none"/>
              </w:rPr>
              <w:t>投标截止时间</w:t>
            </w:r>
          </w:p>
        </w:tc>
        <w:tc>
          <w:tcPr>
            <w:tcW w:w="5474" w:type="dxa"/>
            <w:gridSpan w:val="2"/>
            <w:vAlign w:val="center"/>
          </w:tcPr>
          <w:p w14:paraId="48D4913B">
            <w:pPr>
              <w:wordWrap w:val="0"/>
              <w:rPr>
                <w:rFonts w:ascii="宋体" w:hAnsi="宋体"/>
                <w:color w:val="auto"/>
                <w:szCs w:val="21"/>
                <w:highlight w:val="none"/>
              </w:rPr>
            </w:pPr>
            <w:r>
              <w:rPr>
                <w:rFonts w:hint="eastAsia" w:ascii="宋体" w:hAnsi="宋体"/>
                <w:color w:val="auto"/>
                <w:szCs w:val="21"/>
                <w:highlight w:val="none"/>
              </w:rPr>
              <w:t>20</w:t>
            </w:r>
            <w:r>
              <w:rPr>
                <w:rFonts w:hint="eastAsia" w:ascii="宋体" w:hAnsi="宋体"/>
                <w:color w:val="auto"/>
                <w:szCs w:val="21"/>
                <w:highlight w:val="none"/>
                <w:lang w:val="en-US" w:eastAsia="zh-CN"/>
              </w:rPr>
              <w:t>25</w:t>
            </w:r>
            <w:r>
              <w:rPr>
                <w:rFonts w:hint="eastAsia" w:ascii="宋体" w:hAnsi="宋体"/>
                <w:color w:val="auto"/>
                <w:szCs w:val="21"/>
                <w:highlight w:val="none"/>
              </w:rPr>
              <w:t>年</w:t>
            </w:r>
            <w:r>
              <w:rPr>
                <w:rFonts w:hint="eastAsia" w:ascii="宋体" w:hAnsi="宋体"/>
                <w:color w:val="auto"/>
                <w:szCs w:val="21"/>
                <w:highlight w:val="none"/>
                <w:lang w:val="en-US" w:eastAsia="zh-CN"/>
              </w:rPr>
              <w:t>10</w:t>
            </w:r>
            <w:r>
              <w:rPr>
                <w:rFonts w:hint="eastAsia" w:ascii="宋体" w:hAnsi="宋体"/>
                <w:color w:val="auto"/>
                <w:szCs w:val="21"/>
                <w:highlight w:val="none"/>
              </w:rPr>
              <w:t>月</w:t>
            </w:r>
            <w:r>
              <w:rPr>
                <w:rFonts w:hint="eastAsia" w:ascii="宋体" w:hAnsi="宋体"/>
                <w:color w:val="auto"/>
                <w:szCs w:val="21"/>
                <w:highlight w:val="none"/>
                <w:lang w:val="en-US" w:eastAsia="zh-CN"/>
              </w:rPr>
              <w:t>10</w:t>
            </w:r>
            <w:r>
              <w:rPr>
                <w:rFonts w:hint="eastAsia" w:ascii="宋体" w:hAnsi="宋体"/>
                <w:color w:val="auto"/>
                <w:szCs w:val="21"/>
                <w:highlight w:val="none"/>
              </w:rPr>
              <w:t>日</w:t>
            </w:r>
            <w:r>
              <w:rPr>
                <w:rFonts w:hint="eastAsia" w:ascii="宋体" w:hAnsi="宋体"/>
                <w:color w:val="auto"/>
                <w:szCs w:val="21"/>
                <w:highlight w:val="none"/>
                <w:lang w:val="en-US" w:eastAsia="zh-CN"/>
              </w:rPr>
              <w:t>9</w:t>
            </w:r>
            <w:r>
              <w:rPr>
                <w:rFonts w:hint="eastAsia" w:ascii="宋体" w:hAnsi="宋体"/>
                <w:color w:val="auto"/>
                <w:szCs w:val="21"/>
                <w:highlight w:val="none"/>
              </w:rPr>
              <w:t>时</w:t>
            </w:r>
            <w:r>
              <w:rPr>
                <w:rFonts w:hint="eastAsia" w:ascii="宋体" w:hAnsi="宋体"/>
                <w:color w:val="auto"/>
                <w:szCs w:val="21"/>
                <w:highlight w:val="none"/>
                <w:lang w:val="en-US" w:eastAsia="zh-CN"/>
              </w:rPr>
              <w:t>3</w:t>
            </w:r>
            <w:r>
              <w:rPr>
                <w:rFonts w:hint="eastAsia" w:ascii="宋体" w:hAnsi="宋体"/>
                <w:color w:val="auto"/>
                <w:szCs w:val="21"/>
                <w:highlight w:val="none"/>
              </w:rPr>
              <w:t>0分</w:t>
            </w:r>
          </w:p>
        </w:tc>
      </w:tr>
      <w:tr w14:paraId="2C077E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96" w:type="dxa"/>
            <w:tcBorders>
              <w:right w:val="single" w:color="auto" w:sz="4" w:space="0"/>
            </w:tcBorders>
            <w:vAlign w:val="center"/>
          </w:tcPr>
          <w:p w14:paraId="5FBB07D5">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20</w:t>
            </w:r>
          </w:p>
        </w:tc>
        <w:tc>
          <w:tcPr>
            <w:tcW w:w="849" w:type="dxa"/>
            <w:tcBorders>
              <w:left w:val="single" w:color="auto" w:sz="4" w:space="0"/>
            </w:tcBorders>
            <w:vAlign w:val="center"/>
          </w:tcPr>
          <w:p w14:paraId="7291817D">
            <w:pPr>
              <w:wordWrap w:val="0"/>
              <w:jc w:val="center"/>
              <w:rPr>
                <w:rFonts w:ascii="宋体" w:hAnsi="宋体"/>
                <w:color w:val="auto"/>
                <w:szCs w:val="21"/>
                <w:highlight w:val="none"/>
              </w:rPr>
            </w:pPr>
            <w:r>
              <w:rPr>
                <w:rFonts w:hint="eastAsia" w:ascii="宋体" w:hAnsi="宋体"/>
                <w:color w:val="auto"/>
                <w:szCs w:val="21"/>
                <w:highlight w:val="none"/>
              </w:rPr>
              <w:t>4.1.2</w:t>
            </w:r>
          </w:p>
        </w:tc>
        <w:tc>
          <w:tcPr>
            <w:tcW w:w="2126" w:type="dxa"/>
            <w:vAlign w:val="center"/>
          </w:tcPr>
          <w:p w14:paraId="6980AF99">
            <w:pPr>
              <w:spacing w:line="360" w:lineRule="auto"/>
              <w:jc w:val="center"/>
              <w:rPr>
                <w:rFonts w:ascii="宋体" w:hAnsi="宋体"/>
                <w:color w:val="auto"/>
                <w:szCs w:val="21"/>
                <w:highlight w:val="none"/>
              </w:rPr>
            </w:pPr>
            <w:r>
              <w:rPr>
                <w:rFonts w:hint="eastAsia" w:ascii="宋体" w:hAnsi="宋体" w:cs="宋体"/>
                <w:color w:val="auto"/>
                <w:szCs w:val="21"/>
                <w:highlight w:val="none"/>
              </w:rPr>
              <w:t>提交投标文件地点</w:t>
            </w:r>
          </w:p>
        </w:tc>
        <w:tc>
          <w:tcPr>
            <w:tcW w:w="5474" w:type="dxa"/>
            <w:gridSpan w:val="2"/>
            <w:vAlign w:val="center"/>
          </w:tcPr>
          <w:p w14:paraId="11862E3F">
            <w:pPr>
              <w:wordWrap w:val="0"/>
              <w:rPr>
                <w:rFonts w:ascii="宋体" w:hAnsi="宋体"/>
                <w:color w:val="auto"/>
                <w:szCs w:val="21"/>
                <w:highlight w:val="none"/>
              </w:rPr>
            </w:pPr>
            <w:r>
              <w:rPr>
                <w:rFonts w:hint="eastAsia" w:ascii="宋体" w:hAnsi="宋体" w:cs="宋体"/>
                <w:snapToGrid w:val="0"/>
                <w:color w:val="auto"/>
                <w:kern w:val="0"/>
                <w:szCs w:val="21"/>
                <w:highlight w:val="none"/>
              </w:rPr>
              <w:t>湖南省长沙市芙蓉区蓉园路6号湖南省老干部大学金秋楼10楼【中航公共资源交易平台】相应开标室。</w:t>
            </w:r>
          </w:p>
        </w:tc>
      </w:tr>
      <w:tr w14:paraId="42D41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96" w:type="dxa"/>
            <w:tcBorders>
              <w:right w:val="single" w:color="auto" w:sz="4" w:space="0"/>
            </w:tcBorders>
            <w:vAlign w:val="center"/>
          </w:tcPr>
          <w:p w14:paraId="310739CC">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21</w:t>
            </w:r>
          </w:p>
        </w:tc>
        <w:tc>
          <w:tcPr>
            <w:tcW w:w="849" w:type="dxa"/>
            <w:tcBorders>
              <w:left w:val="single" w:color="auto" w:sz="4" w:space="0"/>
            </w:tcBorders>
            <w:vAlign w:val="center"/>
          </w:tcPr>
          <w:p w14:paraId="12D617EC">
            <w:pPr>
              <w:spacing w:line="360" w:lineRule="auto"/>
              <w:jc w:val="center"/>
              <w:rPr>
                <w:rFonts w:hint="eastAsia" w:ascii="宋体" w:hAnsi="宋体"/>
                <w:color w:val="auto"/>
                <w:szCs w:val="21"/>
                <w:highlight w:val="none"/>
              </w:rPr>
            </w:pPr>
            <w:r>
              <w:rPr>
                <w:rFonts w:hint="eastAsia" w:ascii="宋体" w:hAnsi="宋体" w:cs="宋体"/>
                <w:color w:val="auto"/>
                <w:szCs w:val="21"/>
                <w:highlight w:val="none"/>
              </w:rPr>
              <w:t>4.2.3</w:t>
            </w:r>
          </w:p>
        </w:tc>
        <w:tc>
          <w:tcPr>
            <w:tcW w:w="2126" w:type="dxa"/>
            <w:vAlign w:val="center"/>
          </w:tcPr>
          <w:p w14:paraId="64C2DF6D">
            <w:pPr>
              <w:spacing w:line="360" w:lineRule="auto"/>
              <w:jc w:val="center"/>
              <w:rPr>
                <w:rFonts w:ascii="宋体" w:hAnsi="宋体"/>
                <w:color w:val="auto"/>
                <w:szCs w:val="21"/>
                <w:highlight w:val="none"/>
              </w:rPr>
            </w:pPr>
            <w:r>
              <w:rPr>
                <w:rFonts w:hint="eastAsia" w:ascii="宋体" w:hAnsi="宋体" w:cs="宋体"/>
                <w:color w:val="auto"/>
                <w:szCs w:val="21"/>
                <w:highlight w:val="none"/>
              </w:rPr>
              <w:t>是否退还投标文件</w:t>
            </w:r>
          </w:p>
        </w:tc>
        <w:tc>
          <w:tcPr>
            <w:tcW w:w="5474" w:type="dxa"/>
            <w:gridSpan w:val="2"/>
            <w:vAlign w:val="center"/>
          </w:tcPr>
          <w:p w14:paraId="2749DE5B">
            <w:pPr>
              <w:wordWrap w:val="0"/>
              <w:rPr>
                <w:rFonts w:hint="eastAsia" w:ascii="宋体" w:hAnsi="宋体"/>
                <w:color w:val="auto"/>
                <w:szCs w:val="21"/>
                <w:highlight w:val="none"/>
              </w:rPr>
            </w:pPr>
            <w:r>
              <w:rPr>
                <w:rFonts w:hint="eastAsia" w:ascii="宋体" w:hAnsi="宋体" w:cs="宋体"/>
                <w:color w:val="auto"/>
                <w:szCs w:val="21"/>
                <w:highlight w:val="none"/>
              </w:rPr>
              <w:t>否</w:t>
            </w:r>
          </w:p>
        </w:tc>
      </w:tr>
      <w:tr w14:paraId="051924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96" w:type="dxa"/>
            <w:tcBorders>
              <w:right w:val="single" w:color="auto" w:sz="4" w:space="0"/>
            </w:tcBorders>
            <w:vAlign w:val="center"/>
          </w:tcPr>
          <w:p w14:paraId="1B61967E">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22</w:t>
            </w:r>
          </w:p>
        </w:tc>
        <w:tc>
          <w:tcPr>
            <w:tcW w:w="849" w:type="dxa"/>
            <w:tcBorders>
              <w:left w:val="single" w:color="auto" w:sz="4" w:space="0"/>
            </w:tcBorders>
            <w:vAlign w:val="center"/>
          </w:tcPr>
          <w:p w14:paraId="04F7C65D">
            <w:pPr>
              <w:wordWrap w:val="0"/>
              <w:jc w:val="center"/>
              <w:rPr>
                <w:rFonts w:ascii="宋体" w:hAnsi="宋体"/>
                <w:color w:val="auto"/>
                <w:szCs w:val="21"/>
                <w:highlight w:val="none"/>
              </w:rPr>
            </w:pPr>
            <w:r>
              <w:rPr>
                <w:rFonts w:hint="eastAsia" w:ascii="宋体" w:hAnsi="宋体"/>
                <w:color w:val="auto"/>
                <w:szCs w:val="21"/>
                <w:highlight w:val="none"/>
              </w:rPr>
              <w:t>5.1</w:t>
            </w:r>
          </w:p>
        </w:tc>
        <w:tc>
          <w:tcPr>
            <w:tcW w:w="2126" w:type="dxa"/>
            <w:vAlign w:val="center"/>
          </w:tcPr>
          <w:p w14:paraId="0916445B">
            <w:pPr>
              <w:spacing w:line="360" w:lineRule="auto"/>
              <w:jc w:val="center"/>
              <w:rPr>
                <w:rFonts w:ascii="宋体" w:hAnsi="宋体"/>
                <w:color w:val="auto"/>
                <w:szCs w:val="21"/>
                <w:highlight w:val="none"/>
              </w:rPr>
            </w:pPr>
            <w:r>
              <w:rPr>
                <w:rFonts w:hint="eastAsia" w:ascii="宋体" w:hAnsi="宋体" w:cs="宋体"/>
                <w:color w:val="auto"/>
                <w:szCs w:val="21"/>
                <w:highlight w:val="none"/>
              </w:rPr>
              <w:t>开标时间和地点</w:t>
            </w:r>
          </w:p>
        </w:tc>
        <w:tc>
          <w:tcPr>
            <w:tcW w:w="5474" w:type="dxa"/>
            <w:gridSpan w:val="2"/>
            <w:vAlign w:val="center"/>
          </w:tcPr>
          <w:p w14:paraId="6238C86C">
            <w:pPr>
              <w:rPr>
                <w:rFonts w:ascii="宋体" w:hAnsi="宋体" w:cs="宋体"/>
                <w:color w:val="auto"/>
                <w:szCs w:val="21"/>
                <w:highlight w:val="none"/>
              </w:rPr>
            </w:pPr>
            <w:r>
              <w:rPr>
                <w:rFonts w:hint="eastAsia" w:ascii="宋体" w:hAnsi="宋体" w:cs="宋体"/>
                <w:color w:val="auto"/>
                <w:szCs w:val="21"/>
                <w:highlight w:val="none"/>
              </w:rPr>
              <w:t>开标时间：202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w:t>
            </w:r>
            <w:r>
              <w:rPr>
                <w:rFonts w:hint="eastAsia" w:ascii="宋体" w:hAnsi="宋体" w:cs="宋体"/>
                <w:snapToGrid w:val="0"/>
                <w:color w:val="auto"/>
                <w:kern w:val="0"/>
                <w:szCs w:val="21"/>
                <w:highlight w:val="none"/>
                <w:lang w:val="en-US" w:eastAsia="zh-CN"/>
              </w:rPr>
              <w:t>10</w:t>
            </w:r>
            <w:r>
              <w:rPr>
                <w:rFonts w:hint="eastAsia" w:ascii="宋体" w:hAnsi="宋体" w:cs="宋体"/>
                <w:snapToGrid w:val="0"/>
                <w:color w:val="auto"/>
                <w:kern w:val="0"/>
                <w:szCs w:val="21"/>
                <w:highlight w:val="none"/>
              </w:rPr>
              <w:t>月</w:t>
            </w:r>
            <w:r>
              <w:rPr>
                <w:rFonts w:hint="eastAsia" w:ascii="宋体" w:hAnsi="宋体" w:cs="宋体"/>
                <w:snapToGrid w:val="0"/>
                <w:color w:val="auto"/>
                <w:kern w:val="0"/>
                <w:szCs w:val="21"/>
                <w:highlight w:val="none"/>
                <w:lang w:val="en-US" w:eastAsia="zh-CN"/>
              </w:rPr>
              <w:t>10</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时30分。</w:t>
            </w:r>
          </w:p>
          <w:p w14:paraId="2106E658">
            <w:pPr>
              <w:rPr>
                <w:rFonts w:ascii="宋体" w:hAnsi="宋体"/>
                <w:color w:val="auto"/>
                <w:szCs w:val="21"/>
                <w:highlight w:val="none"/>
              </w:rPr>
            </w:pPr>
            <w:r>
              <w:rPr>
                <w:rFonts w:hint="eastAsia" w:ascii="宋体" w:hAnsi="宋体" w:cs="宋体"/>
                <w:color w:val="auto"/>
                <w:szCs w:val="21"/>
                <w:highlight w:val="none"/>
              </w:rPr>
              <w:t>开标地点：</w:t>
            </w:r>
            <w:r>
              <w:rPr>
                <w:rFonts w:hint="eastAsia" w:ascii="宋体" w:hAnsi="宋体" w:cs="宋体"/>
                <w:snapToGrid w:val="0"/>
                <w:color w:val="auto"/>
                <w:kern w:val="0"/>
                <w:szCs w:val="21"/>
                <w:highlight w:val="none"/>
              </w:rPr>
              <w:t>湖南省长沙市芙蓉区蓉园路6号湖南省老干部大学金秋楼10楼【中航公共资源交易平台】相应开标室。</w:t>
            </w:r>
          </w:p>
        </w:tc>
      </w:tr>
      <w:tr w14:paraId="22723C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96" w:type="dxa"/>
            <w:tcBorders>
              <w:right w:val="single" w:color="auto" w:sz="4" w:space="0"/>
            </w:tcBorders>
            <w:vAlign w:val="center"/>
          </w:tcPr>
          <w:p w14:paraId="7B4D360F">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23</w:t>
            </w:r>
          </w:p>
        </w:tc>
        <w:tc>
          <w:tcPr>
            <w:tcW w:w="849" w:type="dxa"/>
            <w:tcBorders>
              <w:left w:val="single" w:color="auto" w:sz="4" w:space="0"/>
            </w:tcBorders>
            <w:vAlign w:val="center"/>
          </w:tcPr>
          <w:p w14:paraId="311F0156">
            <w:pPr>
              <w:wordWrap w:val="0"/>
              <w:jc w:val="center"/>
              <w:rPr>
                <w:rFonts w:hint="eastAsia" w:ascii="宋体" w:hAnsi="宋体" w:eastAsia="宋体"/>
                <w:color w:val="auto"/>
                <w:szCs w:val="21"/>
                <w:highlight w:val="none"/>
                <w:lang w:eastAsia="zh-CN"/>
              </w:rPr>
            </w:pPr>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2</w:t>
            </w:r>
          </w:p>
        </w:tc>
        <w:tc>
          <w:tcPr>
            <w:tcW w:w="2126" w:type="dxa"/>
            <w:vAlign w:val="center"/>
          </w:tcPr>
          <w:p w14:paraId="3177EE6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开标程序</w:t>
            </w:r>
          </w:p>
        </w:tc>
        <w:tc>
          <w:tcPr>
            <w:tcW w:w="5474" w:type="dxa"/>
            <w:gridSpan w:val="2"/>
            <w:vAlign w:val="center"/>
          </w:tcPr>
          <w:p w14:paraId="7657B5A3">
            <w:pPr>
              <w:rPr>
                <w:rFonts w:ascii="宋体" w:hAnsi="宋体" w:cs="宋体"/>
                <w:color w:val="auto"/>
                <w:szCs w:val="21"/>
                <w:highlight w:val="none"/>
              </w:rPr>
            </w:pPr>
            <w:r>
              <w:rPr>
                <w:rFonts w:hint="eastAsia" w:ascii="宋体" w:hAnsi="宋体" w:cs="宋体"/>
                <w:color w:val="auto"/>
                <w:szCs w:val="21"/>
                <w:highlight w:val="none"/>
              </w:rPr>
              <w:t>1、密封情况检查：投标人代表检查确认</w:t>
            </w:r>
          </w:p>
          <w:p w14:paraId="08DAEFCD">
            <w:pPr>
              <w:rPr>
                <w:rFonts w:hint="eastAsia" w:ascii="宋体" w:hAnsi="宋体"/>
                <w:color w:val="auto"/>
                <w:szCs w:val="21"/>
                <w:highlight w:val="none"/>
              </w:rPr>
            </w:pPr>
            <w:r>
              <w:rPr>
                <w:rFonts w:hint="eastAsia" w:ascii="宋体" w:hAnsi="宋体" w:cs="宋体"/>
                <w:color w:val="auto"/>
                <w:szCs w:val="21"/>
                <w:highlight w:val="none"/>
              </w:rPr>
              <w:t>2、开标顺序：随机</w:t>
            </w:r>
          </w:p>
        </w:tc>
      </w:tr>
      <w:tr w14:paraId="7C79C4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84" w:hRule="atLeast"/>
          <w:jc w:val="center"/>
        </w:trPr>
        <w:tc>
          <w:tcPr>
            <w:tcW w:w="696" w:type="dxa"/>
            <w:vMerge w:val="restart"/>
            <w:tcBorders>
              <w:right w:val="single" w:color="auto" w:sz="4" w:space="0"/>
            </w:tcBorders>
            <w:vAlign w:val="center"/>
          </w:tcPr>
          <w:p w14:paraId="2E9A8EAB">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24</w:t>
            </w:r>
          </w:p>
        </w:tc>
        <w:tc>
          <w:tcPr>
            <w:tcW w:w="849" w:type="dxa"/>
            <w:vMerge w:val="restart"/>
            <w:tcBorders>
              <w:left w:val="single" w:color="auto" w:sz="4" w:space="0"/>
            </w:tcBorders>
            <w:vAlign w:val="center"/>
          </w:tcPr>
          <w:p w14:paraId="46F4872E">
            <w:pPr>
              <w:wordWrap w:val="0"/>
              <w:jc w:val="center"/>
              <w:rPr>
                <w:rFonts w:hint="eastAsia" w:ascii="宋体" w:hAnsi="宋体"/>
                <w:color w:val="auto"/>
                <w:szCs w:val="21"/>
                <w:highlight w:val="none"/>
              </w:rPr>
            </w:pPr>
            <w:r>
              <w:rPr>
                <w:rFonts w:hint="eastAsia" w:ascii="宋体" w:hAnsi="宋体"/>
                <w:color w:val="auto"/>
                <w:szCs w:val="21"/>
                <w:highlight w:val="none"/>
              </w:rPr>
              <w:t>6.3.2</w:t>
            </w:r>
          </w:p>
        </w:tc>
        <w:tc>
          <w:tcPr>
            <w:tcW w:w="2126" w:type="dxa"/>
            <w:vMerge w:val="restart"/>
            <w:vAlign w:val="center"/>
          </w:tcPr>
          <w:p w14:paraId="5F371F5B">
            <w:pPr>
              <w:wordWrap w:val="0"/>
              <w:jc w:val="center"/>
              <w:rPr>
                <w:rFonts w:ascii="宋体" w:hAnsi="宋体"/>
                <w:color w:val="auto"/>
                <w:szCs w:val="21"/>
                <w:highlight w:val="none"/>
              </w:rPr>
            </w:pPr>
            <w:r>
              <w:rPr>
                <w:rFonts w:ascii="宋体" w:hAnsi="宋体"/>
                <w:color w:val="auto"/>
                <w:szCs w:val="21"/>
                <w:highlight w:val="none"/>
              </w:rPr>
              <w:t>评标委员会推荐</w:t>
            </w:r>
          </w:p>
          <w:p w14:paraId="10A75169">
            <w:pPr>
              <w:wordWrap w:val="0"/>
              <w:jc w:val="center"/>
              <w:rPr>
                <w:rFonts w:ascii="宋体" w:hAnsi="宋体"/>
                <w:color w:val="auto"/>
                <w:szCs w:val="21"/>
                <w:highlight w:val="none"/>
              </w:rPr>
            </w:pPr>
            <w:r>
              <w:rPr>
                <w:rFonts w:ascii="宋体" w:hAnsi="宋体"/>
                <w:color w:val="auto"/>
                <w:szCs w:val="21"/>
                <w:highlight w:val="none"/>
              </w:rPr>
              <w:t>中标候选人的人数</w:t>
            </w:r>
          </w:p>
        </w:tc>
        <w:tc>
          <w:tcPr>
            <w:tcW w:w="1134" w:type="dxa"/>
            <w:vMerge w:val="restart"/>
            <w:vAlign w:val="center"/>
          </w:tcPr>
          <w:p w14:paraId="2FB9D35D">
            <w:pPr>
              <w:wordWrap w:val="0"/>
              <w:rPr>
                <w:rFonts w:hint="eastAsia" w:hAnsi="宋体"/>
                <w:color w:val="auto"/>
                <w:szCs w:val="21"/>
                <w:highlight w:val="none"/>
              </w:rPr>
            </w:pPr>
            <w:r>
              <w:rPr>
                <w:rFonts w:hint="eastAsia" w:hAnsi="宋体"/>
                <w:color w:val="auto"/>
                <w:szCs w:val="21"/>
                <w:highlight w:val="none"/>
              </w:rPr>
              <w:t>采用综合评分法</w:t>
            </w:r>
          </w:p>
        </w:tc>
        <w:tc>
          <w:tcPr>
            <w:tcW w:w="4340" w:type="dxa"/>
            <w:vAlign w:val="center"/>
          </w:tcPr>
          <w:p w14:paraId="05F354F2">
            <w:pPr>
              <w:wordWrap w:val="0"/>
              <w:rPr>
                <w:rFonts w:hint="eastAsia" w:hAnsi="宋体" w:eastAsia="宋体"/>
                <w:color w:val="auto"/>
                <w:szCs w:val="21"/>
                <w:highlight w:val="none"/>
                <w:lang w:val="en-US" w:eastAsia="zh-CN"/>
              </w:rPr>
            </w:pPr>
            <w:r>
              <w:rPr>
                <w:rFonts w:hint="eastAsia" w:hAnsi="宋体"/>
                <w:color w:val="auto"/>
                <w:szCs w:val="21"/>
                <w:highlight w:val="none"/>
              </w:rPr>
              <w:t>评标委员会按综合得分由高至低的顺序，推荐</w:t>
            </w:r>
            <w:r>
              <w:rPr>
                <w:rFonts w:hint="eastAsia" w:ascii="宋体" w:hAnsi="宋体"/>
                <w:color w:val="auto"/>
                <w:szCs w:val="21"/>
                <w:highlight w:val="none"/>
                <w:lang w:val="en-US" w:eastAsia="zh-CN"/>
              </w:rPr>
              <w:t>3</w:t>
            </w:r>
            <w:r>
              <w:rPr>
                <w:rFonts w:hint="eastAsia" w:hAnsi="宋体"/>
                <w:color w:val="auto"/>
                <w:szCs w:val="21"/>
                <w:highlight w:val="none"/>
              </w:rPr>
              <w:t>个单位为中标候选人，</w:t>
            </w:r>
            <w:r>
              <w:rPr>
                <w:rFonts w:hint="eastAsia" w:hAnsi="宋体"/>
                <w:color w:val="auto"/>
                <w:szCs w:val="21"/>
                <w:highlight w:val="none"/>
                <w:lang w:eastAsia="zh-CN"/>
              </w:rPr>
              <w:t>其他</w:t>
            </w:r>
            <w:r>
              <w:rPr>
                <w:rFonts w:hint="eastAsia" w:hAnsi="宋体"/>
                <w:color w:val="auto"/>
                <w:szCs w:val="21"/>
                <w:highlight w:val="none"/>
              </w:rPr>
              <w:t>单位不予排序。若出现投标人评标综合得分相同的情况，则依次按照商务部分、技术部分得分由高至低排序、评委票决顺序确定。</w:t>
            </w:r>
          </w:p>
        </w:tc>
      </w:tr>
      <w:tr w14:paraId="612C76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84" w:hRule="atLeast"/>
          <w:jc w:val="center"/>
        </w:trPr>
        <w:tc>
          <w:tcPr>
            <w:tcW w:w="696" w:type="dxa"/>
            <w:vMerge w:val="continue"/>
            <w:tcBorders>
              <w:right w:val="single" w:color="auto" w:sz="4" w:space="0"/>
            </w:tcBorders>
            <w:vAlign w:val="center"/>
          </w:tcPr>
          <w:p w14:paraId="6ADEEC1A">
            <w:pPr>
              <w:wordWrap w:val="0"/>
              <w:jc w:val="center"/>
              <w:rPr>
                <w:rFonts w:hint="default" w:ascii="宋体" w:hAnsi="宋体"/>
                <w:color w:val="auto"/>
                <w:szCs w:val="21"/>
                <w:highlight w:val="none"/>
                <w:lang w:val="en-US"/>
              </w:rPr>
            </w:pPr>
          </w:p>
        </w:tc>
        <w:tc>
          <w:tcPr>
            <w:tcW w:w="849" w:type="dxa"/>
            <w:vMerge w:val="continue"/>
            <w:tcBorders>
              <w:left w:val="single" w:color="auto" w:sz="4" w:space="0"/>
            </w:tcBorders>
            <w:vAlign w:val="center"/>
          </w:tcPr>
          <w:p w14:paraId="5B70A124">
            <w:pPr>
              <w:wordWrap w:val="0"/>
              <w:jc w:val="center"/>
              <w:rPr>
                <w:rFonts w:hint="eastAsia" w:ascii="宋体" w:hAnsi="宋体"/>
                <w:color w:val="auto"/>
                <w:szCs w:val="21"/>
                <w:highlight w:val="none"/>
              </w:rPr>
            </w:pPr>
          </w:p>
        </w:tc>
        <w:tc>
          <w:tcPr>
            <w:tcW w:w="2126" w:type="dxa"/>
            <w:vMerge w:val="continue"/>
            <w:vAlign w:val="center"/>
          </w:tcPr>
          <w:p w14:paraId="27CAEAE0">
            <w:pPr>
              <w:wordWrap w:val="0"/>
              <w:jc w:val="center"/>
              <w:rPr>
                <w:rFonts w:ascii="宋体" w:hAnsi="宋体"/>
                <w:color w:val="auto"/>
                <w:szCs w:val="21"/>
                <w:highlight w:val="none"/>
              </w:rPr>
            </w:pPr>
          </w:p>
        </w:tc>
        <w:tc>
          <w:tcPr>
            <w:tcW w:w="1134" w:type="dxa"/>
            <w:vMerge w:val="continue"/>
            <w:vAlign w:val="center"/>
          </w:tcPr>
          <w:p w14:paraId="2B191508">
            <w:pPr>
              <w:wordWrap w:val="0"/>
              <w:rPr>
                <w:rFonts w:hint="eastAsia" w:hAnsi="宋体"/>
                <w:color w:val="auto"/>
                <w:szCs w:val="21"/>
                <w:highlight w:val="none"/>
              </w:rPr>
            </w:pPr>
          </w:p>
        </w:tc>
        <w:tc>
          <w:tcPr>
            <w:tcW w:w="4340" w:type="dxa"/>
            <w:vAlign w:val="center"/>
          </w:tcPr>
          <w:p w14:paraId="712E4691">
            <w:pPr>
              <w:keepNext w:val="0"/>
              <w:keepLines w:val="0"/>
              <w:pageBreakBefore w:val="0"/>
              <w:widowControl/>
              <w:kinsoku/>
              <w:wordWrap w:val="0"/>
              <w:overflowPunct/>
              <w:topLinePunct w:val="0"/>
              <w:autoSpaceDE/>
              <w:autoSpaceDN/>
              <w:bidi w:val="0"/>
              <w:adjustRightInd/>
              <w:snapToGrid/>
              <w:spacing w:line="240" w:lineRule="auto"/>
              <w:ind w:firstLine="0" w:firstLineChars="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中标原则：</w:t>
            </w:r>
          </w:p>
          <w:p w14:paraId="584D2184">
            <w:pPr>
              <w:wordWrap w:val="0"/>
              <w:rPr>
                <w:rFonts w:hint="eastAsia" w:hAnsi="宋体"/>
                <w:color w:val="auto"/>
                <w:szCs w:val="21"/>
                <w:highlight w:val="none"/>
              </w:rPr>
            </w:pPr>
            <w:r>
              <w:rPr>
                <w:rFonts w:hint="eastAsia" w:ascii="宋体" w:hAnsi="宋体" w:cs="宋体"/>
                <w:color w:val="auto"/>
                <w:szCs w:val="21"/>
                <w:highlight w:val="none"/>
                <w:lang w:val="en-US" w:eastAsia="zh-CN"/>
              </w:rPr>
              <w:t>中标</w:t>
            </w:r>
            <w:r>
              <w:rPr>
                <w:rFonts w:hint="eastAsia" w:ascii="宋体" w:hAnsi="宋体" w:cs="宋体"/>
                <w:color w:val="auto"/>
                <w:szCs w:val="21"/>
                <w:highlight w:val="none"/>
              </w:rPr>
              <w:t>家数为</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家，即综合得分排名第1</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名的为本项目的中标人。评标委员会</w:t>
            </w:r>
            <w:r>
              <w:rPr>
                <w:rFonts w:hint="eastAsia" w:hAnsi="宋体"/>
                <w:color w:val="auto"/>
                <w:szCs w:val="21"/>
                <w:highlight w:val="none"/>
              </w:rPr>
              <w:t>按综合得分由高至低的顺序</w:t>
            </w:r>
            <w:r>
              <w:rPr>
                <w:rFonts w:hint="eastAsia" w:ascii="宋体" w:hAnsi="宋体" w:cs="宋体"/>
                <w:color w:val="auto"/>
                <w:szCs w:val="21"/>
                <w:highlight w:val="none"/>
              </w:rPr>
              <w:t>推荐第1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名为中标候选人，经公示无异议，确定第1</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名中标候选人为中标人。</w:t>
            </w:r>
          </w:p>
        </w:tc>
      </w:tr>
      <w:tr w14:paraId="6700E4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5" w:hRule="atLeast"/>
          <w:jc w:val="center"/>
        </w:trPr>
        <w:tc>
          <w:tcPr>
            <w:tcW w:w="696" w:type="dxa"/>
            <w:tcBorders>
              <w:right w:val="single" w:color="auto" w:sz="4" w:space="0"/>
            </w:tcBorders>
            <w:vAlign w:val="center"/>
          </w:tcPr>
          <w:p w14:paraId="08A3B691">
            <w:pPr>
              <w:wordWrap w:val="0"/>
              <w:jc w:val="center"/>
              <w:rPr>
                <w:rFonts w:hint="default" w:ascii="宋体" w:hAnsi="宋体"/>
                <w:color w:val="auto"/>
                <w:szCs w:val="21"/>
                <w:highlight w:val="none"/>
                <w:lang w:val="en-US"/>
              </w:rPr>
            </w:pPr>
            <w:r>
              <w:rPr>
                <w:rFonts w:hint="eastAsia" w:ascii="宋体" w:hAnsi="宋体"/>
                <w:color w:val="auto"/>
                <w:szCs w:val="21"/>
                <w:highlight w:val="none"/>
              </w:rPr>
              <w:t>25</w:t>
            </w:r>
          </w:p>
        </w:tc>
        <w:tc>
          <w:tcPr>
            <w:tcW w:w="849" w:type="dxa"/>
            <w:tcBorders>
              <w:left w:val="single" w:color="auto" w:sz="4" w:space="0"/>
            </w:tcBorders>
            <w:vAlign w:val="center"/>
          </w:tcPr>
          <w:p w14:paraId="7003B030">
            <w:pPr>
              <w:wordWrap w:val="0"/>
              <w:jc w:val="center"/>
              <w:rPr>
                <w:rFonts w:hint="eastAsia" w:ascii="宋体" w:hAnsi="宋体"/>
                <w:color w:val="auto"/>
                <w:szCs w:val="21"/>
                <w:highlight w:val="none"/>
              </w:rPr>
            </w:pPr>
            <w:r>
              <w:rPr>
                <w:rFonts w:hint="eastAsia" w:ascii="宋体" w:hAnsi="宋体"/>
                <w:color w:val="auto"/>
                <w:szCs w:val="21"/>
                <w:highlight w:val="none"/>
              </w:rPr>
              <w:t>7.1</w:t>
            </w:r>
          </w:p>
        </w:tc>
        <w:tc>
          <w:tcPr>
            <w:tcW w:w="2126" w:type="dxa"/>
            <w:vAlign w:val="center"/>
          </w:tcPr>
          <w:p w14:paraId="5F912C7A">
            <w:pPr>
              <w:wordWrap w:val="0"/>
              <w:jc w:val="center"/>
              <w:rPr>
                <w:rFonts w:ascii="宋体" w:hAnsi="宋体"/>
                <w:color w:val="auto"/>
                <w:szCs w:val="21"/>
                <w:highlight w:val="none"/>
              </w:rPr>
            </w:pPr>
            <w:r>
              <w:rPr>
                <w:rFonts w:hint="eastAsia" w:ascii="宋体" w:hAnsi="宋体"/>
                <w:color w:val="auto"/>
                <w:szCs w:val="21"/>
                <w:highlight w:val="none"/>
              </w:rPr>
              <w:t>结果公告</w:t>
            </w:r>
            <w:r>
              <w:rPr>
                <w:rFonts w:ascii="宋体" w:hAnsi="宋体"/>
                <w:color w:val="auto"/>
                <w:szCs w:val="21"/>
                <w:highlight w:val="none"/>
              </w:rPr>
              <w:t>媒介</w:t>
            </w:r>
          </w:p>
          <w:p w14:paraId="53A51F50">
            <w:pPr>
              <w:wordWrap w:val="0"/>
              <w:jc w:val="center"/>
              <w:rPr>
                <w:rFonts w:ascii="宋体" w:hAnsi="宋体"/>
                <w:color w:val="auto"/>
                <w:szCs w:val="21"/>
                <w:highlight w:val="none"/>
              </w:rPr>
            </w:pPr>
            <w:r>
              <w:rPr>
                <w:rFonts w:ascii="宋体" w:hAnsi="宋体"/>
                <w:color w:val="auto"/>
                <w:szCs w:val="21"/>
                <w:highlight w:val="none"/>
              </w:rPr>
              <w:t>及期限</w:t>
            </w:r>
          </w:p>
        </w:tc>
        <w:tc>
          <w:tcPr>
            <w:tcW w:w="5474" w:type="dxa"/>
            <w:gridSpan w:val="2"/>
            <w:vAlign w:val="center"/>
          </w:tcPr>
          <w:p w14:paraId="5C8AA11D">
            <w:pPr>
              <w:wordWrap w:val="0"/>
              <w:rPr>
                <w:rFonts w:ascii="宋体" w:hAnsi="宋体"/>
                <w:color w:val="auto"/>
                <w:szCs w:val="21"/>
                <w:highlight w:val="none"/>
              </w:rPr>
            </w:pPr>
            <w:r>
              <w:rPr>
                <w:rFonts w:hint="eastAsia" w:ascii="宋体" w:hAnsi="宋体"/>
                <w:color w:val="auto"/>
                <w:szCs w:val="21"/>
                <w:highlight w:val="none"/>
              </w:rPr>
              <w:t>公告媒介：</w:t>
            </w:r>
            <w:r>
              <w:rPr>
                <w:rFonts w:ascii="宋体" w:hAnsi="宋体"/>
                <w:color w:val="auto"/>
                <w:szCs w:val="21"/>
                <w:highlight w:val="none"/>
              </w:rPr>
              <w:t>在</w:t>
            </w:r>
            <w:r>
              <w:rPr>
                <w:rFonts w:hint="eastAsia" w:ascii="宋体" w:hAnsi="宋体" w:cs="宋体"/>
                <w:snapToGrid w:val="0"/>
                <w:color w:val="auto"/>
                <w:kern w:val="0"/>
                <w:szCs w:val="21"/>
                <w:highlight w:val="none"/>
              </w:rPr>
              <w:t>潇湘交易云平台、中国招标投标公共服务平台</w:t>
            </w:r>
            <w:r>
              <w:rPr>
                <w:rFonts w:hint="eastAsia" w:ascii="宋体" w:hAnsi="宋体"/>
                <w:color w:val="auto"/>
                <w:szCs w:val="21"/>
                <w:highlight w:val="none"/>
              </w:rPr>
              <w:t>发布</w:t>
            </w:r>
            <w:r>
              <w:rPr>
                <w:rFonts w:ascii="宋体" w:hAnsi="宋体"/>
                <w:color w:val="auto"/>
                <w:szCs w:val="21"/>
                <w:highlight w:val="none"/>
              </w:rPr>
              <w:t>。</w:t>
            </w:r>
          </w:p>
          <w:p w14:paraId="5E560AD0">
            <w:pPr>
              <w:wordWrap w:val="0"/>
              <w:rPr>
                <w:rFonts w:hint="eastAsia" w:ascii="宋体" w:hAnsi="宋体" w:cs="宋体"/>
                <w:color w:val="auto"/>
                <w:szCs w:val="21"/>
                <w:highlight w:val="none"/>
              </w:rPr>
            </w:pPr>
            <w:r>
              <w:rPr>
                <w:rFonts w:hint="eastAsia" w:ascii="宋体" w:hAnsi="宋体"/>
                <w:color w:val="auto"/>
                <w:szCs w:val="21"/>
                <w:highlight w:val="none"/>
              </w:rPr>
              <w:t>公告期限：按相关规定执行。</w:t>
            </w:r>
          </w:p>
        </w:tc>
      </w:tr>
      <w:tr w14:paraId="0290F2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696" w:type="dxa"/>
            <w:tcBorders>
              <w:right w:val="single" w:color="auto" w:sz="4" w:space="0"/>
            </w:tcBorders>
            <w:vAlign w:val="center"/>
          </w:tcPr>
          <w:p w14:paraId="320C6CCC">
            <w:pPr>
              <w:wordWrap w:val="0"/>
              <w:jc w:val="center"/>
              <w:rPr>
                <w:rFonts w:hint="eastAsia" w:ascii="宋体" w:hAnsi="宋体"/>
                <w:color w:val="auto"/>
                <w:szCs w:val="21"/>
                <w:highlight w:val="none"/>
              </w:rPr>
            </w:pPr>
            <w:r>
              <w:rPr>
                <w:rFonts w:hint="eastAsia" w:ascii="宋体" w:hAnsi="宋体"/>
                <w:color w:val="auto"/>
                <w:szCs w:val="21"/>
                <w:highlight w:val="none"/>
              </w:rPr>
              <w:t>26</w:t>
            </w:r>
          </w:p>
        </w:tc>
        <w:tc>
          <w:tcPr>
            <w:tcW w:w="849" w:type="dxa"/>
            <w:tcBorders>
              <w:left w:val="single" w:color="auto" w:sz="4" w:space="0"/>
            </w:tcBorders>
            <w:vAlign w:val="center"/>
          </w:tcPr>
          <w:p w14:paraId="31569672">
            <w:pPr>
              <w:wordWrap w:val="0"/>
              <w:jc w:val="center"/>
              <w:rPr>
                <w:rFonts w:hint="eastAsia" w:ascii="宋体" w:hAnsi="宋体"/>
                <w:color w:val="auto"/>
                <w:szCs w:val="21"/>
                <w:highlight w:val="none"/>
              </w:rPr>
            </w:pPr>
            <w:r>
              <w:rPr>
                <w:rFonts w:hint="eastAsia" w:ascii="宋体" w:hAnsi="宋体"/>
                <w:color w:val="auto"/>
                <w:szCs w:val="21"/>
                <w:highlight w:val="none"/>
              </w:rPr>
              <w:t>7.5</w:t>
            </w:r>
          </w:p>
        </w:tc>
        <w:tc>
          <w:tcPr>
            <w:tcW w:w="2126" w:type="dxa"/>
            <w:vAlign w:val="center"/>
          </w:tcPr>
          <w:p w14:paraId="3889A8DF">
            <w:pPr>
              <w:wordWrap w:val="0"/>
              <w:jc w:val="center"/>
              <w:rPr>
                <w:rFonts w:ascii="宋体" w:hAnsi="宋体"/>
                <w:color w:val="auto"/>
                <w:szCs w:val="21"/>
                <w:highlight w:val="none"/>
              </w:rPr>
            </w:pPr>
            <w:r>
              <w:rPr>
                <w:rFonts w:ascii="宋体" w:hAnsi="宋体"/>
                <w:color w:val="auto"/>
                <w:szCs w:val="21"/>
                <w:highlight w:val="none"/>
              </w:rPr>
              <w:t>履约保证金</w:t>
            </w:r>
          </w:p>
        </w:tc>
        <w:tc>
          <w:tcPr>
            <w:tcW w:w="5474" w:type="dxa"/>
            <w:gridSpan w:val="2"/>
            <w:vAlign w:val="center"/>
          </w:tcPr>
          <w:p w14:paraId="0064DE73">
            <w:pPr>
              <w:wordWrap w:val="0"/>
              <w:rPr>
                <w:rFonts w:ascii="宋体" w:hAnsi="宋体"/>
                <w:color w:val="auto"/>
                <w:szCs w:val="21"/>
                <w:highlight w:val="none"/>
              </w:rPr>
            </w:pPr>
            <w:r>
              <w:rPr>
                <w:rFonts w:ascii="宋体" w:hAnsi="宋体"/>
                <w:color w:val="auto"/>
                <w:szCs w:val="21"/>
                <w:highlight w:val="none"/>
              </w:rPr>
              <w:t>履约保证金的形式：</w:t>
            </w:r>
            <w:r>
              <w:rPr>
                <w:rFonts w:hint="eastAsia" w:ascii="宋体" w:hAnsi="宋体"/>
                <w:color w:val="auto"/>
                <w:szCs w:val="21"/>
                <w:highlight w:val="none"/>
              </w:rPr>
              <w:t>详见合同条款</w:t>
            </w:r>
          </w:p>
          <w:p w14:paraId="54084B88">
            <w:pPr>
              <w:wordWrap w:val="0"/>
              <w:rPr>
                <w:rFonts w:hint="eastAsia" w:ascii="宋体" w:hAnsi="宋体"/>
                <w:color w:val="auto"/>
                <w:szCs w:val="21"/>
                <w:highlight w:val="none"/>
              </w:rPr>
            </w:pPr>
            <w:r>
              <w:rPr>
                <w:rFonts w:ascii="宋体" w:hAnsi="宋体"/>
                <w:color w:val="auto"/>
                <w:szCs w:val="21"/>
                <w:highlight w:val="none"/>
              </w:rPr>
              <w:t>履约保证金的金额：</w:t>
            </w:r>
            <w:r>
              <w:rPr>
                <w:rFonts w:hint="eastAsia" w:ascii="宋体" w:hAnsi="宋体"/>
                <w:color w:val="auto"/>
                <w:szCs w:val="21"/>
                <w:highlight w:val="none"/>
              </w:rPr>
              <w:t>详见合同条款</w:t>
            </w:r>
          </w:p>
        </w:tc>
      </w:tr>
      <w:tr w14:paraId="323FA3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696" w:type="dxa"/>
            <w:tcBorders>
              <w:right w:val="single" w:color="auto" w:sz="4" w:space="0"/>
            </w:tcBorders>
            <w:vAlign w:val="center"/>
          </w:tcPr>
          <w:p w14:paraId="32CF92B5">
            <w:pPr>
              <w:wordWrap w:val="0"/>
              <w:jc w:val="center"/>
              <w:rPr>
                <w:rFonts w:hint="eastAsia" w:ascii="宋体" w:hAnsi="宋体"/>
                <w:color w:val="auto"/>
                <w:szCs w:val="21"/>
                <w:highlight w:val="none"/>
              </w:rPr>
            </w:pPr>
            <w:r>
              <w:rPr>
                <w:rFonts w:hint="eastAsia" w:ascii="宋体" w:hAnsi="宋体"/>
                <w:color w:val="auto"/>
                <w:szCs w:val="21"/>
                <w:highlight w:val="none"/>
              </w:rPr>
              <w:t>27</w:t>
            </w:r>
          </w:p>
        </w:tc>
        <w:tc>
          <w:tcPr>
            <w:tcW w:w="849" w:type="dxa"/>
            <w:tcBorders>
              <w:left w:val="single" w:color="auto" w:sz="4" w:space="0"/>
            </w:tcBorders>
            <w:vAlign w:val="center"/>
          </w:tcPr>
          <w:p w14:paraId="61D1EB10">
            <w:pPr>
              <w:wordWrap w:val="0"/>
              <w:jc w:val="center"/>
              <w:rPr>
                <w:rFonts w:hint="eastAsia" w:ascii="宋体" w:hAnsi="宋体"/>
                <w:color w:val="auto"/>
                <w:szCs w:val="21"/>
                <w:highlight w:val="none"/>
              </w:rPr>
            </w:pPr>
            <w:r>
              <w:rPr>
                <w:rFonts w:hint="eastAsia" w:ascii="宋体" w:hAnsi="宋体"/>
                <w:color w:val="auto"/>
                <w:szCs w:val="21"/>
                <w:highlight w:val="none"/>
              </w:rPr>
              <w:t>9.2</w:t>
            </w:r>
          </w:p>
        </w:tc>
        <w:tc>
          <w:tcPr>
            <w:tcW w:w="2126" w:type="dxa"/>
            <w:vAlign w:val="center"/>
          </w:tcPr>
          <w:p w14:paraId="404A68AC">
            <w:pPr>
              <w:wordWrap w:val="0"/>
              <w:jc w:val="center"/>
              <w:rPr>
                <w:rFonts w:ascii="宋体" w:hAnsi="宋体"/>
                <w:color w:val="auto"/>
                <w:szCs w:val="21"/>
                <w:highlight w:val="none"/>
              </w:rPr>
            </w:pPr>
            <w:r>
              <w:rPr>
                <w:rFonts w:hint="eastAsia" w:ascii="宋体" w:hAnsi="宋体" w:cs="宋体"/>
                <w:color w:val="auto"/>
                <w:szCs w:val="21"/>
                <w:highlight w:val="none"/>
                <w:lang w:eastAsia="zh-CN"/>
              </w:rPr>
              <w:t>其他</w:t>
            </w:r>
          </w:p>
        </w:tc>
        <w:tc>
          <w:tcPr>
            <w:tcW w:w="5474" w:type="dxa"/>
            <w:gridSpan w:val="2"/>
            <w:vAlign w:val="center"/>
          </w:tcPr>
          <w:p w14:paraId="329057B8">
            <w:pPr>
              <w:wordWrap w:val="0"/>
              <w:rPr>
                <w:rFonts w:ascii="宋体" w:hAnsi="宋体" w:cs="宋体"/>
                <w:color w:val="auto"/>
                <w:highlight w:val="none"/>
              </w:rPr>
            </w:pPr>
            <w:r>
              <w:rPr>
                <w:rFonts w:hint="eastAsia" w:ascii="宋体" w:hAnsi="宋体" w:cs="宋体"/>
                <w:color w:val="auto"/>
                <w:highlight w:val="none"/>
              </w:rPr>
              <w:t>1、本招标文件要求的复印件是指复印件或扫描件或影印件。</w:t>
            </w:r>
          </w:p>
          <w:p w14:paraId="1DB6BCEC">
            <w:pPr>
              <w:wordWrap w:val="0"/>
              <w:rPr>
                <w:rFonts w:ascii="宋体" w:hAnsi="宋体"/>
                <w:color w:val="auto"/>
                <w:szCs w:val="21"/>
                <w:highlight w:val="none"/>
              </w:rPr>
            </w:pPr>
            <w:r>
              <w:rPr>
                <w:rFonts w:hint="eastAsia" w:ascii="宋体" w:hAnsi="宋体" w:cs="宋体"/>
                <w:color w:val="auto"/>
                <w:highlight w:val="none"/>
              </w:rPr>
              <w:t>2、构成本招标文件的各个组成文件应互为解释，互为说明；如有不明确或不一致，构成合同文件组成内容，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B877B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696" w:type="dxa"/>
            <w:tcBorders>
              <w:right w:val="single" w:color="auto" w:sz="4" w:space="0"/>
            </w:tcBorders>
            <w:vAlign w:val="center"/>
          </w:tcPr>
          <w:p w14:paraId="24CA8E0A">
            <w:pPr>
              <w:wordWrap w:val="0"/>
              <w:jc w:val="center"/>
              <w:rPr>
                <w:rFonts w:hint="eastAsia" w:ascii="宋体" w:hAnsi="宋体"/>
                <w:color w:val="auto"/>
                <w:szCs w:val="21"/>
                <w:highlight w:val="none"/>
              </w:rPr>
            </w:pPr>
            <w:r>
              <w:rPr>
                <w:rFonts w:hint="eastAsia" w:ascii="宋体" w:hAnsi="宋体"/>
                <w:color w:val="auto"/>
                <w:szCs w:val="21"/>
                <w:highlight w:val="none"/>
              </w:rPr>
              <w:t>28</w:t>
            </w:r>
          </w:p>
        </w:tc>
        <w:tc>
          <w:tcPr>
            <w:tcW w:w="849" w:type="dxa"/>
            <w:tcBorders>
              <w:left w:val="single" w:color="auto" w:sz="4" w:space="0"/>
            </w:tcBorders>
            <w:vAlign w:val="center"/>
          </w:tcPr>
          <w:p w14:paraId="017D5919">
            <w:pPr>
              <w:wordWrap w:val="0"/>
              <w:jc w:val="center"/>
              <w:rPr>
                <w:rFonts w:hint="eastAsia" w:ascii="宋体" w:hAnsi="宋体"/>
                <w:color w:val="auto"/>
                <w:szCs w:val="21"/>
                <w:highlight w:val="none"/>
              </w:rPr>
            </w:pPr>
            <w:r>
              <w:rPr>
                <w:rFonts w:hint="eastAsia" w:ascii="宋体" w:hAnsi="宋体"/>
                <w:color w:val="auto"/>
                <w:szCs w:val="21"/>
                <w:highlight w:val="none"/>
              </w:rPr>
              <w:t>9.2.7</w:t>
            </w:r>
          </w:p>
        </w:tc>
        <w:tc>
          <w:tcPr>
            <w:tcW w:w="2126" w:type="dxa"/>
            <w:vAlign w:val="center"/>
          </w:tcPr>
          <w:p w14:paraId="4D1F394F">
            <w:pPr>
              <w:wordWrap w:val="0"/>
              <w:jc w:val="center"/>
              <w:rPr>
                <w:rFonts w:hint="eastAsia" w:ascii="宋体" w:hAnsi="宋体" w:cs="宋体"/>
                <w:color w:val="auto"/>
                <w:szCs w:val="21"/>
                <w:highlight w:val="none"/>
                <w:lang w:eastAsia="zh-CN"/>
              </w:rPr>
            </w:pPr>
            <w:r>
              <w:rPr>
                <w:rFonts w:hint="eastAsia" w:ascii="宋体" w:hAnsi="宋体"/>
                <w:color w:val="auto"/>
                <w:szCs w:val="21"/>
                <w:highlight w:val="none"/>
              </w:rPr>
              <w:t>纸质招标文件获取</w:t>
            </w:r>
          </w:p>
        </w:tc>
        <w:tc>
          <w:tcPr>
            <w:tcW w:w="5474" w:type="dxa"/>
            <w:gridSpan w:val="2"/>
            <w:vAlign w:val="center"/>
          </w:tcPr>
          <w:p w14:paraId="493B0BEE">
            <w:pPr>
              <w:wordWrap w:val="0"/>
              <w:ind w:left="0" w:firstLine="0" w:firstLineChars="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1、购买纸质招标文件的时间：202</w:t>
            </w:r>
            <w:r>
              <w:rPr>
                <w:rFonts w:hint="eastAsia" w:ascii="宋体" w:hAnsi="宋体" w:cs="Times New Roman"/>
                <w:color w:val="auto"/>
                <w:szCs w:val="21"/>
                <w:highlight w:val="none"/>
                <w:lang w:val="en-US" w:eastAsia="zh-CN"/>
              </w:rPr>
              <w:t>5</w:t>
            </w:r>
            <w:r>
              <w:rPr>
                <w:rFonts w:hint="eastAsia" w:ascii="宋体" w:hAnsi="宋体" w:eastAsia="宋体" w:cs="Times New Roman"/>
                <w:color w:val="auto"/>
                <w:szCs w:val="21"/>
                <w:highlight w:val="none"/>
              </w:rPr>
              <w:t>年</w:t>
            </w:r>
            <w:r>
              <w:rPr>
                <w:rFonts w:hint="eastAsia" w:ascii="宋体" w:hAnsi="宋体" w:cs="Times New Roman"/>
                <w:color w:val="auto"/>
                <w:szCs w:val="21"/>
                <w:highlight w:val="none"/>
                <w:lang w:val="en-US" w:eastAsia="zh-CN"/>
              </w:rPr>
              <w:t>09</w:t>
            </w:r>
            <w:r>
              <w:rPr>
                <w:rFonts w:hint="eastAsia" w:ascii="宋体" w:hAnsi="宋体" w:eastAsia="宋体" w:cs="Times New Roman"/>
                <w:color w:val="auto"/>
                <w:szCs w:val="21"/>
                <w:highlight w:val="none"/>
              </w:rPr>
              <w:t>月</w:t>
            </w:r>
            <w:r>
              <w:rPr>
                <w:rFonts w:hint="eastAsia" w:ascii="宋体" w:hAnsi="宋体" w:cs="Times New Roman"/>
                <w:color w:val="auto"/>
                <w:szCs w:val="21"/>
                <w:highlight w:val="none"/>
                <w:lang w:val="en-US" w:eastAsia="zh-CN"/>
              </w:rPr>
              <w:t>12</w:t>
            </w:r>
            <w:r>
              <w:rPr>
                <w:rFonts w:hint="eastAsia" w:ascii="宋体" w:hAnsi="宋体" w:eastAsia="宋体" w:cs="Times New Roman"/>
                <w:color w:val="auto"/>
                <w:szCs w:val="21"/>
                <w:highlight w:val="none"/>
              </w:rPr>
              <w:t>日至202</w:t>
            </w:r>
            <w:r>
              <w:rPr>
                <w:rFonts w:hint="eastAsia" w:ascii="宋体" w:hAnsi="宋体" w:cs="Times New Roman"/>
                <w:color w:val="auto"/>
                <w:szCs w:val="21"/>
                <w:highlight w:val="none"/>
                <w:lang w:val="en-US" w:eastAsia="zh-CN"/>
              </w:rPr>
              <w:t>5</w:t>
            </w:r>
            <w:r>
              <w:rPr>
                <w:rFonts w:hint="eastAsia" w:ascii="宋体" w:hAnsi="宋体" w:eastAsia="宋体" w:cs="Times New Roman"/>
                <w:color w:val="auto"/>
                <w:szCs w:val="21"/>
                <w:highlight w:val="none"/>
              </w:rPr>
              <w:t>年</w:t>
            </w:r>
            <w:r>
              <w:rPr>
                <w:rFonts w:hint="eastAsia" w:ascii="宋体" w:hAnsi="宋体" w:cs="Times New Roman"/>
                <w:color w:val="auto"/>
                <w:szCs w:val="21"/>
                <w:highlight w:val="none"/>
                <w:lang w:val="en-US" w:eastAsia="zh-CN"/>
              </w:rPr>
              <w:t>09</w:t>
            </w:r>
            <w:r>
              <w:rPr>
                <w:rFonts w:hint="eastAsia" w:ascii="宋体" w:hAnsi="宋体" w:eastAsia="宋体" w:cs="Times New Roman"/>
                <w:color w:val="auto"/>
                <w:szCs w:val="21"/>
                <w:highlight w:val="none"/>
              </w:rPr>
              <w:t>月</w:t>
            </w:r>
            <w:r>
              <w:rPr>
                <w:rFonts w:hint="eastAsia" w:ascii="宋体" w:hAnsi="宋体" w:cs="Times New Roman"/>
                <w:color w:val="auto"/>
                <w:szCs w:val="21"/>
                <w:highlight w:val="none"/>
                <w:lang w:val="en-US" w:eastAsia="zh-CN"/>
              </w:rPr>
              <w:t>18</w:t>
            </w:r>
            <w:r>
              <w:rPr>
                <w:rFonts w:hint="eastAsia" w:ascii="宋体" w:hAnsi="宋体" w:eastAsia="宋体" w:cs="Times New Roman"/>
                <w:color w:val="auto"/>
                <w:szCs w:val="21"/>
                <w:highlight w:val="none"/>
              </w:rPr>
              <w:t>日，</w:t>
            </w:r>
            <w:r>
              <w:rPr>
                <w:rFonts w:hint="eastAsia" w:ascii="宋体" w:hAnsi="宋体" w:eastAsia="宋体" w:cs="Times New Roman"/>
                <w:color w:val="auto"/>
                <w:szCs w:val="21"/>
                <w:highlight w:val="none"/>
              </w:rPr>
              <w:t>每天9:00～11:30，14:00～17:30（北京时间）。</w:t>
            </w:r>
          </w:p>
          <w:p w14:paraId="2CA69BBE">
            <w:pPr>
              <w:wordWrap w:val="0"/>
              <w:jc w:val="left"/>
              <w:rPr>
                <w:rFonts w:ascii="宋体" w:hAnsi="宋体"/>
                <w:color w:val="auto"/>
                <w:szCs w:val="21"/>
                <w:highlight w:val="none"/>
              </w:rPr>
            </w:pPr>
            <w:r>
              <w:rPr>
                <w:rFonts w:hint="eastAsia" w:ascii="宋体" w:hAnsi="宋体"/>
                <w:color w:val="auto"/>
                <w:szCs w:val="21"/>
                <w:highlight w:val="none"/>
              </w:rPr>
              <w:t>2、纸质招标文件售价：每套售价400元人民币，纸质招标文件售后不退。</w:t>
            </w:r>
          </w:p>
          <w:p w14:paraId="2F3306DC">
            <w:pPr>
              <w:wordWrap w:val="0"/>
              <w:rPr>
                <w:rFonts w:hint="eastAsia" w:ascii="宋体" w:hAnsi="宋体" w:cs="宋体"/>
                <w:color w:val="auto"/>
                <w:highlight w:val="none"/>
              </w:rPr>
            </w:pPr>
            <w:r>
              <w:rPr>
                <w:rFonts w:hint="eastAsia" w:ascii="宋体" w:hAnsi="宋体"/>
                <w:color w:val="auto"/>
                <w:szCs w:val="21"/>
                <w:highlight w:val="none"/>
              </w:rPr>
              <w:t>3、购买纸质招标文件的要求：现场购买。投标人的授权代表持加盖公章的公司营业执照副本复印件、授权委托书原件及授权代表本人身份证原件至中航公共资源交易平台（湖南省长沙市芙蓉区蓉园路6号湖南省老干部大学金秋楼10楼）购买纸质招标文件</w:t>
            </w:r>
            <w:r>
              <w:rPr>
                <w:rFonts w:hint="eastAsia" w:ascii="宋体" w:hAnsi="宋体"/>
                <w:color w:val="auto"/>
                <w:szCs w:val="21"/>
                <w:highlight w:val="none"/>
                <w:lang w:eastAsia="zh-CN"/>
              </w:rPr>
              <w:t>，</w:t>
            </w:r>
            <w:r>
              <w:rPr>
                <w:rFonts w:hint="eastAsia" w:ascii="宋体" w:hAnsi="宋体"/>
                <w:color w:val="auto"/>
                <w:szCs w:val="21"/>
                <w:highlight w:val="none"/>
              </w:rPr>
              <w:t>未购买纸质招标文件的投标人不得参加该项目的投标。</w:t>
            </w:r>
          </w:p>
        </w:tc>
      </w:tr>
    </w:tbl>
    <w:p w14:paraId="5301FAE5">
      <w:pPr>
        <w:pStyle w:val="137"/>
        <w:wordWrap w:val="0"/>
        <w:spacing w:before="0" w:after="0" w:line="360" w:lineRule="auto"/>
        <w:ind w:left="0" w:right="339"/>
        <w:jc w:val="left"/>
        <w:rPr>
          <w:rFonts w:hint="eastAsia" w:ascii="宋体" w:hAnsi="宋体" w:eastAsia="宋体" w:cs="宋体"/>
          <w:b w:val="0"/>
          <w:color w:val="auto"/>
          <w:szCs w:val="21"/>
          <w:highlight w:val="none"/>
        </w:rPr>
      </w:pPr>
      <w:r>
        <w:rPr>
          <w:rFonts w:ascii="黑体" w:hAnsi="黑体" w:eastAsia="黑体"/>
          <w:color w:val="auto"/>
          <w:sz w:val="30"/>
          <w:szCs w:val="30"/>
          <w:highlight w:val="none"/>
        </w:rPr>
        <w:br w:type="page"/>
      </w:r>
      <w:r>
        <w:rPr>
          <w:rFonts w:hint="eastAsia" w:ascii="宋体" w:hAnsi="宋体" w:eastAsia="宋体" w:cs="宋体"/>
          <w:color w:val="auto"/>
          <w:szCs w:val="28"/>
          <w:highlight w:val="none"/>
        </w:rPr>
        <w:t>1.总则</w:t>
      </w:r>
    </w:p>
    <w:p w14:paraId="005EF040">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 招标项目概况</w:t>
      </w:r>
    </w:p>
    <w:p w14:paraId="6F661F9C">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根据《中华人民共和国招标投标法》、《中华人民共和国招标投标法实施条例》等有关法律、法规和规章的规定，本招标项目已具备招标条件，现对</w:t>
      </w:r>
      <w:r>
        <w:rPr>
          <w:rFonts w:hint="eastAsia" w:ascii="宋体" w:hAnsi="宋体" w:cs="宋体"/>
          <w:color w:val="auto"/>
          <w:szCs w:val="21"/>
          <w:highlight w:val="none"/>
          <w:lang w:val="en-US" w:eastAsia="zh-CN"/>
        </w:rPr>
        <w:t>本项目</w:t>
      </w:r>
      <w:r>
        <w:rPr>
          <w:rFonts w:hint="eastAsia" w:ascii="宋体" w:hAnsi="宋体" w:eastAsia="宋体" w:cs="宋体"/>
          <w:color w:val="auto"/>
          <w:szCs w:val="21"/>
          <w:highlight w:val="none"/>
        </w:rPr>
        <w:t>进行招标。</w:t>
      </w:r>
    </w:p>
    <w:p w14:paraId="495D65C8">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招标人：见招标公告。</w:t>
      </w:r>
    </w:p>
    <w:p w14:paraId="35E611BA">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1.1.3招标项目名称：见招标公告。</w:t>
      </w:r>
    </w:p>
    <w:p w14:paraId="5E593F90">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1.2 招标项目的资金来源</w:t>
      </w:r>
    </w:p>
    <w:p w14:paraId="51EA7134">
      <w:pPr>
        <w:pStyle w:val="272"/>
        <w:wordWrap w:val="0"/>
        <w:jc w:val="both"/>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1.2.1 资金来源：见招标公告。</w:t>
      </w:r>
    </w:p>
    <w:p w14:paraId="4950C3BA">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 招标范围、服务期限、服务地点</w:t>
      </w:r>
    </w:p>
    <w:p w14:paraId="30F49ED2">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招标范围：见招标公告。</w:t>
      </w:r>
    </w:p>
    <w:p w14:paraId="3BF1AA8B">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服务期限：见招标公告。</w:t>
      </w:r>
    </w:p>
    <w:p w14:paraId="212F28BB">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服务地点：见招标公告。</w:t>
      </w:r>
    </w:p>
    <w:p w14:paraId="4A888E5F">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 投标人资格要求</w:t>
      </w:r>
    </w:p>
    <w:p w14:paraId="7211D72F">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投标人应具备承担本招标项目资格要求：见招标公告。</w:t>
      </w:r>
    </w:p>
    <w:p w14:paraId="585078EF">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r>
        <w:rPr>
          <w:rFonts w:hint="eastAsia" w:ascii="宋体" w:hAnsi="宋体" w:eastAsia="宋体" w:cs="宋体"/>
          <w:strike w:val="0"/>
          <w:dstrike w:val="0"/>
          <w:color w:val="auto"/>
          <w:sz w:val="21"/>
          <w:szCs w:val="21"/>
          <w:highlight w:val="none"/>
        </w:rPr>
        <w:t xml:space="preserve"> </w:t>
      </w:r>
      <w:r>
        <w:rPr>
          <w:rFonts w:hint="eastAsia" w:ascii="宋体" w:hAnsi="宋体" w:eastAsia="宋体" w:cs="宋体"/>
          <w:color w:val="auto"/>
          <w:sz w:val="21"/>
          <w:szCs w:val="21"/>
          <w:highlight w:val="none"/>
        </w:rPr>
        <w:t>投标人存在下列情形之一的，其投标将被</w:t>
      </w:r>
      <w:r>
        <w:rPr>
          <w:rFonts w:hint="eastAsia" w:ascii="宋体" w:hAnsi="宋体" w:eastAsia="宋体" w:cs="宋体"/>
          <w:b/>
          <w:bCs/>
          <w:color w:val="auto"/>
          <w:sz w:val="21"/>
          <w:szCs w:val="21"/>
          <w:highlight w:val="none"/>
        </w:rPr>
        <w:t>否决</w:t>
      </w:r>
      <w:r>
        <w:rPr>
          <w:rFonts w:hint="eastAsia" w:ascii="宋体" w:hAnsi="宋体" w:eastAsia="宋体" w:cs="宋体"/>
          <w:color w:val="auto"/>
          <w:sz w:val="21"/>
          <w:szCs w:val="21"/>
          <w:highlight w:val="none"/>
        </w:rPr>
        <w:t>：</w:t>
      </w:r>
    </w:p>
    <w:p w14:paraId="4CB7CEE8">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（1）与招标人（或本项目招标代理机构）存在利害关系且可能影响招标公正性；</w:t>
      </w:r>
    </w:p>
    <w:p w14:paraId="2119B10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（2）投标人的法定代表人或负责人与本招标项目（标段）其他投标人的法定代表人或负责人为同一人；</w:t>
      </w:r>
    </w:p>
    <w:p w14:paraId="617791B1">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（3）与本招标项目的其他投标人存在控股、管理关系；</w:t>
      </w:r>
    </w:p>
    <w:p w14:paraId="64B5CA4A">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（4）被依法暂停或者取消投标资格；</w:t>
      </w:r>
    </w:p>
    <w:p w14:paraId="631F19F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（5）被责令停产停业、暂扣或者吊销许可证、暂扣或者吊销执照；</w:t>
      </w:r>
    </w:p>
    <w:p w14:paraId="42D34E7A">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（6）进入破产、清算、注销程序，或存在其他可能丧失履约能力的情形；</w:t>
      </w:r>
    </w:p>
    <w:p w14:paraId="6246979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在最近三年内受到刑事处罚或重大行政处罚（以相关行业主管部门的行政处罚决定或司法机关出具的有关法律文书为准），重大行政处罚是指受到较大数额的罚款（说明：“较大数额罚款”的认定按财政部关于《中华人民共和国政府采购法实施条例》第十九条第一款“较大数额罚款”具体适用问题的意见（财库[2022]3号）执行）、责令停产停业、在一至三年内禁止参加政府采购活动、暂扣或者吊销许可证、暂扣或者吊销执照等情形之一的行政处罚，或者存在财政部门认定的其他重大违法记录；</w:t>
      </w:r>
    </w:p>
    <w:p w14:paraId="3F806834">
      <w:pPr>
        <w:pStyle w:val="272"/>
        <w:wordWrap w:val="0"/>
        <w:jc w:val="left"/>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8</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投标人被“信用中国”网站（www.creditchina.gov.cn）列入失信被执行人和重大税收违法案件当事人名单</w:t>
      </w:r>
      <w:r>
        <w:rPr>
          <w:rFonts w:hint="eastAsia" w:hAnsi="宋体" w:cs="宋体"/>
          <w:color w:val="auto"/>
          <w:sz w:val="21"/>
          <w:szCs w:val="21"/>
          <w:highlight w:val="none"/>
          <w:lang w:eastAsia="zh-CN"/>
        </w:rPr>
        <w:t>；</w:t>
      </w:r>
    </w:p>
    <w:p w14:paraId="13A8687A">
      <w:pPr>
        <w:pStyle w:val="272"/>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hAnsi="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eastAsia="宋体" w:cs="Times New Roman"/>
          <w:color w:val="auto"/>
          <w:sz w:val="21"/>
          <w:szCs w:val="21"/>
          <w:highlight w:val="none"/>
          <w:lang w:val="en-US" w:eastAsia="zh-CN"/>
        </w:rPr>
        <w:t>投标人</w:t>
      </w:r>
      <w:r>
        <w:rPr>
          <w:rFonts w:hint="eastAsia" w:ascii="宋体" w:hAnsi="宋体" w:eastAsia="宋体" w:cs="Times New Roman"/>
          <w:color w:val="auto"/>
          <w:sz w:val="21"/>
          <w:szCs w:val="21"/>
          <w:highlight w:val="none"/>
        </w:rPr>
        <w:t>被长沙</w:t>
      </w:r>
      <w:r>
        <w:rPr>
          <w:rFonts w:hint="eastAsia" w:ascii="宋体" w:hAnsi="宋体" w:eastAsia="宋体" w:cs="Times New Roman"/>
          <w:color w:val="auto"/>
          <w:sz w:val="21"/>
          <w:szCs w:val="21"/>
          <w:highlight w:val="none"/>
          <w:lang w:val="en-US" w:eastAsia="zh-CN"/>
        </w:rPr>
        <w:t>市</w:t>
      </w:r>
      <w:r>
        <w:rPr>
          <w:rFonts w:hint="eastAsia" w:ascii="宋体" w:hAnsi="宋体" w:eastAsia="宋体" w:cs="Times New Roman"/>
          <w:color w:val="auto"/>
          <w:sz w:val="21"/>
          <w:szCs w:val="21"/>
          <w:highlight w:val="none"/>
        </w:rPr>
        <w:t>轨道交通集团</w:t>
      </w:r>
      <w:r>
        <w:rPr>
          <w:rFonts w:hint="eastAsia" w:ascii="宋体" w:hAnsi="宋体" w:eastAsia="宋体" w:cs="Times New Roman"/>
          <w:color w:val="auto"/>
          <w:sz w:val="21"/>
          <w:szCs w:val="21"/>
          <w:highlight w:val="none"/>
          <w:lang w:val="en-US" w:eastAsia="zh-CN"/>
        </w:rPr>
        <w:t>有限公司</w:t>
      </w:r>
      <w:r>
        <w:rPr>
          <w:rFonts w:hint="eastAsia" w:ascii="宋体" w:hAnsi="宋体" w:eastAsia="宋体" w:cs="Times New Roman"/>
          <w:color w:val="auto"/>
          <w:sz w:val="21"/>
          <w:szCs w:val="21"/>
          <w:highlight w:val="none"/>
        </w:rPr>
        <w:t>或长沙穗城轨道交通有限公司函告禁止在一定期限内参与轨道项目投标的单位按函告内容执行。如有，则以招标人提供的函件内容为准</w:t>
      </w:r>
      <w:r>
        <w:rPr>
          <w:rFonts w:hint="eastAsia" w:hAnsi="宋体" w:cs="Times New Roman"/>
          <w:color w:val="auto"/>
          <w:sz w:val="21"/>
          <w:szCs w:val="21"/>
          <w:highlight w:val="none"/>
          <w:lang w:eastAsia="zh-CN"/>
        </w:rPr>
        <w:t>；</w:t>
      </w:r>
    </w:p>
    <w:p w14:paraId="145ADB58">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hAnsi="宋体" w:cs="宋体"/>
          <w:color w:val="auto"/>
          <w:sz w:val="21"/>
          <w:szCs w:val="21"/>
          <w:highlight w:val="none"/>
          <w:lang w:val="en-US" w:eastAsia="zh-CN"/>
        </w:rPr>
        <w:t>0</w:t>
      </w:r>
      <w:r>
        <w:rPr>
          <w:rFonts w:hint="eastAsia" w:ascii="宋体" w:hAnsi="宋体" w:eastAsia="宋体" w:cs="宋体"/>
          <w:color w:val="auto"/>
          <w:sz w:val="21"/>
          <w:szCs w:val="21"/>
          <w:highlight w:val="none"/>
        </w:rPr>
        <w:t>）法律法规或投标人须知前附表规定的其他情形。</w:t>
      </w:r>
    </w:p>
    <w:p w14:paraId="00C813E8">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 费用承担</w:t>
      </w:r>
    </w:p>
    <w:p w14:paraId="3B1603C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投标人准备和参加投标活动发生的费用自理。</w:t>
      </w:r>
    </w:p>
    <w:p w14:paraId="7AB37D96">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1.6 保密</w:t>
      </w:r>
    </w:p>
    <w:p w14:paraId="27777657">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参与招标投标活动的各方应对招标文件和投标文件中的商业和技术等秘密保密，否则应承担相应的法律责任。</w:t>
      </w:r>
    </w:p>
    <w:p w14:paraId="39A1C22F">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 语言文字</w:t>
      </w:r>
    </w:p>
    <w:p w14:paraId="4CFDB0C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招标投标文件使用的语言文字为中文。专用术语使用外文的，应附有中文注释，有差异时以中文为准。</w:t>
      </w:r>
    </w:p>
    <w:p w14:paraId="73F19D80">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 计量单位</w:t>
      </w:r>
    </w:p>
    <w:p w14:paraId="54C81626">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6B18DB4D">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 招标答疑会和现场踏勘</w:t>
      </w:r>
    </w:p>
    <w:p w14:paraId="24EEA8CF">
      <w:pPr>
        <w:pStyle w:val="272"/>
        <w:wordWrap w:val="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1.9.1本项目不组织招标答疑会和现场踏勘。</w:t>
      </w:r>
    </w:p>
    <w:p w14:paraId="0564BB48">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1.9.2投标人的疑问应按本项目招标公告规定的时间和方式提出，以便招标人在规定时间内回复。</w:t>
      </w:r>
    </w:p>
    <w:p w14:paraId="3473E58B">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1.9.3招标人按本项目招标公告规定的方式发布答疑文件，该文件的内容为招标文件的组成部分。</w:t>
      </w:r>
    </w:p>
    <w:p w14:paraId="363887B1">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1.10 响应和偏差</w:t>
      </w:r>
    </w:p>
    <w:p w14:paraId="68179817">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1.10.1投标文件应当对招标文件的实质性要求和条件作出满足性或更有利于招标人的响应，否则，投标人的投标将被</w:t>
      </w:r>
      <w:r>
        <w:rPr>
          <w:rFonts w:hint="eastAsia" w:ascii="宋体" w:hAnsi="宋体" w:eastAsia="宋体" w:cs="宋体"/>
          <w:b/>
          <w:bCs/>
          <w:color w:val="auto"/>
          <w:sz w:val="21"/>
          <w:szCs w:val="21"/>
          <w:highlight w:val="none"/>
        </w:rPr>
        <w:t>否决</w:t>
      </w:r>
      <w:r>
        <w:rPr>
          <w:rFonts w:hint="eastAsia" w:ascii="宋体" w:hAnsi="宋体" w:eastAsia="宋体" w:cs="宋体"/>
          <w:color w:val="auto"/>
          <w:sz w:val="21"/>
          <w:szCs w:val="21"/>
          <w:highlight w:val="none"/>
        </w:rPr>
        <w:t>。实质性要求和条件见投标人须知前附表。</w:t>
      </w:r>
    </w:p>
    <w:p w14:paraId="02B89BB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投标文件对招标文件标注“★”符号的实质性要求和条件的响应，均须按招标文件要求在投标文件的《实质性条款响应表》中列明，《实质性条款响应表》中缺项、漏项或者任意一项不响应招标文件的，投标将被</w:t>
      </w:r>
      <w:r>
        <w:rPr>
          <w:rFonts w:hint="eastAsia" w:ascii="宋体" w:hAnsi="宋体" w:eastAsia="宋体" w:cs="宋体"/>
          <w:b/>
          <w:color w:val="auto"/>
          <w:sz w:val="21"/>
          <w:szCs w:val="21"/>
          <w:highlight w:val="none"/>
        </w:rPr>
        <w:t>否决</w:t>
      </w:r>
      <w:r>
        <w:rPr>
          <w:rFonts w:hint="eastAsia" w:ascii="宋体" w:hAnsi="宋体" w:eastAsia="宋体" w:cs="宋体"/>
          <w:color w:val="auto"/>
          <w:sz w:val="21"/>
          <w:szCs w:val="21"/>
          <w:highlight w:val="none"/>
        </w:rPr>
        <w:t>。</w:t>
      </w:r>
    </w:p>
    <w:p w14:paraId="3BE324E1">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1.10.3投标人应根据招标文件的要求提供投标服务质量标准的详细描述、技术支持资料及相关服务计划等内容，以对招标文件作出响应。</w:t>
      </w:r>
    </w:p>
    <w:p w14:paraId="26C24948">
      <w:pPr>
        <w:pStyle w:val="272"/>
        <w:wordWrap w:val="0"/>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1.10.4投标文件对招标文件非实质性要求和条件的偏差应当符合投标人须知前附表规定的偏差范围和最高项数，超出偏差范围或最高偏差项数的投标将被</w:t>
      </w:r>
      <w:r>
        <w:rPr>
          <w:rFonts w:hint="eastAsia" w:ascii="宋体" w:hAnsi="宋体" w:eastAsia="宋体" w:cs="宋体"/>
          <w:b/>
          <w:bCs/>
          <w:color w:val="auto"/>
          <w:sz w:val="21"/>
          <w:szCs w:val="21"/>
          <w:highlight w:val="none"/>
        </w:rPr>
        <w:t>否决</w:t>
      </w:r>
      <w:r>
        <w:rPr>
          <w:rFonts w:hint="eastAsia" w:ascii="宋体" w:hAnsi="宋体" w:eastAsia="宋体" w:cs="宋体"/>
          <w:color w:val="auto"/>
          <w:sz w:val="21"/>
          <w:szCs w:val="21"/>
          <w:highlight w:val="none"/>
        </w:rPr>
        <w:t>。投标人须按招标文件规定，在投标文件的《商务和技术偏差表》中列明对非实质性要求和条件的偏差内容，除列明的内容外，视为投标人响应招标文件的全部要求和条件。</w:t>
      </w:r>
    </w:p>
    <w:p w14:paraId="7E80C2F0">
      <w:pPr>
        <w:pStyle w:val="137"/>
        <w:wordWrap w:val="0"/>
        <w:spacing w:before="0" w:after="0" w:line="360" w:lineRule="auto"/>
        <w:ind w:left="0" w:right="339"/>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2.招标文件</w:t>
      </w:r>
    </w:p>
    <w:p w14:paraId="5325C6F5">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2.1 招标文件的组成</w:t>
      </w:r>
    </w:p>
    <w:p w14:paraId="6D3088D3">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14:paraId="59D2D0B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（1）招标公告；</w:t>
      </w:r>
    </w:p>
    <w:p w14:paraId="340773E7">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12558FF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（3）评标办法；</w:t>
      </w:r>
    </w:p>
    <w:p w14:paraId="4A22E66A">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（4）合同条款及格式；</w:t>
      </w:r>
    </w:p>
    <w:p w14:paraId="1A61737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（5）用户需求书；</w:t>
      </w:r>
    </w:p>
    <w:p w14:paraId="5C6B47D2">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34CC2B16">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（7）投标人须知前附表规定的其他资料（如有）。</w:t>
      </w:r>
    </w:p>
    <w:p w14:paraId="5F341DF1">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1.9款、第2.2款和第2.3款对招标文件所做的澄清、修改和补充等，构成招标文件的组成部分。当招标文件，以及对招标文件所做的澄清、修改和补充等在同一内容的表述不一致时，以最后发布的文件为准。</w:t>
      </w:r>
    </w:p>
    <w:p w14:paraId="5AAF88D6">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2.2 招标文件的澄清</w:t>
      </w:r>
    </w:p>
    <w:p w14:paraId="7F7F3876">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2.2.1投标人应仔细阅读和检查招标文件的全部内容，如有疑问，应在投标人须知前附表规定的时间前，按规定的方式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w:t>
      </w:r>
      <w:r>
        <w:rPr>
          <w:rFonts w:hint="eastAsia" w:ascii="宋体" w:hAnsi="宋体" w:eastAsia="宋体" w:cs="宋体"/>
          <w:b/>
          <w:bCs/>
          <w:color w:val="auto"/>
          <w:szCs w:val="21"/>
          <w:highlight w:val="none"/>
        </w:rPr>
        <w:t>拒绝</w:t>
      </w:r>
      <w:r>
        <w:rPr>
          <w:rFonts w:hint="eastAsia" w:ascii="宋体" w:hAnsi="宋体" w:eastAsia="宋体" w:cs="宋体"/>
          <w:color w:val="auto"/>
          <w:szCs w:val="21"/>
          <w:highlight w:val="none"/>
        </w:rPr>
        <w:t>。</w:t>
      </w:r>
    </w:p>
    <w:p w14:paraId="44FD8766">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 招标文件的澄清以投标人须知前附表规定的形式发布，但不指明澄清问题的来源，敬请获得招标文件的所有投标人关注，恕不另行通知，如有遗漏，招标人概不负责。澄清发出的时间距本章第4.1.1项规定的投标截止时间不足15日的，并且澄清内容可能影响投标文件编制的，将相应延长投标截止时间。</w:t>
      </w:r>
    </w:p>
    <w:p w14:paraId="1D2439B8">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2.2.3 除招标人认为确有必要答复外，招标人有权拒绝回复投标人在本章第 2.2.1 项规定的时间后的任何澄清要求。</w:t>
      </w:r>
    </w:p>
    <w:p w14:paraId="1306BD0C">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2.3 招标文件的修改</w:t>
      </w:r>
    </w:p>
    <w:p w14:paraId="281A1165">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招标人以投标人须知前附表规定的形式修改招标文件，并发布招标文件修改文件。修改招标文件的时间距本章第4.1.1项规定的投标截止时间不足15日的，并且修改内容可能影响投标文件编制的，将相应延长投标截止时间。</w:t>
      </w:r>
    </w:p>
    <w:p w14:paraId="5E9CCADC">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 招标文件的异议</w:t>
      </w:r>
    </w:p>
    <w:p w14:paraId="74EA6623">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2.4.1投标人或者其他利害关系人对招标文件有异议的，应当在投标截止时间10日前以书面形式向招标人提出。</w:t>
      </w:r>
    </w:p>
    <w:p w14:paraId="58CAF6CD">
      <w:pPr>
        <w:pStyle w:val="137"/>
        <w:wordWrap w:val="0"/>
        <w:spacing w:before="0" w:after="0" w:line="360" w:lineRule="auto"/>
        <w:ind w:left="0" w:right="339"/>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3.投标文件</w:t>
      </w:r>
    </w:p>
    <w:p w14:paraId="7EC4D702">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3.1 投标文件的组成</w:t>
      </w:r>
    </w:p>
    <w:p w14:paraId="0EEC37D0">
      <w:pPr>
        <w:pStyle w:val="272"/>
        <w:wordWrap w:val="0"/>
        <w:ind w:left="420" w:leftChars="200" w:firstLine="0"/>
        <w:jc w:val="both"/>
        <w:rPr>
          <w:rFonts w:hAnsi="宋体"/>
          <w:color w:val="auto"/>
          <w:sz w:val="21"/>
          <w:szCs w:val="21"/>
          <w:highlight w:val="none"/>
        </w:rPr>
      </w:pPr>
      <w:r>
        <w:rPr>
          <w:rFonts w:hAnsi="宋体"/>
          <w:color w:val="auto"/>
          <w:sz w:val="21"/>
          <w:szCs w:val="21"/>
          <w:highlight w:val="none"/>
        </w:rPr>
        <w:t>3.1.1 投标文件</w:t>
      </w:r>
      <w:r>
        <w:rPr>
          <w:rFonts w:hint="eastAsia" w:hAnsi="宋体"/>
          <w:color w:val="auto"/>
          <w:sz w:val="21"/>
          <w:szCs w:val="21"/>
          <w:highlight w:val="none"/>
        </w:rPr>
        <w:t>应包括下列内容</w:t>
      </w:r>
      <w:r>
        <w:rPr>
          <w:rFonts w:hAnsi="宋体"/>
          <w:color w:val="auto"/>
          <w:sz w:val="21"/>
          <w:szCs w:val="21"/>
          <w:highlight w:val="none"/>
        </w:rPr>
        <w:t>：</w:t>
      </w:r>
    </w:p>
    <w:p w14:paraId="76D4FBDA">
      <w:pPr>
        <w:pStyle w:val="272"/>
        <w:numPr>
          <w:ilvl w:val="-1"/>
          <w:numId w:val="0"/>
        </w:numPr>
        <w:wordWrap w:val="0"/>
        <w:ind w:left="420" w:leftChars="20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kern w:val="2"/>
          <w:sz w:val="21"/>
          <w:szCs w:val="21"/>
          <w:highlight w:val="none"/>
          <w:lang w:val="en-US" w:eastAsia="zh-CN" w:bidi="ar-SA"/>
        </w:rPr>
        <w:t>一、</w:t>
      </w:r>
      <w:r>
        <w:rPr>
          <w:rFonts w:hint="eastAsia" w:ascii="宋体" w:hAnsi="宋体" w:eastAsia="宋体" w:cs="Times New Roman"/>
          <w:color w:val="auto"/>
          <w:sz w:val="21"/>
          <w:szCs w:val="21"/>
          <w:highlight w:val="none"/>
        </w:rPr>
        <w:t>投标函</w:t>
      </w:r>
    </w:p>
    <w:p w14:paraId="2F9175EC">
      <w:pPr>
        <w:pStyle w:val="272"/>
        <w:wordWrap w:val="0"/>
        <w:ind w:left="420" w:leftChars="20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二、开标一览表</w:t>
      </w:r>
    </w:p>
    <w:p w14:paraId="4E59D8E9">
      <w:pPr>
        <w:pStyle w:val="272"/>
        <w:wordWrap w:val="0"/>
        <w:ind w:left="420" w:leftChars="20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三、投标报价表</w:t>
      </w:r>
    </w:p>
    <w:p w14:paraId="2380FE57">
      <w:pPr>
        <w:pStyle w:val="272"/>
        <w:wordWrap w:val="0"/>
        <w:ind w:left="420" w:leftChars="20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四、</w:t>
      </w:r>
      <w:r>
        <w:rPr>
          <w:rFonts w:hint="eastAsia" w:ascii="宋体" w:hAnsi="宋体" w:eastAsia="宋体" w:cs="Times New Roman"/>
          <w:color w:val="auto"/>
          <w:sz w:val="21"/>
          <w:szCs w:val="21"/>
          <w:highlight w:val="none"/>
        </w:rPr>
        <w:t>法定代表人身份证明</w:t>
      </w:r>
    </w:p>
    <w:p w14:paraId="196A4C2E">
      <w:pPr>
        <w:pStyle w:val="272"/>
        <w:wordWrap w:val="0"/>
        <w:ind w:left="420" w:leftChars="200" w:firstLineChars="20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五</w:t>
      </w:r>
      <w:r>
        <w:rPr>
          <w:rFonts w:hint="eastAsia" w:ascii="宋体" w:hAnsi="宋体" w:eastAsia="宋体" w:cs="Times New Roman"/>
          <w:color w:val="auto"/>
          <w:sz w:val="21"/>
          <w:szCs w:val="21"/>
          <w:highlight w:val="none"/>
        </w:rPr>
        <w:t>、授权委托书(如有）</w:t>
      </w:r>
    </w:p>
    <w:p w14:paraId="7E9E161D">
      <w:pPr>
        <w:pStyle w:val="272"/>
        <w:wordWrap w:val="0"/>
        <w:ind w:left="420" w:leftChars="20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六</w:t>
      </w:r>
      <w:r>
        <w:rPr>
          <w:rFonts w:hint="eastAsia" w:ascii="宋体" w:hAnsi="宋体" w:eastAsia="宋体" w:cs="Times New Roman"/>
          <w:color w:val="auto"/>
          <w:sz w:val="21"/>
          <w:szCs w:val="21"/>
          <w:highlight w:val="none"/>
        </w:rPr>
        <w:t>、投标人具备投标资格的证明文件</w:t>
      </w:r>
    </w:p>
    <w:p w14:paraId="4B8442C1">
      <w:pPr>
        <w:pStyle w:val="272"/>
        <w:wordWrap w:val="0"/>
        <w:ind w:left="420" w:leftChars="20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七</w:t>
      </w:r>
      <w:r>
        <w:rPr>
          <w:rFonts w:hint="eastAsia" w:ascii="宋体" w:hAnsi="宋体" w:eastAsia="宋体" w:cs="Times New Roman"/>
          <w:color w:val="auto"/>
          <w:sz w:val="21"/>
          <w:szCs w:val="21"/>
          <w:highlight w:val="none"/>
        </w:rPr>
        <w:t>、投标保证金</w:t>
      </w:r>
    </w:p>
    <w:p w14:paraId="46C6E734">
      <w:pPr>
        <w:pStyle w:val="272"/>
        <w:wordWrap w:val="0"/>
        <w:ind w:left="420" w:leftChars="20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八</w:t>
      </w:r>
      <w:r>
        <w:rPr>
          <w:rFonts w:hint="eastAsia" w:ascii="宋体" w:hAnsi="宋体" w:eastAsia="宋体" w:cs="Times New Roman"/>
          <w:color w:val="auto"/>
          <w:sz w:val="21"/>
          <w:szCs w:val="21"/>
          <w:highlight w:val="none"/>
        </w:rPr>
        <w:t>、投标人承诺函</w:t>
      </w:r>
    </w:p>
    <w:p w14:paraId="7BE11901">
      <w:pPr>
        <w:pStyle w:val="272"/>
        <w:wordWrap w:val="0"/>
        <w:ind w:left="420" w:leftChars="20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九</w:t>
      </w:r>
      <w:r>
        <w:rPr>
          <w:rFonts w:hint="eastAsia" w:ascii="宋体" w:hAnsi="宋体" w:eastAsia="宋体" w:cs="Times New Roman"/>
          <w:color w:val="auto"/>
          <w:sz w:val="21"/>
          <w:szCs w:val="21"/>
          <w:highlight w:val="none"/>
        </w:rPr>
        <w:t>、实质性条款（标注“★”符号）响应表</w:t>
      </w:r>
    </w:p>
    <w:p w14:paraId="6C78BD5E">
      <w:pPr>
        <w:pStyle w:val="272"/>
        <w:wordWrap w:val="0"/>
        <w:ind w:left="420" w:leftChars="20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十</w:t>
      </w:r>
      <w:r>
        <w:rPr>
          <w:rFonts w:hint="eastAsia" w:ascii="宋体" w:hAnsi="宋体" w:eastAsia="宋体" w:cs="Times New Roman"/>
          <w:color w:val="auto"/>
          <w:sz w:val="21"/>
          <w:szCs w:val="21"/>
          <w:highlight w:val="none"/>
        </w:rPr>
        <w:t>、商务和技术偏差表</w:t>
      </w:r>
    </w:p>
    <w:p w14:paraId="0F3F41F7">
      <w:pPr>
        <w:pStyle w:val="272"/>
        <w:wordWrap w:val="0"/>
        <w:ind w:left="420" w:leftChars="200" w:firstLineChars="20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十一</w:t>
      </w:r>
      <w:r>
        <w:rPr>
          <w:rFonts w:hint="eastAsia" w:ascii="宋体" w:hAnsi="宋体" w:eastAsia="宋体" w:cs="Times New Roman"/>
          <w:color w:val="auto"/>
          <w:sz w:val="21"/>
          <w:szCs w:val="21"/>
          <w:highlight w:val="none"/>
        </w:rPr>
        <w:t>、</w:t>
      </w:r>
      <w:r>
        <w:rPr>
          <w:rFonts w:hint="eastAsia" w:hAnsi="宋体" w:cs="Times New Roman"/>
          <w:color w:val="auto"/>
          <w:sz w:val="21"/>
          <w:szCs w:val="21"/>
          <w:highlight w:val="none"/>
          <w:lang w:val="en-US" w:eastAsia="zh-CN"/>
        </w:rPr>
        <w:t>投标人类似业绩</w:t>
      </w:r>
    </w:p>
    <w:p w14:paraId="62B4D6F1">
      <w:pPr>
        <w:pStyle w:val="272"/>
        <w:wordWrap w:val="0"/>
        <w:ind w:left="420" w:leftChars="200" w:firstLineChars="20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十二、</w:t>
      </w:r>
      <w:r>
        <w:rPr>
          <w:rFonts w:hint="eastAsia" w:hAnsi="宋体" w:cs="Times New Roman"/>
          <w:color w:val="auto"/>
          <w:sz w:val="21"/>
          <w:szCs w:val="21"/>
          <w:highlight w:val="none"/>
          <w:lang w:val="en-US" w:eastAsia="zh-CN"/>
        </w:rPr>
        <w:t>投标人资质</w:t>
      </w:r>
    </w:p>
    <w:p w14:paraId="1A8C9685">
      <w:pPr>
        <w:pStyle w:val="272"/>
        <w:wordWrap w:val="0"/>
        <w:ind w:left="420" w:leftChars="200" w:firstLineChars="200"/>
        <w:rPr>
          <w:rFonts w:hint="eastAsia" w:hAnsi="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十三、</w:t>
      </w:r>
      <w:r>
        <w:rPr>
          <w:rFonts w:hint="eastAsia" w:hAnsi="宋体" w:cs="Times New Roman"/>
          <w:color w:val="auto"/>
          <w:sz w:val="21"/>
          <w:szCs w:val="21"/>
          <w:highlight w:val="none"/>
          <w:lang w:val="en-US" w:eastAsia="zh-CN"/>
        </w:rPr>
        <w:t>健康管理平台</w:t>
      </w:r>
    </w:p>
    <w:p w14:paraId="3AF6854F">
      <w:pPr>
        <w:widowControl w:val="0"/>
        <w:wordWrap w:val="0"/>
        <w:spacing w:line="360" w:lineRule="auto"/>
        <w:ind w:left="420" w:leftChars="200" w:firstLine="420" w:firstLineChars="20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十四、体检场所面积</w:t>
      </w:r>
    </w:p>
    <w:p w14:paraId="07085DEB">
      <w:pPr>
        <w:widowControl w:val="0"/>
        <w:wordWrap w:val="0"/>
        <w:spacing w:line="360" w:lineRule="auto"/>
        <w:ind w:left="420" w:leftChars="200" w:firstLine="420" w:firstLineChars="20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十五、体检服务整体性</w:t>
      </w:r>
    </w:p>
    <w:p w14:paraId="7FC31D97">
      <w:pPr>
        <w:pStyle w:val="272"/>
        <w:wordWrap w:val="0"/>
        <w:ind w:left="420" w:leftChars="20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十</w:t>
      </w:r>
      <w:r>
        <w:rPr>
          <w:rFonts w:hint="eastAsia" w:hAnsi="宋体" w:cs="Times New Roman"/>
          <w:color w:val="auto"/>
          <w:sz w:val="21"/>
          <w:szCs w:val="21"/>
          <w:highlight w:val="none"/>
          <w:lang w:val="en-US" w:eastAsia="zh-CN"/>
        </w:rPr>
        <w:t>六</w:t>
      </w:r>
      <w:r>
        <w:rPr>
          <w:rFonts w:hint="eastAsia" w:ascii="宋体" w:hAnsi="宋体" w:eastAsia="宋体" w:cs="Times New Roman"/>
          <w:color w:val="auto"/>
          <w:sz w:val="21"/>
          <w:szCs w:val="21"/>
          <w:highlight w:val="none"/>
          <w:lang w:val="en-US" w:eastAsia="zh-CN"/>
        </w:rPr>
        <w:t>、</w:t>
      </w:r>
      <w:r>
        <w:rPr>
          <w:rFonts w:hint="eastAsia" w:ascii="宋体" w:hAnsi="宋体" w:eastAsia="宋体" w:cs="Times New Roman"/>
          <w:color w:val="auto"/>
          <w:sz w:val="21"/>
          <w:szCs w:val="21"/>
          <w:highlight w:val="none"/>
        </w:rPr>
        <w:t>投标人认为需提供的</w:t>
      </w:r>
      <w:r>
        <w:rPr>
          <w:rFonts w:hint="eastAsia" w:ascii="宋体" w:hAnsi="宋体" w:eastAsia="宋体" w:cs="Times New Roman"/>
          <w:color w:val="auto"/>
          <w:sz w:val="21"/>
          <w:szCs w:val="21"/>
          <w:highlight w:val="none"/>
          <w:lang w:eastAsia="zh-CN"/>
        </w:rPr>
        <w:t>其他</w:t>
      </w:r>
      <w:r>
        <w:rPr>
          <w:rFonts w:hint="eastAsia" w:ascii="宋体" w:hAnsi="宋体" w:eastAsia="宋体" w:cs="Times New Roman"/>
          <w:color w:val="auto"/>
          <w:sz w:val="21"/>
          <w:szCs w:val="21"/>
          <w:highlight w:val="none"/>
        </w:rPr>
        <w:t>商务评审资料</w:t>
      </w:r>
    </w:p>
    <w:p w14:paraId="21AD757F">
      <w:pPr>
        <w:pStyle w:val="272"/>
        <w:wordWrap w:val="0"/>
        <w:ind w:left="420" w:leftChars="20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十</w:t>
      </w:r>
      <w:r>
        <w:rPr>
          <w:rFonts w:hint="eastAsia" w:hAnsi="宋体" w:cs="Times New Roman"/>
          <w:color w:val="auto"/>
          <w:sz w:val="21"/>
          <w:szCs w:val="21"/>
          <w:highlight w:val="none"/>
          <w:lang w:val="en-US" w:eastAsia="zh-CN"/>
        </w:rPr>
        <w:t>七</w:t>
      </w:r>
      <w:r>
        <w:rPr>
          <w:rFonts w:hint="eastAsia" w:ascii="宋体" w:hAnsi="宋体" w:eastAsia="宋体" w:cs="Times New Roman"/>
          <w:color w:val="auto"/>
          <w:sz w:val="21"/>
          <w:szCs w:val="21"/>
          <w:highlight w:val="none"/>
          <w:lang w:val="en-US" w:eastAsia="zh-CN"/>
        </w:rPr>
        <w:t>、体检场地交通便利性</w:t>
      </w:r>
    </w:p>
    <w:p w14:paraId="23C390A8">
      <w:pPr>
        <w:pStyle w:val="272"/>
        <w:wordWrap w:val="0"/>
        <w:ind w:left="420" w:leftChars="200" w:firstLineChars="20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十</w:t>
      </w:r>
      <w:r>
        <w:rPr>
          <w:rFonts w:hint="eastAsia" w:hAnsi="宋体" w:cs="Times New Roman"/>
          <w:color w:val="auto"/>
          <w:sz w:val="21"/>
          <w:szCs w:val="21"/>
          <w:highlight w:val="none"/>
          <w:lang w:val="en-US" w:eastAsia="zh-CN"/>
        </w:rPr>
        <w:t>八</w:t>
      </w: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增值服务</w:t>
      </w:r>
    </w:p>
    <w:p w14:paraId="0210ED19">
      <w:pPr>
        <w:pStyle w:val="272"/>
        <w:wordWrap w:val="0"/>
        <w:ind w:left="420" w:leftChars="200" w:firstLineChars="20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十九、体检服务方案</w:t>
      </w:r>
    </w:p>
    <w:p w14:paraId="7FDD681D">
      <w:pPr>
        <w:widowControl w:val="0"/>
        <w:wordWrap w:val="0"/>
        <w:spacing w:line="360" w:lineRule="auto"/>
        <w:ind w:left="420" w:leftChars="200" w:firstLine="420" w:firstLineChars="20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二十、应急预案方案</w:t>
      </w:r>
    </w:p>
    <w:p w14:paraId="5C98F234">
      <w:pPr>
        <w:widowControl w:val="0"/>
        <w:wordWrap w:val="0"/>
        <w:spacing w:line="360" w:lineRule="auto"/>
        <w:ind w:left="420" w:leftChars="200" w:firstLine="420" w:firstLineChars="20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二十一、就诊服务方案</w:t>
      </w:r>
    </w:p>
    <w:p w14:paraId="5EE32B3E">
      <w:pPr>
        <w:pStyle w:val="272"/>
        <w:wordWrap w:val="0"/>
        <w:ind w:left="420" w:leftChars="200" w:firstLineChars="200"/>
        <w:rPr>
          <w:rFonts w:hint="eastAsia" w:ascii="宋体" w:hAnsi="宋体" w:eastAsia="宋体" w:cs="Times New Roman"/>
          <w:color w:val="auto"/>
          <w:sz w:val="21"/>
          <w:szCs w:val="21"/>
          <w:highlight w:val="none"/>
        </w:rPr>
      </w:pPr>
      <w:r>
        <w:rPr>
          <w:rFonts w:hint="eastAsia" w:hAnsi="宋体" w:cs="Times New Roman"/>
          <w:color w:val="auto"/>
          <w:sz w:val="21"/>
          <w:szCs w:val="21"/>
          <w:highlight w:val="none"/>
          <w:lang w:val="en-US" w:eastAsia="zh-CN"/>
        </w:rPr>
        <w:t>二十二</w:t>
      </w:r>
      <w:r>
        <w:rPr>
          <w:rFonts w:hint="eastAsia" w:ascii="宋体" w:hAnsi="宋体" w:eastAsia="宋体" w:cs="Times New Roman"/>
          <w:color w:val="auto"/>
          <w:sz w:val="21"/>
          <w:szCs w:val="21"/>
          <w:highlight w:val="none"/>
          <w:lang w:val="en-US" w:eastAsia="zh-CN"/>
        </w:rPr>
        <w:t>、</w:t>
      </w:r>
      <w:r>
        <w:rPr>
          <w:rFonts w:hint="eastAsia" w:ascii="宋体" w:hAnsi="宋体" w:eastAsia="宋体" w:cs="Times New Roman"/>
          <w:color w:val="auto"/>
          <w:sz w:val="21"/>
          <w:szCs w:val="21"/>
          <w:highlight w:val="none"/>
        </w:rPr>
        <w:t>投标人认为需提供的</w:t>
      </w:r>
      <w:r>
        <w:rPr>
          <w:rFonts w:hint="eastAsia" w:ascii="宋体" w:hAnsi="宋体" w:eastAsia="宋体" w:cs="Times New Roman"/>
          <w:color w:val="auto"/>
          <w:sz w:val="21"/>
          <w:szCs w:val="21"/>
          <w:highlight w:val="none"/>
          <w:lang w:eastAsia="zh-CN"/>
        </w:rPr>
        <w:t>其他</w:t>
      </w:r>
      <w:r>
        <w:rPr>
          <w:rFonts w:hint="eastAsia" w:ascii="宋体" w:hAnsi="宋体" w:eastAsia="宋体" w:cs="Times New Roman"/>
          <w:color w:val="auto"/>
          <w:sz w:val="21"/>
          <w:szCs w:val="21"/>
          <w:highlight w:val="none"/>
          <w:lang w:val="en-US" w:eastAsia="zh-CN"/>
        </w:rPr>
        <w:t>技术</w:t>
      </w:r>
      <w:r>
        <w:rPr>
          <w:rFonts w:hint="eastAsia" w:ascii="宋体" w:hAnsi="宋体" w:eastAsia="宋体" w:cs="Times New Roman"/>
          <w:color w:val="auto"/>
          <w:sz w:val="21"/>
          <w:szCs w:val="21"/>
          <w:highlight w:val="none"/>
        </w:rPr>
        <w:t>评审资料</w:t>
      </w:r>
    </w:p>
    <w:p w14:paraId="62C488C1">
      <w:pPr>
        <w:pStyle w:val="272"/>
        <w:wordWrap w:val="0"/>
        <w:ind w:left="0" w:leftChars="0" w:firstLine="420" w:firstLineChars="200"/>
        <w:jc w:val="left"/>
        <w:rPr>
          <w:rFonts w:hAnsi="宋体"/>
          <w:color w:val="auto"/>
          <w:sz w:val="21"/>
          <w:szCs w:val="21"/>
          <w:highlight w:val="none"/>
        </w:rPr>
      </w:pPr>
      <w:r>
        <w:rPr>
          <w:rFonts w:hAnsi="宋体"/>
          <w:color w:val="auto"/>
          <w:sz w:val="21"/>
          <w:szCs w:val="21"/>
          <w:highlight w:val="none"/>
        </w:rPr>
        <w:t>投标人在评标过程中作出的符合法律法规和招标文件规定的澄清</w:t>
      </w:r>
      <w:r>
        <w:rPr>
          <w:rFonts w:hint="eastAsia" w:hAnsi="宋体"/>
          <w:color w:val="auto"/>
          <w:sz w:val="21"/>
          <w:szCs w:val="21"/>
          <w:highlight w:val="none"/>
        </w:rPr>
        <w:t>、说明和补正</w:t>
      </w:r>
      <w:r>
        <w:rPr>
          <w:rFonts w:hAnsi="宋体"/>
          <w:color w:val="auto"/>
          <w:sz w:val="21"/>
          <w:szCs w:val="21"/>
          <w:highlight w:val="none"/>
        </w:rPr>
        <w:t>，构成投标文件的组成部分。</w:t>
      </w:r>
    </w:p>
    <w:p w14:paraId="0D462B9C">
      <w:pPr>
        <w:pStyle w:val="272"/>
        <w:wordWrap w:val="0"/>
        <w:jc w:val="both"/>
        <w:rPr>
          <w:rFonts w:hAnsi="宋体"/>
          <w:color w:val="auto"/>
          <w:sz w:val="21"/>
          <w:szCs w:val="21"/>
          <w:highlight w:val="none"/>
        </w:rPr>
      </w:pPr>
      <w:r>
        <w:rPr>
          <w:rFonts w:hAnsi="宋体"/>
          <w:color w:val="auto"/>
          <w:sz w:val="21"/>
          <w:szCs w:val="21"/>
          <w:highlight w:val="none"/>
        </w:rPr>
        <w:t>3.1.2</w:t>
      </w:r>
      <w:r>
        <w:rPr>
          <w:rFonts w:hint="eastAsia" w:hAnsi="宋体"/>
          <w:color w:val="auto"/>
          <w:sz w:val="21"/>
          <w:szCs w:val="21"/>
          <w:highlight w:val="none"/>
        </w:rPr>
        <w:t xml:space="preserve"> </w:t>
      </w:r>
      <w:r>
        <w:rPr>
          <w:rFonts w:hAnsi="宋体"/>
          <w:color w:val="auto"/>
          <w:sz w:val="21"/>
          <w:szCs w:val="21"/>
          <w:highlight w:val="none"/>
        </w:rPr>
        <w:t>投标人须知前附表规定不接受联合体投标的，或投标人没有组成联合体的，投标文件不包括本章第3.1.1</w:t>
      </w:r>
      <w:r>
        <w:rPr>
          <w:rFonts w:hint="eastAsia" w:hAnsi="宋体"/>
          <w:color w:val="auto"/>
          <w:sz w:val="21"/>
          <w:szCs w:val="21"/>
          <w:highlight w:val="none"/>
        </w:rPr>
        <w:t>所指的联合体协议书。</w:t>
      </w:r>
    </w:p>
    <w:p w14:paraId="1A9DFE37">
      <w:pPr>
        <w:pStyle w:val="272"/>
        <w:wordWrap w:val="0"/>
        <w:jc w:val="both"/>
        <w:rPr>
          <w:rFonts w:hAnsi="宋体"/>
          <w:color w:val="auto"/>
          <w:sz w:val="21"/>
          <w:szCs w:val="21"/>
          <w:highlight w:val="none"/>
        </w:rPr>
      </w:pPr>
      <w:r>
        <w:rPr>
          <w:rFonts w:hint="eastAsia" w:hAnsi="宋体"/>
          <w:color w:val="auto"/>
          <w:sz w:val="21"/>
          <w:szCs w:val="21"/>
          <w:highlight w:val="none"/>
        </w:rPr>
        <w:t>3.1.3 投标人应当按照招标文件的要求编制投标文件。投标文件应当对招标文件提出的要求和条件作出明确响应。</w:t>
      </w:r>
    </w:p>
    <w:p w14:paraId="02671D32">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3.2 投标报价</w:t>
      </w:r>
    </w:p>
    <w:p w14:paraId="46675BF3">
      <w:pPr>
        <w:pStyle w:val="272"/>
        <w:wordWrap w:val="0"/>
        <w:ind w:firstLine="420" w:firstLineChars="200"/>
        <w:jc w:val="both"/>
        <w:rPr>
          <w:rFonts w:hAnsi="宋体"/>
          <w:color w:val="auto"/>
          <w:sz w:val="21"/>
          <w:szCs w:val="21"/>
          <w:highlight w:val="none"/>
        </w:rPr>
      </w:pPr>
      <w:r>
        <w:rPr>
          <w:rFonts w:hAnsi="宋体"/>
          <w:color w:val="auto"/>
          <w:sz w:val="21"/>
          <w:szCs w:val="21"/>
          <w:highlight w:val="none"/>
        </w:rPr>
        <w:t>3.2.1</w:t>
      </w:r>
      <w:r>
        <w:rPr>
          <w:rFonts w:hint="eastAsia" w:hAnsi="宋体"/>
          <w:color w:val="auto"/>
          <w:sz w:val="21"/>
          <w:szCs w:val="21"/>
          <w:highlight w:val="none"/>
        </w:rPr>
        <w:t xml:space="preserve"> </w:t>
      </w:r>
      <w:r>
        <w:rPr>
          <w:rFonts w:hint="eastAsia" w:hAnsi="宋体" w:cs="宋体"/>
          <w:color w:val="auto"/>
          <w:sz w:val="21"/>
          <w:szCs w:val="21"/>
          <w:highlight w:val="none"/>
        </w:rPr>
        <w:t>投标人应按第六章“投标文件格式”的要求在投标函、开标一览表中进行报价</w:t>
      </w:r>
      <w:r>
        <w:rPr>
          <w:rFonts w:hint="eastAsia" w:hAnsi="宋体"/>
          <w:color w:val="auto"/>
          <w:sz w:val="21"/>
          <w:szCs w:val="21"/>
          <w:highlight w:val="none"/>
        </w:rPr>
        <w:t>。</w:t>
      </w:r>
      <w:r>
        <w:rPr>
          <w:rFonts w:hint="eastAsia" w:hAnsi="宋体" w:cs="宋体"/>
          <w:color w:val="auto"/>
          <w:sz w:val="21"/>
          <w:szCs w:val="21"/>
          <w:highlight w:val="none"/>
        </w:rPr>
        <w:t>本项目投标总报价、综合单价（如有）均不能高于招标人公布的最高投标限价，超过最高投标限价的投标报价为无效报价，按</w:t>
      </w:r>
      <w:r>
        <w:rPr>
          <w:rFonts w:hint="eastAsia" w:hAnsi="宋体" w:cs="宋体"/>
          <w:b/>
          <w:bCs/>
          <w:color w:val="auto"/>
          <w:sz w:val="21"/>
          <w:szCs w:val="21"/>
          <w:highlight w:val="none"/>
        </w:rPr>
        <w:t>废标</w:t>
      </w:r>
      <w:r>
        <w:rPr>
          <w:rFonts w:hint="eastAsia" w:hAnsi="宋体" w:cs="宋体"/>
          <w:color w:val="auto"/>
          <w:sz w:val="21"/>
          <w:szCs w:val="21"/>
          <w:highlight w:val="none"/>
        </w:rPr>
        <w:t>情形处理。投标时需明确税费，税率必须符合国家政策法规规定，合同支付时服务单位需开具经招标方认可的合法完税单据</w:t>
      </w:r>
      <w:r>
        <w:rPr>
          <w:rFonts w:hint="eastAsia" w:hAnsi="宋体"/>
          <w:color w:val="auto"/>
          <w:sz w:val="21"/>
          <w:szCs w:val="21"/>
          <w:highlight w:val="none"/>
        </w:rPr>
        <w:t>。</w:t>
      </w:r>
    </w:p>
    <w:p w14:paraId="2002268A">
      <w:pPr>
        <w:pStyle w:val="272"/>
        <w:wordWrap w:val="0"/>
        <w:ind w:firstLine="420" w:firstLineChars="200"/>
        <w:jc w:val="both"/>
        <w:rPr>
          <w:rFonts w:hAnsi="宋体"/>
          <w:color w:val="auto"/>
          <w:sz w:val="21"/>
          <w:szCs w:val="21"/>
          <w:highlight w:val="none"/>
        </w:rPr>
      </w:pPr>
      <w:r>
        <w:rPr>
          <w:rFonts w:hAnsi="宋体"/>
          <w:color w:val="auto"/>
          <w:sz w:val="21"/>
          <w:szCs w:val="21"/>
          <w:highlight w:val="none"/>
        </w:rPr>
        <w:t>3.2.2 投标人应充分了解该项目的总体情况以及影响投标报价的其他要素。</w:t>
      </w:r>
      <w:r>
        <w:rPr>
          <w:rFonts w:hint="eastAsia" w:hAnsi="宋体"/>
          <w:color w:val="auto"/>
          <w:sz w:val="21"/>
          <w:szCs w:val="21"/>
          <w:highlight w:val="none"/>
        </w:rPr>
        <w:t>最终结算以长沙穗城轨道交通有限公司或政府职能部门审核为准。</w:t>
      </w:r>
    </w:p>
    <w:p w14:paraId="4D69E672">
      <w:pPr>
        <w:pStyle w:val="272"/>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3.2.3 投标</w:t>
      </w:r>
      <w:r>
        <w:rPr>
          <w:rFonts w:hint="default" w:hAnsi="宋体"/>
          <w:color w:val="auto"/>
          <w:sz w:val="21"/>
          <w:szCs w:val="21"/>
          <w:highlight w:val="none"/>
        </w:rPr>
        <w:t>总</w:t>
      </w:r>
      <w:r>
        <w:rPr>
          <w:rFonts w:hint="eastAsia" w:hAnsi="宋体"/>
          <w:color w:val="auto"/>
          <w:sz w:val="21"/>
          <w:szCs w:val="21"/>
          <w:highlight w:val="none"/>
        </w:rPr>
        <w:t>报价为各明细报价金额之和，投标</w:t>
      </w:r>
      <w:r>
        <w:rPr>
          <w:rFonts w:hint="default" w:hAnsi="宋体"/>
          <w:color w:val="auto"/>
          <w:sz w:val="21"/>
          <w:szCs w:val="21"/>
          <w:highlight w:val="none"/>
        </w:rPr>
        <w:t>总</w:t>
      </w:r>
      <w:r>
        <w:rPr>
          <w:rFonts w:hint="eastAsia" w:hAnsi="宋体"/>
          <w:color w:val="auto"/>
          <w:sz w:val="21"/>
          <w:szCs w:val="21"/>
          <w:highlight w:val="none"/>
        </w:rPr>
        <w:t>报价与明细报价的合价不一致的，以</w:t>
      </w:r>
      <w:r>
        <w:rPr>
          <w:rFonts w:hint="default" w:hAnsi="宋体"/>
          <w:color w:val="auto"/>
          <w:sz w:val="21"/>
          <w:szCs w:val="21"/>
          <w:highlight w:val="none"/>
        </w:rPr>
        <w:t>“开标一览表”中“投标总报价”为准</w:t>
      </w:r>
      <w:r>
        <w:rPr>
          <w:rFonts w:hint="eastAsia" w:hAnsi="宋体"/>
          <w:color w:val="auto"/>
          <w:sz w:val="21"/>
          <w:szCs w:val="21"/>
          <w:highlight w:val="none"/>
        </w:rPr>
        <w:t>；如明细报价中存在缺漏项，则视为缺漏项价格已包含在其他明细报价之中。投标人在投标截止时间前修改投标函中的投标</w:t>
      </w:r>
      <w:r>
        <w:rPr>
          <w:rFonts w:hint="default" w:hAnsi="宋体"/>
          <w:color w:val="auto"/>
          <w:sz w:val="21"/>
          <w:szCs w:val="21"/>
          <w:highlight w:val="none"/>
        </w:rPr>
        <w:t>总</w:t>
      </w:r>
      <w:r>
        <w:rPr>
          <w:rFonts w:hint="eastAsia" w:hAnsi="宋体"/>
          <w:color w:val="auto"/>
          <w:sz w:val="21"/>
          <w:szCs w:val="21"/>
          <w:highlight w:val="none"/>
        </w:rPr>
        <w:t>报价，应同时修改投标文件</w:t>
      </w:r>
      <w:r>
        <w:rPr>
          <w:rFonts w:hint="default" w:hAnsi="宋体"/>
          <w:color w:val="auto"/>
          <w:sz w:val="21"/>
          <w:szCs w:val="21"/>
          <w:highlight w:val="none"/>
        </w:rPr>
        <w:t>《开标一览表》和《投标报价表》</w:t>
      </w:r>
      <w:r>
        <w:rPr>
          <w:rFonts w:hint="eastAsia" w:hAnsi="宋体"/>
          <w:color w:val="auto"/>
          <w:sz w:val="21"/>
          <w:szCs w:val="21"/>
          <w:highlight w:val="none"/>
        </w:rPr>
        <w:t>中的相应报价。此修改须符合本章第4.3款的有关要求。</w:t>
      </w:r>
    </w:p>
    <w:p w14:paraId="2EE63E51">
      <w:pPr>
        <w:pStyle w:val="272"/>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3.2.</w:t>
      </w:r>
      <w:r>
        <w:rPr>
          <w:rFonts w:hint="default" w:hAnsi="宋体"/>
          <w:color w:val="auto"/>
          <w:sz w:val="21"/>
          <w:szCs w:val="21"/>
          <w:highlight w:val="none"/>
        </w:rPr>
        <w:t>4 最高投标限价：见投标人须知前附表。</w:t>
      </w:r>
    </w:p>
    <w:p w14:paraId="260E7AE2">
      <w:pPr>
        <w:pStyle w:val="272"/>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3.2.</w:t>
      </w:r>
      <w:r>
        <w:rPr>
          <w:rFonts w:hint="default" w:hAnsi="宋体"/>
          <w:color w:val="auto"/>
          <w:sz w:val="21"/>
          <w:szCs w:val="21"/>
          <w:highlight w:val="none"/>
        </w:rPr>
        <w:t>5 投标报价应保证在投标有效期内有效。除合同另有约定外，投标报价作为中标价及合同价在合同履行期间是固定不变的，不受政策、法规变化以及汇率浮动、物价指数浮动等因素的影响。中标人不得以任何理由予以变更。</w:t>
      </w:r>
    </w:p>
    <w:p w14:paraId="010DA0B0">
      <w:pPr>
        <w:pStyle w:val="272"/>
        <w:wordWrap w:val="0"/>
        <w:ind w:firstLine="420" w:firstLineChars="200"/>
        <w:jc w:val="both"/>
        <w:rPr>
          <w:rFonts w:hAnsi="宋体"/>
          <w:color w:val="auto"/>
          <w:sz w:val="21"/>
          <w:szCs w:val="21"/>
          <w:highlight w:val="none"/>
        </w:rPr>
      </w:pPr>
      <w:r>
        <w:rPr>
          <w:rFonts w:hint="default" w:hAnsi="宋体"/>
          <w:color w:val="auto"/>
          <w:sz w:val="21"/>
          <w:szCs w:val="21"/>
          <w:highlight w:val="none"/>
        </w:rPr>
        <w:t>3.2.6 投标报价的其他要求见投标人须知前附表。</w:t>
      </w:r>
    </w:p>
    <w:p w14:paraId="012F51C9">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3.3 投标有效期</w:t>
      </w:r>
    </w:p>
    <w:p w14:paraId="46D19826">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除投标人须知前附表另有规定外，投标有效期为180日历天，从投标截止之日起算。投标有效期不足的投标，在评标时将其视为</w:t>
      </w:r>
      <w:r>
        <w:rPr>
          <w:rFonts w:hint="eastAsia" w:ascii="宋体" w:hAnsi="宋体" w:eastAsia="宋体" w:cs="宋体"/>
          <w:b/>
          <w:bCs/>
          <w:color w:val="auto"/>
          <w:sz w:val="21"/>
          <w:szCs w:val="21"/>
          <w:highlight w:val="none"/>
        </w:rPr>
        <w:t>无效投标</w:t>
      </w:r>
      <w:r>
        <w:rPr>
          <w:rFonts w:hint="eastAsia" w:ascii="宋体" w:hAnsi="宋体" w:eastAsia="宋体" w:cs="宋体"/>
          <w:color w:val="auto"/>
          <w:sz w:val="21"/>
          <w:szCs w:val="21"/>
          <w:highlight w:val="none"/>
        </w:rPr>
        <w:t>。</w:t>
      </w:r>
    </w:p>
    <w:p w14:paraId="6A2F635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在投标有效期内，投标人撤销投标文件的，应承担招标文件和法律规定的责任。</w:t>
      </w:r>
    </w:p>
    <w:p w14:paraId="53BCD5B1">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出现特殊情况需要延长投标有效期的，招标人可以根据需要以书面形式向投标人提出延长投标有效期的要求。投标人应予以书面答复，同意延长的，应相应延长其投标保证金的有效期，但不得要求或被允许修改其投标文件；投标人拒绝延长的，其投标失效，但投标人有权收回其投标保证金。</w:t>
      </w:r>
    </w:p>
    <w:p w14:paraId="2A784C9C">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3.4 投标保证金</w:t>
      </w:r>
    </w:p>
    <w:p w14:paraId="6A1F264C">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3.4.1投标人在递交投标文件的同时，应按投标人须知前附表规定的金额递交投标保证金，并作为其投标文件的组成部分。联合体投标的，其投标保证金由牵头人递交，并应符合投标人须知前附表的规定。</w:t>
      </w:r>
    </w:p>
    <w:p w14:paraId="4532FC68">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3.4.2投标人不按本章第3.4.1项要求提交投标保证金的，提交评标委员会</w:t>
      </w:r>
      <w:r>
        <w:rPr>
          <w:rFonts w:hint="eastAsia" w:ascii="宋体" w:hAnsi="宋体" w:eastAsia="宋体" w:cs="宋体"/>
          <w:b/>
          <w:bCs/>
          <w:color w:val="auto"/>
          <w:sz w:val="21"/>
          <w:szCs w:val="21"/>
          <w:highlight w:val="none"/>
        </w:rPr>
        <w:t>否决</w:t>
      </w:r>
      <w:r>
        <w:rPr>
          <w:rFonts w:hint="eastAsia" w:ascii="宋体" w:hAnsi="宋体" w:eastAsia="宋体" w:cs="宋体"/>
          <w:color w:val="auto"/>
          <w:sz w:val="21"/>
          <w:szCs w:val="21"/>
          <w:highlight w:val="none"/>
        </w:rPr>
        <w:t>其投标。</w:t>
      </w:r>
    </w:p>
    <w:p w14:paraId="3F626FDF">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3.4.3投标保证金的退还按</w:t>
      </w:r>
      <w:r>
        <w:rPr>
          <w:rFonts w:hint="eastAsia" w:hAnsi="宋体" w:cs="宋体"/>
          <w:color w:val="auto"/>
          <w:sz w:val="21"/>
          <w:szCs w:val="21"/>
          <w:highlight w:val="none"/>
          <w:lang w:val="en-US" w:eastAsia="zh-CN"/>
        </w:rPr>
        <w:t>潇湘交易云</w:t>
      </w:r>
      <w:r>
        <w:rPr>
          <w:rFonts w:hint="eastAsia" w:ascii="宋体" w:hAnsi="宋体" w:eastAsia="宋体" w:cs="宋体"/>
          <w:color w:val="auto"/>
          <w:sz w:val="21"/>
          <w:szCs w:val="21"/>
          <w:highlight w:val="none"/>
        </w:rPr>
        <w:t>平台公布的《投标保证金退还流程》等要求办理。</w:t>
      </w:r>
    </w:p>
    <w:p w14:paraId="40FAD8E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3.4.4有下列情形之一的，投标保证金将不予退还：</w:t>
      </w:r>
    </w:p>
    <w:p w14:paraId="2E328D0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（1）投标人在投标有效期内撤销投标文件；</w:t>
      </w:r>
    </w:p>
    <w:p w14:paraId="17FB2F37">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（2）中标人在收到中标通知书后，30天内无正当理由不与招标人订立合同，在签订合同时向招标人提出附加条件，或者不按照招标文件要求提交履约保证金；</w:t>
      </w:r>
    </w:p>
    <w:p w14:paraId="2216D66F">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（3）投标人在投标过程中以任何方式进行串通投标；</w:t>
      </w:r>
    </w:p>
    <w:p w14:paraId="1B5FDF11">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（4）投标人以他人名义投标或者弄虚作假，骗取中标。</w:t>
      </w:r>
    </w:p>
    <w:p w14:paraId="6AE23088">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（5）法律法规或招标文件规定的其他情形。</w:t>
      </w:r>
    </w:p>
    <w:p w14:paraId="5449D84A">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3.5 资格证明文件</w:t>
      </w:r>
    </w:p>
    <w:p w14:paraId="0DED6608">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3.5.1资格证明文件及提交要求：详见第六章“投标文件格式”。</w:t>
      </w:r>
    </w:p>
    <w:p w14:paraId="11B3449D">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3.6 备选投标方案</w:t>
      </w:r>
    </w:p>
    <w:p w14:paraId="7130D7F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3.6.1投标人不得递交备选投标方案，否则其投标将被</w:t>
      </w:r>
      <w:r>
        <w:rPr>
          <w:rFonts w:hint="eastAsia" w:ascii="宋体" w:hAnsi="宋体" w:eastAsia="宋体" w:cs="宋体"/>
          <w:b/>
          <w:bCs/>
          <w:color w:val="auto"/>
          <w:sz w:val="21"/>
          <w:szCs w:val="21"/>
          <w:highlight w:val="none"/>
        </w:rPr>
        <w:t>否决</w:t>
      </w:r>
      <w:r>
        <w:rPr>
          <w:rFonts w:hint="eastAsia" w:ascii="宋体" w:hAnsi="宋体" w:eastAsia="宋体" w:cs="宋体"/>
          <w:color w:val="auto"/>
          <w:sz w:val="21"/>
          <w:szCs w:val="21"/>
          <w:highlight w:val="none"/>
        </w:rPr>
        <w:t>。</w:t>
      </w:r>
    </w:p>
    <w:p w14:paraId="2DDD276C">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 投标人提供两个或两个以上投标报价，或者在投标文件中提供一个报价，但同时提供两个或两个以上投标方案的，视为提供备选投标方案。</w:t>
      </w:r>
    </w:p>
    <w:p w14:paraId="3F63A769">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3.7 投标文件的编制</w:t>
      </w:r>
    </w:p>
    <w:p w14:paraId="2846F84A">
      <w:pPr>
        <w:pStyle w:val="272"/>
        <w:wordWrap w:val="0"/>
        <w:ind w:firstLine="48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 投标文件应按第六章“投标文件格式”进行编写，如有必要，可以增加附页，作为投标文件的组成部分。</w:t>
      </w:r>
    </w:p>
    <w:p w14:paraId="53A501A9">
      <w:pPr>
        <w:pStyle w:val="272"/>
        <w:wordWrap w:val="0"/>
        <w:ind w:firstLine="48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 投标文件应当对招标文件有关</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期、投标有效期、用户需求书、招标范围、合同条款等实质性内容作出响应。</w:t>
      </w:r>
    </w:p>
    <w:p w14:paraId="12022191">
      <w:pPr>
        <w:pStyle w:val="272"/>
        <w:wordWrap w:val="0"/>
        <w:spacing w:after="0"/>
        <w:ind w:left="0" w:right="0" w:firstLine="482"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 投标文件应用不褪色的材料书写、打印或复印，并由投标人的法定代表人/负责人或其委托代理人签字或盖单位公章。委托代理人签字的，投标文件应附法定代表人/负责人签署的授权委托书。投标文件应尽量避免涂改、行间插字或删除。如果出现上述情况，改动之处应加盖单位公章或由投标人的法定代表人/负责人或其委托代理人签字确认。签字或盖章的具体要求见投标人须知前附表。</w:t>
      </w:r>
    </w:p>
    <w:p w14:paraId="01EF8A01">
      <w:pPr>
        <w:pStyle w:val="272"/>
        <w:wordWrap w:val="0"/>
        <w:ind w:firstLine="482" w:firstLineChars="0"/>
        <w:jc w:val="both"/>
        <w:rPr>
          <w:rFonts w:hint="eastAsia" w:hAnsi="宋体" w:cs="宋体"/>
          <w:b/>
          <w:bCs/>
          <w:color w:val="auto"/>
          <w:sz w:val="21"/>
          <w:szCs w:val="21"/>
          <w:highlight w:val="none"/>
        </w:rPr>
      </w:pPr>
      <w:r>
        <w:rPr>
          <w:rFonts w:hint="eastAsia" w:hAnsi="宋体" w:cs="宋体"/>
          <w:b/>
          <w:bCs/>
          <w:color w:val="auto"/>
          <w:sz w:val="21"/>
          <w:szCs w:val="21"/>
          <w:highlight w:val="none"/>
        </w:rPr>
        <w:t>3.7.4 投标文件正本一份、副本</w:t>
      </w:r>
      <w:r>
        <w:rPr>
          <w:rFonts w:hint="eastAsia" w:hAnsi="宋体" w:cs="宋体"/>
          <w:b/>
          <w:bCs/>
          <w:color w:val="auto"/>
          <w:sz w:val="21"/>
          <w:szCs w:val="21"/>
          <w:highlight w:val="none"/>
          <w:lang w:val="en-US" w:eastAsia="zh-CN"/>
        </w:rPr>
        <w:t>四</w:t>
      </w:r>
      <w:r>
        <w:rPr>
          <w:rFonts w:hint="eastAsia" w:hAnsi="宋体" w:cs="宋体"/>
          <w:b/>
          <w:bCs/>
          <w:color w:val="auto"/>
          <w:sz w:val="21"/>
          <w:szCs w:val="21"/>
          <w:highlight w:val="none"/>
        </w:rPr>
        <w:t>份、电子文本一份（须为投标文件正本扫描件），以上文件可单独封装或一起封装；投标文件份数不符合要求的，招标人不予受理并将所有投标文件予以退还。</w:t>
      </w:r>
    </w:p>
    <w:p w14:paraId="470087F3">
      <w:pPr>
        <w:pStyle w:val="272"/>
        <w:wordWrap w:val="0"/>
        <w:ind w:firstLine="482" w:firstLineChars="0"/>
        <w:jc w:val="both"/>
        <w:rPr>
          <w:rFonts w:hint="eastAsia" w:hAnsi="宋体" w:cs="宋体"/>
          <w:b w:val="0"/>
          <w:bCs w:val="0"/>
          <w:color w:val="auto"/>
          <w:sz w:val="21"/>
          <w:szCs w:val="21"/>
          <w:highlight w:val="none"/>
        </w:rPr>
      </w:pPr>
      <w:r>
        <w:rPr>
          <w:rFonts w:hint="eastAsia" w:hAnsi="宋体" w:cs="宋体"/>
          <w:color w:val="auto"/>
          <w:sz w:val="21"/>
          <w:szCs w:val="21"/>
          <w:highlight w:val="none"/>
        </w:rPr>
        <w:t>正本和副本的封面上应清楚地标记“正本”或“副本”的字样，当副本和正本不一致时，以正本为准。</w:t>
      </w:r>
    </w:p>
    <w:p w14:paraId="6B5E21CE">
      <w:pPr>
        <w:pStyle w:val="272"/>
        <w:wordWrap w:val="0"/>
        <w:ind w:firstLine="482" w:firstLineChars="0"/>
        <w:jc w:val="both"/>
        <w:rPr>
          <w:rFonts w:hint="eastAsia" w:hAnsi="宋体" w:cs="宋体"/>
          <w:color w:val="auto"/>
          <w:sz w:val="21"/>
          <w:szCs w:val="21"/>
          <w:highlight w:val="none"/>
        </w:rPr>
      </w:pPr>
      <w:r>
        <w:rPr>
          <w:rFonts w:hint="eastAsia" w:hAnsi="宋体" w:cs="宋体"/>
          <w:color w:val="auto"/>
          <w:sz w:val="21"/>
          <w:szCs w:val="21"/>
          <w:highlight w:val="none"/>
        </w:rPr>
        <w:t>3.7.5 投标文件的正本与副本应分别装订成册，并编制目录，正副本均需采用胶装方式进行装订。</w:t>
      </w:r>
    </w:p>
    <w:p w14:paraId="3D8AA3FE">
      <w:pPr>
        <w:pStyle w:val="272"/>
        <w:wordWrap w:val="0"/>
        <w:spacing w:after="0"/>
        <w:ind w:left="0" w:right="0" w:firstLine="482" w:firstLineChars="0"/>
        <w:jc w:val="both"/>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3.7.6 联合体投标的，除招标文件另有明确规定外，投标人加盖公章和/或投标人相关受托人签字和/或签章处由联合体牵头人代表即可。</w:t>
      </w:r>
    </w:p>
    <w:p w14:paraId="6E6DA71A">
      <w:pPr>
        <w:pStyle w:val="137"/>
        <w:wordWrap w:val="0"/>
        <w:spacing w:before="0" w:after="0" w:line="360" w:lineRule="auto"/>
        <w:ind w:left="0" w:right="339"/>
        <w:jc w:val="left"/>
        <w:rPr>
          <w:rFonts w:hint="eastAsia" w:ascii="宋体" w:hAnsi="宋体" w:eastAsia="宋体" w:cs="宋体"/>
          <w:color w:val="auto"/>
          <w:szCs w:val="28"/>
          <w:highlight w:val="none"/>
        </w:rPr>
      </w:pPr>
      <w:r>
        <w:rPr>
          <w:rFonts w:hint="eastAsia" w:ascii="宋体" w:hAnsi="宋体" w:eastAsia="宋体" w:cs="宋体"/>
          <w:color w:val="auto"/>
          <w:szCs w:val="28"/>
          <w:highlight w:val="none"/>
        </w:rPr>
        <w:t>4.投标</w:t>
      </w:r>
    </w:p>
    <w:p w14:paraId="7CB547A1">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4.1投标文件的密封和标识</w:t>
      </w:r>
    </w:p>
    <w:p w14:paraId="68B474D6">
      <w:pPr>
        <w:pStyle w:val="272"/>
        <w:wordWrap w:val="0"/>
        <w:ind w:firstLine="482"/>
        <w:jc w:val="both"/>
        <w:rPr>
          <w:rFonts w:hint="eastAsia" w:hAnsi="宋体" w:cs="宋体"/>
          <w:color w:val="auto"/>
          <w:sz w:val="21"/>
          <w:szCs w:val="21"/>
          <w:highlight w:val="none"/>
        </w:rPr>
      </w:pPr>
      <w:r>
        <w:rPr>
          <w:rFonts w:hint="eastAsia" w:hAnsi="宋体" w:cs="宋体"/>
          <w:color w:val="auto"/>
          <w:sz w:val="21"/>
          <w:szCs w:val="21"/>
          <w:highlight w:val="none"/>
        </w:rPr>
        <w:t>4.1.1 投标文件的密封：投标人应将投标文件密封后提交，所有密封的封口处须加盖投标人公章。</w:t>
      </w:r>
    </w:p>
    <w:p w14:paraId="038C358B">
      <w:pPr>
        <w:pStyle w:val="272"/>
        <w:wordWrap w:val="0"/>
        <w:ind w:firstLine="482"/>
        <w:jc w:val="both"/>
        <w:rPr>
          <w:rFonts w:hint="eastAsia" w:hAnsi="宋体" w:cs="宋体"/>
          <w:color w:val="auto"/>
          <w:sz w:val="21"/>
          <w:szCs w:val="21"/>
          <w:highlight w:val="none"/>
        </w:rPr>
      </w:pPr>
      <w:r>
        <w:rPr>
          <w:rFonts w:hint="eastAsia" w:hAnsi="宋体" w:cs="宋体"/>
          <w:color w:val="auto"/>
          <w:sz w:val="21"/>
          <w:szCs w:val="21"/>
          <w:highlight w:val="none"/>
        </w:rPr>
        <w:t>4.1.2 投标文件的标识：投标文件封套上应写明的其他内容见投标人须知前附表，并在封套上加盖投标人单位公章。</w:t>
      </w:r>
    </w:p>
    <w:p w14:paraId="3D3566E4">
      <w:pPr>
        <w:pStyle w:val="272"/>
        <w:wordWrap w:val="0"/>
        <w:ind w:firstLine="482"/>
        <w:jc w:val="both"/>
        <w:rPr>
          <w:rFonts w:hint="eastAsia" w:hAnsi="宋体" w:cs="宋体"/>
          <w:color w:val="auto"/>
          <w:sz w:val="21"/>
          <w:szCs w:val="21"/>
          <w:highlight w:val="none"/>
        </w:rPr>
      </w:pPr>
      <w:r>
        <w:rPr>
          <w:rFonts w:hint="eastAsia" w:hAnsi="宋体" w:cs="宋体"/>
          <w:color w:val="auto"/>
          <w:sz w:val="21"/>
          <w:szCs w:val="21"/>
          <w:highlight w:val="none"/>
        </w:rPr>
        <w:t>4.1.3 未按本章第4.1款要求密封及标识的投标文件，招标人不予受理并退还给投标人；同时招标人不承担投标文件错放或提前开封的责任。由此造成的提前开封的投标文件将予以拒绝。</w:t>
      </w:r>
    </w:p>
    <w:p w14:paraId="2CBB6DD8">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4.2投标文件的递交</w:t>
      </w:r>
    </w:p>
    <w:p w14:paraId="128C5374">
      <w:pPr>
        <w:pStyle w:val="272"/>
        <w:wordWrap w:val="0"/>
        <w:jc w:val="both"/>
        <w:rPr>
          <w:rFonts w:hAnsi="宋体"/>
          <w:color w:val="auto"/>
          <w:sz w:val="21"/>
          <w:szCs w:val="21"/>
          <w:highlight w:val="none"/>
        </w:rPr>
      </w:pPr>
      <w:r>
        <w:rPr>
          <w:rFonts w:hint="eastAsia" w:hAnsi="宋体"/>
          <w:color w:val="auto"/>
          <w:sz w:val="21"/>
          <w:szCs w:val="21"/>
          <w:highlight w:val="none"/>
        </w:rPr>
        <w:t>4.2.1 投标人应在投标人须知前附表规定的投标截止时间前递交投标文件（投标截止时间前1个小时开始接收投标文件）；</w:t>
      </w:r>
    </w:p>
    <w:p w14:paraId="0D46748F">
      <w:pPr>
        <w:pStyle w:val="272"/>
        <w:wordWrap w:val="0"/>
        <w:jc w:val="both"/>
        <w:rPr>
          <w:rFonts w:hAnsi="宋体"/>
          <w:color w:val="auto"/>
          <w:sz w:val="21"/>
          <w:szCs w:val="21"/>
          <w:highlight w:val="none"/>
        </w:rPr>
      </w:pPr>
      <w:r>
        <w:rPr>
          <w:rFonts w:hint="eastAsia" w:hAnsi="宋体"/>
          <w:color w:val="auto"/>
          <w:sz w:val="21"/>
          <w:szCs w:val="21"/>
          <w:highlight w:val="none"/>
        </w:rPr>
        <w:t>4.2.2 投标人递交投标文件的地点：见投标人须知前附表；</w:t>
      </w:r>
    </w:p>
    <w:p w14:paraId="51FE42B4">
      <w:pPr>
        <w:pStyle w:val="272"/>
        <w:wordWrap w:val="0"/>
        <w:jc w:val="both"/>
        <w:rPr>
          <w:rFonts w:hAnsi="宋体"/>
          <w:color w:val="auto"/>
          <w:sz w:val="21"/>
          <w:szCs w:val="21"/>
          <w:highlight w:val="none"/>
        </w:rPr>
      </w:pPr>
      <w:r>
        <w:rPr>
          <w:rFonts w:hint="eastAsia" w:hAnsi="宋体"/>
          <w:color w:val="auto"/>
          <w:sz w:val="21"/>
          <w:szCs w:val="21"/>
          <w:highlight w:val="none"/>
        </w:rPr>
        <w:t>4.2.3 除招标文件另有规定外，投标人所递交的投标文件不予退还；</w:t>
      </w:r>
    </w:p>
    <w:p w14:paraId="3991B678">
      <w:pPr>
        <w:pStyle w:val="272"/>
        <w:wordWrap w:val="0"/>
        <w:jc w:val="both"/>
        <w:rPr>
          <w:rFonts w:hAnsi="宋体"/>
          <w:color w:val="auto"/>
          <w:sz w:val="21"/>
          <w:szCs w:val="21"/>
          <w:highlight w:val="none"/>
        </w:rPr>
      </w:pPr>
      <w:r>
        <w:rPr>
          <w:rFonts w:hint="eastAsia" w:hAnsi="宋体"/>
          <w:color w:val="auto"/>
          <w:sz w:val="21"/>
          <w:szCs w:val="21"/>
          <w:highlight w:val="none"/>
        </w:rPr>
        <w:t>4.2.4 逾期送达或者未送达指定地点的投标文件，招标人和招标代理机构不予受理。</w:t>
      </w:r>
    </w:p>
    <w:p w14:paraId="0768412C">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4.3投标文件的修改与撤回</w:t>
      </w:r>
    </w:p>
    <w:p w14:paraId="4FF40DFF">
      <w:pPr>
        <w:pStyle w:val="272"/>
        <w:wordWrap w:val="0"/>
        <w:jc w:val="both"/>
        <w:rPr>
          <w:rFonts w:hAnsi="宋体"/>
          <w:color w:val="auto"/>
          <w:sz w:val="21"/>
          <w:szCs w:val="21"/>
          <w:highlight w:val="none"/>
        </w:rPr>
      </w:pPr>
      <w:r>
        <w:rPr>
          <w:rFonts w:hint="eastAsia" w:hAnsi="宋体"/>
          <w:color w:val="auto"/>
          <w:sz w:val="21"/>
          <w:szCs w:val="21"/>
          <w:highlight w:val="none"/>
        </w:rPr>
        <w:t>4.3.1 在投标人须知前附表第4.2.1款规定的投标截止时间前，投标人可以修改或撤回已递交的投标文件，但应以书面形式通知招标人；</w:t>
      </w:r>
    </w:p>
    <w:p w14:paraId="276E7A3D">
      <w:pPr>
        <w:pStyle w:val="272"/>
        <w:wordWrap w:val="0"/>
        <w:jc w:val="both"/>
        <w:rPr>
          <w:rFonts w:hAnsi="宋体"/>
          <w:color w:val="auto"/>
          <w:sz w:val="21"/>
          <w:szCs w:val="21"/>
          <w:highlight w:val="none"/>
        </w:rPr>
      </w:pPr>
      <w:r>
        <w:rPr>
          <w:rFonts w:hint="eastAsia" w:hAnsi="宋体"/>
          <w:color w:val="auto"/>
          <w:sz w:val="21"/>
          <w:szCs w:val="21"/>
          <w:highlight w:val="none"/>
        </w:rPr>
        <w:t>4.3.2 投标人修改或撤回已递交投标文件的书面通知应按照本章第3.7.3款的要求签字或盖章。招标人收到书面通知后，向投标人出具签收凭证；</w:t>
      </w:r>
    </w:p>
    <w:p w14:paraId="622E6EA8">
      <w:pPr>
        <w:pStyle w:val="272"/>
        <w:wordWrap w:val="0"/>
        <w:jc w:val="both"/>
        <w:rPr>
          <w:rFonts w:hAnsi="宋体"/>
          <w:color w:val="auto"/>
          <w:sz w:val="21"/>
          <w:szCs w:val="21"/>
          <w:highlight w:val="none"/>
        </w:rPr>
      </w:pPr>
      <w:r>
        <w:rPr>
          <w:rFonts w:hint="eastAsia" w:hAnsi="宋体"/>
          <w:color w:val="auto"/>
          <w:sz w:val="21"/>
          <w:szCs w:val="21"/>
          <w:highlight w:val="none"/>
        </w:rPr>
        <w:t>4.3.3 修改的内容为投标文件的组成部分。修改的投标文件应按照本章第3款、第4款规定进行编制、密封、标记和递交，并标明“修改”字样。</w:t>
      </w:r>
    </w:p>
    <w:p w14:paraId="25292BF4">
      <w:pPr>
        <w:pStyle w:val="137"/>
        <w:wordWrap w:val="0"/>
        <w:spacing w:before="0" w:line="360" w:lineRule="auto"/>
        <w:ind w:right="339"/>
        <w:jc w:val="left"/>
        <w:rPr>
          <w:rFonts w:ascii="Calibri" w:cs="宋体"/>
          <w:color w:val="auto"/>
          <w:szCs w:val="28"/>
          <w:highlight w:val="none"/>
        </w:rPr>
      </w:pPr>
      <w:r>
        <w:rPr>
          <w:rFonts w:hint="eastAsia" w:ascii="Calibri" w:cs="宋体"/>
          <w:color w:val="auto"/>
          <w:szCs w:val="28"/>
          <w:highlight w:val="none"/>
        </w:rPr>
        <w:t>5.开标</w:t>
      </w:r>
    </w:p>
    <w:p w14:paraId="5C035A4B">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5.1开标时间和地点</w:t>
      </w:r>
    </w:p>
    <w:p w14:paraId="458EE0B7">
      <w:pPr>
        <w:pStyle w:val="272"/>
        <w:wordWrap w:val="0"/>
        <w:ind w:firstLine="420" w:firstLineChars="200"/>
        <w:jc w:val="both"/>
        <w:rPr>
          <w:rFonts w:hAnsi="宋体"/>
          <w:color w:val="auto"/>
          <w:sz w:val="21"/>
          <w:szCs w:val="21"/>
          <w:highlight w:val="none"/>
        </w:rPr>
      </w:pPr>
      <w:r>
        <w:rPr>
          <w:rFonts w:hint="eastAsia" w:hAnsi="宋体"/>
          <w:color w:val="auto"/>
          <w:sz w:val="21"/>
          <w:szCs w:val="21"/>
          <w:highlight w:val="none"/>
        </w:rPr>
        <w:t>5.</w:t>
      </w:r>
      <w:r>
        <w:rPr>
          <w:rFonts w:hAnsi="宋体"/>
          <w:color w:val="auto"/>
          <w:sz w:val="21"/>
          <w:szCs w:val="21"/>
          <w:highlight w:val="none"/>
        </w:rPr>
        <w:t>1</w:t>
      </w:r>
      <w:r>
        <w:rPr>
          <w:rFonts w:hint="eastAsia" w:hAnsi="宋体"/>
          <w:color w:val="auto"/>
          <w:sz w:val="21"/>
          <w:szCs w:val="21"/>
          <w:highlight w:val="none"/>
        </w:rPr>
        <w:t>.</w:t>
      </w:r>
      <w:r>
        <w:rPr>
          <w:rFonts w:hAnsi="宋体"/>
          <w:color w:val="auto"/>
          <w:sz w:val="21"/>
          <w:szCs w:val="21"/>
          <w:highlight w:val="none"/>
        </w:rPr>
        <w:t>1</w:t>
      </w:r>
      <w:r>
        <w:rPr>
          <w:rFonts w:hint="eastAsia" w:hAnsi="宋体"/>
          <w:color w:val="auto"/>
          <w:sz w:val="21"/>
          <w:szCs w:val="21"/>
          <w:highlight w:val="none"/>
        </w:rPr>
        <w:t>招标人在投标人须知前附表规定的投标截止时间（开标时间）和投标人须知前附表规定的开标地点公开开标，并邀请所有投标人的法定代表人或其授权委托代理人准时参加。召开开标会议时，投标人法定代表人须</w:t>
      </w:r>
      <w:r>
        <w:rPr>
          <w:rFonts w:hint="eastAsia" w:hAnsi="宋体"/>
          <w:b/>
          <w:bCs/>
          <w:color w:val="auto"/>
          <w:sz w:val="21"/>
          <w:szCs w:val="21"/>
          <w:highlight w:val="none"/>
        </w:rPr>
        <w:t>持投标人营业执照副本复印件并加盖投标人公章的原件及法定代表人身份证明原件</w:t>
      </w:r>
      <w:r>
        <w:rPr>
          <w:rFonts w:hint="eastAsia" w:hAnsi="宋体"/>
          <w:color w:val="auto"/>
          <w:sz w:val="21"/>
          <w:szCs w:val="21"/>
          <w:highlight w:val="none"/>
        </w:rPr>
        <w:t>（格式详见第六章投标文件格式“法定代表人身份证明”）、</w:t>
      </w:r>
      <w:r>
        <w:rPr>
          <w:rFonts w:hint="eastAsia" w:hAnsi="宋体"/>
          <w:b/>
          <w:bCs/>
          <w:color w:val="auto"/>
          <w:sz w:val="21"/>
          <w:szCs w:val="21"/>
          <w:highlight w:val="none"/>
        </w:rPr>
        <w:t>本人身份证原件</w:t>
      </w:r>
      <w:r>
        <w:rPr>
          <w:rFonts w:hint="eastAsia" w:hAnsi="宋体"/>
          <w:color w:val="auto"/>
          <w:sz w:val="21"/>
          <w:szCs w:val="21"/>
          <w:highlight w:val="none"/>
        </w:rPr>
        <w:t>准时参加或授权委托代理人</w:t>
      </w:r>
      <w:r>
        <w:rPr>
          <w:rFonts w:hint="eastAsia" w:hAnsi="宋体"/>
          <w:b/>
          <w:bCs/>
          <w:color w:val="auto"/>
          <w:sz w:val="21"/>
          <w:szCs w:val="21"/>
          <w:highlight w:val="none"/>
        </w:rPr>
        <w:t>持投标人营业执照副本复印件并加盖投标人公章的原件及法定代表人身份证明原件</w:t>
      </w:r>
      <w:r>
        <w:rPr>
          <w:rFonts w:hint="eastAsia" w:hAnsi="宋体"/>
          <w:color w:val="auto"/>
          <w:sz w:val="21"/>
          <w:szCs w:val="21"/>
          <w:highlight w:val="none"/>
        </w:rPr>
        <w:t>（格式详见第六章投标文件格式“法定代表人身份证明”）、</w:t>
      </w:r>
      <w:r>
        <w:rPr>
          <w:rFonts w:hint="eastAsia" w:hAnsi="宋体"/>
          <w:b/>
          <w:bCs/>
          <w:color w:val="auto"/>
          <w:sz w:val="21"/>
          <w:szCs w:val="21"/>
          <w:highlight w:val="none"/>
        </w:rPr>
        <w:t>授权委托书原件</w:t>
      </w:r>
      <w:r>
        <w:rPr>
          <w:rFonts w:hint="eastAsia" w:hAnsi="宋体"/>
          <w:color w:val="auto"/>
          <w:sz w:val="21"/>
          <w:szCs w:val="21"/>
          <w:highlight w:val="none"/>
        </w:rPr>
        <w:t>（格式详见第六章投标文件格式“授权委托书”）</w:t>
      </w:r>
      <w:r>
        <w:rPr>
          <w:rFonts w:hint="eastAsia" w:hAnsi="宋体"/>
          <w:color w:val="auto"/>
          <w:sz w:val="21"/>
          <w:szCs w:val="21"/>
          <w:highlight w:val="none"/>
          <w:lang w:eastAsia="zh-CN"/>
        </w:rPr>
        <w:t>、</w:t>
      </w:r>
      <w:r>
        <w:rPr>
          <w:rFonts w:hint="eastAsia" w:hAnsi="宋体"/>
          <w:color w:val="auto"/>
          <w:sz w:val="21"/>
          <w:szCs w:val="21"/>
          <w:highlight w:val="none"/>
        </w:rPr>
        <w:t>授权委托代理人</w:t>
      </w:r>
      <w:r>
        <w:rPr>
          <w:rFonts w:hint="eastAsia" w:hAnsi="宋体"/>
          <w:b/>
          <w:bCs/>
          <w:color w:val="auto"/>
          <w:sz w:val="21"/>
          <w:szCs w:val="21"/>
          <w:highlight w:val="none"/>
        </w:rPr>
        <w:t>身份证原件</w:t>
      </w:r>
      <w:r>
        <w:rPr>
          <w:rFonts w:hint="eastAsia" w:hAnsi="宋体"/>
          <w:color w:val="auto"/>
          <w:sz w:val="21"/>
          <w:szCs w:val="21"/>
          <w:highlight w:val="none"/>
        </w:rPr>
        <w:t>准时参加；不符合要求的，其投标文件将予以拒绝并退还给投标人。</w:t>
      </w:r>
    </w:p>
    <w:p w14:paraId="70B214FC">
      <w:pPr>
        <w:pStyle w:val="272"/>
        <w:wordWrap w:val="0"/>
        <w:jc w:val="both"/>
        <w:rPr>
          <w:rFonts w:hAnsi="宋体"/>
          <w:color w:val="auto"/>
          <w:sz w:val="21"/>
          <w:szCs w:val="21"/>
          <w:highlight w:val="none"/>
        </w:rPr>
      </w:pPr>
      <w:r>
        <w:rPr>
          <w:rFonts w:hAnsi="宋体"/>
          <w:color w:val="auto"/>
          <w:sz w:val="21"/>
          <w:szCs w:val="21"/>
          <w:highlight w:val="none"/>
        </w:rPr>
        <w:t>5.1.2</w:t>
      </w:r>
      <w:r>
        <w:rPr>
          <w:rFonts w:hint="eastAsia" w:hAnsi="宋体"/>
          <w:color w:val="auto"/>
          <w:sz w:val="21"/>
          <w:szCs w:val="21"/>
          <w:highlight w:val="none"/>
        </w:rPr>
        <w:t>投标人对开标有异议的，应当在开标时现场提出，招标人当场作出答复，并制作记录，在规定时限内投标人未提出异议或未确认开标结果的，视同认可所有开标信息。</w:t>
      </w:r>
    </w:p>
    <w:p w14:paraId="5EDFC4DE">
      <w:pPr>
        <w:pStyle w:val="272"/>
        <w:wordWrap w:val="0"/>
        <w:ind w:firstLine="0"/>
        <w:jc w:val="both"/>
        <w:rPr>
          <w:rFonts w:hAnsi="宋体"/>
          <w:b/>
          <w:bCs/>
          <w:color w:val="auto"/>
          <w:sz w:val="21"/>
          <w:szCs w:val="21"/>
          <w:highlight w:val="none"/>
        </w:rPr>
      </w:pPr>
      <w:r>
        <w:rPr>
          <w:rFonts w:hint="eastAsia" w:hAnsi="宋体"/>
          <w:b/>
          <w:bCs/>
          <w:color w:val="auto"/>
          <w:sz w:val="21"/>
          <w:szCs w:val="21"/>
          <w:highlight w:val="none"/>
        </w:rPr>
        <w:t>5.2 投标文件有下列情形之一的，招标人不予受理</w:t>
      </w:r>
    </w:p>
    <w:p w14:paraId="01B423D7">
      <w:pPr>
        <w:pStyle w:val="272"/>
        <w:wordWrap w:val="0"/>
        <w:jc w:val="both"/>
        <w:rPr>
          <w:rFonts w:hAnsi="宋体"/>
          <w:color w:val="auto"/>
          <w:sz w:val="21"/>
          <w:szCs w:val="21"/>
          <w:highlight w:val="none"/>
        </w:rPr>
      </w:pPr>
      <w:r>
        <w:rPr>
          <w:rFonts w:hint="eastAsia" w:hAnsi="宋体"/>
          <w:color w:val="auto"/>
          <w:sz w:val="21"/>
          <w:szCs w:val="21"/>
          <w:highlight w:val="none"/>
        </w:rPr>
        <w:t>5.2.1 逾期送达的或者未送达指定地点的；</w:t>
      </w:r>
    </w:p>
    <w:p w14:paraId="354E9C1E">
      <w:pPr>
        <w:pStyle w:val="272"/>
        <w:wordWrap w:val="0"/>
        <w:jc w:val="both"/>
        <w:rPr>
          <w:rFonts w:hAnsi="宋体"/>
          <w:color w:val="auto"/>
          <w:sz w:val="21"/>
          <w:szCs w:val="21"/>
          <w:highlight w:val="none"/>
        </w:rPr>
      </w:pPr>
      <w:r>
        <w:rPr>
          <w:rFonts w:hint="eastAsia" w:hAnsi="宋体"/>
          <w:color w:val="auto"/>
          <w:sz w:val="21"/>
          <w:szCs w:val="21"/>
          <w:highlight w:val="none"/>
        </w:rPr>
        <w:t>5.2.2 未按招标文件要求密封的；</w:t>
      </w:r>
    </w:p>
    <w:p w14:paraId="03EEDFCA">
      <w:pPr>
        <w:pStyle w:val="272"/>
        <w:wordWrap w:val="0"/>
        <w:jc w:val="both"/>
        <w:rPr>
          <w:rFonts w:hAnsi="宋体"/>
          <w:color w:val="auto"/>
          <w:sz w:val="21"/>
          <w:szCs w:val="21"/>
          <w:highlight w:val="none"/>
        </w:rPr>
      </w:pPr>
      <w:r>
        <w:rPr>
          <w:rFonts w:hint="eastAsia" w:hAnsi="宋体"/>
          <w:color w:val="auto"/>
          <w:sz w:val="21"/>
          <w:szCs w:val="21"/>
          <w:highlight w:val="none"/>
        </w:rPr>
        <w:t>5.2.3 未按投标人须知5.1条要求参加开标会议的。</w:t>
      </w:r>
    </w:p>
    <w:p w14:paraId="2224E103">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5.3开标程序</w:t>
      </w:r>
    </w:p>
    <w:p w14:paraId="6EFD1493">
      <w:pPr>
        <w:pStyle w:val="272"/>
        <w:wordWrap w:val="0"/>
        <w:jc w:val="both"/>
        <w:rPr>
          <w:rFonts w:hAnsi="宋体"/>
          <w:color w:val="auto"/>
          <w:sz w:val="21"/>
          <w:szCs w:val="21"/>
          <w:highlight w:val="none"/>
        </w:rPr>
      </w:pPr>
      <w:r>
        <w:rPr>
          <w:rFonts w:hint="eastAsia" w:hAnsi="宋体"/>
          <w:color w:val="auto"/>
          <w:sz w:val="21"/>
          <w:szCs w:val="21"/>
          <w:highlight w:val="none"/>
        </w:rPr>
        <w:t>5.3.1 招标人按下列程序进行开标：</w:t>
      </w:r>
    </w:p>
    <w:p w14:paraId="7ECB6E3C">
      <w:pPr>
        <w:pStyle w:val="272"/>
        <w:wordWrap w:val="0"/>
        <w:jc w:val="both"/>
        <w:rPr>
          <w:rFonts w:hAnsi="宋体"/>
          <w:color w:val="auto"/>
          <w:sz w:val="21"/>
          <w:szCs w:val="21"/>
          <w:highlight w:val="none"/>
        </w:rPr>
      </w:pPr>
      <w:r>
        <w:rPr>
          <w:rFonts w:hint="eastAsia" w:hAnsi="宋体"/>
          <w:color w:val="auto"/>
          <w:sz w:val="21"/>
          <w:szCs w:val="21"/>
          <w:highlight w:val="none"/>
        </w:rPr>
        <w:t>（1）宣布开标会议开始；</w:t>
      </w:r>
    </w:p>
    <w:p w14:paraId="6F3FA30E">
      <w:pPr>
        <w:pStyle w:val="272"/>
        <w:wordWrap w:val="0"/>
        <w:jc w:val="both"/>
        <w:rPr>
          <w:rFonts w:hAnsi="宋体"/>
          <w:color w:val="auto"/>
          <w:sz w:val="21"/>
          <w:szCs w:val="21"/>
          <w:highlight w:val="none"/>
        </w:rPr>
      </w:pPr>
      <w:r>
        <w:rPr>
          <w:rFonts w:hint="eastAsia" w:hAnsi="宋体"/>
          <w:color w:val="auto"/>
          <w:sz w:val="21"/>
          <w:szCs w:val="21"/>
          <w:highlight w:val="none"/>
        </w:rPr>
        <w:t>（2）公布在投标截止时间前递交投标文件的投标人名称，并点名确认投标人是否派人到场；</w:t>
      </w:r>
    </w:p>
    <w:p w14:paraId="4290F1A7">
      <w:pPr>
        <w:pStyle w:val="272"/>
        <w:wordWrap w:val="0"/>
        <w:jc w:val="both"/>
        <w:rPr>
          <w:rFonts w:hAnsi="宋体"/>
          <w:color w:val="auto"/>
          <w:sz w:val="21"/>
          <w:szCs w:val="21"/>
          <w:highlight w:val="none"/>
        </w:rPr>
      </w:pPr>
      <w:r>
        <w:rPr>
          <w:rFonts w:hint="eastAsia" w:hAnsi="宋体"/>
          <w:color w:val="auto"/>
          <w:sz w:val="21"/>
          <w:szCs w:val="21"/>
          <w:highlight w:val="none"/>
        </w:rPr>
        <w:t>（3）宣布唱标人、记录人、招标人监督人员名单；</w:t>
      </w:r>
    </w:p>
    <w:p w14:paraId="42B518C4">
      <w:pPr>
        <w:pStyle w:val="272"/>
        <w:wordWrap w:val="0"/>
        <w:jc w:val="both"/>
        <w:rPr>
          <w:rFonts w:hAnsi="宋体"/>
          <w:color w:val="auto"/>
          <w:sz w:val="21"/>
          <w:szCs w:val="21"/>
          <w:highlight w:val="none"/>
        </w:rPr>
      </w:pPr>
      <w:r>
        <w:rPr>
          <w:rFonts w:hint="eastAsia" w:hAnsi="宋体"/>
          <w:color w:val="auto"/>
          <w:sz w:val="21"/>
          <w:szCs w:val="21"/>
          <w:highlight w:val="none"/>
        </w:rPr>
        <w:t>（4）核验各投标人代表的合法身份；</w:t>
      </w:r>
    </w:p>
    <w:p w14:paraId="4231B577">
      <w:pPr>
        <w:pStyle w:val="272"/>
        <w:wordWrap w:val="0"/>
        <w:jc w:val="both"/>
        <w:rPr>
          <w:rFonts w:hAnsi="宋体"/>
          <w:color w:val="auto"/>
          <w:sz w:val="21"/>
          <w:szCs w:val="21"/>
          <w:highlight w:val="none"/>
        </w:rPr>
      </w:pPr>
      <w:r>
        <w:rPr>
          <w:rFonts w:hint="eastAsia" w:hAnsi="宋体"/>
          <w:color w:val="auto"/>
          <w:sz w:val="21"/>
          <w:szCs w:val="21"/>
          <w:highlight w:val="none"/>
        </w:rPr>
        <w:t>（5）按照招标文件规定检查投标文件的密封及标识情况；</w:t>
      </w:r>
    </w:p>
    <w:p w14:paraId="7B0EBEE2">
      <w:pPr>
        <w:pStyle w:val="272"/>
        <w:wordWrap w:val="0"/>
        <w:jc w:val="both"/>
        <w:rPr>
          <w:rFonts w:hAnsi="宋体"/>
          <w:color w:val="auto"/>
          <w:sz w:val="21"/>
          <w:szCs w:val="21"/>
          <w:highlight w:val="none"/>
        </w:rPr>
      </w:pPr>
      <w:r>
        <w:rPr>
          <w:rFonts w:hint="eastAsia" w:hAnsi="宋体"/>
          <w:color w:val="auto"/>
          <w:sz w:val="21"/>
          <w:szCs w:val="21"/>
          <w:highlight w:val="none"/>
        </w:rPr>
        <w:t>（6）按照宣布的开标顺序当众开标，公布所有投标人名称、投标文件份数；</w:t>
      </w:r>
    </w:p>
    <w:p w14:paraId="39E3EC7C">
      <w:pPr>
        <w:pStyle w:val="272"/>
        <w:wordWrap w:val="0"/>
        <w:jc w:val="both"/>
        <w:rPr>
          <w:rFonts w:hAnsi="宋体"/>
          <w:color w:val="auto"/>
          <w:sz w:val="21"/>
          <w:szCs w:val="21"/>
          <w:highlight w:val="none"/>
        </w:rPr>
      </w:pPr>
      <w:r>
        <w:rPr>
          <w:rFonts w:hint="eastAsia" w:hAnsi="宋体"/>
          <w:color w:val="auto"/>
          <w:sz w:val="21"/>
          <w:szCs w:val="21"/>
          <w:highlight w:val="none"/>
        </w:rPr>
        <w:t>（7）对符合招标文件要求的投标人唱读其投标保证金递交情况、投标总报价、</w:t>
      </w:r>
      <w:r>
        <w:rPr>
          <w:rFonts w:hint="eastAsia" w:hAnsi="宋体"/>
          <w:color w:val="auto"/>
          <w:sz w:val="21"/>
          <w:szCs w:val="21"/>
          <w:highlight w:val="none"/>
          <w:lang w:val="en-US" w:eastAsia="zh-CN"/>
        </w:rPr>
        <w:t>服务</w:t>
      </w:r>
      <w:r>
        <w:rPr>
          <w:rFonts w:hint="eastAsia" w:hAnsi="宋体"/>
          <w:color w:val="auto"/>
          <w:sz w:val="21"/>
          <w:szCs w:val="21"/>
          <w:highlight w:val="none"/>
        </w:rPr>
        <w:t>期等内容，如符合招标文件要求的投标人不足三家的，不再唱读任何内容并退还所有投标文件；</w:t>
      </w:r>
    </w:p>
    <w:p w14:paraId="00D20113">
      <w:pPr>
        <w:pStyle w:val="272"/>
        <w:wordWrap w:val="0"/>
        <w:jc w:val="both"/>
        <w:rPr>
          <w:rFonts w:hAnsi="宋体"/>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8</w:t>
      </w:r>
      <w:r>
        <w:rPr>
          <w:rFonts w:hint="eastAsia" w:hAnsi="宋体"/>
          <w:color w:val="auto"/>
          <w:sz w:val="21"/>
          <w:szCs w:val="21"/>
          <w:highlight w:val="none"/>
        </w:rPr>
        <w:t>）投标人法定代表人（或授权委托代理人）、招标人监督人员、唱标人、记录人等有关人员在开标记录上签字确认；</w:t>
      </w:r>
    </w:p>
    <w:p w14:paraId="7048D49E">
      <w:pPr>
        <w:pStyle w:val="272"/>
        <w:wordWrap w:val="0"/>
        <w:jc w:val="both"/>
        <w:rPr>
          <w:rFonts w:hAnsi="宋体"/>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9</w:t>
      </w:r>
      <w:r>
        <w:rPr>
          <w:rFonts w:hint="eastAsia" w:hAnsi="宋体"/>
          <w:color w:val="auto"/>
          <w:sz w:val="21"/>
          <w:szCs w:val="21"/>
          <w:highlight w:val="none"/>
        </w:rPr>
        <w:t>）开标结束。</w:t>
      </w:r>
    </w:p>
    <w:p w14:paraId="396FEA53">
      <w:pPr>
        <w:pStyle w:val="137"/>
        <w:wordWrap w:val="0"/>
        <w:spacing w:before="0" w:line="360" w:lineRule="auto"/>
        <w:ind w:right="339"/>
        <w:jc w:val="left"/>
        <w:rPr>
          <w:rFonts w:ascii="Calibri" w:cs="宋体"/>
          <w:color w:val="auto"/>
          <w:szCs w:val="28"/>
          <w:highlight w:val="none"/>
        </w:rPr>
      </w:pPr>
      <w:r>
        <w:rPr>
          <w:rFonts w:hint="eastAsia" w:ascii="Calibri" w:cs="宋体"/>
          <w:color w:val="auto"/>
          <w:szCs w:val="28"/>
          <w:highlight w:val="none"/>
        </w:rPr>
        <w:t>6.评标</w:t>
      </w:r>
    </w:p>
    <w:p w14:paraId="1C2EB445">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6.1 评标委员会</w:t>
      </w:r>
    </w:p>
    <w:p w14:paraId="745691C7">
      <w:pPr>
        <w:pStyle w:val="272"/>
        <w:wordWrap w:val="0"/>
        <w:jc w:val="both"/>
        <w:rPr>
          <w:rFonts w:hAnsi="宋体"/>
          <w:color w:val="auto"/>
          <w:sz w:val="21"/>
          <w:szCs w:val="21"/>
          <w:highlight w:val="none"/>
        </w:rPr>
      </w:pPr>
      <w:r>
        <w:rPr>
          <w:rFonts w:hAnsi="宋体"/>
          <w:color w:val="auto"/>
          <w:sz w:val="21"/>
          <w:szCs w:val="21"/>
          <w:highlight w:val="none"/>
        </w:rPr>
        <w:t>6.1.1 评标由招标人依法组建的评标委员会负责。评标委员会</w:t>
      </w:r>
      <w:r>
        <w:rPr>
          <w:rFonts w:hint="eastAsia" w:hAnsi="宋体"/>
          <w:color w:val="auto"/>
          <w:sz w:val="21"/>
          <w:szCs w:val="21"/>
          <w:highlight w:val="none"/>
        </w:rPr>
        <w:t>按相关规定由</w:t>
      </w:r>
      <w:r>
        <w:rPr>
          <w:rFonts w:hAnsi="宋体"/>
          <w:color w:val="auto"/>
          <w:sz w:val="21"/>
          <w:szCs w:val="21"/>
          <w:highlight w:val="none"/>
        </w:rPr>
        <w:t>5人或以上的单数组成</w:t>
      </w:r>
      <w:r>
        <w:rPr>
          <w:rFonts w:hint="eastAsia" w:hAnsi="宋体"/>
          <w:color w:val="auto"/>
          <w:sz w:val="21"/>
          <w:szCs w:val="21"/>
          <w:highlight w:val="none"/>
        </w:rPr>
        <w:t>，</w:t>
      </w:r>
      <w:r>
        <w:rPr>
          <w:rFonts w:hAnsi="宋体"/>
          <w:color w:val="auto"/>
          <w:sz w:val="21"/>
          <w:szCs w:val="21"/>
          <w:highlight w:val="none"/>
        </w:rPr>
        <w:t>其中包括专家代表及</w:t>
      </w:r>
      <w:r>
        <w:rPr>
          <w:rFonts w:hint="eastAsia" w:hAnsi="宋体"/>
          <w:color w:val="auto"/>
          <w:sz w:val="21"/>
          <w:szCs w:val="21"/>
          <w:highlight w:val="none"/>
        </w:rPr>
        <w:t>招标人代表。</w:t>
      </w:r>
    </w:p>
    <w:p w14:paraId="4DD9F39C">
      <w:pPr>
        <w:pStyle w:val="272"/>
        <w:wordWrap w:val="0"/>
        <w:jc w:val="both"/>
        <w:rPr>
          <w:rFonts w:hAnsi="宋体"/>
          <w:color w:val="auto"/>
          <w:sz w:val="21"/>
          <w:szCs w:val="21"/>
          <w:highlight w:val="none"/>
        </w:rPr>
      </w:pPr>
      <w:r>
        <w:rPr>
          <w:rFonts w:hAnsi="宋体"/>
          <w:color w:val="auto"/>
          <w:sz w:val="21"/>
          <w:szCs w:val="21"/>
          <w:highlight w:val="none"/>
        </w:rPr>
        <w:t>6.1.2 评标委员会成员有下列情形之一的，应当回避：</w:t>
      </w:r>
    </w:p>
    <w:p w14:paraId="6896307B">
      <w:pPr>
        <w:pStyle w:val="272"/>
        <w:wordWrap w:val="0"/>
        <w:jc w:val="both"/>
        <w:rPr>
          <w:rFonts w:hAnsi="宋体"/>
          <w:color w:val="auto"/>
          <w:sz w:val="21"/>
          <w:szCs w:val="21"/>
          <w:highlight w:val="none"/>
        </w:rPr>
      </w:pPr>
      <w:r>
        <w:rPr>
          <w:rFonts w:hAnsi="宋体"/>
          <w:color w:val="auto"/>
          <w:sz w:val="21"/>
          <w:szCs w:val="21"/>
          <w:highlight w:val="none"/>
        </w:rPr>
        <w:t>（1）</w:t>
      </w:r>
      <w:r>
        <w:rPr>
          <w:rFonts w:hint="eastAsia" w:hAnsi="宋体"/>
          <w:color w:val="auto"/>
          <w:sz w:val="21"/>
          <w:szCs w:val="21"/>
          <w:highlight w:val="none"/>
        </w:rPr>
        <w:t>为</w:t>
      </w:r>
      <w:r>
        <w:rPr>
          <w:rFonts w:hAnsi="宋体"/>
          <w:color w:val="auto"/>
          <w:sz w:val="21"/>
          <w:szCs w:val="21"/>
          <w:highlight w:val="none"/>
        </w:rPr>
        <w:t>投标人主要负责人近亲属的；</w:t>
      </w:r>
    </w:p>
    <w:p w14:paraId="48695BB6">
      <w:pPr>
        <w:pStyle w:val="272"/>
        <w:wordWrap w:val="0"/>
        <w:jc w:val="both"/>
        <w:rPr>
          <w:rFonts w:hAnsi="宋体"/>
          <w:color w:val="auto"/>
          <w:sz w:val="21"/>
          <w:szCs w:val="21"/>
          <w:highlight w:val="none"/>
        </w:rPr>
      </w:pPr>
      <w:r>
        <w:rPr>
          <w:rFonts w:hAnsi="宋体"/>
          <w:color w:val="auto"/>
          <w:sz w:val="21"/>
          <w:szCs w:val="21"/>
          <w:highlight w:val="none"/>
        </w:rPr>
        <w:t>（2）与投标人有经济利益关系，可能影响对投标公正评审的；</w:t>
      </w:r>
    </w:p>
    <w:p w14:paraId="44140860">
      <w:pPr>
        <w:pStyle w:val="272"/>
        <w:wordWrap w:val="0"/>
        <w:jc w:val="both"/>
        <w:rPr>
          <w:rFonts w:hAnsi="宋体"/>
          <w:color w:val="auto"/>
          <w:sz w:val="21"/>
          <w:szCs w:val="21"/>
          <w:highlight w:val="none"/>
        </w:rPr>
      </w:pPr>
      <w:r>
        <w:rPr>
          <w:rFonts w:hAnsi="宋体"/>
          <w:color w:val="auto"/>
          <w:sz w:val="21"/>
          <w:szCs w:val="21"/>
          <w:highlight w:val="none"/>
        </w:rPr>
        <w:t>（3）曾因在招标、评标以及其他与招标投标有关活动中从事违法行为而受过行政处罚或刑事处罚的；</w:t>
      </w:r>
    </w:p>
    <w:p w14:paraId="63DE81AC">
      <w:pPr>
        <w:pStyle w:val="272"/>
        <w:wordWrap w:val="0"/>
        <w:jc w:val="both"/>
        <w:rPr>
          <w:rFonts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4</w:t>
      </w:r>
      <w:r>
        <w:rPr>
          <w:rFonts w:hAnsi="宋体"/>
          <w:color w:val="auto"/>
          <w:sz w:val="21"/>
          <w:szCs w:val="21"/>
          <w:highlight w:val="none"/>
        </w:rPr>
        <w:t>）与投标人有其他利害关系。</w:t>
      </w:r>
    </w:p>
    <w:p w14:paraId="00EABC66">
      <w:pPr>
        <w:pStyle w:val="272"/>
        <w:wordWrap w:val="0"/>
        <w:jc w:val="both"/>
        <w:rPr>
          <w:rFonts w:hAnsi="宋体"/>
          <w:color w:val="auto"/>
          <w:sz w:val="21"/>
          <w:szCs w:val="21"/>
          <w:highlight w:val="none"/>
        </w:rPr>
      </w:pPr>
      <w:r>
        <w:rPr>
          <w:rFonts w:hAnsi="宋体"/>
          <w:color w:val="auto"/>
          <w:sz w:val="21"/>
          <w:szCs w:val="21"/>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3DEBA85B">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6.2 评标原则</w:t>
      </w:r>
    </w:p>
    <w:p w14:paraId="315D34F1">
      <w:pPr>
        <w:pStyle w:val="272"/>
        <w:wordWrap w:val="0"/>
        <w:jc w:val="both"/>
        <w:rPr>
          <w:rFonts w:hAnsi="宋体"/>
          <w:color w:val="auto"/>
          <w:sz w:val="21"/>
          <w:szCs w:val="21"/>
          <w:highlight w:val="none"/>
        </w:rPr>
      </w:pPr>
      <w:r>
        <w:rPr>
          <w:rFonts w:hAnsi="宋体"/>
          <w:color w:val="auto"/>
          <w:sz w:val="21"/>
          <w:szCs w:val="21"/>
          <w:highlight w:val="none"/>
        </w:rPr>
        <w:t>评标活动遵循公平、公正、</w:t>
      </w:r>
      <w:r>
        <w:rPr>
          <w:rFonts w:hint="eastAsia" w:hAnsi="宋体"/>
          <w:color w:val="auto"/>
          <w:sz w:val="21"/>
          <w:szCs w:val="21"/>
          <w:highlight w:val="none"/>
        </w:rPr>
        <w:t>科学和择优</w:t>
      </w:r>
      <w:r>
        <w:rPr>
          <w:rFonts w:hAnsi="宋体"/>
          <w:color w:val="auto"/>
          <w:sz w:val="21"/>
          <w:szCs w:val="21"/>
          <w:highlight w:val="none"/>
        </w:rPr>
        <w:t>的原则。</w:t>
      </w:r>
    </w:p>
    <w:p w14:paraId="3C9452EC">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6.3 评标</w:t>
      </w:r>
    </w:p>
    <w:p w14:paraId="7B1D6296">
      <w:pPr>
        <w:pStyle w:val="272"/>
        <w:wordWrap w:val="0"/>
        <w:jc w:val="both"/>
        <w:rPr>
          <w:rFonts w:hAnsi="宋体"/>
          <w:color w:val="auto"/>
          <w:sz w:val="21"/>
          <w:szCs w:val="21"/>
          <w:highlight w:val="none"/>
        </w:rPr>
      </w:pPr>
      <w:r>
        <w:rPr>
          <w:rFonts w:hAnsi="宋体"/>
          <w:color w:val="auto"/>
          <w:sz w:val="21"/>
          <w:szCs w:val="21"/>
          <w:highlight w:val="none"/>
        </w:rPr>
        <w:t>6.3.1评标委员会按照第三章“评标办法”规定的方法、评审因素、标准和程序对投标文件进行评审。第三章“评标办法”没有规定的方法、评审因素和标准，不作为评标依据。</w:t>
      </w:r>
    </w:p>
    <w:p w14:paraId="2F28367D">
      <w:pPr>
        <w:pStyle w:val="272"/>
        <w:wordWrap w:val="0"/>
        <w:jc w:val="both"/>
        <w:rPr>
          <w:rFonts w:hAnsi="宋体"/>
          <w:color w:val="auto"/>
          <w:sz w:val="21"/>
          <w:szCs w:val="21"/>
          <w:highlight w:val="none"/>
        </w:rPr>
      </w:pPr>
      <w:r>
        <w:rPr>
          <w:rFonts w:hAnsi="宋体"/>
          <w:color w:val="auto"/>
          <w:sz w:val="21"/>
          <w:szCs w:val="21"/>
          <w:highlight w:val="none"/>
        </w:rPr>
        <w:t>6.3.2</w:t>
      </w:r>
      <w:r>
        <w:rPr>
          <w:rFonts w:hint="eastAsia" w:hAnsi="宋体"/>
          <w:color w:val="auto"/>
          <w:sz w:val="21"/>
          <w:szCs w:val="21"/>
          <w:highlight w:val="none"/>
        </w:rPr>
        <w:t xml:space="preserve"> </w:t>
      </w:r>
      <w:r>
        <w:rPr>
          <w:rFonts w:hAnsi="宋体"/>
          <w:color w:val="auto"/>
          <w:sz w:val="21"/>
          <w:szCs w:val="21"/>
          <w:highlight w:val="none"/>
        </w:rPr>
        <w:t>评标完成后，评标委员会应当向招标人提交书面评标报告和中标候选人名单。评标委员会推荐中标候选人的人数见投标人须知前附表。</w:t>
      </w:r>
    </w:p>
    <w:p w14:paraId="354BB4B4">
      <w:pPr>
        <w:pStyle w:val="137"/>
        <w:wordWrap w:val="0"/>
        <w:spacing w:before="0" w:line="360" w:lineRule="auto"/>
        <w:ind w:right="339"/>
        <w:jc w:val="left"/>
        <w:rPr>
          <w:rFonts w:ascii="Calibri" w:cs="宋体"/>
          <w:color w:val="auto"/>
          <w:szCs w:val="28"/>
          <w:highlight w:val="none"/>
        </w:rPr>
      </w:pPr>
      <w:r>
        <w:rPr>
          <w:rFonts w:hint="eastAsia" w:ascii="Calibri" w:cs="宋体"/>
          <w:color w:val="auto"/>
          <w:szCs w:val="28"/>
          <w:highlight w:val="none"/>
        </w:rPr>
        <w:t>7.合同授予</w:t>
      </w:r>
    </w:p>
    <w:p w14:paraId="781206B1">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7.1 结果公告</w:t>
      </w:r>
    </w:p>
    <w:p w14:paraId="268A5907">
      <w:pPr>
        <w:pStyle w:val="272"/>
        <w:wordWrap w:val="0"/>
        <w:jc w:val="both"/>
        <w:rPr>
          <w:rFonts w:hAnsi="宋体"/>
          <w:color w:val="auto"/>
          <w:sz w:val="21"/>
          <w:szCs w:val="21"/>
          <w:highlight w:val="none"/>
        </w:rPr>
      </w:pPr>
      <w:r>
        <w:rPr>
          <w:rFonts w:hAnsi="宋体"/>
          <w:color w:val="auto"/>
          <w:sz w:val="21"/>
          <w:szCs w:val="21"/>
          <w:highlight w:val="none"/>
        </w:rPr>
        <w:t>招标人在收到评标报告之日起3日内，按照投标人须知前附表规定的公</w:t>
      </w:r>
      <w:r>
        <w:rPr>
          <w:rFonts w:hint="eastAsia" w:hAnsi="宋体"/>
          <w:color w:val="auto"/>
          <w:sz w:val="21"/>
          <w:szCs w:val="21"/>
          <w:highlight w:val="none"/>
        </w:rPr>
        <w:t>告</w:t>
      </w:r>
      <w:r>
        <w:rPr>
          <w:rFonts w:hAnsi="宋体"/>
          <w:color w:val="auto"/>
          <w:sz w:val="21"/>
          <w:szCs w:val="21"/>
          <w:highlight w:val="none"/>
        </w:rPr>
        <w:t>媒介和期限</w:t>
      </w:r>
      <w:r>
        <w:rPr>
          <w:rFonts w:hint="eastAsia" w:hAnsi="宋体"/>
          <w:color w:val="auto"/>
          <w:sz w:val="21"/>
          <w:szCs w:val="21"/>
          <w:highlight w:val="none"/>
        </w:rPr>
        <w:t>发布结果公告；公告内容为中标候选人的报价、综合得分及招标人认为的其他事项。</w:t>
      </w:r>
    </w:p>
    <w:p w14:paraId="238B76B7">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7.2 评标结果异议</w:t>
      </w:r>
    </w:p>
    <w:p w14:paraId="462D6A5B">
      <w:pPr>
        <w:pStyle w:val="272"/>
        <w:wordWrap w:val="0"/>
        <w:jc w:val="both"/>
        <w:rPr>
          <w:rFonts w:hAnsi="宋体"/>
          <w:color w:val="auto"/>
          <w:szCs w:val="21"/>
          <w:highlight w:val="none"/>
        </w:rPr>
      </w:pPr>
      <w:r>
        <w:rPr>
          <w:rFonts w:hint="eastAsia" w:hAnsi="宋体"/>
          <w:color w:val="auto"/>
          <w:sz w:val="21"/>
          <w:szCs w:val="21"/>
          <w:highlight w:val="none"/>
        </w:rPr>
        <w:t>投标人或者其他利害关系人对评标结果有异议的，应当在结果公告规定的期限内提出；除评标结果异议外，其他投诉及异议一概不予受理。</w:t>
      </w:r>
    </w:p>
    <w:p w14:paraId="5DCD1FE5">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7.3 定标</w:t>
      </w:r>
    </w:p>
    <w:p w14:paraId="4E412C09">
      <w:pPr>
        <w:pStyle w:val="272"/>
        <w:wordWrap w:val="0"/>
        <w:jc w:val="both"/>
        <w:rPr>
          <w:rFonts w:hAnsi="宋体"/>
          <w:color w:val="auto"/>
          <w:sz w:val="21"/>
          <w:szCs w:val="21"/>
          <w:highlight w:val="none"/>
        </w:rPr>
      </w:pPr>
      <w:r>
        <w:rPr>
          <w:rFonts w:hint="eastAsia" w:hAnsi="宋体"/>
          <w:color w:val="auto"/>
          <w:sz w:val="21"/>
          <w:szCs w:val="21"/>
          <w:highlight w:val="none"/>
        </w:rPr>
        <w:t xml:space="preserve">7.3.1 经公告中标候选人在整个招投标过程无违法、违纪行为后，招标人原则上应在评标报告确定的中标候选人名单中按顺序确定中标人。 </w:t>
      </w:r>
    </w:p>
    <w:p w14:paraId="7D9480AF">
      <w:pPr>
        <w:pStyle w:val="272"/>
        <w:wordWrap w:val="0"/>
        <w:jc w:val="both"/>
        <w:rPr>
          <w:rFonts w:hAnsi="宋体"/>
          <w:color w:val="auto"/>
          <w:sz w:val="21"/>
          <w:szCs w:val="21"/>
          <w:highlight w:val="none"/>
        </w:rPr>
      </w:pPr>
      <w:r>
        <w:rPr>
          <w:rFonts w:hint="eastAsia" w:hAnsi="宋体"/>
          <w:color w:val="auto"/>
          <w:sz w:val="21"/>
          <w:szCs w:val="21"/>
          <w:highlight w:val="none"/>
        </w:rPr>
        <w:t>7.3.2 中标候选人放弃中标、因不可抗力不能履行合同，被查实存在影响中标结果的违法行为等情形，不符合中标条件的，招标人可以依次确定排序靠后的中标候选人为中标人或重新招标。</w:t>
      </w:r>
    </w:p>
    <w:p w14:paraId="4C863457">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7.4 中标通知</w:t>
      </w:r>
    </w:p>
    <w:p w14:paraId="2BD998B7">
      <w:pPr>
        <w:pStyle w:val="272"/>
        <w:wordWrap w:val="0"/>
        <w:jc w:val="both"/>
        <w:rPr>
          <w:rFonts w:hAnsi="宋体"/>
          <w:color w:val="auto"/>
          <w:sz w:val="21"/>
          <w:szCs w:val="21"/>
          <w:highlight w:val="none"/>
        </w:rPr>
      </w:pPr>
      <w:r>
        <w:rPr>
          <w:rFonts w:hAnsi="宋体"/>
          <w:color w:val="auto"/>
          <w:sz w:val="21"/>
          <w:szCs w:val="21"/>
          <w:highlight w:val="none"/>
        </w:rPr>
        <w:t>在本章第 3.3 款规定的投标有效期内，招标</w:t>
      </w:r>
      <w:r>
        <w:rPr>
          <w:rFonts w:hint="eastAsia" w:hAnsi="宋体"/>
          <w:color w:val="auto"/>
          <w:sz w:val="21"/>
          <w:szCs w:val="21"/>
          <w:highlight w:val="none"/>
        </w:rPr>
        <w:t>代理机构</w:t>
      </w:r>
      <w:r>
        <w:rPr>
          <w:rFonts w:hAnsi="宋体"/>
          <w:color w:val="auto"/>
          <w:sz w:val="21"/>
          <w:szCs w:val="21"/>
          <w:highlight w:val="none"/>
        </w:rPr>
        <w:t>向中标人发出中标通知书</w:t>
      </w:r>
      <w:r>
        <w:rPr>
          <w:rFonts w:hint="eastAsia" w:hAnsi="宋体"/>
          <w:color w:val="auto"/>
          <w:sz w:val="21"/>
          <w:szCs w:val="21"/>
          <w:highlight w:val="none"/>
        </w:rPr>
        <w:t>。</w:t>
      </w:r>
    </w:p>
    <w:p w14:paraId="0A85E7B7">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ascii="宋体" w:hAnsi="宋体"/>
          <w:b/>
          <w:bCs/>
          <w:color w:val="auto"/>
          <w:szCs w:val="21"/>
          <w:highlight w:val="none"/>
        </w:rPr>
      </w:pPr>
      <w:r>
        <w:rPr>
          <w:rFonts w:hint="eastAsia" w:ascii="宋体" w:hAnsi="宋体"/>
          <w:b/>
          <w:bCs/>
          <w:color w:val="auto"/>
          <w:szCs w:val="21"/>
          <w:highlight w:val="none"/>
        </w:rPr>
        <w:t>7.5 履约保证金</w:t>
      </w:r>
    </w:p>
    <w:p w14:paraId="3977E57B">
      <w:pPr>
        <w:pStyle w:val="272"/>
        <w:wordWrap w:val="0"/>
        <w:jc w:val="both"/>
        <w:rPr>
          <w:rFonts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5</w:t>
      </w:r>
      <w:r>
        <w:rPr>
          <w:rFonts w:hAnsi="宋体"/>
          <w:color w:val="auto"/>
          <w:sz w:val="21"/>
          <w:szCs w:val="21"/>
          <w:highlight w:val="none"/>
        </w:rPr>
        <w:t>.1</w:t>
      </w:r>
      <w:r>
        <w:rPr>
          <w:rFonts w:hint="eastAsia" w:hAnsi="宋体"/>
          <w:color w:val="auto"/>
          <w:sz w:val="21"/>
          <w:szCs w:val="21"/>
          <w:highlight w:val="none"/>
        </w:rPr>
        <w:t xml:space="preserve"> </w:t>
      </w:r>
      <w:r>
        <w:rPr>
          <w:rFonts w:hAnsi="宋体"/>
          <w:color w:val="auto"/>
          <w:sz w:val="21"/>
          <w:szCs w:val="21"/>
          <w:highlight w:val="none"/>
        </w:rPr>
        <w:t>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w:t>
      </w:r>
      <w:r>
        <w:rPr>
          <w:rFonts w:hint="eastAsia" w:hAnsi="宋体"/>
          <w:color w:val="auto"/>
          <w:sz w:val="21"/>
          <w:szCs w:val="21"/>
          <w:highlight w:val="none"/>
          <w:lang w:val="en-US" w:eastAsia="zh-CN"/>
        </w:rPr>
        <w:t>10</w:t>
      </w:r>
      <w:r>
        <w:rPr>
          <w:rFonts w:hAnsi="宋体"/>
          <w:color w:val="auto"/>
          <w:sz w:val="21"/>
          <w:szCs w:val="21"/>
          <w:highlight w:val="none"/>
        </w:rPr>
        <w:t>%</w:t>
      </w:r>
      <w:r>
        <w:rPr>
          <w:rFonts w:hint="eastAsia" w:hAnsi="宋体"/>
          <w:color w:val="auto"/>
          <w:sz w:val="21"/>
          <w:szCs w:val="21"/>
          <w:highlight w:val="none"/>
        </w:rPr>
        <w:t>，</w:t>
      </w:r>
      <w:r>
        <w:rPr>
          <w:rFonts w:hAnsi="宋体"/>
          <w:color w:val="auto"/>
          <w:sz w:val="21"/>
          <w:szCs w:val="21"/>
          <w:highlight w:val="none"/>
        </w:rPr>
        <w:t>具体以合同约定为准。联合体中标的，其履约保证金以联合体各方或者联合体中牵头人的名义提交。</w:t>
      </w:r>
    </w:p>
    <w:p w14:paraId="477C8D0F">
      <w:pPr>
        <w:pStyle w:val="272"/>
        <w:wordWrap w:val="0"/>
        <w:jc w:val="both"/>
        <w:rPr>
          <w:rFonts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5</w:t>
      </w:r>
      <w:r>
        <w:rPr>
          <w:rFonts w:hAnsi="宋体"/>
          <w:color w:val="auto"/>
          <w:sz w:val="21"/>
          <w:szCs w:val="21"/>
          <w:highlight w:val="none"/>
        </w:rPr>
        <w:t>.2</w:t>
      </w:r>
      <w:r>
        <w:rPr>
          <w:rFonts w:hint="eastAsia" w:hAnsi="宋体"/>
          <w:color w:val="auto"/>
          <w:sz w:val="21"/>
          <w:szCs w:val="21"/>
          <w:highlight w:val="none"/>
        </w:rPr>
        <w:t xml:space="preserve"> </w:t>
      </w:r>
      <w:r>
        <w:rPr>
          <w:rFonts w:hAnsi="宋体"/>
          <w:color w:val="auto"/>
          <w:sz w:val="21"/>
          <w:szCs w:val="21"/>
          <w:highlight w:val="none"/>
        </w:rPr>
        <w:t>中标人不能按本章第7.</w:t>
      </w:r>
      <w:r>
        <w:rPr>
          <w:rFonts w:hint="eastAsia" w:hAnsi="宋体"/>
          <w:color w:val="auto"/>
          <w:sz w:val="21"/>
          <w:szCs w:val="21"/>
          <w:highlight w:val="none"/>
        </w:rPr>
        <w:t>5</w:t>
      </w:r>
      <w:r>
        <w:rPr>
          <w:rFonts w:hAnsi="宋体"/>
          <w:color w:val="auto"/>
          <w:sz w:val="21"/>
          <w:szCs w:val="21"/>
          <w:highlight w:val="none"/>
        </w:rPr>
        <w:t>.1项要求提交履约保证金的，视为放弃中标，其投标保证金不予退还，给招标人造成的损失超过投标保证金数额的，中标人还应当对超过部分予以赔偿。</w:t>
      </w:r>
    </w:p>
    <w:p w14:paraId="23AB7D1E">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ascii="宋体" w:hAnsi="宋体"/>
          <w:b/>
          <w:bCs/>
          <w:color w:val="auto"/>
          <w:szCs w:val="21"/>
          <w:highlight w:val="none"/>
        </w:rPr>
      </w:pPr>
      <w:r>
        <w:rPr>
          <w:rFonts w:hint="eastAsia" w:ascii="宋体" w:hAnsi="宋体"/>
          <w:b/>
          <w:bCs/>
          <w:color w:val="auto"/>
          <w:szCs w:val="21"/>
          <w:highlight w:val="none"/>
        </w:rPr>
        <w:t>7.6 签订合同</w:t>
      </w:r>
    </w:p>
    <w:p w14:paraId="6C6917D0">
      <w:pPr>
        <w:pStyle w:val="272"/>
        <w:wordWrap w:val="0"/>
        <w:jc w:val="both"/>
        <w:rPr>
          <w:rFonts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6</w:t>
      </w:r>
      <w:r>
        <w:rPr>
          <w:rFonts w:hAnsi="宋体"/>
          <w:color w:val="auto"/>
          <w:sz w:val="21"/>
          <w:szCs w:val="21"/>
          <w:highlight w:val="none"/>
        </w:rPr>
        <w:t>.1 招标人</w:t>
      </w:r>
      <w:r>
        <w:rPr>
          <w:rFonts w:hint="eastAsia" w:hAnsi="宋体"/>
          <w:color w:val="auto"/>
          <w:sz w:val="21"/>
          <w:szCs w:val="21"/>
          <w:highlight w:val="none"/>
        </w:rPr>
        <w:t>和</w:t>
      </w:r>
      <w:r>
        <w:rPr>
          <w:rFonts w:hAnsi="宋体"/>
          <w:color w:val="auto"/>
          <w:sz w:val="21"/>
          <w:szCs w:val="21"/>
          <w:highlight w:val="none"/>
        </w:rPr>
        <w:t>中标人应当在中标通知书发出之日起30日内，根据招标文件和中标人的投标文件订立书面合同。中标人无正当理由拒签合同，</w:t>
      </w:r>
      <w:r>
        <w:rPr>
          <w:rFonts w:hint="eastAsia" w:hAnsi="宋体"/>
          <w:color w:val="auto"/>
          <w:sz w:val="21"/>
          <w:szCs w:val="21"/>
          <w:highlight w:val="none"/>
        </w:rPr>
        <w:t>或</w:t>
      </w:r>
      <w:r>
        <w:rPr>
          <w:rFonts w:hAnsi="宋体"/>
          <w:color w:val="auto"/>
          <w:sz w:val="21"/>
          <w:szCs w:val="21"/>
          <w:highlight w:val="none"/>
        </w:rPr>
        <w:t>在签订合同时向招标人提出附加条件，或者不按照招标文件第四章“合同条款及格式”要求提交履约保证金的，招标人取消其中标资格，其投标保证金不予退还；给招标人造成的损失超过投标保证金数额的，中标人还应当对超过部分予以赔偿。</w:t>
      </w:r>
    </w:p>
    <w:p w14:paraId="538C77AC">
      <w:pPr>
        <w:pStyle w:val="272"/>
        <w:wordWrap w:val="0"/>
        <w:jc w:val="both"/>
        <w:rPr>
          <w:rFonts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6</w:t>
      </w:r>
      <w:r>
        <w:rPr>
          <w:rFonts w:hAnsi="宋体"/>
          <w:color w:val="auto"/>
          <w:sz w:val="21"/>
          <w:szCs w:val="21"/>
          <w:highlight w:val="none"/>
        </w:rPr>
        <w:t>.2 联合体中标的，联合体各方应当共同与招标人签订合同，就中标项目向招标人承担连带责任。</w:t>
      </w:r>
    </w:p>
    <w:p w14:paraId="7213AFC7">
      <w:pPr>
        <w:pStyle w:val="272"/>
        <w:wordWrap w:val="0"/>
        <w:jc w:val="both"/>
        <w:rPr>
          <w:rFonts w:hAnsi="宋体"/>
          <w:color w:val="auto"/>
          <w:sz w:val="21"/>
          <w:szCs w:val="21"/>
          <w:highlight w:val="none"/>
        </w:rPr>
      </w:pPr>
      <w:r>
        <w:rPr>
          <w:rFonts w:hint="eastAsia" w:hAnsi="宋体"/>
          <w:color w:val="auto"/>
          <w:sz w:val="21"/>
          <w:szCs w:val="21"/>
          <w:highlight w:val="none"/>
        </w:rPr>
        <w:t>7</w:t>
      </w:r>
      <w:r>
        <w:rPr>
          <w:rFonts w:hAnsi="宋体"/>
          <w:color w:val="auto"/>
          <w:sz w:val="21"/>
          <w:szCs w:val="21"/>
          <w:highlight w:val="none"/>
        </w:rPr>
        <w:t>.6.3</w:t>
      </w:r>
      <w:r>
        <w:rPr>
          <w:rFonts w:hint="eastAsia" w:hAnsi="宋体"/>
          <w:color w:val="auto"/>
          <w:sz w:val="21"/>
          <w:szCs w:val="21"/>
          <w:highlight w:val="none"/>
        </w:rPr>
        <w:t xml:space="preserve"> 合同签订前，招标人将对中标人的报价部分明细进行价格复核，价格复核的原则如下：</w:t>
      </w:r>
    </w:p>
    <w:p w14:paraId="43353276">
      <w:pPr>
        <w:pStyle w:val="272"/>
        <w:wordWrap w:val="0"/>
        <w:ind w:firstLine="420" w:firstLineChars="200"/>
        <w:jc w:val="both"/>
        <w:rPr>
          <w:rFonts w:hAnsi="宋体"/>
          <w:color w:val="auto"/>
          <w:sz w:val="21"/>
          <w:szCs w:val="21"/>
          <w:highlight w:val="none"/>
        </w:rPr>
      </w:pPr>
      <w:r>
        <w:rPr>
          <w:rFonts w:hint="eastAsia" w:hAnsi="宋体"/>
          <w:color w:val="auto"/>
          <w:sz w:val="21"/>
          <w:szCs w:val="21"/>
          <w:highlight w:val="none"/>
        </w:rPr>
        <w:t>（1）当单价与数量的乘积与总价不一致时，以低价为准；当各分项合价的总和与投标文件“开标一览表”相应价格不一致时，以低价为准。</w:t>
      </w:r>
    </w:p>
    <w:p w14:paraId="169C45B8">
      <w:pPr>
        <w:pStyle w:val="272"/>
        <w:wordWrap w:val="0"/>
        <w:jc w:val="both"/>
        <w:rPr>
          <w:rFonts w:hAnsi="宋体"/>
          <w:color w:val="auto"/>
          <w:sz w:val="21"/>
          <w:szCs w:val="21"/>
          <w:highlight w:val="none"/>
        </w:rPr>
      </w:pPr>
      <w:r>
        <w:rPr>
          <w:rFonts w:hint="eastAsia" w:hAnsi="宋体"/>
          <w:color w:val="auto"/>
          <w:sz w:val="21"/>
          <w:szCs w:val="21"/>
          <w:highlight w:val="none"/>
        </w:rPr>
        <w:t>（2）投标报价明细存在缺漏项时，中标人应免费补齐补足。</w:t>
      </w:r>
    </w:p>
    <w:p w14:paraId="59B5E6B3">
      <w:pPr>
        <w:pStyle w:val="272"/>
        <w:wordWrap w:val="0"/>
        <w:jc w:val="both"/>
        <w:rPr>
          <w:rFonts w:hAnsi="宋体"/>
          <w:color w:val="auto"/>
          <w:sz w:val="21"/>
          <w:szCs w:val="21"/>
          <w:highlight w:val="none"/>
        </w:rPr>
      </w:pPr>
      <w:r>
        <w:rPr>
          <w:rFonts w:hint="eastAsia" w:hAnsi="宋体"/>
          <w:color w:val="auto"/>
          <w:sz w:val="21"/>
          <w:szCs w:val="21"/>
          <w:highlight w:val="none"/>
        </w:rPr>
        <w:t>（3）投标报价明细存在多余项或招标人未要求项时，无论该项报价多少，均视为免费。</w:t>
      </w:r>
    </w:p>
    <w:p w14:paraId="6C0791C0">
      <w:pPr>
        <w:pStyle w:val="272"/>
        <w:wordWrap w:val="0"/>
        <w:jc w:val="both"/>
        <w:rPr>
          <w:rFonts w:hAnsi="宋体"/>
          <w:color w:val="auto"/>
          <w:sz w:val="21"/>
          <w:szCs w:val="21"/>
          <w:highlight w:val="none"/>
        </w:rPr>
      </w:pPr>
      <w:r>
        <w:rPr>
          <w:rFonts w:hint="eastAsia" w:hAnsi="宋体"/>
          <w:color w:val="auto"/>
          <w:sz w:val="21"/>
          <w:szCs w:val="21"/>
          <w:highlight w:val="none"/>
        </w:rPr>
        <w:t>（4）税率适用错误或税金计算错误的，按照有利于招标人的原则进行调整，并以招标人的最终意见为准。</w:t>
      </w:r>
    </w:p>
    <w:p w14:paraId="2E84C737">
      <w:pPr>
        <w:pStyle w:val="272"/>
        <w:wordWrap w:val="0"/>
        <w:jc w:val="both"/>
        <w:rPr>
          <w:rFonts w:hAnsi="宋体"/>
          <w:color w:val="auto"/>
          <w:sz w:val="21"/>
          <w:szCs w:val="21"/>
          <w:highlight w:val="none"/>
        </w:rPr>
      </w:pPr>
      <w:r>
        <w:rPr>
          <w:rFonts w:hint="eastAsia" w:hAnsi="宋体"/>
          <w:color w:val="auto"/>
          <w:sz w:val="21"/>
          <w:szCs w:val="21"/>
          <w:highlight w:val="none"/>
        </w:rPr>
        <w:t>（5）如中标人不接受按以上规则确定的修正后的价格，则招标人有权将合同授予下一顺序中标候选人或依法重新组织招标。</w:t>
      </w:r>
    </w:p>
    <w:p w14:paraId="1610FFB2">
      <w:pPr>
        <w:pStyle w:val="137"/>
        <w:wordWrap w:val="0"/>
        <w:spacing w:before="0" w:line="360" w:lineRule="auto"/>
        <w:ind w:right="339"/>
        <w:jc w:val="left"/>
        <w:rPr>
          <w:rFonts w:ascii="Calibri" w:cs="宋体"/>
          <w:color w:val="auto"/>
          <w:szCs w:val="28"/>
          <w:highlight w:val="none"/>
        </w:rPr>
      </w:pPr>
      <w:r>
        <w:rPr>
          <w:rFonts w:hint="eastAsia" w:ascii="Calibri" w:cs="宋体"/>
          <w:color w:val="auto"/>
          <w:szCs w:val="28"/>
          <w:highlight w:val="none"/>
        </w:rPr>
        <w:t>8.纪律和监督</w:t>
      </w:r>
    </w:p>
    <w:p w14:paraId="4D9CA727">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ascii="宋体" w:hAnsi="宋体"/>
          <w:b/>
          <w:bCs/>
          <w:color w:val="auto"/>
          <w:szCs w:val="21"/>
          <w:highlight w:val="none"/>
        </w:rPr>
      </w:pPr>
      <w:r>
        <w:rPr>
          <w:rFonts w:hint="eastAsia" w:ascii="宋体" w:hAnsi="宋体"/>
          <w:b/>
          <w:bCs/>
          <w:color w:val="auto"/>
          <w:szCs w:val="21"/>
          <w:highlight w:val="none"/>
        </w:rPr>
        <w:t>8.1 对招标人的纪律要求</w:t>
      </w:r>
    </w:p>
    <w:p w14:paraId="55C1021A">
      <w:pPr>
        <w:pStyle w:val="272"/>
        <w:wordWrap w:val="0"/>
        <w:jc w:val="both"/>
        <w:rPr>
          <w:rFonts w:hAnsi="宋体"/>
          <w:color w:val="auto"/>
          <w:sz w:val="21"/>
          <w:szCs w:val="21"/>
          <w:highlight w:val="none"/>
        </w:rPr>
      </w:pPr>
      <w:r>
        <w:rPr>
          <w:rFonts w:hAnsi="宋体"/>
          <w:color w:val="auto"/>
          <w:sz w:val="21"/>
          <w:szCs w:val="21"/>
          <w:highlight w:val="none"/>
        </w:rPr>
        <w:t>招标人不得泄露招标投标活动中应当保密的情况和资料，不得与投标人串通损害国家利益、社会公共利益或者他人合法权益。</w:t>
      </w:r>
    </w:p>
    <w:p w14:paraId="137D7FA4">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ascii="宋体" w:hAnsi="宋体"/>
          <w:b/>
          <w:bCs/>
          <w:color w:val="auto"/>
          <w:szCs w:val="21"/>
          <w:highlight w:val="none"/>
        </w:rPr>
      </w:pPr>
      <w:r>
        <w:rPr>
          <w:rFonts w:hint="eastAsia" w:ascii="宋体" w:hAnsi="宋体"/>
          <w:b/>
          <w:bCs/>
          <w:color w:val="auto"/>
          <w:szCs w:val="21"/>
          <w:highlight w:val="none"/>
        </w:rPr>
        <w:t>8.2 对投标人的纪律要求</w:t>
      </w:r>
    </w:p>
    <w:p w14:paraId="7D50CAA5">
      <w:pPr>
        <w:pStyle w:val="272"/>
        <w:wordWrap w:val="0"/>
        <w:jc w:val="both"/>
        <w:rPr>
          <w:rFonts w:hAnsi="宋体"/>
          <w:color w:val="auto"/>
          <w:sz w:val="21"/>
          <w:szCs w:val="21"/>
          <w:highlight w:val="none"/>
        </w:rPr>
      </w:pPr>
      <w:r>
        <w:rPr>
          <w:rFonts w:hAnsi="宋体"/>
          <w:color w:val="auto"/>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6A5C371">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ascii="宋体" w:hAnsi="宋体"/>
          <w:b/>
          <w:bCs/>
          <w:color w:val="auto"/>
          <w:szCs w:val="21"/>
          <w:highlight w:val="none"/>
        </w:rPr>
      </w:pPr>
      <w:r>
        <w:rPr>
          <w:rFonts w:hint="eastAsia" w:ascii="宋体" w:hAnsi="宋体"/>
          <w:b/>
          <w:bCs/>
          <w:color w:val="auto"/>
          <w:szCs w:val="21"/>
          <w:highlight w:val="none"/>
        </w:rPr>
        <w:t>8.3 对评标委员会成员的纪律要求</w:t>
      </w:r>
    </w:p>
    <w:p w14:paraId="5767AE86">
      <w:pPr>
        <w:pStyle w:val="272"/>
        <w:wordWrap w:val="0"/>
        <w:ind w:firstLine="420" w:firstLineChars="200"/>
        <w:jc w:val="both"/>
        <w:rPr>
          <w:rFonts w:hAnsi="宋体"/>
          <w:color w:val="auto"/>
          <w:sz w:val="21"/>
          <w:szCs w:val="21"/>
          <w:highlight w:val="none"/>
        </w:rPr>
      </w:pPr>
      <w:r>
        <w:rPr>
          <w:rFonts w:hAnsi="宋体"/>
          <w:color w:val="auto"/>
          <w:sz w:val="21"/>
          <w:szCs w:val="21"/>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1032CADE">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ascii="宋体" w:hAnsi="宋体"/>
          <w:b/>
          <w:bCs/>
          <w:color w:val="auto"/>
          <w:szCs w:val="21"/>
          <w:highlight w:val="none"/>
        </w:rPr>
      </w:pPr>
      <w:r>
        <w:rPr>
          <w:rFonts w:hint="eastAsia" w:ascii="宋体" w:hAnsi="宋体"/>
          <w:b/>
          <w:bCs/>
          <w:color w:val="auto"/>
          <w:szCs w:val="21"/>
          <w:highlight w:val="none"/>
        </w:rPr>
        <w:t>8.4 对与评标活动有关的工作人员的纪律要求</w:t>
      </w:r>
    </w:p>
    <w:p w14:paraId="0CBFEEBB">
      <w:pPr>
        <w:pStyle w:val="272"/>
        <w:wordWrap w:val="0"/>
        <w:ind w:firstLine="420" w:firstLineChars="200"/>
        <w:jc w:val="both"/>
        <w:rPr>
          <w:rFonts w:hAnsi="宋体"/>
          <w:color w:val="auto"/>
          <w:sz w:val="21"/>
          <w:szCs w:val="21"/>
          <w:highlight w:val="none"/>
        </w:rPr>
      </w:pPr>
      <w:r>
        <w:rPr>
          <w:rFonts w:hAnsi="宋体"/>
          <w:color w:val="auto"/>
          <w:sz w:val="21"/>
          <w:szCs w:val="21"/>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3180C108">
      <w:pPr>
        <w:pStyle w:val="272"/>
        <w:wordWrap w:val="0"/>
        <w:ind w:firstLine="0"/>
        <w:jc w:val="both"/>
        <w:rPr>
          <w:rFonts w:hAnsi="宋体"/>
          <w:b/>
          <w:bCs/>
          <w:color w:val="auto"/>
          <w:sz w:val="21"/>
          <w:szCs w:val="21"/>
          <w:highlight w:val="none"/>
        </w:rPr>
      </w:pPr>
      <w:r>
        <w:rPr>
          <w:rFonts w:hAnsi="宋体"/>
          <w:b/>
          <w:bCs/>
          <w:color w:val="auto"/>
          <w:sz w:val="21"/>
          <w:szCs w:val="21"/>
          <w:highlight w:val="none"/>
        </w:rPr>
        <w:t xml:space="preserve">8.5 </w:t>
      </w:r>
      <w:r>
        <w:rPr>
          <w:rFonts w:hint="eastAsia" w:hAnsi="宋体"/>
          <w:b/>
          <w:bCs/>
          <w:color w:val="auto"/>
          <w:sz w:val="21"/>
          <w:szCs w:val="21"/>
          <w:highlight w:val="none"/>
        </w:rPr>
        <w:t>投诉</w:t>
      </w:r>
    </w:p>
    <w:p w14:paraId="4D6229B4">
      <w:pPr>
        <w:pStyle w:val="272"/>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8.5.1 投标人或者其他利害关系人认为招标投标活动不符合法律、行政法规规定的，可以自知道或者应当知道之日起10日内向</w:t>
      </w:r>
      <w:r>
        <w:rPr>
          <w:rFonts w:hint="default" w:hAnsi="宋体"/>
          <w:color w:val="auto"/>
          <w:sz w:val="21"/>
          <w:szCs w:val="21"/>
          <w:highlight w:val="none"/>
        </w:rPr>
        <w:t>长沙穗城轨道交通有限公司经营管理部</w:t>
      </w:r>
      <w:r>
        <w:rPr>
          <w:rFonts w:hint="eastAsia" w:hAnsi="宋体"/>
          <w:color w:val="auto"/>
          <w:sz w:val="21"/>
          <w:szCs w:val="21"/>
          <w:highlight w:val="none"/>
        </w:rPr>
        <w:t>投诉</w:t>
      </w:r>
      <w:r>
        <w:rPr>
          <w:rFonts w:hint="default" w:hAnsi="宋体"/>
          <w:color w:val="auto"/>
          <w:sz w:val="21"/>
          <w:szCs w:val="21"/>
          <w:highlight w:val="none"/>
        </w:rPr>
        <w:t>（联系电话：</w:t>
      </w:r>
      <w:r>
        <w:rPr>
          <w:rFonts w:hint="eastAsia" w:hAnsi="宋体"/>
          <w:color w:val="auto"/>
          <w:sz w:val="21"/>
          <w:szCs w:val="21"/>
          <w:highlight w:val="none"/>
        </w:rPr>
        <w:t>0731-81635</w:t>
      </w:r>
      <w:r>
        <w:rPr>
          <w:rFonts w:hint="default" w:hAnsi="宋体"/>
          <w:color w:val="auto"/>
          <w:sz w:val="21"/>
          <w:szCs w:val="21"/>
          <w:highlight w:val="none"/>
          <w:lang w:val="en-US" w:eastAsia="zh-CN"/>
        </w:rPr>
        <w:t>536</w:t>
      </w:r>
      <w:r>
        <w:rPr>
          <w:rFonts w:hint="default" w:hAnsi="宋体"/>
          <w:color w:val="auto"/>
          <w:sz w:val="21"/>
          <w:szCs w:val="21"/>
          <w:highlight w:val="none"/>
        </w:rPr>
        <w:t>）；</w:t>
      </w:r>
      <w:r>
        <w:rPr>
          <w:rFonts w:hint="eastAsia" w:hAnsi="宋体"/>
          <w:color w:val="auto"/>
          <w:sz w:val="21"/>
          <w:szCs w:val="21"/>
          <w:highlight w:val="none"/>
        </w:rPr>
        <w:t>投诉应当有明确的请求和必要的证明材料。</w:t>
      </w:r>
    </w:p>
    <w:p w14:paraId="028F1F18">
      <w:pPr>
        <w:pStyle w:val="272"/>
        <w:wordWrap w:val="0"/>
        <w:ind w:firstLine="420" w:firstLineChars="200"/>
        <w:jc w:val="both"/>
        <w:rPr>
          <w:rFonts w:hint="eastAsia" w:hAnsi="宋体"/>
          <w:color w:val="auto"/>
          <w:sz w:val="21"/>
          <w:szCs w:val="21"/>
          <w:highlight w:val="none"/>
        </w:rPr>
      </w:pPr>
      <w:r>
        <w:rPr>
          <w:rFonts w:hint="default" w:hAnsi="宋体"/>
          <w:color w:val="auto"/>
          <w:sz w:val="21"/>
          <w:szCs w:val="21"/>
          <w:highlight w:val="none"/>
        </w:rPr>
        <w:t>就本章第2.</w:t>
      </w:r>
      <w:r>
        <w:rPr>
          <w:rFonts w:hint="eastAsia" w:hAnsi="宋体"/>
          <w:color w:val="auto"/>
          <w:sz w:val="21"/>
          <w:szCs w:val="21"/>
          <w:highlight w:val="none"/>
        </w:rPr>
        <w:t>4</w:t>
      </w:r>
      <w:r>
        <w:rPr>
          <w:rFonts w:hint="default" w:hAnsi="宋体"/>
          <w:color w:val="auto"/>
          <w:sz w:val="21"/>
          <w:szCs w:val="21"/>
          <w:highlight w:val="none"/>
        </w:rPr>
        <w:t>项、第5项、第7.</w:t>
      </w:r>
      <w:r>
        <w:rPr>
          <w:rFonts w:hint="eastAsia" w:hAnsi="宋体"/>
          <w:color w:val="auto"/>
          <w:sz w:val="21"/>
          <w:szCs w:val="21"/>
          <w:highlight w:val="none"/>
        </w:rPr>
        <w:t>1</w:t>
      </w:r>
      <w:r>
        <w:rPr>
          <w:rFonts w:hint="default" w:hAnsi="宋体"/>
          <w:color w:val="auto"/>
          <w:sz w:val="21"/>
          <w:szCs w:val="21"/>
          <w:highlight w:val="none"/>
        </w:rPr>
        <w:t>项规定事项提出投诉的，应当先向招标人提出异议；</w:t>
      </w:r>
      <w:r>
        <w:rPr>
          <w:rFonts w:hint="eastAsia" w:hAnsi="宋体"/>
          <w:color w:val="auto"/>
          <w:sz w:val="21"/>
          <w:szCs w:val="21"/>
          <w:highlight w:val="none"/>
        </w:rPr>
        <w:t>异议答复期间不计算在第8.5.1项规定的期限内。</w:t>
      </w:r>
    </w:p>
    <w:p w14:paraId="47850DC5">
      <w:pPr>
        <w:pStyle w:val="137"/>
        <w:wordWrap w:val="0"/>
        <w:spacing w:before="0" w:line="360" w:lineRule="auto"/>
        <w:ind w:right="339"/>
        <w:jc w:val="left"/>
        <w:rPr>
          <w:rFonts w:ascii="Calibri" w:cs="宋体"/>
          <w:color w:val="auto"/>
          <w:szCs w:val="28"/>
          <w:highlight w:val="none"/>
        </w:rPr>
      </w:pPr>
      <w:r>
        <w:rPr>
          <w:rFonts w:hint="eastAsia" w:ascii="Calibri" w:cs="宋体"/>
          <w:color w:val="auto"/>
          <w:szCs w:val="28"/>
          <w:highlight w:val="none"/>
        </w:rPr>
        <w:t>9.需要补充的其他内容</w:t>
      </w:r>
    </w:p>
    <w:p w14:paraId="01E53814">
      <w:pPr>
        <w:wordWrap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9.1项目场地服务费及招标代理服务费</w:t>
      </w:r>
    </w:p>
    <w:p w14:paraId="393276FA">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9.1.1 项目场地费由两家中标人共同承担，收费标准按照《湖南省发展和改革委员会关于我省公共资源交易服务收费的通知》（湘发改价费规〔2024〕292号）执行</w:t>
      </w:r>
      <w:r>
        <w:rPr>
          <w:rFonts w:hint="eastAsia" w:ascii="宋体" w:hAnsi="宋体" w:cs="宋体"/>
          <w:color w:val="auto"/>
          <w:szCs w:val="21"/>
          <w:highlight w:val="none"/>
          <w:lang w:eastAsia="zh-CN"/>
        </w:rPr>
        <w:t>，</w:t>
      </w:r>
      <w:r>
        <w:rPr>
          <w:rFonts w:hint="eastAsia" w:ascii="宋体" w:hAnsi="宋体" w:cs="宋体"/>
          <w:color w:val="auto"/>
          <w:szCs w:val="21"/>
          <w:highlight w:val="none"/>
        </w:rPr>
        <w:t>总费用由两家中标人平均分摊。</w:t>
      </w:r>
    </w:p>
    <w:p w14:paraId="7C68C88F">
      <w:pPr>
        <w:wordWrap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9</w:t>
      </w: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2</w:t>
      </w:r>
      <w:r>
        <w:rPr>
          <w:rFonts w:hint="eastAsia" w:ascii="宋体" w:hAnsi="宋体" w:cs="宋体"/>
          <w:color w:val="auto"/>
          <w:szCs w:val="21"/>
          <w:highlight w:val="none"/>
        </w:rPr>
        <w:t xml:space="preserve"> 招标代理服务费由两家中标人共同承担。具体收取方式为：以本项目总价上限为基数，按照投标人须知中《招标代理服务费收费标准》（详见本须知附件）计算出招标代理服务费总金额，由两家中标人平均分摊。</w:t>
      </w:r>
    </w:p>
    <w:p w14:paraId="7853904C">
      <w:pPr>
        <w:wordWrap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9.2其他</w:t>
      </w:r>
    </w:p>
    <w:p w14:paraId="0E82C7E5">
      <w:pPr>
        <w:pStyle w:val="272"/>
        <w:wordWrap w:val="0"/>
        <w:ind w:firstLine="420" w:firstLineChars="200"/>
        <w:jc w:val="both"/>
        <w:rPr>
          <w:rFonts w:hint="eastAsia" w:ascii="宋体" w:hAnsi="宋体" w:eastAsia="宋体" w:cs="宋体"/>
          <w:color w:val="auto"/>
          <w:sz w:val="21"/>
          <w:szCs w:val="21"/>
          <w:highlight w:val="none"/>
        </w:rPr>
      </w:pPr>
      <w:r>
        <w:rPr>
          <w:rFonts w:hint="eastAsia" w:hAnsi="宋体"/>
          <w:color w:val="auto"/>
          <w:sz w:val="21"/>
          <w:szCs w:val="21"/>
          <w:highlight w:val="none"/>
        </w:rPr>
        <w:t>9.2.1 招标人有权在投标有效期内的任何时候，对投标人提交的文件、资料等情况进行审查复核，若发现投标人在投标过程中有弄虚作假、围标串标的行为，或有不按招标文件的要求如实提供有关情况、文件、证明等资料的行为，或有所提供的有关情况、文件、证明等资料与事实不</w:t>
      </w:r>
      <w:r>
        <w:rPr>
          <w:rFonts w:hint="eastAsia" w:ascii="宋体" w:hAnsi="宋体" w:eastAsia="宋体" w:cs="宋体"/>
          <w:color w:val="auto"/>
          <w:sz w:val="21"/>
          <w:szCs w:val="21"/>
          <w:highlight w:val="none"/>
        </w:rPr>
        <w:t>符的行为，或在招标过程中存在其他违法违规行为的，按照不合格投标人处理；被列为中标候选人的，取消中标候选人资格；已中标的，取消中标资格。同时，视其情节轻重处以没收部分或全部投标保证金，且禁止参与招标人及关联公司项目投标（最多三年），并依据国家有关规定进行处理。</w:t>
      </w:r>
    </w:p>
    <w:p w14:paraId="7E7DECDA">
      <w:pPr>
        <w:pStyle w:val="272"/>
        <w:wordWrap w:val="0"/>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9.2.2 异议的提出与处理按长沙穗城轨道交通有限公司的规定执行。</w:t>
      </w:r>
    </w:p>
    <w:p w14:paraId="2718605C">
      <w:pPr>
        <w:pStyle w:val="272"/>
        <w:wordWrap w:val="0"/>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9.2.3 项目招投标期间，请各投标人随时关注潇湘交易云平台、中国招标投标公共服务平台，以便及时获得相关信息，否则招标人及招标代理机构不负任何责任。</w:t>
      </w:r>
    </w:p>
    <w:p w14:paraId="1F2D20DD">
      <w:pPr>
        <w:pStyle w:val="272"/>
        <w:wordWrap w:val="0"/>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9.2.4 中标通知发出以前，中标候选人及其相关情况发生变化，致使其达不到合格投标人资格条件的，取消其中标候选人资格，给招标人造成损失的，应承担相应损失。</w:t>
      </w:r>
    </w:p>
    <w:p w14:paraId="21DB094F">
      <w:pPr>
        <w:pStyle w:val="272"/>
        <w:wordWrap w:val="0"/>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9.2.5 投标人不允许有挂靠或转包的行为，招标人或评标委员会在任何时候发现投标人是挂靠或转包的，该投标人的投标作废标处理，招标人有权取消其投标资格并没收投标保证金，已签订合同的，终止合同，没收履约保证金，并追究该投标人的有关法律责任。</w:t>
      </w:r>
    </w:p>
    <w:p w14:paraId="2F8017F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9.2.6 招标文件所设置的内容、条</w:t>
      </w:r>
      <w:r>
        <w:rPr>
          <w:rFonts w:hint="eastAsia" w:ascii="宋体" w:hAnsi="宋体" w:eastAsia="宋体" w:cs="宋体"/>
          <w:color w:val="auto"/>
          <w:sz w:val="21"/>
          <w:szCs w:val="21"/>
          <w:highlight w:val="none"/>
          <w:lang w:eastAsia="zh-CN"/>
        </w:rPr>
        <w:t>款和</w:t>
      </w:r>
      <w:r>
        <w:rPr>
          <w:rFonts w:hint="eastAsia" w:ascii="宋体" w:hAnsi="宋体" w:eastAsia="宋体" w:cs="宋体"/>
          <w:color w:val="auto"/>
          <w:sz w:val="21"/>
          <w:szCs w:val="21"/>
          <w:highlight w:val="none"/>
        </w:rPr>
        <w:t>未尽事宜，均以</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以及国家、省、市或行政主管部门颁布的招投标有关规定为准；</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以及国家、省、市或行政主管部门未规定的，以招标人解释为准。</w:t>
      </w:r>
    </w:p>
    <w:p w14:paraId="3D21DB06">
      <w:pPr>
        <w:wordWrap w:val="0"/>
        <w:spacing w:line="360" w:lineRule="auto"/>
        <w:ind w:firstLine="482"/>
        <w:rPr>
          <w:rFonts w:hint="eastAsia" w:ascii="宋体" w:hAnsi="宋体" w:eastAsia="宋体" w:cs="宋体"/>
          <w:color w:val="auto"/>
          <w:szCs w:val="21"/>
          <w:highlight w:val="none"/>
        </w:rPr>
      </w:pPr>
      <w:r>
        <w:rPr>
          <w:rFonts w:hint="eastAsia" w:ascii="宋体" w:hAnsi="宋体" w:eastAsia="宋体" w:cs="宋体"/>
          <w:color w:val="auto"/>
          <w:szCs w:val="21"/>
          <w:highlight w:val="none"/>
        </w:rPr>
        <w:t>9.2.7 纸质招标文件获取：详见投标人须知前附表。</w:t>
      </w:r>
    </w:p>
    <w:p w14:paraId="5B3DB71D">
      <w:pPr>
        <w:wordWrap w:val="0"/>
        <w:spacing w:line="360" w:lineRule="auto"/>
        <w:rPr>
          <w:rFonts w:hint="eastAsia" w:ascii="宋体" w:hAnsi="宋体" w:eastAsia="宋体" w:cs="宋体"/>
          <w:b/>
          <w:bCs/>
          <w:color w:val="auto"/>
          <w:szCs w:val="21"/>
          <w:highlight w:val="none"/>
        </w:rPr>
      </w:pPr>
    </w:p>
    <w:p w14:paraId="4D45491D">
      <w:pPr>
        <w:wordWrap/>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r>
    </w:p>
    <w:p w14:paraId="0F8EA2FC">
      <w:pPr>
        <w:wordWrap w:val="0"/>
        <w:spacing w:line="360" w:lineRule="auto"/>
        <w:ind w:firstLine="241" w:firstLineChars="100"/>
        <w:rPr>
          <w:rFonts w:hAnsi="宋体"/>
          <w:b/>
          <w:color w:val="auto"/>
          <w:sz w:val="24"/>
          <w:szCs w:val="24"/>
          <w:highlight w:val="none"/>
        </w:rPr>
      </w:pPr>
      <w:r>
        <w:rPr>
          <w:rFonts w:hint="eastAsia" w:ascii="宋体" w:hAnsi="宋体"/>
          <w:b/>
          <w:color w:val="auto"/>
          <w:sz w:val="24"/>
          <w:szCs w:val="24"/>
          <w:highlight w:val="none"/>
        </w:rPr>
        <w:t>附件</w:t>
      </w:r>
    </w:p>
    <w:p w14:paraId="1C352CD9">
      <w:pPr>
        <w:wordWrap w:val="0"/>
        <w:jc w:val="center"/>
        <w:rPr>
          <w:rFonts w:hAnsi="宋体"/>
          <w:b/>
          <w:color w:val="auto"/>
          <w:sz w:val="32"/>
          <w:szCs w:val="32"/>
          <w:highlight w:val="none"/>
        </w:rPr>
      </w:pPr>
      <w:r>
        <w:rPr>
          <w:rFonts w:hint="eastAsia" w:hAnsi="宋体"/>
          <w:b/>
          <w:color w:val="auto"/>
          <w:sz w:val="32"/>
          <w:szCs w:val="32"/>
          <w:highlight w:val="none"/>
        </w:rPr>
        <w:t>招标代理服务费收费标准</w:t>
      </w:r>
    </w:p>
    <w:p w14:paraId="1B192DB3">
      <w:pPr>
        <w:pStyle w:val="63"/>
        <w:wordWrap w:val="0"/>
        <w:rPr>
          <w:color w:val="auto"/>
          <w:spacing w:val="0"/>
          <w:highlight w:val="none"/>
        </w:rPr>
      </w:pPr>
    </w:p>
    <w:p w14:paraId="6D75403A">
      <w:pPr>
        <w:wordWrap w:val="0"/>
        <w:rPr>
          <w:rFonts w:hint="eastAsia" w:hAnsi="宋体"/>
          <w:b/>
          <w:color w:val="auto"/>
          <w:sz w:val="24"/>
          <w:szCs w:val="24"/>
          <w:highlight w:val="none"/>
        </w:rPr>
      </w:pPr>
      <w:r>
        <w:rPr>
          <w:rFonts w:hint="eastAsia" w:hAnsi="宋体"/>
          <w:b/>
          <w:color w:val="auto"/>
          <w:sz w:val="24"/>
          <w:szCs w:val="24"/>
          <w:highlight w:val="none"/>
        </w:rPr>
        <w:t>表1：招标代理服务收费费率计算表</w:t>
      </w:r>
    </w:p>
    <w:tbl>
      <w:tblPr>
        <w:tblStyle w:val="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94"/>
        <w:gridCol w:w="2253"/>
        <w:gridCol w:w="2253"/>
        <w:gridCol w:w="2262"/>
      </w:tblGrid>
      <w:tr w14:paraId="5D71E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603" w:type="pct"/>
            <w:vMerge w:val="restart"/>
            <w:vAlign w:val="center"/>
          </w:tcPr>
          <w:p w14:paraId="55AB01A7">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中标金额</w:t>
            </w:r>
          </w:p>
          <w:p w14:paraId="328710D2">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（设中标金额为X）</w:t>
            </w:r>
          </w:p>
        </w:tc>
        <w:tc>
          <w:tcPr>
            <w:tcW w:w="3396" w:type="pct"/>
            <w:gridSpan w:val="3"/>
            <w:vAlign w:val="center"/>
          </w:tcPr>
          <w:p w14:paraId="07B183E4">
            <w:pPr>
              <w:wordWrap w:val="0"/>
              <w:adjustRightInd w:val="0"/>
              <w:snapToGrid w:val="0"/>
              <w:jc w:val="center"/>
              <w:rPr>
                <w:rFonts w:ascii="宋体" w:hAnsi="宋体" w:cs="宋体"/>
                <w:b/>
                <w:bCs/>
                <w:color w:val="auto"/>
                <w:szCs w:val="21"/>
                <w:highlight w:val="none"/>
              </w:rPr>
            </w:pPr>
            <w:r>
              <w:rPr>
                <w:rFonts w:hint="eastAsia" w:ascii="宋体" w:hAnsi="宋体" w:cs="宋体"/>
                <w:b/>
                <w:bCs/>
                <w:color w:val="auto"/>
                <w:szCs w:val="21"/>
                <w:highlight w:val="none"/>
              </w:rPr>
              <w:t>费率</w:t>
            </w:r>
          </w:p>
        </w:tc>
      </w:tr>
      <w:tr w14:paraId="62071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603" w:type="pct"/>
            <w:vMerge w:val="continue"/>
            <w:vAlign w:val="center"/>
          </w:tcPr>
          <w:p w14:paraId="50D14E73">
            <w:pPr>
              <w:wordWrap w:val="0"/>
              <w:jc w:val="center"/>
              <w:rPr>
                <w:rFonts w:ascii="宋体" w:hAnsi="宋体" w:cs="宋体"/>
                <w:b/>
                <w:bCs/>
                <w:color w:val="auto"/>
                <w:szCs w:val="21"/>
                <w:highlight w:val="none"/>
              </w:rPr>
            </w:pPr>
          </w:p>
        </w:tc>
        <w:tc>
          <w:tcPr>
            <w:tcW w:w="1131" w:type="pct"/>
            <w:vAlign w:val="center"/>
          </w:tcPr>
          <w:p w14:paraId="51440890">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货物采购</w:t>
            </w:r>
          </w:p>
        </w:tc>
        <w:tc>
          <w:tcPr>
            <w:tcW w:w="1131" w:type="pct"/>
            <w:vAlign w:val="center"/>
          </w:tcPr>
          <w:p w14:paraId="7652B1F0">
            <w:pPr>
              <w:wordWrap w:val="0"/>
              <w:adjustRightInd w:val="0"/>
              <w:snapToGrid w:val="0"/>
              <w:jc w:val="center"/>
              <w:rPr>
                <w:rFonts w:ascii="宋体" w:hAnsi="宋体" w:cs="宋体"/>
                <w:b/>
                <w:bCs/>
                <w:color w:val="auto"/>
                <w:szCs w:val="21"/>
                <w:highlight w:val="none"/>
              </w:rPr>
            </w:pPr>
            <w:r>
              <w:rPr>
                <w:rFonts w:hint="eastAsia" w:ascii="宋体" w:hAnsi="宋体" w:cs="宋体"/>
                <w:b/>
                <w:bCs/>
                <w:color w:val="auto"/>
                <w:szCs w:val="21"/>
                <w:highlight w:val="none"/>
              </w:rPr>
              <w:t>服务</w:t>
            </w:r>
          </w:p>
        </w:tc>
        <w:tc>
          <w:tcPr>
            <w:tcW w:w="1133" w:type="pct"/>
            <w:vAlign w:val="center"/>
          </w:tcPr>
          <w:p w14:paraId="322731B8">
            <w:pPr>
              <w:wordWrap w:val="0"/>
              <w:adjustRightInd w:val="0"/>
              <w:snapToGrid w:val="0"/>
              <w:jc w:val="center"/>
              <w:rPr>
                <w:rFonts w:ascii="宋体" w:hAnsi="宋体" w:cs="宋体"/>
                <w:b/>
                <w:bCs/>
                <w:color w:val="auto"/>
                <w:szCs w:val="21"/>
                <w:highlight w:val="none"/>
              </w:rPr>
            </w:pPr>
            <w:r>
              <w:rPr>
                <w:rFonts w:hint="eastAsia" w:ascii="宋体" w:hAnsi="宋体" w:cs="宋体"/>
                <w:b/>
                <w:bCs/>
                <w:color w:val="auto"/>
                <w:szCs w:val="21"/>
                <w:highlight w:val="none"/>
              </w:rPr>
              <w:t>工程建设</w:t>
            </w:r>
          </w:p>
        </w:tc>
      </w:tr>
      <w:tr w14:paraId="178A8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2FEDE22D">
            <w:pPr>
              <w:wordWrap w:val="0"/>
              <w:jc w:val="center"/>
              <w:rPr>
                <w:rFonts w:ascii="宋体" w:hAnsi="宋体" w:cs="宋体"/>
                <w:color w:val="auto"/>
                <w:szCs w:val="21"/>
                <w:highlight w:val="none"/>
              </w:rPr>
            </w:pPr>
            <w:r>
              <w:rPr>
                <w:rFonts w:hint="eastAsia" w:ascii="宋体" w:hAnsi="宋体" w:cs="宋体"/>
                <w:color w:val="auto"/>
                <w:szCs w:val="21"/>
                <w:highlight w:val="none"/>
              </w:rPr>
              <w:t>X≤100万元</w:t>
            </w:r>
          </w:p>
        </w:tc>
        <w:tc>
          <w:tcPr>
            <w:tcW w:w="1131" w:type="pct"/>
            <w:vAlign w:val="center"/>
          </w:tcPr>
          <w:p w14:paraId="35CD3F91">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1.5%</w:t>
            </w:r>
          </w:p>
        </w:tc>
        <w:tc>
          <w:tcPr>
            <w:tcW w:w="1131" w:type="pct"/>
            <w:vAlign w:val="center"/>
          </w:tcPr>
          <w:p w14:paraId="585F5DCA">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1.5%</w:t>
            </w:r>
          </w:p>
        </w:tc>
        <w:tc>
          <w:tcPr>
            <w:tcW w:w="1133" w:type="pct"/>
            <w:vAlign w:val="center"/>
          </w:tcPr>
          <w:p w14:paraId="5A1CE6BD">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1.0%</w:t>
            </w:r>
          </w:p>
        </w:tc>
      </w:tr>
      <w:tr w14:paraId="71809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5A6FC3F3">
            <w:pPr>
              <w:wordWrap w:val="0"/>
              <w:jc w:val="center"/>
              <w:rPr>
                <w:rFonts w:ascii="宋体" w:hAnsi="宋体" w:cs="宋体"/>
                <w:color w:val="auto"/>
                <w:szCs w:val="21"/>
                <w:highlight w:val="none"/>
              </w:rPr>
            </w:pPr>
            <w:r>
              <w:rPr>
                <w:rFonts w:hint="eastAsia" w:ascii="宋体" w:hAnsi="宋体" w:cs="宋体"/>
                <w:color w:val="auto"/>
                <w:szCs w:val="21"/>
                <w:highlight w:val="none"/>
              </w:rPr>
              <w:t>100万元＜X≤500万元</w:t>
            </w:r>
          </w:p>
        </w:tc>
        <w:tc>
          <w:tcPr>
            <w:tcW w:w="1131" w:type="pct"/>
            <w:vAlign w:val="center"/>
          </w:tcPr>
          <w:p w14:paraId="0F0DBE86">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1.1%</w:t>
            </w:r>
          </w:p>
        </w:tc>
        <w:tc>
          <w:tcPr>
            <w:tcW w:w="1131" w:type="pct"/>
            <w:vAlign w:val="center"/>
          </w:tcPr>
          <w:p w14:paraId="332A05F4">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0.8%</w:t>
            </w:r>
          </w:p>
        </w:tc>
        <w:tc>
          <w:tcPr>
            <w:tcW w:w="1133" w:type="pct"/>
            <w:vAlign w:val="center"/>
          </w:tcPr>
          <w:p w14:paraId="255492DA">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0.7%</w:t>
            </w:r>
          </w:p>
        </w:tc>
      </w:tr>
      <w:tr w14:paraId="3148A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062D78C4">
            <w:pPr>
              <w:wordWrap w:val="0"/>
              <w:adjustRightInd w:val="0"/>
              <w:snapToGrid w:val="0"/>
              <w:jc w:val="center"/>
              <w:rPr>
                <w:rFonts w:ascii="宋体" w:hAnsi="宋体" w:cs="宋体"/>
                <w:bCs/>
                <w:color w:val="auto"/>
                <w:szCs w:val="21"/>
                <w:highlight w:val="none"/>
              </w:rPr>
            </w:pPr>
            <w:r>
              <w:rPr>
                <w:rFonts w:hint="eastAsia" w:ascii="宋体" w:hAnsi="宋体" w:cs="宋体"/>
                <w:color w:val="auto"/>
                <w:szCs w:val="21"/>
                <w:highlight w:val="none"/>
              </w:rPr>
              <w:t>500万元＜X≤1000万元</w:t>
            </w:r>
          </w:p>
        </w:tc>
        <w:tc>
          <w:tcPr>
            <w:tcW w:w="1131" w:type="pct"/>
            <w:vAlign w:val="center"/>
          </w:tcPr>
          <w:p w14:paraId="5C7014D1">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0.8%</w:t>
            </w:r>
          </w:p>
        </w:tc>
        <w:tc>
          <w:tcPr>
            <w:tcW w:w="1131" w:type="pct"/>
            <w:vAlign w:val="center"/>
          </w:tcPr>
          <w:p w14:paraId="1ECB4BB7">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0.45%</w:t>
            </w:r>
          </w:p>
        </w:tc>
        <w:tc>
          <w:tcPr>
            <w:tcW w:w="1133" w:type="pct"/>
            <w:vAlign w:val="center"/>
          </w:tcPr>
          <w:p w14:paraId="6F779FD3">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0.55%</w:t>
            </w:r>
          </w:p>
        </w:tc>
      </w:tr>
      <w:tr w14:paraId="78D26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715DA29F">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1000-5000万元</w:t>
            </w:r>
          </w:p>
        </w:tc>
        <w:tc>
          <w:tcPr>
            <w:tcW w:w="1131" w:type="pct"/>
            <w:vAlign w:val="center"/>
          </w:tcPr>
          <w:p w14:paraId="3FCDD289">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0.5%</w:t>
            </w:r>
          </w:p>
        </w:tc>
        <w:tc>
          <w:tcPr>
            <w:tcW w:w="1131" w:type="pct"/>
            <w:vAlign w:val="center"/>
          </w:tcPr>
          <w:p w14:paraId="324CA134">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0.25%</w:t>
            </w:r>
          </w:p>
        </w:tc>
        <w:tc>
          <w:tcPr>
            <w:tcW w:w="1133" w:type="pct"/>
            <w:vAlign w:val="center"/>
          </w:tcPr>
          <w:p w14:paraId="3D5E751C">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0.35%</w:t>
            </w:r>
          </w:p>
        </w:tc>
      </w:tr>
      <w:tr w14:paraId="79276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3C07A4FE">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5000万元-1亿元</w:t>
            </w:r>
          </w:p>
        </w:tc>
        <w:tc>
          <w:tcPr>
            <w:tcW w:w="1131" w:type="pct"/>
            <w:vAlign w:val="center"/>
          </w:tcPr>
          <w:p w14:paraId="7A15939B">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0.25%</w:t>
            </w:r>
          </w:p>
        </w:tc>
        <w:tc>
          <w:tcPr>
            <w:tcW w:w="1131" w:type="pct"/>
            <w:vAlign w:val="center"/>
          </w:tcPr>
          <w:p w14:paraId="4CFB34BB">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0.1%</w:t>
            </w:r>
          </w:p>
        </w:tc>
        <w:tc>
          <w:tcPr>
            <w:tcW w:w="1133" w:type="pct"/>
            <w:vAlign w:val="center"/>
          </w:tcPr>
          <w:p w14:paraId="28838A71">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0.2%</w:t>
            </w:r>
          </w:p>
        </w:tc>
      </w:tr>
      <w:tr w14:paraId="0E12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1D7CA00E">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1-5亿元</w:t>
            </w:r>
          </w:p>
        </w:tc>
        <w:tc>
          <w:tcPr>
            <w:tcW w:w="1131" w:type="pct"/>
            <w:vAlign w:val="center"/>
          </w:tcPr>
          <w:p w14:paraId="1DE69468">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0.05%</w:t>
            </w:r>
          </w:p>
        </w:tc>
        <w:tc>
          <w:tcPr>
            <w:tcW w:w="1131" w:type="pct"/>
            <w:vAlign w:val="center"/>
          </w:tcPr>
          <w:p w14:paraId="6219AE69">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0.05%</w:t>
            </w:r>
          </w:p>
        </w:tc>
        <w:tc>
          <w:tcPr>
            <w:tcW w:w="1133" w:type="pct"/>
            <w:vAlign w:val="center"/>
          </w:tcPr>
          <w:p w14:paraId="6BBC790D">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0.05%</w:t>
            </w:r>
          </w:p>
        </w:tc>
      </w:tr>
      <w:tr w14:paraId="14350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318D37FE">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5-10亿元</w:t>
            </w:r>
          </w:p>
        </w:tc>
        <w:tc>
          <w:tcPr>
            <w:tcW w:w="1131" w:type="pct"/>
            <w:vAlign w:val="center"/>
          </w:tcPr>
          <w:p w14:paraId="7163F367">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0.035%</w:t>
            </w:r>
          </w:p>
        </w:tc>
        <w:tc>
          <w:tcPr>
            <w:tcW w:w="1131" w:type="pct"/>
            <w:vAlign w:val="center"/>
          </w:tcPr>
          <w:p w14:paraId="7A23737E">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0.035%</w:t>
            </w:r>
          </w:p>
        </w:tc>
        <w:tc>
          <w:tcPr>
            <w:tcW w:w="1133" w:type="pct"/>
            <w:vAlign w:val="center"/>
          </w:tcPr>
          <w:p w14:paraId="5252FAA2">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0.035%</w:t>
            </w:r>
          </w:p>
        </w:tc>
      </w:tr>
      <w:tr w14:paraId="3AF6E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745C475C">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10-50亿元</w:t>
            </w:r>
          </w:p>
        </w:tc>
        <w:tc>
          <w:tcPr>
            <w:tcW w:w="1131" w:type="pct"/>
            <w:vAlign w:val="center"/>
          </w:tcPr>
          <w:p w14:paraId="7261CC5D">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0.008%</w:t>
            </w:r>
          </w:p>
        </w:tc>
        <w:tc>
          <w:tcPr>
            <w:tcW w:w="1131" w:type="pct"/>
            <w:vAlign w:val="center"/>
          </w:tcPr>
          <w:p w14:paraId="03614954">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0.008%</w:t>
            </w:r>
          </w:p>
        </w:tc>
        <w:tc>
          <w:tcPr>
            <w:tcW w:w="1133" w:type="pct"/>
            <w:vAlign w:val="center"/>
          </w:tcPr>
          <w:p w14:paraId="5D94D597">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0.008%</w:t>
            </w:r>
          </w:p>
        </w:tc>
      </w:tr>
      <w:tr w14:paraId="4E44D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56375FF7">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50-100亿元</w:t>
            </w:r>
          </w:p>
        </w:tc>
        <w:tc>
          <w:tcPr>
            <w:tcW w:w="1131" w:type="pct"/>
            <w:vAlign w:val="center"/>
          </w:tcPr>
          <w:p w14:paraId="0EA49BFD">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0.006%</w:t>
            </w:r>
          </w:p>
        </w:tc>
        <w:tc>
          <w:tcPr>
            <w:tcW w:w="1131" w:type="pct"/>
            <w:vAlign w:val="center"/>
          </w:tcPr>
          <w:p w14:paraId="6E76DD44">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0.006%</w:t>
            </w:r>
          </w:p>
        </w:tc>
        <w:tc>
          <w:tcPr>
            <w:tcW w:w="1133" w:type="pct"/>
            <w:vAlign w:val="center"/>
          </w:tcPr>
          <w:p w14:paraId="3DBCD9D3">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0.006%</w:t>
            </w:r>
          </w:p>
        </w:tc>
      </w:tr>
      <w:tr w14:paraId="72360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7E20D493">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100亿元以上</w:t>
            </w:r>
          </w:p>
        </w:tc>
        <w:tc>
          <w:tcPr>
            <w:tcW w:w="1131" w:type="pct"/>
            <w:vAlign w:val="center"/>
          </w:tcPr>
          <w:p w14:paraId="78558D38">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0.004%</w:t>
            </w:r>
          </w:p>
        </w:tc>
        <w:tc>
          <w:tcPr>
            <w:tcW w:w="1131" w:type="pct"/>
            <w:vAlign w:val="center"/>
          </w:tcPr>
          <w:p w14:paraId="63DDFC3E">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0.004%</w:t>
            </w:r>
          </w:p>
        </w:tc>
        <w:tc>
          <w:tcPr>
            <w:tcW w:w="1133" w:type="pct"/>
            <w:vAlign w:val="center"/>
          </w:tcPr>
          <w:p w14:paraId="51CE39C4">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0.004%</w:t>
            </w:r>
          </w:p>
        </w:tc>
      </w:tr>
      <w:tr w14:paraId="7F686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exact"/>
        </w:trPr>
        <w:tc>
          <w:tcPr>
            <w:tcW w:w="5000" w:type="pct"/>
            <w:gridSpan w:val="4"/>
            <w:vAlign w:val="center"/>
          </w:tcPr>
          <w:p w14:paraId="00CB5DA0">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计算说明：</w:t>
            </w:r>
          </w:p>
          <w:p w14:paraId="7DB6C832">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招标代理服务收费按上述费率进行差额累进制计算。例如：某货物采购招标代理业务中标金额为6000万元，招标代理服务费计算如下：</w:t>
            </w:r>
          </w:p>
          <w:p w14:paraId="23C5A977">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1.100万元×1.5％＝1.5万元</w:t>
            </w:r>
          </w:p>
          <w:p w14:paraId="030E9FF7">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2.（500一100）万元×1.1％＝4.4万元</w:t>
            </w:r>
          </w:p>
          <w:p w14:paraId="08331B92">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3.（1000－500）万元×0.8％＝4万元</w:t>
            </w:r>
          </w:p>
          <w:p w14:paraId="2A3D3ED8">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4.（5000—1000）万元×0.5％＝20万元</w:t>
            </w:r>
          </w:p>
          <w:p w14:paraId="5063D7E2">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5.（6000—5000）万元×0.25％＝2.5万元</w:t>
            </w:r>
          </w:p>
          <w:p w14:paraId="1A8D5E18">
            <w:pPr>
              <w:wordWrap w:val="0"/>
              <w:rPr>
                <w:rFonts w:ascii="宋体" w:hAnsi="宋体" w:cs="宋体"/>
                <w:bCs/>
                <w:color w:val="auto"/>
                <w:szCs w:val="21"/>
                <w:highlight w:val="none"/>
              </w:rPr>
            </w:pPr>
            <w:r>
              <w:rPr>
                <w:rFonts w:hint="eastAsia" w:ascii="宋体" w:hAnsi="宋体" w:cs="宋体"/>
                <w:color w:val="auto"/>
                <w:szCs w:val="21"/>
                <w:highlight w:val="none"/>
              </w:rPr>
              <w:t>6.合计收费为：1.5十4.4＋4＋20＋2.5＝32.4（万元）</w:t>
            </w:r>
          </w:p>
        </w:tc>
      </w:tr>
    </w:tbl>
    <w:p w14:paraId="071B818B">
      <w:pPr>
        <w:wordWrap w:val="0"/>
        <w:rPr>
          <w:rFonts w:hint="eastAsia" w:hAnsi="宋体"/>
          <w:b/>
          <w:color w:val="auto"/>
          <w:sz w:val="24"/>
          <w:szCs w:val="24"/>
          <w:highlight w:val="none"/>
        </w:rPr>
      </w:pPr>
    </w:p>
    <w:p w14:paraId="2C52A547">
      <w:pPr>
        <w:wordWrap w:val="0"/>
        <w:spacing w:line="360" w:lineRule="auto"/>
        <w:ind w:left="360"/>
        <w:rPr>
          <w:rFonts w:hAnsi="宋体"/>
          <w:b/>
          <w:color w:val="auto"/>
          <w:sz w:val="24"/>
          <w:szCs w:val="24"/>
          <w:highlight w:val="none"/>
        </w:rPr>
      </w:pPr>
    </w:p>
    <w:p w14:paraId="5F3EB7AD">
      <w:pPr>
        <w:wordWrap w:val="0"/>
        <w:spacing w:line="360" w:lineRule="auto"/>
        <w:ind w:left="360"/>
        <w:rPr>
          <w:rFonts w:hAnsi="宋体"/>
          <w:b/>
          <w:color w:val="auto"/>
          <w:sz w:val="24"/>
          <w:szCs w:val="24"/>
          <w:highlight w:val="none"/>
        </w:rPr>
      </w:pPr>
    </w:p>
    <w:p w14:paraId="139A3AD5">
      <w:pPr>
        <w:pStyle w:val="24"/>
        <w:rPr>
          <w:rFonts w:hAnsi="宋体"/>
          <w:b/>
          <w:color w:val="auto"/>
          <w:sz w:val="24"/>
          <w:szCs w:val="24"/>
          <w:highlight w:val="none"/>
        </w:rPr>
      </w:pPr>
    </w:p>
    <w:p w14:paraId="68F3C724">
      <w:pPr>
        <w:rPr>
          <w:rFonts w:hAnsi="宋体"/>
          <w:b/>
          <w:color w:val="auto"/>
          <w:sz w:val="24"/>
          <w:szCs w:val="24"/>
          <w:highlight w:val="none"/>
        </w:rPr>
      </w:pPr>
    </w:p>
    <w:p w14:paraId="45370847">
      <w:pPr>
        <w:pStyle w:val="24"/>
        <w:rPr>
          <w:color w:val="auto"/>
          <w:highlight w:val="none"/>
        </w:rPr>
      </w:pPr>
    </w:p>
    <w:p w14:paraId="56BEBC28">
      <w:pPr>
        <w:numPr>
          <w:ilvl w:val="-1"/>
          <w:numId w:val="0"/>
        </w:numPr>
        <w:wordWrap/>
        <w:spacing w:line="240" w:lineRule="auto"/>
        <w:ind w:leftChars="0"/>
        <w:rPr>
          <w:rFonts w:hint="eastAsia" w:hAnsi="宋体"/>
          <w:b/>
          <w:color w:val="auto"/>
          <w:sz w:val="24"/>
          <w:szCs w:val="24"/>
          <w:highlight w:val="none"/>
          <w:lang w:eastAsia="zh-CN"/>
        </w:rPr>
      </w:pPr>
      <w:r>
        <w:rPr>
          <w:rFonts w:hint="eastAsia" w:hAnsi="宋体"/>
          <w:b/>
          <w:color w:val="auto"/>
          <w:sz w:val="24"/>
          <w:szCs w:val="24"/>
          <w:highlight w:val="none"/>
          <w:lang w:eastAsia="zh-CN"/>
        </w:rPr>
        <w:br w:type="page"/>
      </w:r>
    </w:p>
    <w:p w14:paraId="01FFA467">
      <w:pPr>
        <w:numPr>
          <w:ilvl w:val="0"/>
          <w:numId w:val="0"/>
        </w:numPr>
        <w:wordWrap w:val="0"/>
        <w:spacing w:line="360" w:lineRule="auto"/>
        <w:ind w:leftChars="0"/>
        <w:rPr>
          <w:rFonts w:hAnsi="宋体"/>
          <w:b/>
          <w:color w:val="auto"/>
          <w:sz w:val="24"/>
          <w:szCs w:val="24"/>
          <w:highlight w:val="none"/>
        </w:rPr>
      </w:pPr>
      <w:r>
        <w:rPr>
          <w:rFonts w:hint="eastAsia" w:hAnsi="宋体"/>
          <w:b/>
          <w:color w:val="auto"/>
          <w:sz w:val="24"/>
          <w:szCs w:val="24"/>
          <w:highlight w:val="none"/>
          <w:lang w:eastAsia="zh-CN"/>
        </w:rPr>
        <w:t>表</w:t>
      </w:r>
      <w:r>
        <w:rPr>
          <w:rFonts w:hint="eastAsia" w:hAnsi="宋体"/>
          <w:b/>
          <w:color w:val="auto"/>
          <w:sz w:val="24"/>
          <w:szCs w:val="24"/>
          <w:highlight w:val="none"/>
          <w:lang w:val="en-US" w:eastAsia="zh-CN"/>
        </w:rPr>
        <w:t>2：</w:t>
      </w:r>
      <w:r>
        <w:rPr>
          <w:rFonts w:hint="eastAsia" w:hAnsi="宋体"/>
          <w:b/>
          <w:color w:val="auto"/>
          <w:sz w:val="24"/>
          <w:szCs w:val="24"/>
          <w:highlight w:val="none"/>
        </w:rPr>
        <w:t>招标代理服务费取费标准</w:t>
      </w:r>
    </w:p>
    <w:tbl>
      <w:tblPr>
        <w:tblStyle w:val="64"/>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9"/>
        <w:gridCol w:w="5079"/>
        <w:gridCol w:w="3427"/>
      </w:tblGrid>
      <w:tr w14:paraId="321DB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845" w:type="pct"/>
            <w:vAlign w:val="center"/>
          </w:tcPr>
          <w:p w14:paraId="2FAE9EA9">
            <w:pPr>
              <w:pStyle w:val="110"/>
              <w:wordWrap w:val="0"/>
              <w:ind w:left="113"/>
              <w:jc w:val="center"/>
              <w:rPr>
                <w:b/>
                <w:color w:val="auto"/>
                <w:sz w:val="21"/>
                <w:szCs w:val="21"/>
                <w:highlight w:val="none"/>
              </w:rPr>
            </w:pPr>
            <w:r>
              <w:rPr>
                <w:rFonts w:hint="eastAsia"/>
                <w:b/>
                <w:color w:val="auto"/>
                <w:sz w:val="21"/>
                <w:szCs w:val="21"/>
                <w:highlight w:val="none"/>
              </w:rPr>
              <w:t>类别</w:t>
            </w:r>
          </w:p>
        </w:tc>
        <w:tc>
          <w:tcPr>
            <w:tcW w:w="2481" w:type="pct"/>
            <w:vAlign w:val="center"/>
          </w:tcPr>
          <w:p w14:paraId="27444C0A">
            <w:pPr>
              <w:pStyle w:val="110"/>
              <w:wordWrap w:val="0"/>
              <w:ind w:left="113"/>
              <w:jc w:val="center"/>
              <w:rPr>
                <w:b/>
                <w:color w:val="auto"/>
                <w:sz w:val="21"/>
                <w:szCs w:val="21"/>
                <w:highlight w:val="none"/>
                <w:lang w:eastAsia="zh-CN"/>
              </w:rPr>
            </w:pPr>
            <w:r>
              <w:rPr>
                <w:rFonts w:hint="eastAsia"/>
                <w:b/>
                <w:color w:val="auto"/>
                <w:sz w:val="21"/>
                <w:szCs w:val="21"/>
                <w:highlight w:val="none"/>
                <w:lang w:eastAsia="zh-CN"/>
              </w:rPr>
              <w:t>中标金额</w:t>
            </w:r>
          </w:p>
          <w:p w14:paraId="6B3803CA">
            <w:pPr>
              <w:pStyle w:val="110"/>
              <w:wordWrap w:val="0"/>
              <w:ind w:left="113"/>
              <w:jc w:val="center"/>
              <w:rPr>
                <w:b/>
                <w:color w:val="auto"/>
                <w:sz w:val="21"/>
                <w:szCs w:val="21"/>
                <w:highlight w:val="none"/>
                <w:lang w:eastAsia="zh-CN"/>
              </w:rPr>
            </w:pPr>
            <w:r>
              <w:rPr>
                <w:rFonts w:hint="eastAsia"/>
                <w:b/>
                <w:bCs/>
                <w:color w:val="auto"/>
                <w:sz w:val="21"/>
                <w:szCs w:val="21"/>
                <w:highlight w:val="none"/>
                <w:lang w:eastAsia="zh-CN"/>
              </w:rPr>
              <w:t>（设中标金额为X）</w:t>
            </w:r>
          </w:p>
        </w:tc>
        <w:tc>
          <w:tcPr>
            <w:tcW w:w="1673" w:type="pct"/>
            <w:vAlign w:val="center"/>
          </w:tcPr>
          <w:p w14:paraId="60644353">
            <w:pPr>
              <w:pStyle w:val="110"/>
              <w:wordWrap w:val="0"/>
              <w:ind w:left="113"/>
              <w:jc w:val="center"/>
              <w:rPr>
                <w:b/>
                <w:color w:val="auto"/>
                <w:sz w:val="21"/>
                <w:szCs w:val="21"/>
                <w:highlight w:val="none"/>
              </w:rPr>
            </w:pPr>
            <w:r>
              <w:rPr>
                <w:rFonts w:hint="eastAsia"/>
                <w:b/>
                <w:color w:val="auto"/>
                <w:sz w:val="21"/>
                <w:szCs w:val="21"/>
                <w:highlight w:val="none"/>
              </w:rPr>
              <w:t>取费率</w:t>
            </w:r>
          </w:p>
        </w:tc>
      </w:tr>
      <w:tr w14:paraId="1F882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restart"/>
            <w:vAlign w:val="center"/>
          </w:tcPr>
          <w:p w14:paraId="58EDCDAE">
            <w:pPr>
              <w:pStyle w:val="110"/>
              <w:wordWrap w:val="0"/>
              <w:ind w:left="113"/>
              <w:jc w:val="center"/>
              <w:rPr>
                <w:b/>
                <w:color w:val="auto"/>
                <w:sz w:val="21"/>
                <w:szCs w:val="21"/>
                <w:highlight w:val="none"/>
              </w:rPr>
            </w:pPr>
            <w:r>
              <w:rPr>
                <w:rFonts w:hint="eastAsia"/>
                <w:b/>
                <w:color w:val="auto"/>
                <w:sz w:val="21"/>
                <w:szCs w:val="21"/>
                <w:highlight w:val="none"/>
              </w:rPr>
              <w:t>货物采购</w:t>
            </w:r>
          </w:p>
        </w:tc>
        <w:tc>
          <w:tcPr>
            <w:tcW w:w="2481" w:type="pct"/>
            <w:vAlign w:val="center"/>
          </w:tcPr>
          <w:p w14:paraId="05E67E62">
            <w:pPr>
              <w:pStyle w:val="110"/>
              <w:wordWrap w:val="0"/>
              <w:ind w:left="113"/>
              <w:jc w:val="center"/>
              <w:rPr>
                <w:color w:val="auto"/>
                <w:sz w:val="21"/>
                <w:szCs w:val="21"/>
                <w:highlight w:val="none"/>
              </w:rPr>
            </w:pPr>
            <w:r>
              <w:rPr>
                <w:rFonts w:hint="eastAsia"/>
                <w:color w:val="auto"/>
                <w:sz w:val="21"/>
                <w:szCs w:val="21"/>
                <w:highlight w:val="none"/>
              </w:rPr>
              <w:t>1000万元＜X≤2000万元</w:t>
            </w:r>
          </w:p>
        </w:tc>
        <w:tc>
          <w:tcPr>
            <w:tcW w:w="1673" w:type="pct"/>
            <w:vAlign w:val="center"/>
          </w:tcPr>
          <w:p w14:paraId="51471025">
            <w:pPr>
              <w:pStyle w:val="110"/>
              <w:wordWrap w:val="0"/>
              <w:ind w:left="113"/>
              <w:jc w:val="center"/>
              <w:rPr>
                <w:color w:val="auto"/>
                <w:sz w:val="21"/>
                <w:szCs w:val="21"/>
                <w:highlight w:val="none"/>
              </w:rPr>
            </w:pPr>
            <w:r>
              <w:rPr>
                <w:rFonts w:hint="eastAsia"/>
                <w:color w:val="auto"/>
                <w:sz w:val="21"/>
                <w:szCs w:val="21"/>
                <w:highlight w:val="none"/>
              </w:rPr>
              <w:t>80%</w:t>
            </w:r>
          </w:p>
        </w:tc>
      </w:tr>
      <w:tr w14:paraId="2142B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36B866F8">
            <w:pPr>
              <w:widowControl/>
              <w:wordWrap w:val="0"/>
              <w:jc w:val="left"/>
              <w:rPr>
                <w:rFonts w:ascii="宋体" w:hAnsi="宋体" w:cs="宋体"/>
                <w:b/>
                <w:color w:val="auto"/>
                <w:szCs w:val="21"/>
                <w:highlight w:val="none"/>
              </w:rPr>
            </w:pPr>
          </w:p>
        </w:tc>
        <w:tc>
          <w:tcPr>
            <w:tcW w:w="2481" w:type="pct"/>
            <w:vAlign w:val="center"/>
          </w:tcPr>
          <w:p w14:paraId="2028B2BF">
            <w:pPr>
              <w:pStyle w:val="110"/>
              <w:wordWrap w:val="0"/>
              <w:ind w:left="113"/>
              <w:jc w:val="center"/>
              <w:rPr>
                <w:color w:val="auto"/>
                <w:sz w:val="21"/>
                <w:szCs w:val="21"/>
                <w:highlight w:val="none"/>
              </w:rPr>
            </w:pPr>
            <w:r>
              <w:rPr>
                <w:rFonts w:hint="eastAsia"/>
                <w:color w:val="auto"/>
                <w:sz w:val="21"/>
                <w:szCs w:val="21"/>
                <w:highlight w:val="none"/>
              </w:rPr>
              <w:t>2000万元＜X≤3000万元</w:t>
            </w:r>
          </w:p>
        </w:tc>
        <w:tc>
          <w:tcPr>
            <w:tcW w:w="1673" w:type="pct"/>
            <w:vAlign w:val="center"/>
          </w:tcPr>
          <w:p w14:paraId="7F3F1B5F">
            <w:pPr>
              <w:pStyle w:val="110"/>
              <w:wordWrap w:val="0"/>
              <w:ind w:left="113"/>
              <w:jc w:val="center"/>
              <w:rPr>
                <w:color w:val="auto"/>
                <w:sz w:val="21"/>
                <w:szCs w:val="21"/>
                <w:highlight w:val="none"/>
              </w:rPr>
            </w:pPr>
            <w:r>
              <w:rPr>
                <w:rFonts w:hint="eastAsia"/>
                <w:color w:val="auto"/>
                <w:sz w:val="21"/>
                <w:szCs w:val="21"/>
                <w:highlight w:val="none"/>
              </w:rPr>
              <w:t>75%</w:t>
            </w:r>
          </w:p>
        </w:tc>
      </w:tr>
      <w:tr w14:paraId="0A43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719E25BA">
            <w:pPr>
              <w:widowControl/>
              <w:wordWrap w:val="0"/>
              <w:jc w:val="left"/>
              <w:rPr>
                <w:rFonts w:ascii="宋体" w:hAnsi="宋体" w:cs="宋体"/>
                <w:b/>
                <w:color w:val="auto"/>
                <w:szCs w:val="21"/>
                <w:highlight w:val="none"/>
              </w:rPr>
            </w:pPr>
          </w:p>
        </w:tc>
        <w:tc>
          <w:tcPr>
            <w:tcW w:w="2481" w:type="pct"/>
            <w:vAlign w:val="center"/>
          </w:tcPr>
          <w:p w14:paraId="6819A608">
            <w:pPr>
              <w:pStyle w:val="110"/>
              <w:wordWrap w:val="0"/>
              <w:ind w:left="113"/>
              <w:jc w:val="center"/>
              <w:rPr>
                <w:color w:val="auto"/>
                <w:sz w:val="21"/>
                <w:szCs w:val="21"/>
                <w:highlight w:val="none"/>
              </w:rPr>
            </w:pPr>
            <w:r>
              <w:rPr>
                <w:rFonts w:hint="eastAsia"/>
                <w:color w:val="auto"/>
                <w:sz w:val="21"/>
                <w:szCs w:val="21"/>
                <w:highlight w:val="none"/>
              </w:rPr>
              <w:t>3000万元＜X≤4000万元</w:t>
            </w:r>
          </w:p>
        </w:tc>
        <w:tc>
          <w:tcPr>
            <w:tcW w:w="1673" w:type="pct"/>
            <w:vAlign w:val="center"/>
          </w:tcPr>
          <w:p w14:paraId="610FC602">
            <w:pPr>
              <w:pStyle w:val="110"/>
              <w:wordWrap w:val="0"/>
              <w:ind w:left="113"/>
              <w:jc w:val="center"/>
              <w:rPr>
                <w:color w:val="auto"/>
                <w:sz w:val="21"/>
                <w:szCs w:val="21"/>
                <w:highlight w:val="none"/>
              </w:rPr>
            </w:pPr>
            <w:r>
              <w:rPr>
                <w:rFonts w:hint="eastAsia"/>
                <w:color w:val="auto"/>
                <w:sz w:val="21"/>
                <w:szCs w:val="21"/>
                <w:highlight w:val="none"/>
              </w:rPr>
              <w:t>70%</w:t>
            </w:r>
          </w:p>
        </w:tc>
      </w:tr>
      <w:tr w14:paraId="3886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619895C1">
            <w:pPr>
              <w:widowControl/>
              <w:wordWrap w:val="0"/>
              <w:jc w:val="left"/>
              <w:rPr>
                <w:rFonts w:ascii="宋体" w:hAnsi="宋体" w:cs="宋体"/>
                <w:b/>
                <w:color w:val="auto"/>
                <w:szCs w:val="21"/>
                <w:highlight w:val="none"/>
              </w:rPr>
            </w:pPr>
          </w:p>
        </w:tc>
        <w:tc>
          <w:tcPr>
            <w:tcW w:w="2481" w:type="pct"/>
            <w:vAlign w:val="center"/>
          </w:tcPr>
          <w:p w14:paraId="70929663">
            <w:pPr>
              <w:pStyle w:val="110"/>
              <w:wordWrap w:val="0"/>
              <w:ind w:left="113"/>
              <w:jc w:val="center"/>
              <w:rPr>
                <w:color w:val="auto"/>
                <w:sz w:val="21"/>
                <w:szCs w:val="21"/>
                <w:highlight w:val="none"/>
              </w:rPr>
            </w:pPr>
            <w:r>
              <w:rPr>
                <w:rFonts w:hint="eastAsia"/>
                <w:color w:val="auto"/>
                <w:sz w:val="21"/>
                <w:szCs w:val="21"/>
                <w:highlight w:val="none"/>
              </w:rPr>
              <w:t>4000万元＜X≤5000万元</w:t>
            </w:r>
          </w:p>
        </w:tc>
        <w:tc>
          <w:tcPr>
            <w:tcW w:w="1673" w:type="pct"/>
            <w:vAlign w:val="center"/>
          </w:tcPr>
          <w:p w14:paraId="12270660">
            <w:pPr>
              <w:pStyle w:val="110"/>
              <w:wordWrap w:val="0"/>
              <w:ind w:left="113"/>
              <w:jc w:val="center"/>
              <w:rPr>
                <w:color w:val="auto"/>
                <w:sz w:val="21"/>
                <w:szCs w:val="21"/>
                <w:highlight w:val="none"/>
              </w:rPr>
            </w:pPr>
            <w:r>
              <w:rPr>
                <w:rFonts w:hint="eastAsia"/>
                <w:color w:val="auto"/>
                <w:sz w:val="21"/>
                <w:szCs w:val="21"/>
                <w:highlight w:val="none"/>
              </w:rPr>
              <w:t>65%</w:t>
            </w:r>
          </w:p>
        </w:tc>
      </w:tr>
      <w:tr w14:paraId="512D1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74E82678">
            <w:pPr>
              <w:widowControl/>
              <w:wordWrap w:val="0"/>
              <w:jc w:val="left"/>
              <w:rPr>
                <w:rFonts w:ascii="宋体" w:hAnsi="宋体" w:cs="宋体"/>
                <w:b/>
                <w:color w:val="auto"/>
                <w:szCs w:val="21"/>
                <w:highlight w:val="none"/>
              </w:rPr>
            </w:pPr>
          </w:p>
        </w:tc>
        <w:tc>
          <w:tcPr>
            <w:tcW w:w="2481" w:type="pct"/>
            <w:vAlign w:val="center"/>
          </w:tcPr>
          <w:p w14:paraId="360EEA39">
            <w:pPr>
              <w:pStyle w:val="110"/>
              <w:wordWrap w:val="0"/>
              <w:ind w:left="113"/>
              <w:jc w:val="center"/>
              <w:rPr>
                <w:color w:val="auto"/>
                <w:sz w:val="21"/>
                <w:szCs w:val="21"/>
                <w:highlight w:val="none"/>
              </w:rPr>
            </w:pPr>
            <w:r>
              <w:rPr>
                <w:rFonts w:hint="eastAsia"/>
                <w:color w:val="auto"/>
                <w:sz w:val="21"/>
                <w:szCs w:val="21"/>
                <w:highlight w:val="none"/>
              </w:rPr>
              <w:t>5000万元＜X≤1亿元</w:t>
            </w:r>
          </w:p>
        </w:tc>
        <w:tc>
          <w:tcPr>
            <w:tcW w:w="1673" w:type="pct"/>
            <w:vAlign w:val="center"/>
          </w:tcPr>
          <w:p w14:paraId="05D0A68D">
            <w:pPr>
              <w:pStyle w:val="110"/>
              <w:wordWrap w:val="0"/>
              <w:ind w:left="113"/>
              <w:jc w:val="center"/>
              <w:rPr>
                <w:color w:val="auto"/>
                <w:sz w:val="21"/>
                <w:szCs w:val="21"/>
                <w:highlight w:val="none"/>
              </w:rPr>
            </w:pPr>
            <w:r>
              <w:rPr>
                <w:rFonts w:hint="eastAsia"/>
                <w:color w:val="auto"/>
                <w:sz w:val="21"/>
                <w:szCs w:val="21"/>
                <w:highlight w:val="none"/>
              </w:rPr>
              <w:t>60%</w:t>
            </w:r>
          </w:p>
        </w:tc>
      </w:tr>
      <w:tr w14:paraId="217C5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7EC804A3">
            <w:pPr>
              <w:widowControl/>
              <w:wordWrap w:val="0"/>
              <w:jc w:val="left"/>
              <w:rPr>
                <w:rFonts w:ascii="宋体" w:hAnsi="宋体" w:cs="宋体"/>
                <w:b/>
                <w:color w:val="auto"/>
                <w:szCs w:val="21"/>
                <w:highlight w:val="none"/>
              </w:rPr>
            </w:pPr>
          </w:p>
        </w:tc>
        <w:tc>
          <w:tcPr>
            <w:tcW w:w="2481" w:type="pct"/>
            <w:vAlign w:val="center"/>
          </w:tcPr>
          <w:p w14:paraId="0B4E0C88">
            <w:pPr>
              <w:pStyle w:val="110"/>
              <w:wordWrap w:val="0"/>
              <w:ind w:left="113"/>
              <w:jc w:val="center"/>
              <w:rPr>
                <w:color w:val="auto"/>
                <w:sz w:val="21"/>
                <w:szCs w:val="21"/>
                <w:highlight w:val="none"/>
              </w:rPr>
            </w:pPr>
            <w:r>
              <w:rPr>
                <w:rFonts w:hint="eastAsia"/>
                <w:color w:val="auto"/>
                <w:sz w:val="21"/>
                <w:szCs w:val="21"/>
                <w:highlight w:val="none"/>
              </w:rPr>
              <w:t>X＞1亿元</w:t>
            </w:r>
          </w:p>
        </w:tc>
        <w:tc>
          <w:tcPr>
            <w:tcW w:w="1673" w:type="pct"/>
            <w:vAlign w:val="center"/>
          </w:tcPr>
          <w:p w14:paraId="28FCDFE6">
            <w:pPr>
              <w:pStyle w:val="110"/>
              <w:wordWrap w:val="0"/>
              <w:ind w:left="113"/>
              <w:jc w:val="center"/>
              <w:rPr>
                <w:color w:val="auto"/>
                <w:sz w:val="21"/>
                <w:szCs w:val="21"/>
                <w:highlight w:val="none"/>
              </w:rPr>
            </w:pPr>
            <w:r>
              <w:rPr>
                <w:rFonts w:hint="eastAsia"/>
                <w:color w:val="auto"/>
                <w:sz w:val="21"/>
                <w:szCs w:val="21"/>
                <w:highlight w:val="none"/>
              </w:rPr>
              <w:t>55%</w:t>
            </w:r>
          </w:p>
        </w:tc>
      </w:tr>
      <w:tr w14:paraId="5FD14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restart"/>
            <w:vAlign w:val="center"/>
          </w:tcPr>
          <w:p w14:paraId="3F1879D5">
            <w:pPr>
              <w:pStyle w:val="110"/>
              <w:wordWrap w:val="0"/>
              <w:ind w:left="113"/>
              <w:jc w:val="center"/>
              <w:rPr>
                <w:b/>
                <w:color w:val="auto"/>
                <w:sz w:val="21"/>
                <w:szCs w:val="21"/>
                <w:highlight w:val="none"/>
              </w:rPr>
            </w:pPr>
            <w:r>
              <w:rPr>
                <w:rFonts w:hint="eastAsia"/>
                <w:b/>
                <w:color w:val="auto"/>
                <w:sz w:val="21"/>
                <w:szCs w:val="21"/>
                <w:highlight w:val="none"/>
              </w:rPr>
              <w:t>服务</w:t>
            </w:r>
          </w:p>
        </w:tc>
        <w:tc>
          <w:tcPr>
            <w:tcW w:w="2481" w:type="pct"/>
            <w:vAlign w:val="center"/>
          </w:tcPr>
          <w:p w14:paraId="5369ECDB">
            <w:pPr>
              <w:pStyle w:val="110"/>
              <w:wordWrap w:val="0"/>
              <w:ind w:left="113"/>
              <w:jc w:val="center"/>
              <w:rPr>
                <w:color w:val="auto"/>
                <w:sz w:val="21"/>
                <w:szCs w:val="21"/>
                <w:highlight w:val="none"/>
              </w:rPr>
            </w:pPr>
            <w:r>
              <w:rPr>
                <w:rFonts w:hint="eastAsia"/>
                <w:color w:val="auto"/>
                <w:sz w:val="21"/>
                <w:szCs w:val="21"/>
                <w:highlight w:val="none"/>
              </w:rPr>
              <w:t>1000万元＜X≤2000万元</w:t>
            </w:r>
          </w:p>
        </w:tc>
        <w:tc>
          <w:tcPr>
            <w:tcW w:w="1673" w:type="pct"/>
            <w:vAlign w:val="center"/>
          </w:tcPr>
          <w:p w14:paraId="27307A44">
            <w:pPr>
              <w:pStyle w:val="110"/>
              <w:wordWrap w:val="0"/>
              <w:ind w:left="113"/>
              <w:jc w:val="center"/>
              <w:rPr>
                <w:color w:val="auto"/>
                <w:sz w:val="21"/>
                <w:szCs w:val="21"/>
                <w:highlight w:val="none"/>
              </w:rPr>
            </w:pPr>
            <w:r>
              <w:rPr>
                <w:rFonts w:hint="eastAsia"/>
                <w:color w:val="auto"/>
                <w:sz w:val="21"/>
                <w:szCs w:val="21"/>
                <w:highlight w:val="none"/>
              </w:rPr>
              <w:t>90%</w:t>
            </w:r>
          </w:p>
        </w:tc>
      </w:tr>
      <w:tr w14:paraId="41AD5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2AE58215">
            <w:pPr>
              <w:widowControl/>
              <w:wordWrap w:val="0"/>
              <w:jc w:val="left"/>
              <w:rPr>
                <w:rFonts w:ascii="宋体" w:hAnsi="宋体" w:cs="宋体"/>
                <w:b/>
                <w:color w:val="auto"/>
                <w:szCs w:val="21"/>
                <w:highlight w:val="none"/>
              </w:rPr>
            </w:pPr>
          </w:p>
        </w:tc>
        <w:tc>
          <w:tcPr>
            <w:tcW w:w="2481" w:type="pct"/>
            <w:vAlign w:val="center"/>
          </w:tcPr>
          <w:p w14:paraId="7495A4C8">
            <w:pPr>
              <w:pStyle w:val="110"/>
              <w:wordWrap w:val="0"/>
              <w:ind w:left="113"/>
              <w:jc w:val="center"/>
              <w:rPr>
                <w:color w:val="auto"/>
                <w:sz w:val="21"/>
                <w:szCs w:val="21"/>
                <w:highlight w:val="none"/>
              </w:rPr>
            </w:pPr>
            <w:r>
              <w:rPr>
                <w:rFonts w:hint="eastAsia"/>
                <w:color w:val="auto"/>
                <w:sz w:val="21"/>
                <w:szCs w:val="21"/>
                <w:highlight w:val="none"/>
              </w:rPr>
              <w:t>2000万元＜X≤3000万元</w:t>
            </w:r>
          </w:p>
        </w:tc>
        <w:tc>
          <w:tcPr>
            <w:tcW w:w="1673" w:type="pct"/>
            <w:vAlign w:val="center"/>
          </w:tcPr>
          <w:p w14:paraId="5FA14FB8">
            <w:pPr>
              <w:pStyle w:val="110"/>
              <w:wordWrap w:val="0"/>
              <w:ind w:left="113"/>
              <w:jc w:val="center"/>
              <w:rPr>
                <w:color w:val="auto"/>
                <w:sz w:val="21"/>
                <w:szCs w:val="21"/>
                <w:highlight w:val="none"/>
              </w:rPr>
            </w:pPr>
            <w:r>
              <w:rPr>
                <w:rFonts w:hint="eastAsia"/>
                <w:color w:val="auto"/>
                <w:sz w:val="21"/>
                <w:szCs w:val="21"/>
                <w:highlight w:val="none"/>
              </w:rPr>
              <w:t>85%</w:t>
            </w:r>
          </w:p>
        </w:tc>
      </w:tr>
      <w:tr w14:paraId="00327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62A15528">
            <w:pPr>
              <w:widowControl/>
              <w:wordWrap w:val="0"/>
              <w:jc w:val="left"/>
              <w:rPr>
                <w:rFonts w:ascii="宋体" w:hAnsi="宋体" w:cs="宋体"/>
                <w:b/>
                <w:color w:val="auto"/>
                <w:szCs w:val="21"/>
                <w:highlight w:val="none"/>
              </w:rPr>
            </w:pPr>
          </w:p>
        </w:tc>
        <w:tc>
          <w:tcPr>
            <w:tcW w:w="2481" w:type="pct"/>
            <w:vAlign w:val="center"/>
          </w:tcPr>
          <w:p w14:paraId="7AC34B0E">
            <w:pPr>
              <w:pStyle w:val="110"/>
              <w:wordWrap w:val="0"/>
              <w:ind w:left="113"/>
              <w:jc w:val="center"/>
              <w:rPr>
                <w:color w:val="auto"/>
                <w:sz w:val="21"/>
                <w:szCs w:val="21"/>
                <w:highlight w:val="none"/>
              </w:rPr>
            </w:pPr>
            <w:r>
              <w:rPr>
                <w:rFonts w:hint="eastAsia"/>
                <w:color w:val="auto"/>
                <w:sz w:val="21"/>
                <w:szCs w:val="21"/>
                <w:highlight w:val="none"/>
              </w:rPr>
              <w:t>3000万元＜X≤4000万元</w:t>
            </w:r>
          </w:p>
        </w:tc>
        <w:tc>
          <w:tcPr>
            <w:tcW w:w="1673" w:type="pct"/>
            <w:vAlign w:val="center"/>
          </w:tcPr>
          <w:p w14:paraId="58F675FC">
            <w:pPr>
              <w:pStyle w:val="110"/>
              <w:wordWrap w:val="0"/>
              <w:ind w:left="113"/>
              <w:jc w:val="center"/>
              <w:rPr>
                <w:color w:val="auto"/>
                <w:sz w:val="21"/>
                <w:szCs w:val="21"/>
                <w:highlight w:val="none"/>
              </w:rPr>
            </w:pPr>
            <w:r>
              <w:rPr>
                <w:rFonts w:hint="eastAsia"/>
                <w:color w:val="auto"/>
                <w:sz w:val="21"/>
                <w:szCs w:val="21"/>
                <w:highlight w:val="none"/>
              </w:rPr>
              <w:t>80%</w:t>
            </w:r>
          </w:p>
        </w:tc>
      </w:tr>
      <w:tr w14:paraId="0AA58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3855C620">
            <w:pPr>
              <w:pStyle w:val="110"/>
              <w:wordWrap w:val="0"/>
              <w:ind w:left="113"/>
              <w:jc w:val="center"/>
              <w:rPr>
                <w:b/>
                <w:color w:val="auto"/>
                <w:sz w:val="21"/>
                <w:szCs w:val="21"/>
                <w:highlight w:val="none"/>
              </w:rPr>
            </w:pPr>
          </w:p>
        </w:tc>
        <w:tc>
          <w:tcPr>
            <w:tcW w:w="2481" w:type="pct"/>
            <w:vAlign w:val="center"/>
          </w:tcPr>
          <w:p w14:paraId="6ACB945F">
            <w:pPr>
              <w:pStyle w:val="110"/>
              <w:wordWrap w:val="0"/>
              <w:ind w:left="113"/>
              <w:jc w:val="center"/>
              <w:rPr>
                <w:color w:val="auto"/>
                <w:sz w:val="21"/>
                <w:szCs w:val="21"/>
                <w:highlight w:val="none"/>
              </w:rPr>
            </w:pPr>
            <w:r>
              <w:rPr>
                <w:rFonts w:hint="eastAsia"/>
                <w:color w:val="auto"/>
                <w:sz w:val="21"/>
                <w:szCs w:val="21"/>
                <w:highlight w:val="none"/>
              </w:rPr>
              <w:t>4000万元＜X≤5000万元</w:t>
            </w:r>
          </w:p>
        </w:tc>
        <w:tc>
          <w:tcPr>
            <w:tcW w:w="1673" w:type="pct"/>
            <w:vAlign w:val="center"/>
          </w:tcPr>
          <w:p w14:paraId="17626674">
            <w:pPr>
              <w:pStyle w:val="110"/>
              <w:wordWrap w:val="0"/>
              <w:ind w:left="113"/>
              <w:jc w:val="center"/>
              <w:rPr>
                <w:color w:val="auto"/>
                <w:sz w:val="21"/>
                <w:szCs w:val="21"/>
                <w:highlight w:val="none"/>
              </w:rPr>
            </w:pPr>
            <w:r>
              <w:rPr>
                <w:rFonts w:hint="eastAsia"/>
                <w:color w:val="auto"/>
                <w:sz w:val="21"/>
                <w:szCs w:val="21"/>
                <w:highlight w:val="none"/>
              </w:rPr>
              <w:t>75%</w:t>
            </w:r>
          </w:p>
        </w:tc>
      </w:tr>
      <w:tr w14:paraId="71DE6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4849E53D">
            <w:pPr>
              <w:pStyle w:val="110"/>
              <w:wordWrap w:val="0"/>
              <w:ind w:left="113"/>
              <w:jc w:val="center"/>
              <w:rPr>
                <w:b/>
                <w:color w:val="auto"/>
                <w:sz w:val="21"/>
                <w:szCs w:val="21"/>
                <w:highlight w:val="none"/>
              </w:rPr>
            </w:pPr>
          </w:p>
        </w:tc>
        <w:tc>
          <w:tcPr>
            <w:tcW w:w="2481" w:type="pct"/>
            <w:vAlign w:val="center"/>
          </w:tcPr>
          <w:p w14:paraId="590BD98C">
            <w:pPr>
              <w:pStyle w:val="110"/>
              <w:wordWrap w:val="0"/>
              <w:ind w:left="113"/>
              <w:jc w:val="center"/>
              <w:rPr>
                <w:color w:val="auto"/>
                <w:sz w:val="21"/>
                <w:szCs w:val="21"/>
                <w:highlight w:val="none"/>
              </w:rPr>
            </w:pPr>
            <w:r>
              <w:rPr>
                <w:rFonts w:hint="eastAsia"/>
                <w:color w:val="auto"/>
                <w:sz w:val="21"/>
                <w:szCs w:val="21"/>
                <w:highlight w:val="none"/>
              </w:rPr>
              <w:t>5000万元＜X≤1亿元</w:t>
            </w:r>
          </w:p>
        </w:tc>
        <w:tc>
          <w:tcPr>
            <w:tcW w:w="1673" w:type="pct"/>
            <w:vAlign w:val="center"/>
          </w:tcPr>
          <w:p w14:paraId="1A736606">
            <w:pPr>
              <w:pStyle w:val="110"/>
              <w:wordWrap w:val="0"/>
              <w:ind w:left="113"/>
              <w:jc w:val="center"/>
              <w:rPr>
                <w:color w:val="auto"/>
                <w:sz w:val="21"/>
                <w:szCs w:val="21"/>
                <w:highlight w:val="none"/>
              </w:rPr>
            </w:pPr>
            <w:r>
              <w:rPr>
                <w:rFonts w:hint="eastAsia"/>
                <w:color w:val="auto"/>
                <w:sz w:val="21"/>
                <w:szCs w:val="21"/>
                <w:highlight w:val="none"/>
              </w:rPr>
              <w:t>70%</w:t>
            </w:r>
          </w:p>
        </w:tc>
      </w:tr>
      <w:tr w14:paraId="3CA4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4233E2CC">
            <w:pPr>
              <w:pStyle w:val="110"/>
              <w:wordWrap w:val="0"/>
              <w:ind w:left="113"/>
              <w:jc w:val="center"/>
              <w:rPr>
                <w:b/>
                <w:color w:val="auto"/>
                <w:sz w:val="21"/>
                <w:szCs w:val="21"/>
                <w:highlight w:val="none"/>
              </w:rPr>
            </w:pPr>
          </w:p>
        </w:tc>
        <w:tc>
          <w:tcPr>
            <w:tcW w:w="2481" w:type="pct"/>
            <w:vAlign w:val="center"/>
          </w:tcPr>
          <w:p w14:paraId="3EE2A376">
            <w:pPr>
              <w:pStyle w:val="110"/>
              <w:wordWrap w:val="0"/>
              <w:ind w:left="113"/>
              <w:jc w:val="center"/>
              <w:rPr>
                <w:color w:val="auto"/>
                <w:sz w:val="21"/>
                <w:szCs w:val="21"/>
                <w:highlight w:val="none"/>
              </w:rPr>
            </w:pPr>
            <w:r>
              <w:rPr>
                <w:rFonts w:hint="eastAsia"/>
                <w:color w:val="auto"/>
                <w:sz w:val="21"/>
                <w:szCs w:val="21"/>
                <w:highlight w:val="none"/>
              </w:rPr>
              <w:t>X＞1亿元</w:t>
            </w:r>
          </w:p>
        </w:tc>
        <w:tc>
          <w:tcPr>
            <w:tcW w:w="1673" w:type="pct"/>
            <w:vAlign w:val="center"/>
          </w:tcPr>
          <w:p w14:paraId="2A34E854">
            <w:pPr>
              <w:pStyle w:val="110"/>
              <w:wordWrap w:val="0"/>
              <w:ind w:left="113"/>
              <w:jc w:val="center"/>
              <w:rPr>
                <w:color w:val="auto"/>
                <w:sz w:val="21"/>
                <w:szCs w:val="21"/>
                <w:highlight w:val="none"/>
              </w:rPr>
            </w:pPr>
            <w:r>
              <w:rPr>
                <w:rFonts w:hint="eastAsia"/>
                <w:color w:val="auto"/>
                <w:sz w:val="21"/>
                <w:szCs w:val="21"/>
                <w:highlight w:val="none"/>
              </w:rPr>
              <w:t>60%</w:t>
            </w:r>
          </w:p>
        </w:tc>
      </w:tr>
      <w:tr w14:paraId="35996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restart"/>
            <w:vAlign w:val="center"/>
          </w:tcPr>
          <w:p w14:paraId="5FD33197">
            <w:pPr>
              <w:pStyle w:val="110"/>
              <w:wordWrap w:val="0"/>
              <w:ind w:left="113"/>
              <w:jc w:val="center"/>
              <w:rPr>
                <w:b/>
                <w:color w:val="auto"/>
                <w:sz w:val="21"/>
                <w:szCs w:val="21"/>
                <w:highlight w:val="none"/>
              </w:rPr>
            </w:pPr>
            <w:r>
              <w:rPr>
                <w:rFonts w:hint="eastAsia"/>
                <w:b/>
                <w:color w:val="auto"/>
                <w:sz w:val="21"/>
                <w:szCs w:val="21"/>
                <w:highlight w:val="none"/>
              </w:rPr>
              <w:t>工程建设</w:t>
            </w:r>
          </w:p>
        </w:tc>
        <w:tc>
          <w:tcPr>
            <w:tcW w:w="2481" w:type="pct"/>
            <w:vAlign w:val="center"/>
          </w:tcPr>
          <w:p w14:paraId="55C983EB">
            <w:pPr>
              <w:pStyle w:val="110"/>
              <w:wordWrap w:val="0"/>
              <w:ind w:left="113"/>
              <w:jc w:val="center"/>
              <w:rPr>
                <w:color w:val="auto"/>
                <w:sz w:val="21"/>
                <w:szCs w:val="21"/>
                <w:highlight w:val="none"/>
              </w:rPr>
            </w:pPr>
            <w:r>
              <w:rPr>
                <w:rFonts w:hint="eastAsia"/>
                <w:color w:val="auto"/>
                <w:sz w:val="21"/>
                <w:szCs w:val="21"/>
                <w:highlight w:val="none"/>
              </w:rPr>
              <w:t>1000万元＜X≤2000万元</w:t>
            </w:r>
          </w:p>
        </w:tc>
        <w:tc>
          <w:tcPr>
            <w:tcW w:w="1673" w:type="pct"/>
            <w:vAlign w:val="center"/>
          </w:tcPr>
          <w:p w14:paraId="7DE8A8F2">
            <w:pPr>
              <w:pStyle w:val="110"/>
              <w:wordWrap w:val="0"/>
              <w:ind w:left="113"/>
              <w:jc w:val="center"/>
              <w:rPr>
                <w:color w:val="auto"/>
                <w:sz w:val="21"/>
                <w:szCs w:val="21"/>
                <w:highlight w:val="none"/>
              </w:rPr>
            </w:pPr>
            <w:r>
              <w:rPr>
                <w:rFonts w:hint="eastAsia"/>
                <w:color w:val="auto"/>
                <w:sz w:val="21"/>
                <w:szCs w:val="21"/>
                <w:highlight w:val="none"/>
              </w:rPr>
              <w:t>95%</w:t>
            </w:r>
          </w:p>
        </w:tc>
      </w:tr>
      <w:tr w14:paraId="62D9E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tcPr>
          <w:p w14:paraId="3AF04058">
            <w:pPr>
              <w:widowControl/>
              <w:wordWrap w:val="0"/>
              <w:jc w:val="left"/>
              <w:rPr>
                <w:rFonts w:ascii="宋体" w:hAnsi="宋体" w:cs="宋体"/>
                <w:b/>
                <w:color w:val="auto"/>
                <w:szCs w:val="21"/>
                <w:highlight w:val="none"/>
              </w:rPr>
            </w:pPr>
          </w:p>
        </w:tc>
        <w:tc>
          <w:tcPr>
            <w:tcW w:w="2481" w:type="pct"/>
            <w:vAlign w:val="center"/>
          </w:tcPr>
          <w:p w14:paraId="3FDF8E60">
            <w:pPr>
              <w:pStyle w:val="110"/>
              <w:wordWrap w:val="0"/>
              <w:ind w:left="113"/>
              <w:jc w:val="center"/>
              <w:rPr>
                <w:color w:val="auto"/>
                <w:sz w:val="21"/>
                <w:szCs w:val="21"/>
                <w:highlight w:val="none"/>
              </w:rPr>
            </w:pPr>
            <w:r>
              <w:rPr>
                <w:rFonts w:hint="eastAsia"/>
                <w:color w:val="auto"/>
                <w:sz w:val="21"/>
                <w:szCs w:val="21"/>
                <w:highlight w:val="none"/>
              </w:rPr>
              <w:t>2000万元＜X≤3000万元</w:t>
            </w:r>
          </w:p>
        </w:tc>
        <w:tc>
          <w:tcPr>
            <w:tcW w:w="1673" w:type="pct"/>
            <w:vAlign w:val="center"/>
          </w:tcPr>
          <w:p w14:paraId="1B4D8D0A">
            <w:pPr>
              <w:pStyle w:val="110"/>
              <w:wordWrap w:val="0"/>
              <w:ind w:left="113"/>
              <w:jc w:val="center"/>
              <w:rPr>
                <w:color w:val="auto"/>
                <w:sz w:val="21"/>
                <w:szCs w:val="21"/>
                <w:highlight w:val="none"/>
              </w:rPr>
            </w:pPr>
            <w:r>
              <w:rPr>
                <w:rFonts w:hint="eastAsia"/>
                <w:color w:val="auto"/>
                <w:sz w:val="21"/>
                <w:szCs w:val="21"/>
                <w:highlight w:val="none"/>
              </w:rPr>
              <w:t>90%</w:t>
            </w:r>
          </w:p>
        </w:tc>
      </w:tr>
      <w:tr w14:paraId="01638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tcPr>
          <w:p w14:paraId="18CB6701">
            <w:pPr>
              <w:widowControl/>
              <w:wordWrap w:val="0"/>
              <w:jc w:val="left"/>
              <w:rPr>
                <w:rFonts w:ascii="宋体" w:hAnsi="宋体" w:cs="宋体"/>
                <w:b/>
                <w:color w:val="auto"/>
                <w:szCs w:val="21"/>
                <w:highlight w:val="none"/>
              </w:rPr>
            </w:pPr>
          </w:p>
        </w:tc>
        <w:tc>
          <w:tcPr>
            <w:tcW w:w="2481" w:type="pct"/>
            <w:vAlign w:val="center"/>
          </w:tcPr>
          <w:p w14:paraId="08CC3A6E">
            <w:pPr>
              <w:pStyle w:val="110"/>
              <w:wordWrap w:val="0"/>
              <w:ind w:left="113"/>
              <w:jc w:val="center"/>
              <w:rPr>
                <w:color w:val="auto"/>
                <w:sz w:val="21"/>
                <w:szCs w:val="21"/>
                <w:highlight w:val="none"/>
              </w:rPr>
            </w:pPr>
            <w:r>
              <w:rPr>
                <w:rFonts w:hint="eastAsia"/>
                <w:color w:val="auto"/>
                <w:sz w:val="21"/>
                <w:szCs w:val="21"/>
                <w:highlight w:val="none"/>
              </w:rPr>
              <w:t>3000万元＜X≤4000万元</w:t>
            </w:r>
          </w:p>
        </w:tc>
        <w:tc>
          <w:tcPr>
            <w:tcW w:w="1673" w:type="pct"/>
            <w:vAlign w:val="center"/>
          </w:tcPr>
          <w:p w14:paraId="7226248E">
            <w:pPr>
              <w:pStyle w:val="110"/>
              <w:wordWrap w:val="0"/>
              <w:ind w:left="113"/>
              <w:jc w:val="center"/>
              <w:rPr>
                <w:color w:val="auto"/>
                <w:sz w:val="21"/>
                <w:szCs w:val="21"/>
                <w:highlight w:val="none"/>
              </w:rPr>
            </w:pPr>
            <w:r>
              <w:rPr>
                <w:rFonts w:hint="eastAsia"/>
                <w:color w:val="auto"/>
                <w:sz w:val="21"/>
                <w:szCs w:val="21"/>
                <w:highlight w:val="none"/>
              </w:rPr>
              <w:t>85%</w:t>
            </w:r>
          </w:p>
        </w:tc>
      </w:tr>
      <w:tr w14:paraId="374B9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tcPr>
          <w:p w14:paraId="12C1A9A9">
            <w:pPr>
              <w:widowControl/>
              <w:wordWrap w:val="0"/>
              <w:jc w:val="left"/>
              <w:rPr>
                <w:rFonts w:ascii="宋体" w:hAnsi="宋体" w:cs="宋体"/>
                <w:b/>
                <w:color w:val="auto"/>
                <w:szCs w:val="21"/>
                <w:highlight w:val="none"/>
              </w:rPr>
            </w:pPr>
          </w:p>
        </w:tc>
        <w:tc>
          <w:tcPr>
            <w:tcW w:w="2481" w:type="pct"/>
            <w:vAlign w:val="center"/>
          </w:tcPr>
          <w:p w14:paraId="04F7367D">
            <w:pPr>
              <w:pStyle w:val="110"/>
              <w:wordWrap w:val="0"/>
              <w:ind w:left="113"/>
              <w:jc w:val="center"/>
              <w:rPr>
                <w:color w:val="auto"/>
                <w:sz w:val="21"/>
                <w:szCs w:val="21"/>
                <w:highlight w:val="none"/>
              </w:rPr>
            </w:pPr>
            <w:r>
              <w:rPr>
                <w:rFonts w:hint="eastAsia"/>
                <w:color w:val="auto"/>
                <w:sz w:val="21"/>
                <w:szCs w:val="21"/>
                <w:highlight w:val="none"/>
              </w:rPr>
              <w:t>4000万元＜X≤5000万元</w:t>
            </w:r>
          </w:p>
        </w:tc>
        <w:tc>
          <w:tcPr>
            <w:tcW w:w="1673" w:type="pct"/>
            <w:vAlign w:val="center"/>
          </w:tcPr>
          <w:p w14:paraId="063FE1AA">
            <w:pPr>
              <w:pStyle w:val="110"/>
              <w:wordWrap w:val="0"/>
              <w:ind w:left="113"/>
              <w:jc w:val="center"/>
              <w:rPr>
                <w:color w:val="auto"/>
                <w:sz w:val="21"/>
                <w:szCs w:val="21"/>
                <w:highlight w:val="none"/>
              </w:rPr>
            </w:pPr>
            <w:r>
              <w:rPr>
                <w:rFonts w:hint="eastAsia"/>
                <w:color w:val="auto"/>
                <w:sz w:val="21"/>
                <w:szCs w:val="21"/>
                <w:highlight w:val="none"/>
              </w:rPr>
              <w:t>80%</w:t>
            </w:r>
          </w:p>
        </w:tc>
      </w:tr>
      <w:tr w14:paraId="03B36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tcPr>
          <w:p w14:paraId="5B1BCAEF">
            <w:pPr>
              <w:widowControl/>
              <w:wordWrap w:val="0"/>
              <w:jc w:val="left"/>
              <w:rPr>
                <w:rFonts w:ascii="宋体" w:hAnsi="宋体" w:cs="宋体"/>
                <w:b/>
                <w:color w:val="auto"/>
                <w:szCs w:val="21"/>
                <w:highlight w:val="none"/>
              </w:rPr>
            </w:pPr>
          </w:p>
        </w:tc>
        <w:tc>
          <w:tcPr>
            <w:tcW w:w="2481" w:type="pct"/>
            <w:vAlign w:val="center"/>
          </w:tcPr>
          <w:p w14:paraId="6187C6F2">
            <w:pPr>
              <w:pStyle w:val="110"/>
              <w:wordWrap w:val="0"/>
              <w:ind w:left="113"/>
              <w:jc w:val="center"/>
              <w:rPr>
                <w:color w:val="auto"/>
                <w:sz w:val="21"/>
                <w:szCs w:val="21"/>
                <w:highlight w:val="none"/>
              </w:rPr>
            </w:pPr>
            <w:r>
              <w:rPr>
                <w:rFonts w:hint="eastAsia"/>
                <w:color w:val="auto"/>
                <w:sz w:val="21"/>
                <w:szCs w:val="21"/>
                <w:highlight w:val="none"/>
              </w:rPr>
              <w:t>5000万元＜X＜1亿元</w:t>
            </w:r>
          </w:p>
        </w:tc>
        <w:tc>
          <w:tcPr>
            <w:tcW w:w="1673" w:type="pct"/>
            <w:vAlign w:val="center"/>
          </w:tcPr>
          <w:p w14:paraId="0DE17474">
            <w:pPr>
              <w:pStyle w:val="110"/>
              <w:wordWrap w:val="0"/>
              <w:ind w:left="113"/>
              <w:jc w:val="center"/>
              <w:rPr>
                <w:color w:val="auto"/>
                <w:sz w:val="21"/>
                <w:szCs w:val="21"/>
                <w:highlight w:val="none"/>
              </w:rPr>
            </w:pPr>
            <w:r>
              <w:rPr>
                <w:rFonts w:hint="eastAsia"/>
                <w:color w:val="auto"/>
                <w:sz w:val="21"/>
                <w:szCs w:val="21"/>
                <w:highlight w:val="none"/>
              </w:rPr>
              <w:t>75%</w:t>
            </w:r>
          </w:p>
        </w:tc>
      </w:tr>
      <w:tr w14:paraId="72A33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tcPr>
          <w:p w14:paraId="784E8EC2">
            <w:pPr>
              <w:widowControl/>
              <w:wordWrap w:val="0"/>
              <w:jc w:val="left"/>
              <w:rPr>
                <w:rFonts w:ascii="宋体" w:hAnsi="宋体" w:cs="宋体"/>
                <w:b/>
                <w:color w:val="auto"/>
                <w:szCs w:val="21"/>
                <w:highlight w:val="none"/>
              </w:rPr>
            </w:pPr>
          </w:p>
        </w:tc>
        <w:tc>
          <w:tcPr>
            <w:tcW w:w="2481" w:type="pct"/>
            <w:vAlign w:val="center"/>
          </w:tcPr>
          <w:p w14:paraId="7EDA11D3">
            <w:pPr>
              <w:pStyle w:val="110"/>
              <w:wordWrap w:val="0"/>
              <w:ind w:left="113"/>
              <w:jc w:val="center"/>
              <w:rPr>
                <w:color w:val="auto"/>
                <w:sz w:val="21"/>
                <w:szCs w:val="21"/>
                <w:highlight w:val="none"/>
              </w:rPr>
            </w:pPr>
            <w:r>
              <w:rPr>
                <w:rFonts w:hint="eastAsia"/>
                <w:color w:val="auto"/>
                <w:sz w:val="21"/>
                <w:szCs w:val="21"/>
                <w:highlight w:val="none"/>
              </w:rPr>
              <w:t>1亿元≤X＜5亿元</w:t>
            </w:r>
          </w:p>
        </w:tc>
        <w:tc>
          <w:tcPr>
            <w:tcW w:w="1673" w:type="pct"/>
            <w:vAlign w:val="center"/>
          </w:tcPr>
          <w:p w14:paraId="3B30CB53">
            <w:pPr>
              <w:pStyle w:val="110"/>
              <w:wordWrap w:val="0"/>
              <w:ind w:left="113"/>
              <w:jc w:val="center"/>
              <w:rPr>
                <w:color w:val="auto"/>
                <w:sz w:val="21"/>
                <w:szCs w:val="21"/>
                <w:highlight w:val="none"/>
              </w:rPr>
            </w:pPr>
            <w:r>
              <w:rPr>
                <w:rFonts w:hint="eastAsia"/>
                <w:color w:val="auto"/>
                <w:sz w:val="21"/>
                <w:szCs w:val="21"/>
                <w:highlight w:val="none"/>
              </w:rPr>
              <w:t>70%</w:t>
            </w:r>
          </w:p>
        </w:tc>
      </w:tr>
      <w:tr w14:paraId="40563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tcPr>
          <w:p w14:paraId="74918A40">
            <w:pPr>
              <w:widowControl/>
              <w:wordWrap w:val="0"/>
              <w:jc w:val="left"/>
              <w:rPr>
                <w:rFonts w:ascii="宋体" w:hAnsi="宋体" w:cs="宋体"/>
                <w:b/>
                <w:color w:val="auto"/>
                <w:szCs w:val="21"/>
                <w:highlight w:val="none"/>
              </w:rPr>
            </w:pPr>
          </w:p>
        </w:tc>
        <w:tc>
          <w:tcPr>
            <w:tcW w:w="2481" w:type="pct"/>
            <w:vAlign w:val="center"/>
          </w:tcPr>
          <w:p w14:paraId="191373B9">
            <w:pPr>
              <w:pStyle w:val="110"/>
              <w:wordWrap w:val="0"/>
              <w:ind w:left="113"/>
              <w:jc w:val="center"/>
              <w:rPr>
                <w:color w:val="auto"/>
                <w:sz w:val="21"/>
                <w:szCs w:val="21"/>
                <w:highlight w:val="none"/>
              </w:rPr>
            </w:pPr>
            <w:r>
              <w:rPr>
                <w:rFonts w:hint="eastAsia"/>
                <w:color w:val="auto"/>
                <w:sz w:val="21"/>
                <w:szCs w:val="21"/>
                <w:highlight w:val="none"/>
              </w:rPr>
              <w:t>X≥5亿元</w:t>
            </w:r>
          </w:p>
        </w:tc>
        <w:tc>
          <w:tcPr>
            <w:tcW w:w="1673" w:type="pct"/>
            <w:vAlign w:val="center"/>
          </w:tcPr>
          <w:p w14:paraId="08860325">
            <w:pPr>
              <w:pStyle w:val="110"/>
              <w:wordWrap w:val="0"/>
              <w:ind w:left="113"/>
              <w:jc w:val="center"/>
              <w:rPr>
                <w:color w:val="auto"/>
                <w:sz w:val="21"/>
                <w:szCs w:val="21"/>
                <w:highlight w:val="none"/>
              </w:rPr>
            </w:pPr>
            <w:r>
              <w:rPr>
                <w:rFonts w:hint="eastAsia"/>
                <w:color w:val="auto"/>
                <w:sz w:val="21"/>
                <w:szCs w:val="21"/>
                <w:highlight w:val="none"/>
              </w:rPr>
              <w:t>65%</w:t>
            </w:r>
          </w:p>
        </w:tc>
      </w:tr>
      <w:tr w14:paraId="3F18D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3326" w:type="pct"/>
            <w:gridSpan w:val="2"/>
            <w:vAlign w:val="center"/>
          </w:tcPr>
          <w:p w14:paraId="1BE60104">
            <w:pPr>
              <w:pStyle w:val="110"/>
              <w:wordWrap w:val="0"/>
              <w:ind w:left="113"/>
              <w:jc w:val="center"/>
              <w:rPr>
                <w:color w:val="auto"/>
                <w:sz w:val="21"/>
                <w:szCs w:val="21"/>
                <w:highlight w:val="none"/>
              </w:rPr>
            </w:pPr>
            <w:r>
              <w:rPr>
                <w:rFonts w:hint="eastAsia"/>
                <w:b/>
                <w:color w:val="auto"/>
                <w:sz w:val="21"/>
                <w:szCs w:val="21"/>
                <w:highlight w:val="none"/>
              </w:rPr>
              <w:t>国际招标项目</w:t>
            </w:r>
          </w:p>
        </w:tc>
        <w:tc>
          <w:tcPr>
            <w:tcW w:w="1673" w:type="pct"/>
            <w:vAlign w:val="center"/>
          </w:tcPr>
          <w:p w14:paraId="6517E47B">
            <w:pPr>
              <w:pStyle w:val="110"/>
              <w:wordWrap w:val="0"/>
              <w:ind w:left="113"/>
              <w:jc w:val="center"/>
              <w:rPr>
                <w:color w:val="auto"/>
                <w:sz w:val="21"/>
                <w:szCs w:val="21"/>
                <w:highlight w:val="none"/>
              </w:rPr>
            </w:pPr>
            <w:r>
              <w:rPr>
                <w:rFonts w:hint="eastAsia"/>
                <w:color w:val="auto"/>
                <w:sz w:val="21"/>
                <w:szCs w:val="21"/>
                <w:highlight w:val="none"/>
              </w:rPr>
              <w:t>90%</w:t>
            </w:r>
          </w:p>
        </w:tc>
      </w:tr>
      <w:tr w14:paraId="3358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trPr>
        <w:tc>
          <w:tcPr>
            <w:tcW w:w="5000" w:type="pct"/>
            <w:gridSpan w:val="3"/>
          </w:tcPr>
          <w:p w14:paraId="0FF9518E">
            <w:pPr>
              <w:pStyle w:val="110"/>
              <w:wordWrap w:val="0"/>
              <w:rPr>
                <w:b/>
                <w:color w:val="auto"/>
                <w:sz w:val="21"/>
                <w:szCs w:val="21"/>
                <w:highlight w:val="none"/>
                <w:lang w:eastAsia="zh-CN"/>
              </w:rPr>
            </w:pPr>
            <w:r>
              <w:rPr>
                <w:rFonts w:hint="eastAsia"/>
                <w:b/>
                <w:color w:val="auto"/>
                <w:sz w:val="21"/>
                <w:szCs w:val="21"/>
                <w:highlight w:val="none"/>
                <w:lang w:eastAsia="zh-CN"/>
              </w:rPr>
              <w:t>收费说明：</w:t>
            </w:r>
          </w:p>
          <w:p w14:paraId="603A1F4B">
            <w:pPr>
              <w:pStyle w:val="110"/>
              <w:wordWrap w:val="0"/>
              <w:rPr>
                <w:color w:val="auto"/>
                <w:sz w:val="21"/>
                <w:szCs w:val="21"/>
                <w:highlight w:val="none"/>
                <w:lang w:eastAsia="zh-CN"/>
              </w:rPr>
            </w:pPr>
            <w:r>
              <w:rPr>
                <w:rFonts w:hint="eastAsia"/>
                <w:color w:val="auto"/>
                <w:sz w:val="21"/>
                <w:szCs w:val="21"/>
                <w:highlight w:val="none"/>
                <w:lang w:eastAsia="zh-CN"/>
              </w:rPr>
              <w:t>1.招标代理服务费按标段收取。</w:t>
            </w:r>
          </w:p>
          <w:p w14:paraId="6707DEE6">
            <w:pPr>
              <w:pStyle w:val="110"/>
              <w:wordWrap w:val="0"/>
              <w:rPr>
                <w:color w:val="auto"/>
                <w:sz w:val="21"/>
                <w:szCs w:val="21"/>
                <w:highlight w:val="none"/>
                <w:lang w:eastAsia="zh-CN"/>
              </w:rPr>
            </w:pPr>
            <w:r>
              <w:rPr>
                <w:rFonts w:hint="eastAsia"/>
                <w:color w:val="auto"/>
                <w:sz w:val="21"/>
                <w:szCs w:val="21"/>
                <w:highlight w:val="none"/>
                <w:lang w:eastAsia="zh-CN"/>
              </w:rPr>
              <w:t>2.招标代理服务费以中标金额为基数，按表1计算后得出招标代理服务费初始金额，初始金额再按照表2对应的取费率进行计算得出最终的招标代理服务费收费金额，由中标人向招标代理服务机构缴纳；该金额为含税金额。</w:t>
            </w:r>
          </w:p>
          <w:p w14:paraId="5608795C">
            <w:pPr>
              <w:pStyle w:val="110"/>
              <w:wordWrap w:val="0"/>
              <w:rPr>
                <w:color w:val="auto"/>
                <w:sz w:val="21"/>
                <w:szCs w:val="21"/>
                <w:highlight w:val="none"/>
                <w:lang w:eastAsia="zh-CN"/>
              </w:rPr>
            </w:pPr>
            <w:r>
              <w:rPr>
                <w:rFonts w:hint="eastAsia"/>
                <w:color w:val="auto"/>
                <w:sz w:val="21"/>
                <w:szCs w:val="21"/>
                <w:highlight w:val="none"/>
                <w:lang w:eastAsia="zh-CN"/>
              </w:rPr>
              <w:t>2.按表1、表2计算后招标代理服务费最高不超过40万元；不足2万元的，按2万元收取。</w:t>
            </w:r>
          </w:p>
        </w:tc>
      </w:tr>
    </w:tbl>
    <w:p w14:paraId="1F531DA3">
      <w:pPr>
        <w:pStyle w:val="63"/>
        <w:wordWrap w:val="0"/>
        <w:ind w:firstLine="0"/>
        <w:rPr>
          <w:color w:val="auto"/>
          <w:spacing w:val="0"/>
          <w:highlight w:val="none"/>
        </w:rPr>
      </w:pPr>
    </w:p>
    <w:p w14:paraId="1509BADA">
      <w:pPr>
        <w:pStyle w:val="2"/>
        <w:wordWrap w:val="0"/>
        <w:spacing w:line="360" w:lineRule="auto"/>
        <w:ind w:left="0" w:leftChars="0" w:right="0" w:rightChars="0" w:firstLine="0" w:firstLineChars="0"/>
        <w:jc w:val="center"/>
        <w:rPr>
          <w:rFonts w:hAnsi="黑体"/>
          <w:color w:val="auto"/>
          <w:sz w:val="44"/>
          <w:szCs w:val="44"/>
          <w:highlight w:val="none"/>
        </w:rPr>
      </w:pPr>
      <w:r>
        <w:rPr>
          <w:rFonts w:ascii="宋体" w:hAnsi="宋体"/>
          <w:b w:val="0"/>
          <w:color w:val="auto"/>
          <w:sz w:val="44"/>
          <w:szCs w:val="44"/>
          <w:highlight w:val="none"/>
        </w:rPr>
        <w:br w:type="page"/>
      </w:r>
      <w:bookmarkStart w:id="5" w:name="_Toc29911"/>
      <w:bookmarkStart w:id="6" w:name="_Toc15979"/>
      <w:r>
        <w:rPr>
          <w:rFonts w:hAnsi="黑体"/>
          <w:color w:val="auto"/>
          <w:sz w:val="44"/>
          <w:szCs w:val="44"/>
          <w:highlight w:val="none"/>
        </w:rPr>
        <w:t>第三章</w:t>
      </w:r>
      <w:r>
        <w:rPr>
          <w:rFonts w:hint="eastAsia" w:hAnsi="黑体"/>
          <w:color w:val="auto"/>
          <w:sz w:val="44"/>
          <w:szCs w:val="44"/>
          <w:highlight w:val="none"/>
        </w:rPr>
        <w:t xml:space="preserve"> </w:t>
      </w:r>
      <w:r>
        <w:rPr>
          <w:rFonts w:hAnsi="黑体"/>
          <w:color w:val="auto"/>
          <w:sz w:val="44"/>
          <w:szCs w:val="44"/>
          <w:highlight w:val="none"/>
        </w:rPr>
        <w:t>评标办法</w:t>
      </w:r>
      <w:r>
        <w:rPr>
          <w:rFonts w:hint="eastAsia" w:hAnsi="黑体"/>
          <w:color w:val="auto"/>
          <w:sz w:val="44"/>
          <w:szCs w:val="44"/>
          <w:highlight w:val="none"/>
        </w:rPr>
        <w:t>（综合评估法）</w:t>
      </w:r>
      <w:bookmarkEnd w:id="5"/>
      <w:bookmarkEnd w:id="6"/>
    </w:p>
    <w:tbl>
      <w:tblPr>
        <w:tblStyle w:val="64"/>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704"/>
        <w:gridCol w:w="120"/>
        <w:gridCol w:w="827"/>
        <w:gridCol w:w="234"/>
        <w:gridCol w:w="38"/>
        <w:gridCol w:w="999"/>
        <w:gridCol w:w="5711"/>
      </w:tblGrid>
      <w:tr w14:paraId="1DCFC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573" w:type="dxa"/>
            <w:gridSpan w:val="2"/>
            <w:tcBorders>
              <w:tl2br w:val="nil"/>
              <w:tr2bl w:val="nil"/>
            </w:tcBorders>
            <w:vAlign w:val="center"/>
          </w:tcPr>
          <w:p w14:paraId="6364F176">
            <w:pPr>
              <w:wordWrap w:val="0"/>
              <w:jc w:val="center"/>
              <w:rPr>
                <w:rFonts w:ascii="宋体" w:hAnsi="宋体" w:cs="宋体"/>
                <w:b/>
                <w:color w:val="auto"/>
                <w:szCs w:val="21"/>
                <w:highlight w:val="none"/>
              </w:rPr>
            </w:pPr>
            <w:r>
              <w:rPr>
                <w:rFonts w:hint="eastAsia" w:ascii="宋体" w:hAnsi="宋体" w:eastAsia="宋体" w:cs="宋体"/>
                <w:b/>
                <w:color w:val="auto"/>
                <w:szCs w:val="21"/>
                <w:highlight w:val="none"/>
              </w:rPr>
              <w:t>条款号</w:t>
            </w:r>
          </w:p>
        </w:tc>
        <w:tc>
          <w:tcPr>
            <w:tcW w:w="1181" w:type="dxa"/>
            <w:gridSpan w:val="3"/>
            <w:tcBorders>
              <w:tl2br w:val="nil"/>
              <w:tr2bl w:val="nil"/>
            </w:tcBorders>
            <w:vAlign w:val="center"/>
          </w:tcPr>
          <w:p w14:paraId="27B0F683">
            <w:pPr>
              <w:wordWrap w:val="0"/>
              <w:jc w:val="center"/>
              <w:rPr>
                <w:rFonts w:ascii="宋体" w:hAnsi="宋体" w:cs="宋体"/>
                <w:b/>
                <w:color w:val="auto"/>
                <w:szCs w:val="21"/>
                <w:highlight w:val="none"/>
              </w:rPr>
            </w:pPr>
            <w:r>
              <w:rPr>
                <w:rFonts w:hint="eastAsia" w:ascii="宋体" w:hAnsi="宋体" w:cs="宋体"/>
                <w:b/>
                <w:color w:val="auto"/>
                <w:szCs w:val="21"/>
                <w:highlight w:val="none"/>
              </w:rPr>
              <w:t>评审因素</w:t>
            </w:r>
          </w:p>
        </w:tc>
        <w:tc>
          <w:tcPr>
            <w:tcW w:w="6748" w:type="dxa"/>
            <w:gridSpan w:val="3"/>
            <w:tcBorders>
              <w:tl2br w:val="nil"/>
              <w:tr2bl w:val="nil"/>
            </w:tcBorders>
            <w:vAlign w:val="center"/>
          </w:tcPr>
          <w:p w14:paraId="44E6E52E">
            <w:pPr>
              <w:wordWrap w:val="0"/>
              <w:jc w:val="center"/>
              <w:rPr>
                <w:rFonts w:ascii="宋体" w:hAnsi="宋体" w:cs="宋体"/>
                <w:b/>
                <w:color w:val="auto"/>
                <w:szCs w:val="21"/>
                <w:highlight w:val="none"/>
              </w:rPr>
            </w:pPr>
            <w:r>
              <w:rPr>
                <w:rFonts w:hint="eastAsia" w:ascii="宋体" w:hAnsi="宋体" w:cs="宋体"/>
                <w:b/>
                <w:color w:val="auto"/>
                <w:szCs w:val="21"/>
                <w:highlight w:val="none"/>
              </w:rPr>
              <w:t>评审标准</w:t>
            </w:r>
          </w:p>
        </w:tc>
      </w:tr>
      <w:tr w14:paraId="42DFF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869" w:type="dxa"/>
            <w:vMerge w:val="restart"/>
            <w:tcBorders>
              <w:tl2br w:val="nil"/>
              <w:tr2bl w:val="nil"/>
            </w:tcBorders>
            <w:vAlign w:val="center"/>
          </w:tcPr>
          <w:p w14:paraId="680F892B">
            <w:pPr>
              <w:spacing w:line="360" w:lineRule="exact"/>
              <w:jc w:val="center"/>
              <w:rPr>
                <w:rFonts w:ascii="宋体" w:hAnsi="宋体" w:cs="宋体"/>
                <w:bCs/>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1</w:t>
            </w:r>
          </w:p>
        </w:tc>
        <w:tc>
          <w:tcPr>
            <w:tcW w:w="8633" w:type="dxa"/>
            <w:gridSpan w:val="7"/>
            <w:tcBorders>
              <w:tl2br w:val="nil"/>
              <w:tr2bl w:val="nil"/>
            </w:tcBorders>
            <w:vAlign w:val="center"/>
          </w:tcPr>
          <w:p w14:paraId="3CCA0C21">
            <w:pPr>
              <w:spacing w:line="360" w:lineRule="exact"/>
              <w:jc w:val="center"/>
              <w:rPr>
                <w:rFonts w:ascii="宋体" w:hAnsi="宋体" w:cs="宋体"/>
                <w:bCs/>
                <w:color w:val="auto"/>
                <w:szCs w:val="21"/>
                <w:highlight w:val="none"/>
              </w:rPr>
            </w:pPr>
            <w:r>
              <w:rPr>
                <w:rFonts w:hint="eastAsia" w:ascii="宋体" w:hAnsi="宋体" w:cs="宋体"/>
                <w:color w:val="auto"/>
                <w:szCs w:val="21"/>
                <w:highlight w:val="none"/>
              </w:rPr>
              <w:t>资格评审标准</w:t>
            </w:r>
          </w:p>
        </w:tc>
      </w:tr>
      <w:tr w14:paraId="6BB5F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869" w:type="dxa"/>
            <w:vMerge w:val="continue"/>
            <w:tcBorders>
              <w:tl2br w:val="nil"/>
              <w:tr2bl w:val="nil"/>
            </w:tcBorders>
            <w:vAlign w:val="center"/>
          </w:tcPr>
          <w:p w14:paraId="658937A4">
            <w:pPr>
              <w:spacing w:line="360" w:lineRule="exact"/>
              <w:jc w:val="center"/>
              <w:rPr>
                <w:rFonts w:ascii="宋体" w:hAnsi="宋体" w:cs="宋体"/>
                <w:color w:val="auto"/>
                <w:szCs w:val="21"/>
                <w:highlight w:val="none"/>
              </w:rPr>
            </w:pPr>
          </w:p>
        </w:tc>
        <w:tc>
          <w:tcPr>
            <w:tcW w:w="1651" w:type="dxa"/>
            <w:gridSpan w:val="3"/>
            <w:vMerge w:val="restart"/>
            <w:tcBorders>
              <w:tl2br w:val="nil"/>
              <w:tr2bl w:val="nil"/>
            </w:tcBorders>
            <w:vAlign w:val="center"/>
          </w:tcPr>
          <w:p w14:paraId="7428547A">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企业</w:t>
            </w:r>
          </w:p>
        </w:tc>
        <w:tc>
          <w:tcPr>
            <w:tcW w:w="1271" w:type="dxa"/>
            <w:gridSpan w:val="3"/>
            <w:tcBorders>
              <w:tl2br w:val="nil"/>
              <w:tr2bl w:val="nil"/>
            </w:tcBorders>
            <w:vAlign w:val="center"/>
          </w:tcPr>
          <w:p w14:paraId="1A837F27">
            <w:pPr>
              <w:spacing w:line="360" w:lineRule="exact"/>
              <w:jc w:val="center"/>
              <w:rPr>
                <w:color w:val="auto"/>
                <w:highlight w:val="none"/>
              </w:rPr>
            </w:pPr>
            <w:r>
              <w:rPr>
                <w:rFonts w:hint="eastAsia" w:ascii="宋体" w:hAnsi="宋体" w:cs="宋体"/>
                <w:color w:val="auto"/>
                <w:szCs w:val="21"/>
                <w:highlight w:val="none"/>
              </w:rPr>
              <w:t>营业执照</w:t>
            </w:r>
          </w:p>
        </w:tc>
        <w:tc>
          <w:tcPr>
            <w:tcW w:w="5711" w:type="dxa"/>
            <w:vMerge w:val="restart"/>
            <w:tcBorders>
              <w:tl2br w:val="nil"/>
              <w:tr2bl w:val="nil"/>
            </w:tcBorders>
            <w:vAlign w:val="center"/>
          </w:tcPr>
          <w:p w14:paraId="3D00C37A">
            <w:pPr>
              <w:spacing w:line="360" w:lineRule="exact"/>
              <w:rPr>
                <w:rFonts w:ascii="宋体" w:hAnsi="宋体" w:cs="宋体"/>
                <w:color w:val="auto"/>
                <w:szCs w:val="21"/>
                <w:highlight w:val="none"/>
              </w:rPr>
            </w:pPr>
            <w:r>
              <w:rPr>
                <w:rFonts w:hint="eastAsia" w:ascii="宋体" w:hAnsi="宋体" w:cs="宋体"/>
                <w:color w:val="auto"/>
                <w:szCs w:val="21"/>
                <w:highlight w:val="none"/>
              </w:rPr>
              <w:t>符合第二章“投标人须知”第1.4.1项和第3.5项的规定。</w:t>
            </w:r>
          </w:p>
        </w:tc>
      </w:tr>
      <w:tr w14:paraId="3F262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9" w:type="dxa"/>
            <w:vMerge w:val="continue"/>
            <w:tcBorders>
              <w:tl2br w:val="nil"/>
              <w:tr2bl w:val="nil"/>
            </w:tcBorders>
            <w:vAlign w:val="center"/>
          </w:tcPr>
          <w:p w14:paraId="640501AB">
            <w:pPr>
              <w:spacing w:line="360" w:lineRule="exact"/>
              <w:jc w:val="center"/>
              <w:rPr>
                <w:rFonts w:ascii="宋体" w:hAnsi="宋体" w:cs="宋体"/>
                <w:color w:val="auto"/>
                <w:szCs w:val="21"/>
                <w:highlight w:val="none"/>
              </w:rPr>
            </w:pPr>
          </w:p>
        </w:tc>
        <w:tc>
          <w:tcPr>
            <w:tcW w:w="1651" w:type="dxa"/>
            <w:gridSpan w:val="3"/>
            <w:vMerge w:val="continue"/>
            <w:tcBorders>
              <w:tl2br w:val="nil"/>
              <w:tr2bl w:val="nil"/>
            </w:tcBorders>
            <w:vAlign w:val="center"/>
          </w:tcPr>
          <w:p w14:paraId="783346D2">
            <w:pPr>
              <w:spacing w:line="360" w:lineRule="exact"/>
              <w:jc w:val="center"/>
              <w:rPr>
                <w:rFonts w:hint="eastAsia" w:ascii="宋体" w:hAnsi="宋体" w:cs="宋体"/>
                <w:color w:val="auto"/>
                <w:szCs w:val="21"/>
                <w:highlight w:val="none"/>
              </w:rPr>
            </w:pPr>
          </w:p>
        </w:tc>
        <w:tc>
          <w:tcPr>
            <w:tcW w:w="1271" w:type="dxa"/>
            <w:gridSpan w:val="3"/>
            <w:tcBorders>
              <w:tl2br w:val="nil"/>
              <w:tr2bl w:val="nil"/>
            </w:tcBorders>
            <w:vAlign w:val="center"/>
          </w:tcPr>
          <w:p w14:paraId="0F3B61D8">
            <w:pPr>
              <w:spacing w:line="360" w:lineRule="exact"/>
              <w:jc w:val="center"/>
              <w:rPr>
                <w:color w:val="auto"/>
                <w:highlight w:val="none"/>
              </w:rPr>
            </w:pPr>
            <w:r>
              <w:rPr>
                <w:rFonts w:hint="eastAsia" w:ascii="宋体" w:hAnsi="宋体" w:cs="宋体"/>
                <w:color w:val="auto"/>
                <w:szCs w:val="21"/>
                <w:highlight w:val="none"/>
              </w:rPr>
              <w:t>资质证书（如有）</w:t>
            </w:r>
          </w:p>
        </w:tc>
        <w:tc>
          <w:tcPr>
            <w:tcW w:w="5711" w:type="dxa"/>
            <w:vMerge w:val="continue"/>
            <w:tcBorders>
              <w:tl2br w:val="nil"/>
              <w:tr2bl w:val="nil"/>
            </w:tcBorders>
            <w:vAlign w:val="center"/>
          </w:tcPr>
          <w:p w14:paraId="3AA6CA3B">
            <w:pPr>
              <w:spacing w:line="360" w:lineRule="exact"/>
              <w:rPr>
                <w:rFonts w:hint="eastAsia" w:ascii="宋体" w:hAnsi="宋体" w:cs="宋体"/>
                <w:color w:val="auto"/>
                <w:szCs w:val="21"/>
                <w:highlight w:val="none"/>
              </w:rPr>
            </w:pPr>
          </w:p>
        </w:tc>
      </w:tr>
      <w:tr w14:paraId="37A08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869" w:type="dxa"/>
            <w:vMerge w:val="continue"/>
            <w:tcBorders>
              <w:tl2br w:val="nil"/>
              <w:tr2bl w:val="nil"/>
            </w:tcBorders>
            <w:vAlign w:val="center"/>
          </w:tcPr>
          <w:p w14:paraId="428BE323">
            <w:pPr>
              <w:spacing w:line="360" w:lineRule="exact"/>
              <w:jc w:val="center"/>
              <w:rPr>
                <w:rFonts w:ascii="宋体" w:hAnsi="宋体" w:cs="宋体"/>
                <w:color w:val="auto"/>
                <w:szCs w:val="21"/>
                <w:highlight w:val="none"/>
              </w:rPr>
            </w:pPr>
          </w:p>
        </w:tc>
        <w:tc>
          <w:tcPr>
            <w:tcW w:w="1651" w:type="dxa"/>
            <w:gridSpan w:val="3"/>
            <w:vMerge w:val="continue"/>
            <w:tcBorders>
              <w:tl2br w:val="nil"/>
              <w:tr2bl w:val="nil"/>
            </w:tcBorders>
            <w:vAlign w:val="center"/>
          </w:tcPr>
          <w:p w14:paraId="32893C0F">
            <w:pPr>
              <w:spacing w:line="360" w:lineRule="exact"/>
              <w:jc w:val="center"/>
              <w:rPr>
                <w:rFonts w:ascii="宋体" w:hAnsi="宋体" w:cs="宋体"/>
                <w:color w:val="auto"/>
                <w:szCs w:val="21"/>
                <w:highlight w:val="none"/>
              </w:rPr>
            </w:pPr>
          </w:p>
        </w:tc>
        <w:tc>
          <w:tcPr>
            <w:tcW w:w="1271" w:type="dxa"/>
            <w:gridSpan w:val="3"/>
            <w:tcBorders>
              <w:tl2br w:val="nil"/>
              <w:tr2bl w:val="nil"/>
            </w:tcBorders>
            <w:vAlign w:val="center"/>
          </w:tcPr>
          <w:p w14:paraId="68CFC4B2">
            <w:pPr>
              <w:spacing w:line="360" w:lineRule="exact"/>
              <w:jc w:val="center"/>
              <w:rPr>
                <w:rFonts w:hint="eastAsia" w:ascii="宋体" w:hAnsi="宋体" w:cs="宋体"/>
                <w:color w:val="auto"/>
                <w:szCs w:val="21"/>
                <w:highlight w:val="none"/>
              </w:rPr>
            </w:pPr>
            <w:r>
              <w:rPr>
                <w:rFonts w:hint="eastAsia" w:ascii="宋体" w:hAnsi="宋体" w:cs="宋体"/>
                <w:color w:val="auto"/>
                <w:szCs w:val="21"/>
                <w:highlight w:val="none"/>
              </w:rPr>
              <w:t>业绩要求</w:t>
            </w:r>
          </w:p>
        </w:tc>
        <w:tc>
          <w:tcPr>
            <w:tcW w:w="5711" w:type="dxa"/>
            <w:vMerge w:val="continue"/>
            <w:tcBorders>
              <w:tl2br w:val="nil"/>
              <w:tr2bl w:val="nil"/>
            </w:tcBorders>
            <w:vAlign w:val="center"/>
          </w:tcPr>
          <w:p w14:paraId="26106325">
            <w:pPr>
              <w:spacing w:line="360" w:lineRule="exact"/>
              <w:rPr>
                <w:rFonts w:ascii="宋体" w:hAnsi="宋体" w:cs="宋体"/>
                <w:color w:val="auto"/>
                <w:szCs w:val="21"/>
                <w:highlight w:val="none"/>
              </w:rPr>
            </w:pPr>
          </w:p>
        </w:tc>
      </w:tr>
      <w:tr w14:paraId="16B70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869" w:type="dxa"/>
            <w:vMerge w:val="continue"/>
            <w:tcBorders>
              <w:tl2br w:val="nil"/>
              <w:tr2bl w:val="nil"/>
            </w:tcBorders>
            <w:vAlign w:val="center"/>
          </w:tcPr>
          <w:p w14:paraId="1892F4B7">
            <w:pPr>
              <w:spacing w:line="360" w:lineRule="exact"/>
              <w:jc w:val="center"/>
              <w:rPr>
                <w:rFonts w:ascii="宋体" w:hAnsi="宋体" w:cs="宋体"/>
                <w:color w:val="auto"/>
                <w:szCs w:val="21"/>
                <w:highlight w:val="none"/>
              </w:rPr>
            </w:pPr>
          </w:p>
        </w:tc>
        <w:tc>
          <w:tcPr>
            <w:tcW w:w="1651" w:type="dxa"/>
            <w:gridSpan w:val="3"/>
            <w:vMerge w:val="continue"/>
            <w:tcBorders>
              <w:tl2br w:val="nil"/>
              <w:tr2bl w:val="nil"/>
            </w:tcBorders>
            <w:vAlign w:val="center"/>
          </w:tcPr>
          <w:p w14:paraId="59B7FF5C">
            <w:pPr>
              <w:spacing w:line="360" w:lineRule="exact"/>
              <w:jc w:val="center"/>
              <w:rPr>
                <w:rFonts w:ascii="宋体" w:hAnsi="宋体" w:cs="宋体"/>
                <w:color w:val="auto"/>
                <w:szCs w:val="21"/>
                <w:highlight w:val="none"/>
              </w:rPr>
            </w:pPr>
          </w:p>
        </w:tc>
        <w:tc>
          <w:tcPr>
            <w:tcW w:w="1271" w:type="dxa"/>
            <w:gridSpan w:val="3"/>
            <w:tcBorders>
              <w:tl2br w:val="nil"/>
              <w:tr2bl w:val="nil"/>
            </w:tcBorders>
            <w:vAlign w:val="center"/>
          </w:tcPr>
          <w:p w14:paraId="26173D98">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信誉要求</w:t>
            </w:r>
          </w:p>
        </w:tc>
        <w:tc>
          <w:tcPr>
            <w:tcW w:w="5711" w:type="dxa"/>
            <w:vMerge w:val="continue"/>
            <w:tcBorders>
              <w:tl2br w:val="nil"/>
              <w:tr2bl w:val="nil"/>
            </w:tcBorders>
            <w:vAlign w:val="center"/>
          </w:tcPr>
          <w:p w14:paraId="26BDD9FD">
            <w:pPr>
              <w:spacing w:line="360" w:lineRule="exact"/>
              <w:rPr>
                <w:rFonts w:ascii="宋体" w:hAnsi="宋体" w:cs="宋体"/>
                <w:color w:val="auto"/>
                <w:szCs w:val="21"/>
                <w:highlight w:val="none"/>
              </w:rPr>
            </w:pPr>
          </w:p>
        </w:tc>
      </w:tr>
      <w:tr w14:paraId="46FD1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jc w:val="center"/>
        </w:trPr>
        <w:tc>
          <w:tcPr>
            <w:tcW w:w="869" w:type="dxa"/>
            <w:vMerge w:val="continue"/>
            <w:tcBorders>
              <w:tl2br w:val="nil"/>
              <w:tr2bl w:val="nil"/>
            </w:tcBorders>
            <w:vAlign w:val="center"/>
          </w:tcPr>
          <w:p w14:paraId="129387D0">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7F37358F">
            <w:pPr>
              <w:spacing w:line="360" w:lineRule="exact"/>
              <w:jc w:val="center"/>
              <w:rPr>
                <w:rFonts w:ascii="宋体" w:hAnsi="宋体" w:cs="宋体"/>
                <w:strike/>
                <w:color w:val="auto"/>
                <w:szCs w:val="21"/>
                <w:highlight w:val="none"/>
              </w:rPr>
            </w:pPr>
            <w:r>
              <w:rPr>
                <w:rFonts w:hint="eastAsia" w:ascii="宋体" w:hAnsi="宋体" w:cs="宋体"/>
                <w:color w:val="auto"/>
                <w:szCs w:val="21"/>
                <w:highlight w:val="none"/>
              </w:rPr>
              <w:t>人员要求（如有）</w:t>
            </w:r>
          </w:p>
        </w:tc>
        <w:tc>
          <w:tcPr>
            <w:tcW w:w="5711" w:type="dxa"/>
            <w:vMerge w:val="continue"/>
            <w:tcBorders>
              <w:tl2br w:val="nil"/>
              <w:tr2bl w:val="nil"/>
            </w:tcBorders>
            <w:vAlign w:val="center"/>
          </w:tcPr>
          <w:p w14:paraId="6F2FBC4A">
            <w:pPr>
              <w:spacing w:line="360" w:lineRule="exact"/>
              <w:rPr>
                <w:rFonts w:ascii="宋体" w:hAnsi="宋体" w:cs="宋体"/>
                <w:color w:val="auto"/>
                <w:szCs w:val="21"/>
                <w:highlight w:val="none"/>
              </w:rPr>
            </w:pPr>
          </w:p>
        </w:tc>
      </w:tr>
      <w:tr w14:paraId="0599E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9" w:type="dxa"/>
            <w:vMerge w:val="continue"/>
            <w:tcBorders>
              <w:tl2br w:val="nil"/>
              <w:tr2bl w:val="nil"/>
            </w:tcBorders>
            <w:vAlign w:val="center"/>
          </w:tcPr>
          <w:p w14:paraId="6120FFF0">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126A28D6">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法定代表人身份证明（如有）</w:t>
            </w:r>
          </w:p>
        </w:tc>
        <w:tc>
          <w:tcPr>
            <w:tcW w:w="5711" w:type="dxa"/>
            <w:vMerge w:val="continue"/>
            <w:tcBorders>
              <w:tl2br w:val="nil"/>
              <w:tr2bl w:val="nil"/>
            </w:tcBorders>
            <w:vAlign w:val="center"/>
          </w:tcPr>
          <w:p w14:paraId="58C0DA72">
            <w:pPr>
              <w:spacing w:line="360" w:lineRule="exact"/>
              <w:rPr>
                <w:rFonts w:ascii="宋体" w:hAnsi="宋体" w:cs="宋体"/>
                <w:color w:val="auto"/>
                <w:szCs w:val="21"/>
                <w:highlight w:val="none"/>
              </w:rPr>
            </w:pPr>
          </w:p>
        </w:tc>
      </w:tr>
      <w:tr w14:paraId="437DC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869" w:type="dxa"/>
            <w:vMerge w:val="continue"/>
            <w:tcBorders>
              <w:tl2br w:val="nil"/>
              <w:tr2bl w:val="nil"/>
            </w:tcBorders>
            <w:vAlign w:val="center"/>
          </w:tcPr>
          <w:p w14:paraId="2BBBFFCE">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128328A1">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授权委托书（如有）</w:t>
            </w:r>
          </w:p>
        </w:tc>
        <w:tc>
          <w:tcPr>
            <w:tcW w:w="5711" w:type="dxa"/>
            <w:vMerge w:val="continue"/>
            <w:tcBorders>
              <w:tl2br w:val="nil"/>
              <w:tr2bl w:val="nil"/>
            </w:tcBorders>
            <w:vAlign w:val="center"/>
          </w:tcPr>
          <w:p w14:paraId="1E9F498E">
            <w:pPr>
              <w:spacing w:line="360" w:lineRule="exact"/>
              <w:rPr>
                <w:rFonts w:ascii="宋体" w:hAnsi="宋体" w:cs="宋体"/>
                <w:color w:val="auto"/>
                <w:szCs w:val="21"/>
                <w:highlight w:val="none"/>
              </w:rPr>
            </w:pPr>
          </w:p>
        </w:tc>
      </w:tr>
      <w:tr w14:paraId="6606A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869" w:type="dxa"/>
            <w:vMerge w:val="continue"/>
            <w:tcBorders>
              <w:tl2br w:val="nil"/>
              <w:tr2bl w:val="nil"/>
            </w:tcBorders>
            <w:vAlign w:val="center"/>
          </w:tcPr>
          <w:p w14:paraId="37EB795C">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7BAB1E43">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投标保证金</w:t>
            </w:r>
          </w:p>
        </w:tc>
        <w:tc>
          <w:tcPr>
            <w:tcW w:w="5711" w:type="dxa"/>
            <w:tcBorders>
              <w:tl2br w:val="nil"/>
              <w:tr2bl w:val="nil"/>
            </w:tcBorders>
            <w:vAlign w:val="center"/>
          </w:tcPr>
          <w:p w14:paraId="00199240">
            <w:pPr>
              <w:spacing w:line="360" w:lineRule="exact"/>
              <w:rPr>
                <w:rFonts w:ascii="宋体" w:hAnsi="宋体" w:cs="宋体"/>
                <w:color w:val="auto"/>
                <w:szCs w:val="21"/>
                <w:highlight w:val="none"/>
              </w:rPr>
            </w:pPr>
            <w:r>
              <w:rPr>
                <w:rFonts w:hint="eastAsia" w:ascii="宋体" w:hAnsi="宋体" w:cs="宋体"/>
                <w:color w:val="auto"/>
                <w:szCs w:val="21"/>
                <w:highlight w:val="none"/>
              </w:rPr>
              <w:t>符合第二章“投标人须知”第3.4.1项规定</w:t>
            </w:r>
          </w:p>
        </w:tc>
      </w:tr>
      <w:tr w14:paraId="2C77D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869" w:type="dxa"/>
            <w:vMerge w:val="continue"/>
            <w:tcBorders>
              <w:tl2br w:val="nil"/>
              <w:tr2bl w:val="nil"/>
            </w:tcBorders>
            <w:vAlign w:val="center"/>
          </w:tcPr>
          <w:p w14:paraId="7F309460">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2DAE0886">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不存在禁止</w:t>
            </w:r>
          </w:p>
          <w:p w14:paraId="64B58C08">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投标的情形</w:t>
            </w:r>
          </w:p>
        </w:tc>
        <w:tc>
          <w:tcPr>
            <w:tcW w:w="5711" w:type="dxa"/>
            <w:tcBorders>
              <w:tl2br w:val="nil"/>
              <w:tr2bl w:val="nil"/>
            </w:tcBorders>
            <w:vAlign w:val="center"/>
          </w:tcPr>
          <w:p w14:paraId="6FE27D3E">
            <w:pPr>
              <w:keepNext w:val="0"/>
              <w:keepLines w:val="0"/>
              <w:pageBreakBefore w:val="0"/>
              <w:kinsoku/>
              <w:topLinePunct w:val="0"/>
              <w:bidi w:val="0"/>
              <w:adjustRightInd/>
              <w:snapToGrid/>
              <w:spacing w:line="240" w:lineRule="auto"/>
              <w:ind w:firstLine="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不存在第二章“投标人须知”第1.4.3项规定的任何一种情形，以投标函为准（格式见第六章“投标文件格式”一《投标函》）。</w:t>
            </w:r>
          </w:p>
          <w:p w14:paraId="2DAB5475">
            <w:pPr>
              <w:spacing w:line="360" w:lineRule="exact"/>
              <w:rPr>
                <w:rFonts w:ascii="宋体" w:hAnsi="宋体" w:cs="宋体"/>
                <w:color w:val="auto"/>
                <w:szCs w:val="21"/>
                <w:highlight w:val="none"/>
              </w:rPr>
            </w:pPr>
            <w:r>
              <w:rPr>
                <w:rFonts w:hint="eastAsia" w:ascii="Times New Roman" w:hAnsi="Times New Roman" w:eastAsia="宋体" w:cs="Times New Roman"/>
                <w:bCs/>
                <w:color w:val="auto"/>
                <w:szCs w:val="21"/>
                <w:highlight w:val="none"/>
              </w:rPr>
              <w:t>招标人有权对承诺函的承诺事项进行核查，如存在禁止投标的情形，将否决其投标，并按相关法律法规进行处理。</w:t>
            </w:r>
          </w:p>
        </w:tc>
      </w:tr>
      <w:tr w14:paraId="2752C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69" w:type="dxa"/>
            <w:vMerge w:val="continue"/>
            <w:tcBorders>
              <w:tl2br w:val="nil"/>
              <w:tr2bl w:val="nil"/>
            </w:tcBorders>
            <w:vAlign w:val="center"/>
          </w:tcPr>
          <w:p w14:paraId="47AA2016">
            <w:pPr>
              <w:spacing w:line="360" w:lineRule="exact"/>
              <w:jc w:val="center"/>
              <w:rPr>
                <w:rFonts w:ascii="宋体" w:hAnsi="宋体" w:cs="宋体"/>
                <w:color w:val="auto"/>
                <w:szCs w:val="21"/>
                <w:highlight w:val="none"/>
              </w:rPr>
            </w:pPr>
          </w:p>
        </w:tc>
        <w:tc>
          <w:tcPr>
            <w:tcW w:w="8633" w:type="dxa"/>
            <w:gridSpan w:val="7"/>
            <w:tcBorders>
              <w:tl2br w:val="nil"/>
              <w:tr2bl w:val="nil"/>
            </w:tcBorders>
            <w:vAlign w:val="center"/>
          </w:tcPr>
          <w:p w14:paraId="5D3FED26">
            <w:pPr>
              <w:spacing w:line="360" w:lineRule="exact"/>
              <w:ind w:firstLine="420" w:firstLineChars="200"/>
              <w:rPr>
                <w:rFonts w:hint="eastAsia" w:ascii="宋体" w:hAnsi="宋体" w:eastAsia="宋体" w:cs="宋体"/>
                <w:bCs/>
                <w:color w:val="auto"/>
                <w:szCs w:val="21"/>
                <w:highlight w:val="none"/>
              </w:rPr>
            </w:pPr>
            <w:r>
              <w:rPr>
                <w:rFonts w:hint="eastAsia"/>
                <w:color w:val="auto"/>
                <w:szCs w:val="21"/>
                <w:highlight w:val="none"/>
              </w:rPr>
              <w:t>本公告发布时，投标人未</w:t>
            </w:r>
            <w:r>
              <w:rPr>
                <w:rFonts w:hint="eastAsia" w:eastAsia="宋体"/>
                <w:color w:val="auto"/>
                <w:szCs w:val="21"/>
                <w:highlight w:val="none"/>
                <w:lang w:eastAsia="zh-CN"/>
              </w:rPr>
              <w:t>被</w:t>
            </w:r>
            <w:r>
              <w:rPr>
                <w:rFonts w:hint="eastAsia" w:ascii="宋体" w:hAnsi="宋体" w:cs="宋体"/>
                <w:bCs/>
                <w:color w:val="auto"/>
                <w:szCs w:val="21"/>
                <w:highlight w:val="none"/>
                <w:lang w:eastAsia="zh-CN"/>
              </w:rPr>
              <w:t>长沙市轨道交通集团有限公司或长沙穗城轨道交通有限公司函告禁止在一定期限内参与轨道项目投标的单位按函告内容执行</w:t>
            </w:r>
            <w:r>
              <w:rPr>
                <w:rFonts w:hint="eastAsia" w:eastAsia="宋体"/>
                <w:color w:val="auto"/>
                <w:szCs w:val="21"/>
                <w:highlight w:val="none"/>
                <w:lang w:eastAsia="zh-CN"/>
              </w:rPr>
              <w:t>。</w:t>
            </w:r>
          </w:p>
        </w:tc>
      </w:tr>
      <w:tr w14:paraId="388BC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69" w:type="dxa"/>
            <w:vMerge w:val="restart"/>
            <w:tcBorders>
              <w:tl2br w:val="nil"/>
              <w:tr2bl w:val="nil"/>
            </w:tcBorders>
            <w:vAlign w:val="center"/>
          </w:tcPr>
          <w:p w14:paraId="04B28241">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2</w:t>
            </w:r>
          </w:p>
        </w:tc>
        <w:tc>
          <w:tcPr>
            <w:tcW w:w="8633" w:type="dxa"/>
            <w:gridSpan w:val="7"/>
            <w:tcBorders>
              <w:tl2br w:val="nil"/>
              <w:tr2bl w:val="nil"/>
            </w:tcBorders>
            <w:vAlign w:val="center"/>
          </w:tcPr>
          <w:p w14:paraId="32664524">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符合性评审标准</w:t>
            </w:r>
          </w:p>
        </w:tc>
      </w:tr>
      <w:tr w14:paraId="3B630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869" w:type="dxa"/>
            <w:vMerge w:val="continue"/>
            <w:tcBorders>
              <w:tl2br w:val="nil"/>
              <w:tr2bl w:val="nil"/>
            </w:tcBorders>
            <w:vAlign w:val="center"/>
          </w:tcPr>
          <w:p w14:paraId="52CD7487">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1FD49220">
            <w:pPr>
              <w:keepNext w:val="0"/>
              <w:keepLines w:val="0"/>
              <w:pageBreakBefore w:val="0"/>
              <w:kinsoku/>
              <w:topLinePunct w:val="0"/>
              <w:bidi w:val="0"/>
              <w:adjustRightInd/>
              <w:snapToGrid/>
              <w:spacing w:line="240" w:lineRule="auto"/>
              <w:ind w:firstLine="0" w:firstLineChars="0"/>
              <w:jc w:val="center"/>
              <w:rPr>
                <w:rFonts w:ascii="宋体" w:hAnsi="宋体" w:cs="宋体"/>
                <w:color w:val="auto"/>
                <w:szCs w:val="21"/>
                <w:highlight w:val="none"/>
              </w:rPr>
            </w:pPr>
            <w:r>
              <w:rPr>
                <w:rFonts w:hint="eastAsia" w:ascii="Times New Roman" w:hAnsi="Times New Roman" w:eastAsia="宋体" w:cs="Times New Roman"/>
                <w:color w:val="auto"/>
                <w:szCs w:val="21"/>
                <w:highlight w:val="none"/>
              </w:rPr>
              <w:t>投标人名称</w:t>
            </w:r>
          </w:p>
        </w:tc>
        <w:tc>
          <w:tcPr>
            <w:tcW w:w="5711" w:type="dxa"/>
            <w:tcBorders>
              <w:tl2br w:val="nil"/>
              <w:tr2bl w:val="nil"/>
            </w:tcBorders>
            <w:vAlign w:val="center"/>
          </w:tcPr>
          <w:p w14:paraId="042712F4">
            <w:pPr>
              <w:keepNext w:val="0"/>
              <w:keepLines w:val="0"/>
              <w:pageBreakBefore w:val="0"/>
              <w:kinsoku/>
              <w:topLinePunct w:val="0"/>
              <w:bidi w:val="0"/>
              <w:adjustRightInd/>
              <w:snapToGrid/>
              <w:spacing w:line="240" w:lineRule="auto"/>
              <w:ind w:firstLine="0" w:firstLineChars="0"/>
              <w:rPr>
                <w:rFonts w:ascii="宋体" w:hAnsi="宋体" w:cs="宋体"/>
                <w:color w:val="auto"/>
                <w:szCs w:val="21"/>
                <w:highlight w:val="none"/>
              </w:rPr>
            </w:pPr>
            <w:r>
              <w:rPr>
                <w:rFonts w:hint="eastAsia" w:ascii="Times New Roman" w:hAnsi="Times New Roman" w:eastAsia="宋体" w:cs="Times New Roman"/>
                <w:color w:val="auto"/>
                <w:szCs w:val="21"/>
                <w:highlight w:val="none"/>
              </w:rPr>
              <w:t>与营业执照、资质证书</w:t>
            </w:r>
            <w:r>
              <w:rPr>
                <w:rFonts w:hint="eastAsia" w:cs="Times New Roman"/>
                <w:color w:val="auto"/>
                <w:szCs w:val="21"/>
                <w:highlight w:val="none"/>
                <w:lang w:eastAsia="zh-CN"/>
              </w:rPr>
              <w:t>（</w:t>
            </w:r>
            <w:r>
              <w:rPr>
                <w:rFonts w:hint="eastAsia" w:cs="Times New Roman"/>
                <w:color w:val="auto"/>
                <w:szCs w:val="21"/>
                <w:highlight w:val="none"/>
                <w:lang w:val="en-US" w:eastAsia="zh-CN"/>
              </w:rPr>
              <w:t>如有</w:t>
            </w:r>
            <w:r>
              <w:rPr>
                <w:rFonts w:hint="eastAsia" w:cs="Times New Roman"/>
                <w:color w:val="auto"/>
                <w:szCs w:val="21"/>
                <w:highlight w:val="none"/>
                <w:lang w:eastAsia="zh-CN"/>
              </w:rPr>
              <w:t>）</w:t>
            </w:r>
            <w:r>
              <w:rPr>
                <w:rFonts w:hint="eastAsia" w:ascii="Times New Roman" w:hAnsi="Times New Roman" w:eastAsia="宋体" w:cs="Times New Roman"/>
                <w:color w:val="auto"/>
                <w:szCs w:val="21"/>
                <w:highlight w:val="none"/>
              </w:rPr>
              <w:t>一致</w:t>
            </w:r>
          </w:p>
        </w:tc>
      </w:tr>
      <w:tr w14:paraId="775CF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869" w:type="dxa"/>
            <w:vMerge w:val="continue"/>
            <w:tcBorders>
              <w:tl2br w:val="nil"/>
              <w:tr2bl w:val="nil"/>
            </w:tcBorders>
            <w:vAlign w:val="center"/>
          </w:tcPr>
          <w:p w14:paraId="2526DD50">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2E2567D9">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投标文件签字盖章</w:t>
            </w:r>
          </w:p>
        </w:tc>
        <w:tc>
          <w:tcPr>
            <w:tcW w:w="5711" w:type="dxa"/>
            <w:tcBorders>
              <w:tl2br w:val="nil"/>
              <w:tr2bl w:val="nil"/>
            </w:tcBorders>
            <w:vAlign w:val="center"/>
          </w:tcPr>
          <w:p w14:paraId="2464552D">
            <w:pPr>
              <w:spacing w:line="360" w:lineRule="exact"/>
              <w:rPr>
                <w:rFonts w:ascii="宋体" w:hAnsi="宋体" w:cs="宋体"/>
                <w:color w:val="auto"/>
                <w:szCs w:val="21"/>
                <w:highlight w:val="none"/>
              </w:rPr>
            </w:pPr>
            <w:r>
              <w:rPr>
                <w:rFonts w:hint="eastAsia" w:ascii="宋体" w:hAnsi="宋体" w:cs="宋体"/>
                <w:color w:val="auto"/>
                <w:szCs w:val="21"/>
                <w:highlight w:val="none"/>
              </w:rPr>
              <w:t>按照第六章“投标文件格式”的要求签字及加盖投标人单位公章。</w:t>
            </w:r>
          </w:p>
        </w:tc>
      </w:tr>
      <w:tr w14:paraId="708A0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869" w:type="dxa"/>
            <w:vMerge w:val="continue"/>
            <w:tcBorders>
              <w:tl2br w:val="nil"/>
              <w:tr2bl w:val="nil"/>
            </w:tcBorders>
            <w:vAlign w:val="center"/>
          </w:tcPr>
          <w:p w14:paraId="389063DF">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524BF242">
            <w:pPr>
              <w:keepNext w:val="0"/>
              <w:keepLines w:val="0"/>
              <w:pageBreakBefore w:val="0"/>
              <w:kinsoku/>
              <w:topLinePunct w:val="0"/>
              <w:bidi w:val="0"/>
              <w:adjustRightInd/>
              <w:snapToGrid/>
              <w:spacing w:line="240" w:lineRule="auto"/>
              <w:ind w:firstLine="0" w:firstLineChars="0"/>
              <w:jc w:val="center"/>
              <w:rPr>
                <w:rFonts w:ascii="宋体" w:hAnsi="宋体" w:cs="宋体"/>
                <w:color w:val="auto"/>
                <w:szCs w:val="21"/>
                <w:highlight w:val="none"/>
              </w:rPr>
            </w:pPr>
            <w:r>
              <w:rPr>
                <w:rFonts w:hint="eastAsia" w:ascii="Times New Roman" w:hAnsi="Times New Roman" w:eastAsia="宋体" w:cs="Times New Roman"/>
                <w:color w:val="auto"/>
                <w:szCs w:val="21"/>
                <w:highlight w:val="none"/>
              </w:rPr>
              <w:t>联合体投标人</w:t>
            </w:r>
            <w:r>
              <w:rPr>
                <w:rFonts w:hint="eastAsia" w:cs="Times New Roman"/>
                <w:color w:val="auto"/>
                <w:szCs w:val="21"/>
                <w:highlight w:val="none"/>
                <w:lang w:eastAsia="zh-CN"/>
              </w:rPr>
              <w:t>（</w:t>
            </w:r>
            <w:r>
              <w:rPr>
                <w:rFonts w:hint="eastAsia" w:cs="Times New Roman"/>
                <w:color w:val="auto"/>
                <w:szCs w:val="21"/>
                <w:highlight w:val="none"/>
                <w:lang w:val="en-US" w:eastAsia="zh-CN"/>
              </w:rPr>
              <w:t>如有</w:t>
            </w:r>
            <w:r>
              <w:rPr>
                <w:rFonts w:hint="eastAsia" w:cs="Times New Roman"/>
                <w:color w:val="auto"/>
                <w:szCs w:val="21"/>
                <w:highlight w:val="none"/>
                <w:lang w:eastAsia="zh-CN"/>
              </w:rPr>
              <w:t>）</w:t>
            </w:r>
          </w:p>
        </w:tc>
        <w:tc>
          <w:tcPr>
            <w:tcW w:w="5711" w:type="dxa"/>
            <w:tcBorders>
              <w:tl2br w:val="nil"/>
              <w:tr2bl w:val="nil"/>
            </w:tcBorders>
            <w:vAlign w:val="center"/>
          </w:tcPr>
          <w:p w14:paraId="0BD6EEF6">
            <w:pPr>
              <w:keepNext w:val="0"/>
              <w:keepLines w:val="0"/>
              <w:pageBreakBefore w:val="0"/>
              <w:kinsoku/>
              <w:topLinePunct w:val="0"/>
              <w:bidi w:val="0"/>
              <w:adjustRightInd/>
              <w:snapToGrid/>
              <w:spacing w:line="240" w:lineRule="auto"/>
              <w:ind w:firstLine="0" w:firstLineChars="0"/>
              <w:rPr>
                <w:rFonts w:hint="eastAsia" w:ascii="宋体" w:hAnsi="宋体" w:eastAsia="宋体" w:cs="宋体"/>
                <w:b/>
                <w:bCs/>
                <w:color w:val="auto"/>
                <w:szCs w:val="21"/>
                <w:highlight w:val="none"/>
                <w:lang w:eastAsia="zh-CN"/>
              </w:rPr>
            </w:pPr>
            <w:r>
              <w:rPr>
                <w:rFonts w:hint="eastAsia" w:ascii="宋体" w:hAnsi="宋体" w:cs="宋体"/>
                <w:color w:val="auto"/>
                <w:szCs w:val="21"/>
                <w:highlight w:val="none"/>
              </w:rPr>
              <w:t>本项目</w:t>
            </w:r>
            <w:r>
              <w:rPr>
                <w:rFonts w:hint="eastAsia" w:ascii="宋体" w:hAnsi="宋体" w:cs="宋体"/>
                <w:color w:val="auto"/>
                <w:szCs w:val="21"/>
                <w:highlight w:val="none"/>
                <w:u w:val="single"/>
              </w:rPr>
              <w:t>不接受</w:t>
            </w:r>
            <w:r>
              <w:rPr>
                <w:rFonts w:hint="eastAsia" w:ascii="宋体" w:hAnsi="宋体" w:cs="宋体"/>
                <w:color w:val="auto"/>
                <w:szCs w:val="21"/>
                <w:highlight w:val="none"/>
              </w:rPr>
              <w:t>联合体投标。</w:t>
            </w:r>
          </w:p>
        </w:tc>
      </w:tr>
      <w:tr w14:paraId="37E29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69" w:type="dxa"/>
            <w:vMerge w:val="continue"/>
            <w:tcBorders>
              <w:tl2br w:val="nil"/>
              <w:tr2bl w:val="nil"/>
            </w:tcBorders>
            <w:vAlign w:val="center"/>
          </w:tcPr>
          <w:p w14:paraId="4599F998">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68B0408E">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备选投标方案</w:t>
            </w:r>
          </w:p>
        </w:tc>
        <w:tc>
          <w:tcPr>
            <w:tcW w:w="5711" w:type="dxa"/>
            <w:tcBorders>
              <w:tl2br w:val="nil"/>
              <w:tr2bl w:val="nil"/>
            </w:tcBorders>
            <w:vAlign w:val="center"/>
          </w:tcPr>
          <w:p w14:paraId="70F8D53A">
            <w:pPr>
              <w:spacing w:line="360" w:lineRule="exact"/>
              <w:rPr>
                <w:rFonts w:ascii="宋体" w:hAnsi="宋体" w:cs="宋体"/>
                <w:color w:val="auto"/>
                <w:szCs w:val="21"/>
                <w:highlight w:val="none"/>
              </w:rPr>
            </w:pPr>
            <w:r>
              <w:rPr>
                <w:rFonts w:hint="eastAsia" w:ascii="宋体" w:hAnsi="宋体" w:cs="宋体"/>
                <w:color w:val="auto"/>
                <w:szCs w:val="21"/>
                <w:highlight w:val="none"/>
              </w:rPr>
              <w:t>投标人不得提交备选投标方案</w:t>
            </w:r>
          </w:p>
        </w:tc>
      </w:tr>
      <w:tr w14:paraId="09B9C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vMerge w:val="continue"/>
            <w:tcBorders>
              <w:tl2br w:val="nil"/>
              <w:tr2bl w:val="nil"/>
            </w:tcBorders>
            <w:vAlign w:val="center"/>
          </w:tcPr>
          <w:p w14:paraId="28DCC6C2">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3FFC737E">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投标报价</w:t>
            </w:r>
          </w:p>
        </w:tc>
        <w:tc>
          <w:tcPr>
            <w:tcW w:w="5711" w:type="dxa"/>
            <w:tcBorders>
              <w:tl2br w:val="nil"/>
              <w:tr2bl w:val="nil"/>
            </w:tcBorders>
            <w:vAlign w:val="center"/>
          </w:tcPr>
          <w:p w14:paraId="1DCC8945">
            <w:pPr>
              <w:spacing w:line="360" w:lineRule="exact"/>
              <w:rPr>
                <w:rFonts w:ascii="宋体" w:hAnsi="宋体" w:cs="宋体"/>
                <w:color w:val="auto"/>
                <w:szCs w:val="21"/>
                <w:highlight w:val="none"/>
              </w:rPr>
            </w:pPr>
            <w:r>
              <w:rPr>
                <w:rFonts w:hint="eastAsia" w:ascii="宋体" w:hAnsi="宋体" w:cs="宋体"/>
                <w:color w:val="auto"/>
                <w:szCs w:val="21"/>
                <w:highlight w:val="none"/>
              </w:rPr>
              <w:t>符合第二章“投标人须知”第3.2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款规定</w:t>
            </w:r>
          </w:p>
        </w:tc>
      </w:tr>
      <w:tr w14:paraId="5BE5D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869" w:type="dxa"/>
            <w:vMerge w:val="continue"/>
            <w:tcBorders>
              <w:tl2br w:val="nil"/>
              <w:tr2bl w:val="nil"/>
            </w:tcBorders>
            <w:vAlign w:val="center"/>
          </w:tcPr>
          <w:p w14:paraId="27087023">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71AAB5B7">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投标内容</w:t>
            </w:r>
          </w:p>
        </w:tc>
        <w:tc>
          <w:tcPr>
            <w:tcW w:w="5711" w:type="dxa"/>
            <w:tcBorders>
              <w:tl2br w:val="nil"/>
              <w:tr2bl w:val="nil"/>
            </w:tcBorders>
            <w:vAlign w:val="center"/>
          </w:tcPr>
          <w:p w14:paraId="31C04C47">
            <w:pPr>
              <w:spacing w:line="360" w:lineRule="exact"/>
              <w:rPr>
                <w:rFonts w:ascii="宋体" w:hAnsi="宋体" w:cs="宋体"/>
                <w:color w:val="auto"/>
                <w:szCs w:val="21"/>
                <w:highlight w:val="none"/>
              </w:rPr>
            </w:pPr>
            <w:r>
              <w:rPr>
                <w:rFonts w:hint="eastAsia" w:ascii="宋体" w:hAnsi="宋体" w:cs="宋体"/>
                <w:color w:val="auto"/>
                <w:szCs w:val="21"/>
                <w:highlight w:val="none"/>
              </w:rPr>
              <w:t>符合第二章“投标人须知”第1.3.1项规定</w:t>
            </w:r>
          </w:p>
        </w:tc>
      </w:tr>
      <w:tr w14:paraId="51AB4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869" w:type="dxa"/>
            <w:vMerge w:val="continue"/>
            <w:tcBorders>
              <w:tl2br w:val="nil"/>
              <w:tr2bl w:val="nil"/>
            </w:tcBorders>
            <w:vAlign w:val="center"/>
          </w:tcPr>
          <w:p w14:paraId="4CA7A26A">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01E1E3E4">
            <w:pPr>
              <w:spacing w:line="36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服务</w:t>
            </w:r>
            <w:r>
              <w:rPr>
                <w:rFonts w:hint="eastAsia" w:ascii="宋体" w:hAnsi="宋体" w:cs="宋体"/>
                <w:color w:val="auto"/>
                <w:szCs w:val="21"/>
                <w:highlight w:val="none"/>
                <w:lang w:eastAsia="zh-CN"/>
              </w:rPr>
              <w:t>期限</w:t>
            </w:r>
          </w:p>
        </w:tc>
        <w:tc>
          <w:tcPr>
            <w:tcW w:w="5711" w:type="dxa"/>
            <w:tcBorders>
              <w:tl2br w:val="nil"/>
              <w:tr2bl w:val="nil"/>
            </w:tcBorders>
            <w:vAlign w:val="center"/>
          </w:tcPr>
          <w:p w14:paraId="6E46FF09">
            <w:pPr>
              <w:spacing w:line="360" w:lineRule="exact"/>
              <w:rPr>
                <w:rFonts w:ascii="宋体" w:hAnsi="宋体" w:cs="宋体"/>
                <w:color w:val="auto"/>
                <w:szCs w:val="21"/>
                <w:highlight w:val="none"/>
              </w:rPr>
            </w:pPr>
            <w:r>
              <w:rPr>
                <w:rFonts w:hint="eastAsia" w:ascii="宋体" w:hAnsi="宋体" w:cs="宋体"/>
                <w:color w:val="auto"/>
                <w:szCs w:val="21"/>
                <w:highlight w:val="none"/>
              </w:rPr>
              <w:t>符合第二章“投标人须知”第1.3.2项规定</w:t>
            </w:r>
          </w:p>
        </w:tc>
      </w:tr>
      <w:tr w14:paraId="4918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869" w:type="dxa"/>
            <w:vMerge w:val="continue"/>
            <w:tcBorders>
              <w:tl2br w:val="nil"/>
              <w:tr2bl w:val="nil"/>
            </w:tcBorders>
            <w:vAlign w:val="center"/>
          </w:tcPr>
          <w:p w14:paraId="726E37DF">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14482CF2">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投标有效期</w:t>
            </w:r>
          </w:p>
        </w:tc>
        <w:tc>
          <w:tcPr>
            <w:tcW w:w="5711" w:type="dxa"/>
            <w:tcBorders>
              <w:tl2br w:val="nil"/>
              <w:tr2bl w:val="nil"/>
            </w:tcBorders>
            <w:vAlign w:val="center"/>
          </w:tcPr>
          <w:p w14:paraId="37F69A68">
            <w:pPr>
              <w:spacing w:line="360" w:lineRule="exact"/>
              <w:rPr>
                <w:rFonts w:ascii="宋体" w:hAnsi="宋体" w:cs="宋体"/>
                <w:color w:val="auto"/>
                <w:szCs w:val="21"/>
                <w:highlight w:val="none"/>
              </w:rPr>
            </w:pPr>
            <w:r>
              <w:rPr>
                <w:rFonts w:hint="eastAsia" w:ascii="宋体" w:hAnsi="宋体" w:cs="宋体"/>
                <w:color w:val="auto"/>
                <w:szCs w:val="21"/>
                <w:highlight w:val="none"/>
              </w:rPr>
              <w:t>符合第二章“投标人须知”第3.3.1项规定</w:t>
            </w:r>
          </w:p>
        </w:tc>
      </w:tr>
      <w:tr w14:paraId="107E0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869" w:type="dxa"/>
            <w:vMerge w:val="continue"/>
            <w:tcBorders>
              <w:tl2br w:val="nil"/>
              <w:tr2bl w:val="nil"/>
            </w:tcBorders>
            <w:vAlign w:val="center"/>
          </w:tcPr>
          <w:p w14:paraId="67FD0252">
            <w:pPr>
              <w:spacing w:line="360" w:lineRule="exact"/>
              <w:jc w:val="center"/>
              <w:rPr>
                <w:rFonts w:ascii="宋体" w:hAnsi="宋体" w:cs="宋体"/>
                <w:color w:val="auto"/>
                <w:szCs w:val="21"/>
                <w:highlight w:val="none"/>
              </w:rPr>
            </w:pPr>
          </w:p>
        </w:tc>
        <w:tc>
          <w:tcPr>
            <w:tcW w:w="2922" w:type="dxa"/>
            <w:gridSpan w:val="6"/>
            <w:tcBorders>
              <w:tl2br w:val="nil"/>
              <w:tr2bl w:val="nil"/>
            </w:tcBorders>
            <w:shd w:val="clear" w:color="auto" w:fill="auto"/>
            <w:vAlign w:val="center"/>
          </w:tcPr>
          <w:p w14:paraId="12AAFE53">
            <w:pPr>
              <w:spacing w:line="3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响应和偏差</w:t>
            </w:r>
          </w:p>
        </w:tc>
        <w:tc>
          <w:tcPr>
            <w:tcW w:w="5711" w:type="dxa"/>
            <w:tcBorders>
              <w:tl2br w:val="nil"/>
              <w:tr2bl w:val="nil"/>
            </w:tcBorders>
            <w:shd w:val="clear" w:color="auto" w:fill="auto"/>
            <w:vAlign w:val="center"/>
          </w:tcPr>
          <w:p w14:paraId="795DD72F">
            <w:pPr>
              <w:spacing w:line="360" w:lineRule="exact"/>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符合第二章“投标人须知”第1.10</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项规定</w:t>
            </w:r>
          </w:p>
        </w:tc>
      </w:tr>
      <w:tr w14:paraId="39F7B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869" w:type="dxa"/>
            <w:vMerge w:val="continue"/>
            <w:tcBorders>
              <w:tl2br w:val="nil"/>
              <w:tr2bl w:val="nil"/>
            </w:tcBorders>
            <w:vAlign w:val="center"/>
          </w:tcPr>
          <w:p w14:paraId="7779608A">
            <w:pPr>
              <w:spacing w:line="360" w:lineRule="exact"/>
              <w:jc w:val="center"/>
              <w:rPr>
                <w:rFonts w:ascii="宋体" w:hAnsi="宋体" w:cs="宋体"/>
                <w:color w:val="auto"/>
                <w:szCs w:val="21"/>
                <w:highlight w:val="none"/>
              </w:rPr>
            </w:pPr>
          </w:p>
        </w:tc>
        <w:tc>
          <w:tcPr>
            <w:tcW w:w="2922" w:type="dxa"/>
            <w:gridSpan w:val="6"/>
            <w:tcBorders>
              <w:tl2br w:val="nil"/>
              <w:tr2bl w:val="nil"/>
            </w:tcBorders>
            <w:vAlign w:val="center"/>
          </w:tcPr>
          <w:p w14:paraId="487EDA6B">
            <w:pPr>
              <w:keepNext w:val="0"/>
              <w:keepLines w:val="0"/>
              <w:pageBreakBefore w:val="0"/>
              <w:kinsoku/>
              <w:topLinePunct w:val="0"/>
              <w:bidi w:val="0"/>
              <w:adjustRightInd/>
              <w:snapToGrid/>
              <w:spacing w:line="240" w:lineRule="auto"/>
              <w:ind w:firstLine="0" w:firstLineChars="0"/>
              <w:jc w:val="center"/>
              <w:rPr>
                <w:rFonts w:ascii="宋体" w:hAnsi="宋体" w:cs="宋体"/>
                <w:color w:val="auto"/>
                <w:szCs w:val="21"/>
                <w:highlight w:val="none"/>
              </w:rPr>
            </w:pPr>
            <w:r>
              <w:rPr>
                <w:rFonts w:hint="eastAsia" w:ascii="Times New Roman" w:hAnsi="Times New Roman" w:eastAsia="宋体" w:cs="Times New Roman"/>
                <w:color w:val="auto"/>
                <w:szCs w:val="21"/>
                <w:highlight w:val="none"/>
                <w:lang w:val="en-US" w:eastAsia="zh-CN"/>
              </w:rPr>
              <w:t>成本评审</w:t>
            </w:r>
          </w:p>
        </w:tc>
        <w:tc>
          <w:tcPr>
            <w:tcW w:w="5711" w:type="dxa"/>
            <w:tcBorders>
              <w:tl2br w:val="nil"/>
              <w:tr2bl w:val="nil"/>
            </w:tcBorders>
            <w:vAlign w:val="center"/>
          </w:tcPr>
          <w:p w14:paraId="68A8B0DF">
            <w:pPr>
              <w:keepNext w:val="0"/>
              <w:keepLines w:val="0"/>
              <w:pageBreakBefore w:val="0"/>
              <w:kinsoku/>
              <w:topLinePunct w:val="0"/>
              <w:bidi w:val="0"/>
              <w:adjustRightInd/>
              <w:snapToGrid/>
              <w:spacing w:line="240" w:lineRule="auto"/>
              <w:ind w:firstLine="0" w:firstLineChars="0"/>
              <w:jc w:val="left"/>
              <w:rPr>
                <w:rFonts w:ascii="宋体" w:hAnsi="宋体" w:cs="宋体"/>
                <w:color w:val="auto"/>
                <w:szCs w:val="21"/>
                <w:highlight w:val="none"/>
              </w:rPr>
            </w:pPr>
            <w:r>
              <w:rPr>
                <w:rFonts w:hint="eastAsia" w:ascii="Times New Roman" w:hAnsi="Times New Roman" w:eastAsia="宋体" w:cs="Times New Roman"/>
                <w:color w:val="auto"/>
                <w:szCs w:val="21"/>
                <w:highlight w:val="none"/>
              </w:rPr>
              <w:t>投标人“开标一览表”的“投标总报价”低于通过资格评审的所有投标人的“开标一览表”的“投标总报价”的算术平均值80%时，由评标委员会启动成本评审工作，以判别该投标人的投标报价是否低于其成本。评标委员会应当要求该投标人作出书面说明并提供相应的证明材料。投标人不能合理说明或者不能提供相应证明材料的，由评标委员会认定该投标人以低于成本报价竞标，并否决其投标。</w:t>
            </w:r>
          </w:p>
        </w:tc>
      </w:tr>
      <w:tr w14:paraId="4CBBE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869" w:type="dxa"/>
            <w:tcBorders>
              <w:tl2br w:val="nil"/>
              <w:tr2bl w:val="nil"/>
            </w:tcBorders>
            <w:vAlign w:val="center"/>
          </w:tcPr>
          <w:p w14:paraId="00B96498">
            <w:pPr>
              <w:spacing w:line="360" w:lineRule="exact"/>
              <w:jc w:val="center"/>
              <w:rPr>
                <w:rFonts w:ascii="宋体" w:hAnsi="宋体" w:cs="宋体"/>
                <w:b/>
                <w:color w:val="auto"/>
                <w:szCs w:val="21"/>
                <w:highlight w:val="none"/>
              </w:rPr>
            </w:pPr>
            <w:r>
              <w:rPr>
                <w:rFonts w:hint="eastAsia" w:ascii="宋体" w:hAnsi="宋体" w:cs="宋体"/>
                <w:b/>
                <w:color w:val="auto"/>
                <w:szCs w:val="21"/>
                <w:highlight w:val="none"/>
              </w:rPr>
              <w:t>条款号</w:t>
            </w:r>
          </w:p>
        </w:tc>
        <w:tc>
          <w:tcPr>
            <w:tcW w:w="2922" w:type="dxa"/>
            <w:gridSpan w:val="6"/>
            <w:tcBorders>
              <w:tl2br w:val="nil"/>
              <w:tr2bl w:val="nil"/>
            </w:tcBorders>
            <w:vAlign w:val="center"/>
          </w:tcPr>
          <w:p w14:paraId="0E864473">
            <w:pPr>
              <w:spacing w:line="360" w:lineRule="exact"/>
              <w:jc w:val="center"/>
              <w:rPr>
                <w:rFonts w:ascii="宋体" w:hAnsi="宋体" w:cs="宋体"/>
                <w:b/>
                <w:color w:val="auto"/>
                <w:szCs w:val="21"/>
                <w:highlight w:val="none"/>
              </w:rPr>
            </w:pPr>
            <w:r>
              <w:rPr>
                <w:rFonts w:hint="eastAsia" w:ascii="宋体" w:hAnsi="宋体" w:cs="宋体"/>
                <w:b/>
                <w:color w:val="auto"/>
                <w:szCs w:val="21"/>
                <w:highlight w:val="none"/>
              </w:rPr>
              <w:t>条款内容</w:t>
            </w:r>
          </w:p>
        </w:tc>
        <w:tc>
          <w:tcPr>
            <w:tcW w:w="5711" w:type="dxa"/>
            <w:tcBorders>
              <w:tl2br w:val="nil"/>
              <w:tr2bl w:val="nil"/>
            </w:tcBorders>
            <w:vAlign w:val="center"/>
          </w:tcPr>
          <w:p w14:paraId="2BBF3378">
            <w:pPr>
              <w:spacing w:line="360" w:lineRule="exact"/>
              <w:jc w:val="center"/>
              <w:rPr>
                <w:rFonts w:ascii="宋体" w:hAnsi="宋体" w:cs="宋体"/>
                <w:b/>
                <w:color w:val="auto"/>
                <w:szCs w:val="21"/>
                <w:highlight w:val="none"/>
              </w:rPr>
            </w:pPr>
            <w:r>
              <w:rPr>
                <w:rFonts w:hint="eastAsia" w:ascii="宋体" w:hAnsi="宋体" w:cs="宋体"/>
                <w:b/>
                <w:color w:val="auto"/>
                <w:szCs w:val="21"/>
                <w:highlight w:val="none"/>
              </w:rPr>
              <w:t>编列内容</w:t>
            </w:r>
          </w:p>
        </w:tc>
      </w:tr>
      <w:tr w14:paraId="1D58B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869" w:type="dxa"/>
            <w:tcBorders>
              <w:tl2br w:val="nil"/>
              <w:tr2bl w:val="nil"/>
            </w:tcBorders>
            <w:vAlign w:val="center"/>
          </w:tcPr>
          <w:p w14:paraId="5CDFC9AE">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2.2.1</w:t>
            </w:r>
          </w:p>
        </w:tc>
        <w:tc>
          <w:tcPr>
            <w:tcW w:w="2922" w:type="dxa"/>
            <w:gridSpan w:val="6"/>
            <w:tcBorders>
              <w:tl2br w:val="nil"/>
              <w:tr2bl w:val="nil"/>
            </w:tcBorders>
            <w:vAlign w:val="center"/>
          </w:tcPr>
          <w:p w14:paraId="083A4B7F">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权重分值</w:t>
            </w:r>
          </w:p>
        </w:tc>
        <w:tc>
          <w:tcPr>
            <w:tcW w:w="5711" w:type="dxa"/>
            <w:tcBorders>
              <w:tl2br w:val="nil"/>
              <w:tr2bl w:val="nil"/>
            </w:tcBorders>
            <w:vAlign w:val="center"/>
          </w:tcPr>
          <w:p w14:paraId="73EEB180">
            <w:pPr>
              <w:jc w:val="center"/>
              <w:rPr>
                <w:rFonts w:ascii="宋体" w:hAnsi="宋体" w:cs="宋体"/>
                <w:color w:val="auto"/>
                <w:szCs w:val="21"/>
                <w:highlight w:val="none"/>
              </w:rPr>
            </w:pPr>
            <w:r>
              <w:rPr>
                <w:rFonts w:hint="eastAsia" w:ascii="宋体" w:hAnsi="宋体" w:cs="宋体"/>
                <w:color w:val="auto"/>
                <w:szCs w:val="21"/>
                <w:highlight w:val="none"/>
              </w:rPr>
              <w:t>商务部分：</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分</w:t>
            </w:r>
          </w:p>
          <w:p w14:paraId="028F1BC5">
            <w:pPr>
              <w:jc w:val="center"/>
              <w:rPr>
                <w:rFonts w:ascii="宋体" w:hAnsi="宋体" w:cs="宋体"/>
                <w:color w:val="auto"/>
                <w:szCs w:val="21"/>
                <w:highlight w:val="none"/>
              </w:rPr>
            </w:pPr>
            <w:r>
              <w:rPr>
                <w:rFonts w:hint="eastAsia" w:ascii="宋体" w:hAnsi="宋体" w:cs="宋体"/>
                <w:color w:val="auto"/>
                <w:szCs w:val="21"/>
                <w:highlight w:val="none"/>
              </w:rPr>
              <w:t>技术部分：</w:t>
            </w:r>
            <w:r>
              <w:rPr>
                <w:rFonts w:hint="eastAsia" w:ascii="宋体" w:hAnsi="宋体" w:cs="宋体"/>
                <w:color w:val="auto"/>
                <w:szCs w:val="21"/>
                <w:highlight w:val="none"/>
                <w:lang w:val="en-US" w:eastAsia="zh-CN"/>
              </w:rPr>
              <w:t>40</w:t>
            </w:r>
            <w:r>
              <w:rPr>
                <w:rFonts w:hint="eastAsia" w:ascii="宋体" w:hAnsi="宋体" w:cs="宋体"/>
                <w:color w:val="auto"/>
                <w:szCs w:val="21"/>
                <w:highlight w:val="none"/>
              </w:rPr>
              <w:t>分</w:t>
            </w:r>
          </w:p>
          <w:p w14:paraId="506D2135">
            <w:pPr>
              <w:jc w:val="center"/>
              <w:rPr>
                <w:rFonts w:ascii="宋体" w:hAnsi="宋体" w:cs="宋体"/>
                <w:color w:val="auto"/>
                <w:szCs w:val="21"/>
                <w:highlight w:val="none"/>
              </w:rPr>
            </w:pPr>
            <w:r>
              <w:rPr>
                <w:rFonts w:hint="eastAsia" w:ascii="宋体" w:hAnsi="宋体" w:cs="宋体"/>
                <w:color w:val="auto"/>
                <w:szCs w:val="21"/>
                <w:highlight w:val="none"/>
              </w:rPr>
              <w:t>报价部分：</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分</w:t>
            </w:r>
          </w:p>
        </w:tc>
      </w:tr>
      <w:tr w14:paraId="56081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869" w:type="dxa"/>
            <w:tcBorders>
              <w:tl2br w:val="nil"/>
              <w:tr2bl w:val="nil"/>
            </w:tcBorders>
            <w:vAlign w:val="center"/>
          </w:tcPr>
          <w:p w14:paraId="779F49D0">
            <w:pPr>
              <w:jc w:val="center"/>
              <w:rPr>
                <w:rFonts w:ascii="宋体" w:hAnsi="宋体" w:cs="宋体"/>
                <w:b/>
                <w:color w:val="auto"/>
                <w:szCs w:val="21"/>
                <w:highlight w:val="none"/>
              </w:rPr>
            </w:pPr>
            <w:r>
              <w:rPr>
                <w:rFonts w:hint="eastAsia" w:ascii="宋体" w:hAnsi="宋体" w:cs="宋体"/>
                <w:b/>
                <w:color w:val="auto"/>
                <w:szCs w:val="21"/>
                <w:highlight w:val="none"/>
              </w:rPr>
              <w:t>条款号</w:t>
            </w:r>
          </w:p>
        </w:tc>
        <w:tc>
          <w:tcPr>
            <w:tcW w:w="1923" w:type="dxa"/>
            <w:gridSpan w:val="5"/>
            <w:tcBorders>
              <w:tl2br w:val="nil"/>
              <w:tr2bl w:val="nil"/>
            </w:tcBorders>
            <w:vAlign w:val="center"/>
          </w:tcPr>
          <w:p w14:paraId="1C62326D">
            <w:pPr>
              <w:jc w:val="center"/>
              <w:rPr>
                <w:rFonts w:ascii="宋体" w:hAnsi="宋体" w:cs="宋体"/>
                <w:b/>
                <w:color w:val="auto"/>
                <w:szCs w:val="21"/>
                <w:highlight w:val="none"/>
              </w:rPr>
            </w:pPr>
            <w:r>
              <w:rPr>
                <w:rFonts w:hint="eastAsia" w:ascii="宋体" w:hAnsi="宋体" w:cs="宋体"/>
                <w:b/>
                <w:color w:val="auto"/>
                <w:szCs w:val="21"/>
                <w:highlight w:val="none"/>
              </w:rPr>
              <w:t>评审因素</w:t>
            </w:r>
          </w:p>
        </w:tc>
        <w:tc>
          <w:tcPr>
            <w:tcW w:w="999" w:type="dxa"/>
            <w:tcBorders>
              <w:tl2br w:val="nil"/>
              <w:tr2bl w:val="nil"/>
            </w:tcBorders>
            <w:vAlign w:val="center"/>
          </w:tcPr>
          <w:p w14:paraId="3BDC469F">
            <w:pPr>
              <w:jc w:val="center"/>
              <w:rPr>
                <w:rFonts w:ascii="宋体" w:hAnsi="宋体" w:cs="宋体"/>
                <w:b/>
                <w:color w:val="auto"/>
                <w:szCs w:val="21"/>
                <w:highlight w:val="none"/>
              </w:rPr>
            </w:pPr>
            <w:r>
              <w:rPr>
                <w:rFonts w:hint="eastAsia" w:ascii="宋体" w:hAnsi="宋体" w:cs="宋体"/>
                <w:b/>
                <w:color w:val="auto"/>
                <w:szCs w:val="21"/>
                <w:highlight w:val="none"/>
              </w:rPr>
              <w:t>分值</w:t>
            </w:r>
          </w:p>
        </w:tc>
        <w:tc>
          <w:tcPr>
            <w:tcW w:w="5711" w:type="dxa"/>
            <w:tcBorders>
              <w:tl2br w:val="nil"/>
              <w:tr2bl w:val="nil"/>
            </w:tcBorders>
            <w:vAlign w:val="center"/>
          </w:tcPr>
          <w:p w14:paraId="472B7FFF">
            <w:pPr>
              <w:jc w:val="center"/>
              <w:rPr>
                <w:rFonts w:ascii="宋体" w:hAnsi="宋体" w:cs="宋体"/>
                <w:b/>
                <w:color w:val="auto"/>
                <w:szCs w:val="21"/>
                <w:highlight w:val="none"/>
              </w:rPr>
            </w:pPr>
            <w:r>
              <w:rPr>
                <w:rFonts w:hint="eastAsia" w:ascii="宋体" w:hAnsi="宋体" w:cs="宋体"/>
                <w:b/>
                <w:color w:val="auto"/>
                <w:szCs w:val="21"/>
                <w:highlight w:val="none"/>
              </w:rPr>
              <w:t>评审标准</w:t>
            </w:r>
          </w:p>
        </w:tc>
      </w:tr>
      <w:tr w14:paraId="6E8DD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869" w:type="dxa"/>
            <w:vMerge w:val="restart"/>
            <w:tcBorders>
              <w:tl2br w:val="nil"/>
              <w:tr2bl w:val="nil"/>
            </w:tcBorders>
            <w:vAlign w:val="center"/>
          </w:tcPr>
          <w:p w14:paraId="01C3945A">
            <w:pPr>
              <w:jc w:val="center"/>
              <w:rPr>
                <w:rFonts w:ascii="宋体" w:hAnsi="宋体" w:cs="宋体"/>
                <w:color w:val="auto"/>
                <w:szCs w:val="21"/>
                <w:highlight w:val="none"/>
              </w:rPr>
            </w:pPr>
            <w:r>
              <w:rPr>
                <w:rFonts w:hint="eastAsia" w:ascii="宋体" w:hAnsi="宋体" w:cs="宋体"/>
                <w:color w:val="auto"/>
                <w:szCs w:val="21"/>
                <w:highlight w:val="none"/>
              </w:rPr>
              <w:t>2.2.2</w:t>
            </w:r>
          </w:p>
          <w:p w14:paraId="550CF49E">
            <w:pPr>
              <w:jc w:val="center"/>
              <w:rPr>
                <w:rFonts w:ascii="宋体" w:hAnsi="宋体" w:cs="宋体"/>
                <w:b/>
                <w:color w:val="auto"/>
                <w:szCs w:val="21"/>
                <w:highlight w:val="none"/>
              </w:rPr>
            </w:pPr>
            <w:r>
              <w:rPr>
                <w:rFonts w:hint="eastAsia" w:ascii="宋体" w:hAnsi="宋体" w:cs="宋体"/>
                <w:color w:val="auto"/>
                <w:szCs w:val="21"/>
                <w:highlight w:val="none"/>
              </w:rPr>
              <w:t>（1）</w:t>
            </w:r>
          </w:p>
        </w:tc>
        <w:tc>
          <w:tcPr>
            <w:tcW w:w="8633" w:type="dxa"/>
            <w:gridSpan w:val="7"/>
            <w:tcBorders>
              <w:tl2br w:val="nil"/>
              <w:tr2bl w:val="nil"/>
            </w:tcBorders>
            <w:vAlign w:val="center"/>
          </w:tcPr>
          <w:p w14:paraId="63F40468">
            <w:pPr>
              <w:jc w:val="center"/>
              <w:rPr>
                <w:rFonts w:ascii="宋体" w:hAnsi="宋体" w:cs="宋体"/>
                <w:b/>
                <w:color w:val="auto"/>
                <w:szCs w:val="21"/>
                <w:highlight w:val="none"/>
              </w:rPr>
            </w:pPr>
            <w:r>
              <w:rPr>
                <w:rFonts w:hint="eastAsia" w:ascii="宋体" w:hAnsi="宋体" w:cs="宋体"/>
                <w:color w:val="auto"/>
                <w:szCs w:val="21"/>
                <w:highlight w:val="none"/>
              </w:rPr>
              <w:t>商务部分详细评分标准</w:t>
            </w:r>
          </w:p>
        </w:tc>
      </w:tr>
      <w:tr w14:paraId="5654E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9" w:type="dxa"/>
            <w:vMerge w:val="continue"/>
            <w:tcBorders>
              <w:tl2br w:val="nil"/>
              <w:tr2bl w:val="nil"/>
            </w:tcBorders>
            <w:vAlign w:val="center"/>
          </w:tcPr>
          <w:p w14:paraId="22C952A9">
            <w:pPr>
              <w:jc w:val="center"/>
              <w:rPr>
                <w:rFonts w:ascii="宋体" w:hAnsi="宋体" w:cs="宋体"/>
                <w:b/>
                <w:color w:val="auto"/>
                <w:szCs w:val="21"/>
                <w:highlight w:val="none"/>
              </w:rPr>
            </w:pPr>
          </w:p>
        </w:tc>
        <w:tc>
          <w:tcPr>
            <w:tcW w:w="1923" w:type="dxa"/>
            <w:gridSpan w:val="5"/>
            <w:tcBorders>
              <w:tl2br w:val="nil"/>
              <w:tr2bl w:val="nil"/>
            </w:tcBorders>
            <w:vAlign w:val="center"/>
          </w:tcPr>
          <w:p w14:paraId="3C0834A1">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投标文件商务、技术部分的编制情况</w:t>
            </w:r>
          </w:p>
        </w:tc>
        <w:tc>
          <w:tcPr>
            <w:tcW w:w="999" w:type="dxa"/>
            <w:tcBorders>
              <w:tl2br w:val="nil"/>
              <w:tr2bl w:val="nil"/>
            </w:tcBorders>
            <w:vAlign w:val="center"/>
          </w:tcPr>
          <w:p w14:paraId="63F048A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5711" w:type="dxa"/>
            <w:tcBorders>
              <w:tl2br w:val="nil"/>
              <w:tr2bl w:val="nil"/>
            </w:tcBorders>
            <w:vAlign w:val="center"/>
          </w:tcPr>
          <w:p w14:paraId="4009BFAD">
            <w:pPr>
              <w:adjustRightInd w:val="0"/>
              <w:snapToGrid w:val="0"/>
              <w:jc w:val="lef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1.版面整齐，表述清晰，内容完整准确，图文清楚，未出现格式等错误，计2分；</w:t>
            </w:r>
          </w:p>
          <w:p w14:paraId="4C9D7441">
            <w:pPr>
              <w:adjustRightInd w:val="0"/>
              <w:snapToGrid w:val="0"/>
              <w:jc w:val="left"/>
              <w:rPr>
                <w:rFonts w:hint="eastAsia" w:ascii="宋体" w:hAnsi="宋体" w:eastAsia="宋体" w:cs="宋体"/>
                <w:color w:val="auto"/>
                <w:kern w:val="0"/>
                <w:sz w:val="21"/>
                <w:szCs w:val="21"/>
                <w:highlight w:val="none"/>
              </w:rPr>
            </w:pPr>
            <w:r>
              <w:rPr>
                <w:rFonts w:hint="eastAsia" w:ascii="宋体" w:hAnsi="宋体" w:eastAsia="宋体" w:cs="宋体"/>
                <w:iCs/>
                <w:color w:val="auto"/>
                <w:sz w:val="21"/>
                <w:szCs w:val="21"/>
                <w:highlight w:val="none"/>
              </w:rPr>
              <w:t>2.版面欠整齐，表述欠清晰，内容欠完整准确，图文欠清楚，出现格式错误等错误，每处扣0.5分，扣完为止。</w:t>
            </w:r>
          </w:p>
        </w:tc>
      </w:tr>
      <w:tr w14:paraId="4F125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69" w:type="dxa"/>
            <w:vMerge w:val="continue"/>
            <w:tcBorders>
              <w:tl2br w:val="nil"/>
              <w:tr2bl w:val="nil"/>
            </w:tcBorders>
            <w:vAlign w:val="center"/>
          </w:tcPr>
          <w:p w14:paraId="484FAABE">
            <w:pPr>
              <w:jc w:val="center"/>
              <w:rPr>
                <w:rFonts w:ascii="宋体" w:hAnsi="宋体" w:cs="宋体"/>
                <w:b/>
                <w:color w:val="auto"/>
                <w:szCs w:val="21"/>
                <w:highlight w:val="none"/>
              </w:rPr>
            </w:pPr>
          </w:p>
        </w:tc>
        <w:tc>
          <w:tcPr>
            <w:tcW w:w="1923" w:type="dxa"/>
            <w:gridSpan w:val="5"/>
            <w:tcBorders>
              <w:tl2br w:val="nil"/>
              <w:tr2bl w:val="nil"/>
            </w:tcBorders>
            <w:shd w:val="clear" w:color="auto" w:fill="auto"/>
            <w:vAlign w:val="center"/>
          </w:tcPr>
          <w:p w14:paraId="4E6949A3">
            <w:pPr>
              <w:adjustRightInd w:val="0"/>
              <w:snapToGrid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类似业绩</w:t>
            </w:r>
          </w:p>
        </w:tc>
        <w:tc>
          <w:tcPr>
            <w:tcW w:w="999" w:type="dxa"/>
            <w:tcBorders>
              <w:tl2br w:val="nil"/>
              <w:tr2bl w:val="nil"/>
            </w:tcBorders>
            <w:shd w:val="clear" w:color="auto" w:fill="auto"/>
            <w:vAlign w:val="center"/>
          </w:tcPr>
          <w:p w14:paraId="09C3D622">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12</w:t>
            </w:r>
          </w:p>
        </w:tc>
        <w:tc>
          <w:tcPr>
            <w:tcW w:w="5711" w:type="dxa"/>
            <w:tcBorders>
              <w:tl2br w:val="nil"/>
              <w:tr2bl w:val="nil"/>
            </w:tcBorders>
            <w:shd w:val="clear" w:color="auto" w:fill="auto"/>
            <w:vAlign w:val="center"/>
          </w:tcPr>
          <w:p w14:paraId="13C180A0">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自202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年1月1日至</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截止时间内每具有1个类似业绩计</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分，最多计</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p w14:paraId="6D44D000">
            <w:pPr>
              <w:pStyle w:val="63"/>
              <w:rPr>
                <w:rFonts w:hint="eastAsia" w:ascii="宋体" w:hAnsi="宋体" w:eastAsia="宋体" w:cs="宋体"/>
                <w:sz w:val="21"/>
                <w:szCs w:val="21"/>
              </w:rPr>
            </w:pPr>
          </w:p>
          <w:p w14:paraId="3004C419">
            <w:pPr>
              <w:widowControl w:val="0"/>
              <w:ind w:firstLine="0" w:firstLine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注：</w:t>
            </w:r>
            <w:r>
              <w:rPr>
                <w:rFonts w:hint="eastAsia" w:ascii="宋体" w:hAnsi="宋体" w:eastAsia="宋体" w:cs="宋体"/>
                <w:color w:val="auto"/>
                <w:kern w:val="2"/>
                <w:sz w:val="21"/>
                <w:szCs w:val="21"/>
                <w:highlight w:val="none"/>
                <w:lang w:val="en-US" w:eastAsia="zh-CN" w:bidi="ar-SA"/>
              </w:rPr>
              <w:t>类似业绩是指类似业绩是指单项合同金额不少于100万元/年或单项合同体检人数不少于600人/年的体检项目；类似业绩证明材料须提供合同复印件，</w:t>
            </w:r>
            <w:r>
              <w:rPr>
                <w:rFonts w:hint="eastAsia" w:ascii="宋体" w:hAnsi="宋体" w:eastAsia="宋体" w:cs="宋体"/>
                <w:bCs/>
                <w:snapToGrid w:val="0"/>
                <w:color w:val="auto"/>
                <w:kern w:val="0"/>
                <w:sz w:val="21"/>
                <w:szCs w:val="21"/>
                <w:highlight w:val="none"/>
                <w:lang w:val="en-US" w:eastAsia="zh-CN" w:bidi="ar-SA"/>
              </w:rPr>
              <w:t>合同复印件至少包括合同首页、盖章页及类似业绩要求内容相关页</w:t>
            </w:r>
            <w:r>
              <w:rPr>
                <w:rFonts w:hint="eastAsia" w:ascii="宋体" w:hAnsi="宋体" w:eastAsia="宋体" w:cs="宋体"/>
                <w:color w:val="auto"/>
                <w:kern w:val="2"/>
                <w:sz w:val="21"/>
                <w:szCs w:val="21"/>
                <w:highlight w:val="none"/>
                <w:lang w:val="en-US" w:eastAsia="zh-CN" w:bidi="ar-SA"/>
              </w:rPr>
              <w:t>；类似业绩时间以合同中较晚一方的签字时间为准；以上业绩不接受联合体业绩、港澳台或境外业绩。</w:t>
            </w:r>
          </w:p>
        </w:tc>
      </w:tr>
      <w:tr w14:paraId="6EE7B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69" w:type="dxa"/>
            <w:vMerge w:val="continue"/>
            <w:tcBorders>
              <w:tl2br w:val="nil"/>
              <w:tr2bl w:val="nil"/>
            </w:tcBorders>
            <w:vAlign w:val="center"/>
          </w:tcPr>
          <w:p w14:paraId="432F7983">
            <w:pPr>
              <w:jc w:val="center"/>
              <w:rPr>
                <w:rFonts w:ascii="宋体" w:hAnsi="宋体" w:cs="宋体"/>
                <w:b/>
                <w:color w:val="auto"/>
                <w:szCs w:val="21"/>
                <w:highlight w:val="none"/>
              </w:rPr>
            </w:pPr>
          </w:p>
        </w:tc>
        <w:tc>
          <w:tcPr>
            <w:tcW w:w="1923" w:type="dxa"/>
            <w:gridSpan w:val="5"/>
            <w:tcBorders>
              <w:tl2br w:val="nil"/>
              <w:tr2bl w:val="nil"/>
            </w:tcBorders>
            <w:vAlign w:val="center"/>
          </w:tcPr>
          <w:p w14:paraId="5DC14EB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资质</w:t>
            </w:r>
          </w:p>
        </w:tc>
        <w:tc>
          <w:tcPr>
            <w:tcW w:w="999" w:type="dxa"/>
            <w:tcBorders>
              <w:tl2br w:val="nil"/>
              <w:tr2bl w:val="nil"/>
            </w:tcBorders>
            <w:vAlign w:val="center"/>
          </w:tcPr>
          <w:p w14:paraId="69814E69">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5711" w:type="dxa"/>
            <w:tcBorders>
              <w:tl2br w:val="nil"/>
              <w:tr2bl w:val="nil"/>
            </w:tcBorders>
            <w:vAlign w:val="center"/>
          </w:tcPr>
          <w:p w14:paraId="622A4C6C">
            <w:pPr>
              <w:adjustRightInd w:val="0"/>
              <w:snapToGrid w:val="0"/>
              <w:jc w:val="left"/>
              <w:rPr>
                <w:rFonts w:hint="eastAsia" w:ascii="宋体" w:hAnsi="宋体" w:eastAsia="宋体" w:cs="宋体"/>
                <w:color w:val="auto"/>
                <w:spacing w:val="0"/>
                <w:sz w:val="21"/>
                <w:szCs w:val="21"/>
                <w:highlight w:val="none"/>
                <w:lang w:val="ru"/>
              </w:rPr>
            </w:pP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具</w:t>
            </w:r>
            <w:r>
              <w:rPr>
                <w:rFonts w:hint="eastAsia" w:ascii="宋体" w:hAnsi="宋体" w:eastAsia="宋体" w:cs="宋体"/>
                <w:iCs/>
                <w:color w:val="auto"/>
                <w:sz w:val="21"/>
                <w:szCs w:val="21"/>
              </w:rPr>
              <w:t>备</w:t>
            </w:r>
            <w:r>
              <w:rPr>
                <w:rFonts w:hint="eastAsia" w:ascii="宋体" w:hAnsi="宋体" w:eastAsia="宋体" w:cs="宋体"/>
                <w:color w:val="auto"/>
                <w:spacing w:val="0"/>
                <w:sz w:val="21"/>
                <w:szCs w:val="21"/>
                <w:highlight w:val="none"/>
                <w:lang w:val="ru"/>
              </w:rPr>
              <w:t>医疗机构</w:t>
            </w:r>
            <w:r>
              <w:rPr>
                <w:rFonts w:hint="eastAsia" w:ascii="宋体" w:hAnsi="宋体" w:eastAsia="宋体" w:cs="宋体"/>
                <w:iCs/>
                <w:color w:val="auto"/>
                <w:sz w:val="21"/>
                <w:szCs w:val="21"/>
              </w:rPr>
              <w:t>三级甲等</w:t>
            </w:r>
            <w:r>
              <w:rPr>
                <w:rFonts w:hint="eastAsia" w:ascii="宋体" w:hAnsi="宋体" w:eastAsia="宋体" w:cs="宋体"/>
                <w:color w:val="auto"/>
                <w:spacing w:val="0"/>
                <w:sz w:val="21"/>
                <w:szCs w:val="21"/>
                <w:highlight w:val="none"/>
                <w:lang w:val="ru"/>
              </w:rPr>
              <w:t>及以上</w:t>
            </w:r>
            <w:r>
              <w:rPr>
                <w:rFonts w:hint="eastAsia" w:ascii="宋体" w:hAnsi="宋体" w:eastAsia="宋体" w:cs="宋体"/>
                <w:iCs/>
                <w:color w:val="auto"/>
                <w:sz w:val="21"/>
                <w:szCs w:val="21"/>
              </w:rPr>
              <w:t>资质的</w:t>
            </w:r>
            <w:r>
              <w:rPr>
                <w:rFonts w:hint="eastAsia" w:ascii="宋体" w:hAnsi="宋体" w:eastAsia="宋体" w:cs="宋体"/>
                <w:color w:val="auto"/>
                <w:sz w:val="21"/>
                <w:szCs w:val="21"/>
              </w:rPr>
              <w:t>，计</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r>
              <w:rPr>
                <w:rFonts w:hint="eastAsia" w:ascii="宋体" w:hAnsi="宋体" w:eastAsia="宋体" w:cs="宋体"/>
                <w:color w:val="auto"/>
                <w:spacing w:val="0"/>
                <w:sz w:val="21"/>
                <w:szCs w:val="21"/>
                <w:highlight w:val="none"/>
                <w:lang w:val="ru"/>
              </w:rPr>
              <w:t>具有医疗机构三级乙等或三级丙等资质的，计</w:t>
            </w:r>
            <w:r>
              <w:rPr>
                <w:rFonts w:hint="eastAsia" w:ascii="宋体" w:hAnsi="宋体" w:eastAsia="宋体"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lang w:val="ru"/>
              </w:rPr>
              <w:t>分；具有医疗机构二级资质的，计</w:t>
            </w:r>
            <w:r>
              <w:rPr>
                <w:rFonts w:hint="eastAsia" w:ascii="宋体" w:hAnsi="宋体" w:eastAsia="宋体" w:cs="宋体"/>
                <w:color w:val="auto"/>
                <w:spacing w:val="0"/>
                <w:sz w:val="21"/>
                <w:szCs w:val="21"/>
                <w:highlight w:val="none"/>
                <w:lang w:val="en-US" w:eastAsia="zh-CN"/>
              </w:rPr>
              <w:t>2</w:t>
            </w:r>
            <w:r>
              <w:rPr>
                <w:rFonts w:hint="eastAsia" w:ascii="宋体" w:hAnsi="宋体" w:eastAsia="宋体" w:cs="宋体"/>
                <w:color w:val="auto"/>
                <w:spacing w:val="0"/>
                <w:sz w:val="21"/>
                <w:szCs w:val="21"/>
                <w:highlight w:val="none"/>
                <w:lang w:val="ru"/>
              </w:rPr>
              <w:t>分，其余不计分。</w:t>
            </w:r>
          </w:p>
          <w:p w14:paraId="1F9EEB32">
            <w:pPr>
              <w:pStyle w:val="63"/>
              <w:ind w:firstLine="0"/>
              <w:rPr>
                <w:rFonts w:hint="eastAsia" w:ascii="宋体" w:hAnsi="宋体" w:eastAsia="宋体" w:cs="宋体"/>
                <w:sz w:val="21"/>
                <w:szCs w:val="21"/>
                <w:lang w:eastAsia="zh-CN"/>
              </w:rPr>
            </w:pPr>
          </w:p>
          <w:p w14:paraId="7B8FE375">
            <w:pPr>
              <w:widowControl w:val="0"/>
              <w:ind w:firstLine="0" w:firstLineChars="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color w:val="auto"/>
                <w:kern w:val="2"/>
                <w:sz w:val="21"/>
                <w:szCs w:val="21"/>
                <w:lang w:val="en-US" w:eastAsia="zh-CN" w:bidi="ar-SA"/>
              </w:rPr>
              <w:t>注：</w:t>
            </w:r>
            <w:r>
              <w:rPr>
                <w:rFonts w:hint="eastAsia" w:ascii="宋体" w:hAnsi="宋体" w:eastAsia="宋体" w:cs="宋体"/>
                <w:iCs/>
                <w:color w:val="auto"/>
                <w:kern w:val="2"/>
                <w:sz w:val="21"/>
                <w:szCs w:val="21"/>
                <w:lang w:val="en-US" w:eastAsia="zh-CN" w:bidi="ar-SA"/>
              </w:rPr>
              <w:t>以上资质须提供证明材料且须处于有效期内，</w:t>
            </w:r>
            <w:r>
              <w:rPr>
                <w:rFonts w:hint="eastAsia" w:ascii="宋体" w:hAnsi="宋体" w:eastAsia="宋体" w:cs="宋体"/>
                <w:i w:val="0"/>
                <w:iCs w:val="0"/>
                <w:caps w:val="0"/>
                <w:color w:val="auto"/>
                <w:spacing w:val="0"/>
                <w:kern w:val="2"/>
                <w:sz w:val="21"/>
                <w:szCs w:val="21"/>
                <w:highlight w:val="none"/>
                <w:shd w:val="clear" w:color="auto" w:fill="auto"/>
                <w:lang w:val="en-US" w:eastAsia="zh-CN" w:bidi="ar-SA"/>
              </w:rPr>
              <w:t>如出现在资质复审期间，暂无法证明的情况，可提供上一周期的资质证明材料及提报续期的证明材料</w:t>
            </w:r>
            <w:r>
              <w:rPr>
                <w:rFonts w:hint="eastAsia" w:ascii="宋体" w:hAnsi="宋体" w:eastAsia="宋体" w:cs="宋体"/>
                <w:color w:val="auto"/>
                <w:kern w:val="2"/>
                <w:sz w:val="21"/>
                <w:szCs w:val="21"/>
                <w:highlight w:val="none"/>
                <w:lang w:val="en-US" w:eastAsia="zh-CN" w:bidi="ar-SA"/>
              </w:rPr>
              <w:t>。</w:t>
            </w:r>
          </w:p>
        </w:tc>
      </w:tr>
      <w:tr w14:paraId="1136D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69" w:type="dxa"/>
            <w:vMerge w:val="continue"/>
            <w:tcBorders>
              <w:tl2br w:val="nil"/>
              <w:tr2bl w:val="nil"/>
            </w:tcBorders>
            <w:vAlign w:val="center"/>
          </w:tcPr>
          <w:p w14:paraId="3C4E61E0">
            <w:pPr>
              <w:jc w:val="center"/>
              <w:rPr>
                <w:rFonts w:ascii="宋体" w:hAnsi="宋体" w:cs="宋体"/>
                <w:b/>
                <w:color w:val="auto"/>
                <w:szCs w:val="21"/>
                <w:highlight w:val="none"/>
              </w:rPr>
            </w:pPr>
          </w:p>
        </w:tc>
        <w:tc>
          <w:tcPr>
            <w:tcW w:w="1923" w:type="dxa"/>
            <w:gridSpan w:val="5"/>
            <w:tcBorders>
              <w:tl2br w:val="nil"/>
              <w:tr2bl w:val="nil"/>
            </w:tcBorders>
            <w:vAlign w:val="center"/>
          </w:tcPr>
          <w:p w14:paraId="4711C27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rPr>
              <w:t>健康管理平台</w:t>
            </w:r>
          </w:p>
        </w:tc>
        <w:tc>
          <w:tcPr>
            <w:tcW w:w="999" w:type="dxa"/>
            <w:tcBorders>
              <w:tl2br w:val="nil"/>
              <w:tr2bl w:val="nil"/>
            </w:tcBorders>
            <w:vAlign w:val="center"/>
          </w:tcPr>
          <w:p w14:paraId="17A80FE4">
            <w:pPr>
              <w:adjustRightInd w:val="0"/>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5</w:t>
            </w:r>
          </w:p>
        </w:tc>
        <w:tc>
          <w:tcPr>
            <w:tcW w:w="5711" w:type="dxa"/>
            <w:tcBorders>
              <w:tl2br w:val="nil"/>
              <w:tr2bl w:val="nil"/>
            </w:tcBorders>
            <w:vAlign w:val="center"/>
          </w:tcPr>
          <w:p w14:paraId="736D34D8">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rPr>
              <w:t>1.具有《长沙市医保自主预约服务平台》或类似企业管理平台,能够实现自助预约或自选项目的，计3分。</w:t>
            </w:r>
          </w:p>
          <w:p w14:paraId="36269E79">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rPr>
              <w:t>2.有手机APP或者其他方式能查询电子版体检结果的，计2分。</w:t>
            </w:r>
          </w:p>
          <w:p w14:paraId="0A67BB5A">
            <w:pPr>
              <w:adjustRightInd w:val="0"/>
              <w:snapToGrid w:val="0"/>
              <w:jc w:val="left"/>
              <w:rPr>
                <w:rFonts w:hint="eastAsia" w:ascii="宋体" w:hAnsi="宋体" w:eastAsia="宋体" w:cs="宋体"/>
                <w:b/>
                <w:bCs/>
                <w:iCs/>
                <w:color w:val="auto"/>
                <w:sz w:val="21"/>
                <w:szCs w:val="21"/>
              </w:rPr>
            </w:pPr>
          </w:p>
          <w:p w14:paraId="535FCB92">
            <w:pPr>
              <w:adjustRightInd w:val="0"/>
              <w:snapToGrid w:val="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iCs/>
                <w:color w:val="auto"/>
                <w:sz w:val="21"/>
                <w:szCs w:val="21"/>
              </w:rPr>
              <w:t>注：</w:t>
            </w:r>
            <w:r>
              <w:rPr>
                <w:rFonts w:hint="eastAsia" w:ascii="宋体" w:hAnsi="宋体" w:eastAsia="宋体" w:cs="宋体"/>
                <w:iCs/>
                <w:color w:val="auto"/>
                <w:sz w:val="21"/>
                <w:szCs w:val="21"/>
              </w:rPr>
              <w:t>上述评审须提供相关证明材料。</w:t>
            </w:r>
          </w:p>
        </w:tc>
      </w:tr>
      <w:tr w14:paraId="50921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69" w:type="dxa"/>
            <w:vMerge w:val="continue"/>
            <w:tcBorders>
              <w:tl2br w:val="nil"/>
              <w:tr2bl w:val="nil"/>
            </w:tcBorders>
            <w:vAlign w:val="center"/>
          </w:tcPr>
          <w:p w14:paraId="59A71377">
            <w:pPr>
              <w:jc w:val="center"/>
              <w:rPr>
                <w:rFonts w:ascii="宋体" w:hAnsi="宋体" w:cs="宋体"/>
                <w:b/>
                <w:color w:val="auto"/>
                <w:szCs w:val="21"/>
                <w:highlight w:val="none"/>
              </w:rPr>
            </w:pPr>
          </w:p>
        </w:tc>
        <w:tc>
          <w:tcPr>
            <w:tcW w:w="1923" w:type="dxa"/>
            <w:gridSpan w:val="5"/>
            <w:tcBorders>
              <w:tl2br w:val="nil"/>
              <w:tr2bl w:val="nil"/>
            </w:tcBorders>
            <w:vAlign w:val="center"/>
          </w:tcPr>
          <w:p w14:paraId="749F31E6">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rPr>
              <w:t>体检场所面积</w:t>
            </w:r>
          </w:p>
        </w:tc>
        <w:tc>
          <w:tcPr>
            <w:tcW w:w="999" w:type="dxa"/>
            <w:tcBorders>
              <w:tl2br w:val="nil"/>
              <w:tr2bl w:val="nil"/>
            </w:tcBorders>
            <w:vAlign w:val="center"/>
          </w:tcPr>
          <w:p w14:paraId="67279182">
            <w:pPr>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2</w:t>
            </w:r>
          </w:p>
        </w:tc>
        <w:tc>
          <w:tcPr>
            <w:tcW w:w="5711" w:type="dxa"/>
            <w:tcBorders>
              <w:tl2br w:val="nil"/>
              <w:tr2bl w:val="nil"/>
            </w:tcBorders>
            <w:vAlign w:val="center"/>
          </w:tcPr>
          <w:p w14:paraId="42E3BA34">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rPr>
              <w:t>1.独立体检中心面积1000㎡</w:t>
            </w:r>
            <w:r>
              <w:rPr>
                <w:rFonts w:hint="eastAsia" w:ascii="宋体" w:hAnsi="宋体" w:eastAsia="宋体" w:cs="宋体"/>
                <w:iCs/>
                <w:color w:val="auto"/>
                <w:sz w:val="21"/>
                <w:szCs w:val="21"/>
                <w:lang w:eastAsia="zh-CN"/>
              </w:rPr>
              <w:t>（</w:t>
            </w:r>
            <w:r>
              <w:rPr>
                <w:rFonts w:hint="eastAsia" w:ascii="宋体" w:hAnsi="宋体" w:eastAsia="宋体" w:cs="宋体"/>
                <w:iCs/>
                <w:color w:val="auto"/>
                <w:sz w:val="21"/>
                <w:szCs w:val="21"/>
                <w:lang w:val="en-US" w:eastAsia="zh-CN"/>
              </w:rPr>
              <w:t>含</w:t>
            </w:r>
            <w:r>
              <w:rPr>
                <w:rFonts w:hint="eastAsia" w:ascii="宋体" w:hAnsi="宋体" w:eastAsia="宋体" w:cs="宋体"/>
                <w:iCs/>
                <w:color w:val="auto"/>
                <w:sz w:val="21"/>
                <w:szCs w:val="21"/>
                <w:lang w:eastAsia="zh-CN"/>
              </w:rPr>
              <w:t>）</w:t>
            </w:r>
            <w:r>
              <w:rPr>
                <w:rFonts w:hint="eastAsia" w:ascii="宋体" w:hAnsi="宋体" w:eastAsia="宋体" w:cs="宋体"/>
                <w:iCs/>
                <w:color w:val="auto"/>
                <w:sz w:val="21"/>
                <w:szCs w:val="21"/>
              </w:rPr>
              <w:t>以上的，计</w:t>
            </w:r>
            <w:r>
              <w:rPr>
                <w:rFonts w:hint="eastAsia" w:ascii="宋体" w:hAnsi="宋体" w:eastAsia="宋体" w:cs="宋体"/>
                <w:iCs/>
                <w:color w:val="auto"/>
                <w:sz w:val="21"/>
                <w:szCs w:val="21"/>
                <w:lang w:val="en-US" w:eastAsia="zh-CN"/>
              </w:rPr>
              <w:t>2</w:t>
            </w:r>
            <w:r>
              <w:rPr>
                <w:rFonts w:hint="eastAsia" w:ascii="宋体" w:hAnsi="宋体" w:eastAsia="宋体" w:cs="宋体"/>
                <w:iCs/>
                <w:color w:val="auto"/>
                <w:sz w:val="21"/>
                <w:szCs w:val="21"/>
              </w:rPr>
              <w:t>分。</w:t>
            </w:r>
          </w:p>
          <w:p w14:paraId="165325B8">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rPr>
              <w:t>2.独立体检中心面积800㎡</w:t>
            </w:r>
            <w:r>
              <w:rPr>
                <w:rFonts w:hint="eastAsia" w:ascii="宋体" w:hAnsi="宋体" w:eastAsia="宋体" w:cs="宋体"/>
                <w:iCs/>
                <w:color w:val="auto"/>
                <w:sz w:val="21"/>
                <w:szCs w:val="21"/>
                <w:lang w:eastAsia="zh-CN"/>
              </w:rPr>
              <w:t>（</w:t>
            </w:r>
            <w:r>
              <w:rPr>
                <w:rFonts w:hint="eastAsia" w:ascii="宋体" w:hAnsi="宋体" w:eastAsia="宋体" w:cs="宋体"/>
                <w:iCs/>
                <w:color w:val="auto"/>
                <w:sz w:val="21"/>
                <w:szCs w:val="21"/>
                <w:lang w:val="en-US" w:eastAsia="zh-CN"/>
              </w:rPr>
              <w:t>含</w:t>
            </w:r>
            <w:r>
              <w:rPr>
                <w:rFonts w:hint="eastAsia" w:ascii="宋体" w:hAnsi="宋体" w:eastAsia="宋体" w:cs="宋体"/>
                <w:iCs/>
                <w:color w:val="auto"/>
                <w:sz w:val="21"/>
                <w:szCs w:val="21"/>
                <w:lang w:eastAsia="zh-CN"/>
              </w:rPr>
              <w:t>）</w:t>
            </w:r>
            <w:r>
              <w:rPr>
                <w:rFonts w:hint="eastAsia" w:ascii="宋体" w:hAnsi="宋体" w:eastAsia="宋体" w:cs="宋体"/>
                <w:iCs/>
                <w:color w:val="auto"/>
                <w:sz w:val="21"/>
                <w:szCs w:val="21"/>
              </w:rPr>
              <w:t>以上不到1000㎡的，计</w:t>
            </w:r>
            <w:r>
              <w:rPr>
                <w:rFonts w:hint="eastAsia" w:ascii="宋体" w:hAnsi="宋体" w:eastAsia="宋体" w:cs="宋体"/>
                <w:iCs/>
                <w:color w:val="auto"/>
                <w:sz w:val="21"/>
                <w:szCs w:val="21"/>
                <w:lang w:val="en-US" w:eastAsia="zh-CN"/>
              </w:rPr>
              <w:t>1.5</w:t>
            </w:r>
            <w:r>
              <w:rPr>
                <w:rFonts w:hint="eastAsia" w:ascii="宋体" w:hAnsi="宋体" w:eastAsia="宋体" w:cs="宋体"/>
                <w:iCs/>
                <w:color w:val="auto"/>
                <w:sz w:val="21"/>
                <w:szCs w:val="21"/>
              </w:rPr>
              <w:t>分。</w:t>
            </w:r>
          </w:p>
          <w:p w14:paraId="315F4A2D">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rPr>
              <w:t>3.独立体检中心面积不足800㎡，计</w:t>
            </w:r>
            <w:r>
              <w:rPr>
                <w:rFonts w:hint="eastAsia" w:ascii="宋体" w:hAnsi="宋体" w:eastAsia="宋体" w:cs="宋体"/>
                <w:iCs/>
                <w:color w:val="auto"/>
                <w:sz w:val="21"/>
                <w:szCs w:val="21"/>
                <w:lang w:val="en-US" w:eastAsia="zh-CN"/>
              </w:rPr>
              <w:t>1</w:t>
            </w:r>
            <w:r>
              <w:rPr>
                <w:rFonts w:hint="eastAsia" w:ascii="宋体" w:hAnsi="宋体" w:eastAsia="宋体" w:cs="宋体"/>
                <w:iCs/>
                <w:color w:val="auto"/>
                <w:sz w:val="21"/>
                <w:szCs w:val="21"/>
              </w:rPr>
              <w:t>分。</w:t>
            </w:r>
          </w:p>
          <w:p w14:paraId="2067BB54">
            <w:pPr>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lang w:val="en-US" w:eastAsia="zh-CN"/>
              </w:rPr>
              <w:t>4.</w:t>
            </w:r>
            <w:r>
              <w:rPr>
                <w:rFonts w:hint="eastAsia" w:ascii="宋体" w:hAnsi="宋体" w:eastAsia="宋体" w:cs="宋体"/>
                <w:iCs/>
                <w:color w:val="auto"/>
                <w:sz w:val="21"/>
                <w:szCs w:val="21"/>
                <w:lang w:eastAsia="zh-CN"/>
              </w:rPr>
              <w:t>投标人</w:t>
            </w:r>
            <w:r>
              <w:rPr>
                <w:rFonts w:hint="eastAsia" w:ascii="宋体" w:hAnsi="宋体" w:eastAsia="宋体" w:cs="宋体"/>
                <w:iCs/>
                <w:color w:val="auto"/>
                <w:sz w:val="21"/>
                <w:szCs w:val="21"/>
              </w:rPr>
              <w:t>不具备独立体检中心的，不计分。</w:t>
            </w:r>
          </w:p>
          <w:p w14:paraId="0CA2A0B3">
            <w:pPr>
              <w:overflowPunct/>
              <w:autoSpaceDE/>
              <w:autoSpaceDN/>
              <w:snapToGrid w:val="0"/>
              <w:spacing w:line="240" w:lineRule="auto"/>
              <w:ind w:firstLine="0"/>
              <w:jc w:val="left"/>
              <w:textAlignment w:val="auto"/>
              <w:rPr>
                <w:rFonts w:hint="eastAsia" w:ascii="宋体" w:hAnsi="宋体" w:eastAsia="宋体" w:cs="宋体"/>
                <w:iCs/>
                <w:color w:val="auto"/>
                <w:sz w:val="21"/>
                <w:szCs w:val="21"/>
                <w:lang w:val="en-US" w:eastAsia="zh-CN"/>
              </w:rPr>
            </w:pPr>
          </w:p>
          <w:p w14:paraId="243D0DE7">
            <w:pPr>
              <w:widowControl/>
              <w:adjustRightInd w:val="0"/>
              <w:snapToGrid w:val="0"/>
              <w:jc w:val="left"/>
              <w:rPr>
                <w:rFonts w:hint="eastAsia" w:ascii="宋体" w:hAnsi="宋体" w:eastAsia="宋体" w:cs="宋体"/>
                <w:b w:val="0"/>
                <w:bCs w:val="0"/>
                <w:color w:val="auto"/>
                <w:sz w:val="21"/>
                <w:szCs w:val="21"/>
                <w:highlight w:val="none"/>
              </w:rPr>
            </w:pPr>
            <w:r>
              <w:rPr>
                <w:rFonts w:hint="eastAsia" w:ascii="宋体" w:hAnsi="宋体" w:eastAsia="宋体" w:cs="宋体"/>
                <w:b/>
                <w:bCs/>
                <w:iCs/>
                <w:color w:val="auto"/>
                <w:sz w:val="21"/>
                <w:szCs w:val="21"/>
              </w:rPr>
              <w:t>注</w:t>
            </w:r>
            <w:r>
              <w:rPr>
                <w:rFonts w:hint="eastAsia" w:ascii="宋体" w:hAnsi="宋体" w:eastAsia="宋体" w:cs="宋体"/>
                <w:b w:val="0"/>
                <w:bCs w:val="0"/>
                <w:iCs/>
                <w:color w:val="auto"/>
                <w:sz w:val="21"/>
                <w:szCs w:val="21"/>
              </w:rPr>
              <w:t>：</w:t>
            </w:r>
            <w:r>
              <w:rPr>
                <w:rFonts w:hint="eastAsia" w:ascii="宋体" w:hAnsi="宋体" w:eastAsia="宋体" w:cs="宋体"/>
                <w:iCs/>
                <w:color w:val="auto"/>
                <w:sz w:val="21"/>
                <w:szCs w:val="21"/>
              </w:rPr>
              <w:t>独立体检中心是指不含门诊、不含住院等功能的单独的体检场所或体检场地；独立体检中心需提供平面图及科室分布图。如有多个独立体检中心，取面积最大的。</w:t>
            </w:r>
          </w:p>
        </w:tc>
      </w:tr>
      <w:tr w14:paraId="3921E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69" w:type="dxa"/>
            <w:vMerge w:val="continue"/>
            <w:tcBorders>
              <w:tl2br w:val="nil"/>
              <w:tr2bl w:val="nil"/>
            </w:tcBorders>
            <w:vAlign w:val="center"/>
          </w:tcPr>
          <w:p w14:paraId="688D5B85">
            <w:pPr>
              <w:jc w:val="center"/>
              <w:rPr>
                <w:rFonts w:ascii="宋体" w:hAnsi="宋体" w:cs="宋体"/>
                <w:b/>
                <w:color w:val="auto"/>
                <w:szCs w:val="21"/>
                <w:highlight w:val="none"/>
              </w:rPr>
            </w:pPr>
          </w:p>
        </w:tc>
        <w:tc>
          <w:tcPr>
            <w:tcW w:w="1923" w:type="dxa"/>
            <w:gridSpan w:val="5"/>
            <w:tcBorders>
              <w:tl2br w:val="nil"/>
              <w:tr2bl w:val="nil"/>
            </w:tcBorders>
            <w:vAlign w:val="center"/>
          </w:tcPr>
          <w:p w14:paraId="1F57B9A3">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rPr>
              <w:t>体检服务整体性</w:t>
            </w:r>
          </w:p>
        </w:tc>
        <w:tc>
          <w:tcPr>
            <w:tcW w:w="999" w:type="dxa"/>
            <w:tcBorders>
              <w:tl2br w:val="nil"/>
              <w:tr2bl w:val="nil"/>
            </w:tcBorders>
            <w:vAlign w:val="center"/>
          </w:tcPr>
          <w:p w14:paraId="47D97686">
            <w:pPr>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2</w:t>
            </w:r>
          </w:p>
        </w:tc>
        <w:tc>
          <w:tcPr>
            <w:tcW w:w="5711" w:type="dxa"/>
            <w:tcBorders>
              <w:tl2br w:val="nil"/>
              <w:tr2bl w:val="nil"/>
            </w:tcBorders>
            <w:vAlign w:val="center"/>
          </w:tcPr>
          <w:p w14:paraId="2A401EE6">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rPr>
              <w:t>1.</w:t>
            </w:r>
            <w:r>
              <w:rPr>
                <w:rFonts w:hint="eastAsia" w:ascii="宋体" w:hAnsi="宋体" w:eastAsia="宋体" w:cs="宋体"/>
                <w:iCs/>
                <w:color w:val="auto"/>
                <w:sz w:val="21"/>
                <w:szCs w:val="21"/>
                <w:lang w:eastAsia="zh-CN"/>
              </w:rPr>
              <w:t>投标人</w:t>
            </w:r>
            <w:r>
              <w:rPr>
                <w:rFonts w:hint="eastAsia" w:ascii="宋体" w:hAnsi="宋体" w:eastAsia="宋体" w:cs="宋体"/>
                <w:iCs/>
                <w:color w:val="auto"/>
                <w:sz w:val="21"/>
                <w:szCs w:val="21"/>
              </w:rPr>
              <w:t>体检中心统一区域内可完成80%以上体检项目，计</w:t>
            </w:r>
            <w:r>
              <w:rPr>
                <w:rFonts w:hint="eastAsia" w:ascii="宋体" w:hAnsi="宋体" w:eastAsia="宋体" w:cs="宋体"/>
                <w:iCs/>
                <w:color w:val="auto"/>
                <w:sz w:val="21"/>
                <w:szCs w:val="21"/>
                <w:lang w:val="en-US" w:eastAsia="zh-CN"/>
              </w:rPr>
              <w:t>2</w:t>
            </w:r>
            <w:r>
              <w:rPr>
                <w:rFonts w:hint="eastAsia" w:ascii="宋体" w:hAnsi="宋体" w:eastAsia="宋体" w:cs="宋体"/>
                <w:iCs/>
                <w:color w:val="auto"/>
                <w:sz w:val="21"/>
                <w:szCs w:val="21"/>
              </w:rPr>
              <w:t>分。</w:t>
            </w:r>
          </w:p>
          <w:p w14:paraId="05179927">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rPr>
              <w:t>2.</w:t>
            </w:r>
            <w:r>
              <w:rPr>
                <w:rFonts w:hint="eastAsia" w:ascii="宋体" w:hAnsi="宋体" w:eastAsia="宋体" w:cs="宋体"/>
                <w:iCs/>
                <w:color w:val="auto"/>
                <w:sz w:val="21"/>
                <w:szCs w:val="21"/>
                <w:lang w:eastAsia="zh-CN"/>
              </w:rPr>
              <w:t>投标人</w:t>
            </w:r>
            <w:r>
              <w:rPr>
                <w:rFonts w:hint="eastAsia" w:ascii="宋体" w:hAnsi="宋体" w:eastAsia="宋体" w:cs="宋体"/>
                <w:iCs/>
                <w:color w:val="auto"/>
                <w:sz w:val="21"/>
                <w:szCs w:val="21"/>
              </w:rPr>
              <w:t>体检中心统一区域内满足50%以上不到80%体检项目，计</w:t>
            </w:r>
            <w:r>
              <w:rPr>
                <w:rFonts w:hint="eastAsia" w:ascii="宋体" w:hAnsi="宋体" w:eastAsia="宋体" w:cs="宋体"/>
                <w:iCs/>
                <w:color w:val="auto"/>
                <w:sz w:val="21"/>
                <w:szCs w:val="21"/>
                <w:lang w:val="en-US" w:eastAsia="zh-CN"/>
              </w:rPr>
              <w:t>1.5</w:t>
            </w:r>
            <w:r>
              <w:rPr>
                <w:rFonts w:hint="eastAsia" w:ascii="宋体" w:hAnsi="宋体" w:eastAsia="宋体" w:cs="宋体"/>
                <w:iCs/>
                <w:color w:val="auto"/>
                <w:sz w:val="21"/>
                <w:szCs w:val="21"/>
              </w:rPr>
              <w:t>分。</w:t>
            </w:r>
          </w:p>
          <w:p w14:paraId="09451B18">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rPr>
              <w:t>3.</w:t>
            </w:r>
            <w:r>
              <w:rPr>
                <w:rFonts w:hint="eastAsia" w:ascii="宋体" w:hAnsi="宋体" w:eastAsia="宋体" w:cs="宋体"/>
                <w:iCs/>
                <w:color w:val="auto"/>
                <w:sz w:val="21"/>
                <w:szCs w:val="21"/>
                <w:lang w:eastAsia="zh-CN"/>
              </w:rPr>
              <w:t>投标人</w:t>
            </w:r>
            <w:r>
              <w:rPr>
                <w:rFonts w:hint="eastAsia" w:ascii="宋体" w:hAnsi="宋体" w:eastAsia="宋体" w:cs="宋体"/>
                <w:iCs/>
                <w:color w:val="auto"/>
                <w:sz w:val="21"/>
                <w:szCs w:val="21"/>
              </w:rPr>
              <w:t>体检中心统一区域内满足不到50%的体检项目，计</w:t>
            </w:r>
            <w:r>
              <w:rPr>
                <w:rFonts w:hint="eastAsia" w:ascii="宋体" w:hAnsi="宋体" w:eastAsia="宋体" w:cs="宋体"/>
                <w:iCs/>
                <w:color w:val="auto"/>
                <w:sz w:val="21"/>
                <w:szCs w:val="21"/>
                <w:lang w:val="en-US" w:eastAsia="zh-CN"/>
              </w:rPr>
              <w:t>1</w:t>
            </w:r>
            <w:r>
              <w:rPr>
                <w:rFonts w:hint="eastAsia" w:ascii="宋体" w:hAnsi="宋体" w:eastAsia="宋体" w:cs="宋体"/>
                <w:iCs/>
                <w:color w:val="auto"/>
                <w:sz w:val="21"/>
                <w:szCs w:val="21"/>
              </w:rPr>
              <w:t>分。</w:t>
            </w:r>
          </w:p>
          <w:p w14:paraId="77B56F72">
            <w:pPr>
              <w:overflowPunct/>
              <w:autoSpaceDE/>
              <w:autoSpaceDN/>
              <w:snapToGrid w:val="0"/>
              <w:spacing w:line="240" w:lineRule="auto"/>
              <w:ind w:firstLine="0"/>
              <w:jc w:val="left"/>
              <w:textAlignment w:val="auto"/>
              <w:rPr>
                <w:rFonts w:hint="eastAsia" w:ascii="宋体" w:hAnsi="宋体" w:eastAsia="宋体" w:cs="宋体"/>
                <w:iCs/>
                <w:color w:val="auto"/>
                <w:sz w:val="21"/>
                <w:szCs w:val="21"/>
              </w:rPr>
            </w:pPr>
          </w:p>
          <w:p w14:paraId="2349F3AF">
            <w:pPr>
              <w:widowControl/>
              <w:overflowPunct/>
              <w:autoSpaceDE/>
              <w:autoSpaceDN/>
              <w:adjustRightInd/>
              <w:snapToGrid w:val="0"/>
              <w:spacing w:line="240" w:lineRule="auto"/>
              <w:ind w:left="0" w:leftChars="0" w:firstLine="0" w:firstLineChars="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iCs/>
                <w:color w:val="auto"/>
                <w:spacing w:val="0"/>
                <w:kern w:val="2"/>
                <w:sz w:val="21"/>
                <w:szCs w:val="21"/>
                <w:lang w:val="en-US" w:eastAsia="zh-CN" w:bidi="ar-SA"/>
              </w:rPr>
              <w:t>注</w:t>
            </w:r>
            <w:r>
              <w:rPr>
                <w:rFonts w:hint="eastAsia" w:ascii="宋体" w:hAnsi="宋体" w:eastAsia="宋体" w:cs="宋体"/>
                <w:b w:val="0"/>
                <w:bCs w:val="0"/>
                <w:iCs/>
                <w:color w:val="auto"/>
                <w:spacing w:val="0"/>
                <w:kern w:val="2"/>
                <w:sz w:val="21"/>
                <w:szCs w:val="21"/>
                <w:lang w:val="en-US" w:eastAsia="zh-CN" w:bidi="ar-SA"/>
              </w:rPr>
              <w:t>：</w:t>
            </w:r>
            <w:r>
              <w:rPr>
                <w:rFonts w:hint="eastAsia" w:ascii="宋体" w:hAnsi="宋体" w:eastAsia="宋体" w:cs="宋体"/>
                <w:iCs/>
                <w:color w:val="auto"/>
                <w:spacing w:val="0"/>
                <w:kern w:val="2"/>
                <w:sz w:val="21"/>
                <w:szCs w:val="21"/>
                <w:lang w:val="en-US" w:eastAsia="zh-CN" w:bidi="ar-SA"/>
              </w:rPr>
              <w:t>上述评审须提供体检中心平面图及科室分布图，未提供不计分。</w:t>
            </w:r>
          </w:p>
        </w:tc>
      </w:tr>
      <w:tr w14:paraId="3B4B4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69" w:type="dxa"/>
            <w:vMerge w:val="continue"/>
            <w:tcBorders>
              <w:tl2br w:val="nil"/>
              <w:tr2bl w:val="nil"/>
            </w:tcBorders>
            <w:vAlign w:val="center"/>
          </w:tcPr>
          <w:p w14:paraId="1088B32C">
            <w:pPr>
              <w:jc w:val="center"/>
              <w:rPr>
                <w:rFonts w:ascii="宋体" w:hAnsi="宋体" w:cs="宋体"/>
                <w:b/>
                <w:color w:val="auto"/>
                <w:szCs w:val="21"/>
                <w:highlight w:val="none"/>
              </w:rPr>
            </w:pPr>
          </w:p>
        </w:tc>
        <w:tc>
          <w:tcPr>
            <w:tcW w:w="1923" w:type="dxa"/>
            <w:gridSpan w:val="5"/>
            <w:tcBorders>
              <w:tl2br w:val="nil"/>
              <w:tr2bl w:val="nil"/>
            </w:tcBorders>
            <w:vAlign w:val="center"/>
          </w:tcPr>
          <w:p w14:paraId="268B82A0">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合计</w:t>
            </w:r>
          </w:p>
        </w:tc>
        <w:tc>
          <w:tcPr>
            <w:tcW w:w="999" w:type="dxa"/>
            <w:tcBorders>
              <w:tl2br w:val="nil"/>
              <w:tr2bl w:val="nil"/>
            </w:tcBorders>
            <w:vAlign w:val="center"/>
          </w:tcPr>
          <w:p w14:paraId="343D3FE9">
            <w:pPr>
              <w:spacing w:line="360" w:lineRule="exact"/>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30</w:t>
            </w:r>
          </w:p>
        </w:tc>
        <w:tc>
          <w:tcPr>
            <w:tcW w:w="5711" w:type="dxa"/>
            <w:tcBorders>
              <w:tl2br w:val="nil"/>
              <w:tr2bl w:val="nil"/>
            </w:tcBorders>
            <w:vAlign w:val="center"/>
          </w:tcPr>
          <w:p w14:paraId="60D35C11">
            <w:pPr>
              <w:widowControl/>
              <w:autoSpaceDE w:val="0"/>
              <w:autoSpaceDN w:val="0"/>
              <w:adjustRightInd w:val="0"/>
              <w:spacing w:line="240" w:lineRule="auto"/>
              <w:jc w:val="left"/>
              <w:rPr>
                <w:rFonts w:hint="eastAsia" w:ascii="宋体" w:hAnsi="宋体" w:eastAsia="宋体" w:cs="宋体"/>
                <w:color w:val="auto"/>
                <w:kern w:val="0"/>
                <w:sz w:val="21"/>
                <w:szCs w:val="24"/>
                <w:highlight w:val="none"/>
                <w:lang w:val="en-US" w:eastAsia="zh-CN" w:bidi="ar-SA"/>
              </w:rPr>
            </w:pPr>
          </w:p>
        </w:tc>
      </w:tr>
      <w:tr w14:paraId="299B1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869" w:type="dxa"/>
            <w:vMerge w:val="restart"/>
            <w:tcBorders>
              <w:tl2br w:val="nil"/>
              <w:tr2bl w:val="nil"/>
            </w:tcBorders>
            <w:vAlign w:val="center"/>
          </w:tcPr>
          <w:p w14:paraId="38BAA7B8">
            <w:pPr>
              <w:jc w:val="center"/>
              <w:rPr>
                <w:rFonts w:ascii="宋体" w:hAnsi="宋体" w:cs="宋体"/>
                <w:color w:val="auto"/>
                <w:szCs w:val="21"/>
                <w:highlight w:val="none"/>
              </w:rPr>
            </w:pPr>
            <w:r>
              <w:rPr>
                <w:rFonts w:hint="eastAsia" w:ascii="宋体" w:hAnsi="宋体" w:cs="宋体"/>
                <w:color w:val="auto"/>
                <w:szCs w:val="21"/>
                <w:highlight w:val="none"/>
              </w:rPr>
              <w:t>2.2.2</w:t>
            </w:r>
          </w:p>
          <w:p w14:paraId="2CF5C02A">
            <w:pPr>
              <w:jc w:val="center"/>
              <w:rPr>
                <w:rFonts w:ascii="宋体" w:hAnsi="宋体" w:cs="宋体"/>
                <w:b/>
                <w:color w:val="auto"/>
                <w:szCs w:val="21"/>
                <w:highlight w:val="none"/>
              </w:rPr>
            </w:pPr>
            <w:r>
              <w:rPr>
                <w:rFonts w:hint="eastAsia" w:ascii="宋体" w:hAnsi="宋体" w:cs="宋体"/>
                <w:color w:val="auto"/>
                <w:szCs w:val="21"/>
                <w:highlight w:val="none"/>
              </w:rPr>
              <w:t>（2）</w:t>
            </w:r>
          </w:p>
        </w:tc>
        <w:tc>
          <w:tcPr>
            <w:tcW w:w="1923" w:type="dxa"/>
            <w:gridSpan w:val="5"/>
            <w:tcBorders>
              <w:tl2br w:val="nil"/>
              <w:tr2bl w:val="nil"/>
            </w:tcBorders>
            <w:shd w:val="clear" w:color="auto" w:fill="auto"/>
            <w:vAlign w:val="center"/>
          </w:tcPr>
          <w:p w14:paraId="172257B7">
            <w:pPr>
              <w:jc w:val="center"/>
              <w:rPr>
                <w:rFonts w:ascii="宋体" w:hAnsi="宋体" w:cs="宋体"/>
                <w:color w:val="auto"/>
                <w:szCs w:val="21"/>
                <w:highlight w:val="none"/>
                <w:u w:val="single"/>
              </w:rPr>
            </w:pPr>
            <w:r>
              <w:rPr>
                <w:rFonts w:hint="eastAsia" w:ascii="宋体" w:hAnsi="宋体" w:cs="宋体"/>
                <w:b/>
                <w:color w:val="auto"/>
                <w:szCs w:val="21"/>
                <w:highlight w:val="none"/>
              </w:rPr>
              <w:t>评审因素</w:t>
            </w:r>
          </w:p>
        </w:tc>
        <w:tc>
          <w:tcPr>
            <w:tcW w:w="999" w:type="dxa"/>
            <w:tcBorders>
              <w:tl2br w:val="nil"/>
              <w:tr2bl w:val="nil"/>
            </w:tcBorders>
            <w:shd w:val="clear" w:color="auto" w:fill="auto"/>
            <w:vAlign w:val="center"/>
          </w:tcPr>
          <w:p w14:paraId="730628CB">
            <w:pPr>
              <w:jc w:val="center"/>
              <w:rPr>
                <w:rFonts w:ascii="宋体" w:hAnsi="宋体" w:cs="宋体"/>
                <w:color w:val="auto"/>
                <w:szCs w:val="21"/>
                <w:highlight w:val="none"/>
              </w:rPr>
            </w:pPr>
            <w:r>
              <w:rPr>
                <w:rFonts w:hint="eastAsia" w:ascii="宋体" w:hAnsi="宋体" w:cs="宋体"/>
                <w:b/>
                <w:color w:val="auto"/>
                <w:szCs w:val="21"/>
                <w:highlight w:val="none"/>
              </w:rPr>
              <w:t>分值</w:t>
            </w:r>
          </w:p>
        </w:tc>
        <w:tc>
          <w:tcPr>
            <w:tcW w:w="5711" w:type="dxa"/>
            <w:tcBorders>
              <w:tl2br w:val="nil"/>
              <w:tr2bl w:val="nil"/>
            </w:tcBorders>
            <w:shd w:val="clear" w:color="auto" w:fill="auto"/>
            <w:vAlign w:val="center"/>
          </w:tcPr>
          <w:p w14:paraId="7C65AD9E">
            <w:pPr>
              <w:jc w:val="center"/>
              <w:rPr>
                <w:rFonts w:ascii="宋体" w:hAnsi="宋体" w:cs="宋体"/>
                <w:color w:val="auto"/>
                <w:szCs w:val="21"/>
                <w:highlight w:val="none"/>
              </w:rPr>
            </w:pPr>
            <w:r>
              <w:rPr>
                <w:rFonts w:hint="eastAsia" w:ascii="宋体" w:hAnsi="宋体" w:cs="宋体"/>
                <w:b/>
                <w:color w:val="auto"/>
                <w:szCs w:val="21"/>
                <w:highlight w:val="none"/>
              </w:rPr>
              <w:t>评审标准</w:t>
            </w:r>
          </w:p>
        </w:tc>
      </w:tr>
      <w:tr w14:paraId="6D22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69" w:type="dxa"/>
            <w:vMerge w:val="continue"/>
            <w:tcBorders>
              <w:tl2br w:val="nil"/>
              <w:tr2bl w:val="nil"/>
            </w:tcBorders>
            <w:vAlign w:val="center"/>
          </w:tcPr>
          <w:p w14:paraId="62B8716F">
            <w:pPr>
              <w:jc w:val="center"/>
              <w:rPr>
                <w:rFonts w:ascii="宋体" w:hAnsi="宋体" w:cs="宋体"/>
                <w:b/>
                <w:color w:val="auto"/>
                <w:szCs w:val="21"/>
                <w:highlight w:val="none"/>
              </w:rPr>
            </w:pPr>
          </w:p>
        </w:tc>
        <w:tc>
          <w:tcPr>
            <w:tcW w:w="8633" w:type="dxa"/>
            <w:gridSpan w:val="7"/>
            <w:tcBorders>
              <w:tl2br w:val="nil"/>
              <w:tr2bl w:val="nil"/>
            </w:tcBorders>
            <w:shd w:val="clear" w:color="auto" w:fill="auto"/>
            <w:vAlign w:val="center"/>
          </w:tcPr>
          <w:p w14:paraId="41C82C5F">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技术部分详细评分标准</w:t>
            </w:r>
          </w:p>
        </w:tc>
      </w:tr>
      <w:tr w14:paraId="17795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0" w:hRule="atLeast"/>
          <w:jc w:val="center"/>
        </w:trPr>
        <w:tc>
          <w:tcPr>
            <w:tcW w:w="869" w:type="dxa"/>
            <w:vMerge w:val="continue"/>
            <w:tcBorders>
              <w:tl2br w:val="nil"/>
              <w:tr2bl w:val="nil"/>
            </w:tcBorders>
            <w:vAlign w:val="center"/>
          </w:tcPr>
          <w:p w14:paraId="2D5A4960">
            <w:pPr>
              <w:jc w:val="center"/>
              <w:rPr>
                <w:rFonts w:ascii="宋体" w:hAnsi="宋体" w:cs="宋体"/>
                <w:b/>
                <w:color w:val="auto"/>
                <w:szCs w:val="21"/>
                <w:highlight w:val="none"/>
              </w:rPr>
            </w:pPr>
          </w:p>
        </w:tc>
        <w:tc>
          <w:tcPr>
            <w:tcW w:w="824" w:type="dxa"/>
            <w:gridSpan w:val="2"/>
            <w:vMerge w:val="restart"/>
            <w:tcBorders>
              <w:tl2br w:val="nil"/>
              <w:tr2bl w:val="nil"/>
            </w:tcBorders>
            <w:shd w:val="clear" w:color="auto" w:fill="auto"/>
            <w:vAlign w:val="center"/>
          </w:tcPr>
          <w:p w14:paraId="32A6DDA7">
            <w:pPr>
              <w:widowControl/>
              <w:spacing w:line="360" w:lineRule="exact"/>
              <w:jc w:val="center"/>
              <w:rPr>
                <w:rFonts w:ascii="宋体" w:hAnsi="宋体" w:cs="宋体"/>
                <w:color w:val="auto"/>
                <w:szCs w:val="21"/>
                <w:highlight w:val="none"/>
              </w:rPr>
            </w:pPr>
            <w:r>
              <w:rPr>
                <w:rFonts w:hint="eastAsia" w:ascii="宋体" w:hAnsi="宋体" w:eastAsia="宋体" w:cs="宋体"/>
                <w:color w:val="auto"/>
                <w:szCs w:val="21"/>
                <w:highlight w:val="none"/>
              </w:rPr>
              <w:t>技术评审标准（</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0分）</w:t>
            </w:r>
          </w:p>
        </w:tc>
        <w:tc>
          <w:tcPr>
            <w:tcW w:w="1099" w:type="dxa"/>
            <w:gridSpan w:val="3"/>
            <w:tcBorders>
              <w:tl2br w:val="nil"/>
              <w:tr2bl w:val="nil"/>
            </w:tcBorders>
            <w:shd w:val="clear" w:color="auto" w:fill="auto"/>
            <w:vAlign w:val="center"/>
          </w:tcPr>
          <w:p w14:paraId="1245228E">
            <w:pPr>
              <w:spacing w:line="360" w:lineRule="exact"/>
              <w:jc w:val="center"/>
              <w:rPr>
                <w:rFonts w:ascii="宋体" w:hAnsi="宋体" w:cs="宋体"/>
                <w:color w:val="auto"/>
                <w:szCs w:val="21"/>
                <w:highlight w:val="none"/>
              </w:rPr>
            </w:pPr>
            <w:r>
              <w:rPr>
                <w:rFonts w:hint="eastAsia" w:ascii="宋体" w:hAnsi="宋体" w:eastAsia="宋体" w:cs="宋体"/>
                <w:color w:val="auto"/>
                <w:szCs w:val="21"/>
              </w:rPr>
              <w:t>体检场地交通便利性</w:t>
            </w:r>
          </w:p>
        </w:tc>
        <w:tc>
          <w:tcPr>
            <w:tcW w:w="999" w:type="dxa"/>
            <w:tcBorders>
              <w:tl2br w:val="nil"/>
              <w:tr2bl w:val="nil"/>
            </w:tcBorders>
            <w:shd w:val="clear" w:color="auto" w:fill="auto"/>
            <w:vAlign w:val="center"/>
          </w:tcPr>
          <w:p w14:paraId="302FB776">
            <w:pPr>
              <w:spacing w:line="360" w:lineRule="exact"/>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lang w:val="en-US" w:eastAsia="zh-CN"/>
              </w:rPr>
              <w:t>5</w:t>
            </w:r>
          </w:p>
        </w:tc>
        <w:tc>
          <w:tcPr>
            <w:tcW w:w="5711" w:type="dxa"/>
            <w:tcBorders>
              <w:tl2br w:val="nil"/>
              <w:tr2bl w:val="nil"/>
            </w:tcBorders>
            <w:shd w:val="clear" w:color="auto" w:fill="auto"/>
            <w:vAlign w:val="center"/>
          </w:tcPr>
          <w:p w14:paraId="7B0CCA61">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rPr>
              <w:t>1.</w:t>
            </w:r>
            <w:r>
              <w:rPr>
                <w:rFonts w:hint="eastAsia" w:ascii="宋体" w:hAnsi="宋体" w:cs="宋体"/>
                <w:iCs/>
                <w:szCs w:val="21"/>
              </w:rPr>
              <w:t>体检场地距地铁站出入口距离步行不到1公里的</w:t>
            </w:r>
            <w:r>
              <w:rPr>
                <w:rFonts w:hint="eastAsia" w:ascii="宋体" w:hAnsi="宋体" w:eastAsia="宋体" w:cs="宋体"/>
                <w:iCs/>
                <w:color w:val="auto"/>
                <w:sz w:val="21"/>
                <w:szCs w:val="21"/>
              </w:rPr>
              <w:t>，计</w:t>
            </w:r>
            <w:r>
              <w:rPr>
                <w:rFonts w:hint="eastAsia" w:ascii="宋体" w:hAnsi="宋体" w:eastAsia="宋体" w:cs="宋体"/>
                <w:iCs/>
                <w:color w:val="auto"/>
                <w:sz w:val="21"/>
                <w:szCs w:val="21"/>
                <w:lang w:val="en-US" w:eastAsia="zh-CN"/>
              </w:rPr>
              <w:t>5</w:t>
            </w:r>
            <w:r>
              <w:rPr>
                <w:rFonts w:hint="eastAsia" w:ascii="宋体" w:hAnsi="宋体" w:eastAsia="宋体" w:cs="宋体"/>
                <w:iCs/>
                <w:color w:val="auto"/>
                <w:sz w:val="21"/>
                <w:szCs w:val="21"/>
              </w:rPr>
              <w:t>分。</w:t>
            </w:r>
          </w:p>
          <w:p w14:paraId="1E3E0722">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rPr>
              <w:t>2.</w:t>
            </w:r>
            <w:r>
              <w:rPr>
                <w:rFonts w:hint="eastAsia" w:ascii="宋体" w:hAnsi="宋体" w:cs="宋体"/>
                <w:iCs/>
                <w:szCs w:val="21"/>
              </w:rPr>
              <w:t>体检场地距地铁站出入口距离步行1公里</w:t>
            </w:r>
            <w:r>
              <w:rPr>
                <w:rFonts w:hint="eastAsia" w:ascii="宋体" w:hAnsi="宋体" w:cs="宋体"/>
                <w:iCs/>
                <w:szCs w:val="21"/>
                <w:lang w:eastAsia="zh-CN"/>
              </w:rPr>
              <w:t>（</w:t>
            </w:r>
            <w:r>
              <w:rPr>
                <w:rFonts w:hint="eastAsia" w:ascii="宋体" w:hAnsi="宋体" w:cs="宋体"/>
                <w:iCs/>
                <w:szCs w:val="21"/>
                <w:lang w:val="en-US" w:eastAsia="zh-CN"/>
              </w:rPr>
              <w:t>含</w:t>
            </w:r>
            <w:r>
              <w:rPr>
                <w:rFonts w:hint="eastAsia" w:ascii="宋体" w:hAnsi="宋体" w:cs="宋体"/>
                <w:iCs/>
                <w:szCs w:val="21"/>
                <w:lang w:eastAsia="zh-CN"/>
              </w:rPr>
              <w:t>）</w:t>
            </w:r>
            <w:r>
              <w:rPr>
                <w:rFonts w:hint="eastAsia" w:ascii="宋体" w:hAnsi="宋体" w:cs="宋体"/>
                <w:iCs/>
                <w:szCs w:val="21"/>
                <w:lang w:val="en-US" w:eastAsia="zh-CN"/>
              </w:rPr>
              <w:t>及</w:t>
            </w:r>
            <w:r>
              <w:rPr>
                <w:rFonts w:hint="eastAsia" w:ascii="宋体" w:hAnsi="宋体" w:cs="宋体"/>
                <w:iCs/>
                <w:szCs w:val="21"/>
              </w:rPr>
              <w:t>以上不到1.5公里的</w:t>
            </w:r>
            <w:r>
              <w:rPr>
                <w:rFonts w:hint="eastAsia" w:ascii="宋体" w:hAnsi="宋体" w:eastAsia="宋体" w:cs="宋体"/>
                <w:iCs/>
                <w:color w:val="auto"/>
                <w:sz w:val="21"/>
                <w:szCs w:val="21"/>
              </w:rPr>
              <w:t>，计</w:t>
            </w:r>
            <w:r>
              <w:rPr>
                <w:rFonts w:hint="eastAsia" w:ascii="宋体" w:hAnsi="宋体" w:eastAsia="宋体" w:cs="宋体"/>
                <w:iCs/>
                <w:color w:val="auto"/>
                <w:sz w:val="21"/>
                <w:szCs w:val="21"/>
                <w:lang w:val="en-US" w:eastAsia="zh-CN"/>
              </w:rPr>
              <w:t>3</w:t>
            </w:r>
            <w:r>
              <w:rPr>
                <w:rFonts w:hint="eastAsia" w:ascii="宋体" w:hAnsi="宋体" w:eastAsia="宋体" w:cs="宋体"/>
                <w:iCs/>
                <w:color w:val="auto"/>
                <w:sz w:val="21"/>
                <w:szCs w:val="21"/>
              </w:rPr>
              <w:t>分。</w:t>
            </w:r>
          </w:p>
          <w:p w14:paraId="56EBE929">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rPr>
              <w:t>3.</w:t>
            </w:r>
            <w:r>
              <w:rPr>
                <w:rFonts w:hint="eastAsia" w:ascii="宋体" w:hAnsi="宋体" w:cs="宋体"/>
                <w:iCs/>
                <w:szCs w:val="21"/>
              </w:rPr>
              <w:t>体检场地距地铁站出入口距离步行1.5公里</w:t>
            </w:r>
            <w:r>
              <w:rPr>
                <w:rFonts w:hint="eastAsia" w:ascii="宋体" w:hAnsi="宋体" w:cs="宋体"/>
                <w:iCs/>
                <w:szCs w:val="21"/>
                <w:lang w:eastAsia="zh-CN"/>
              </w:rPr>
              <w:t>（</w:t>
            </w:r>
            <w:r>
              <w:rPr>
                <w:rFonts w:hint="eastAsia" w:ascii="宋体" w:hAnsi="宋体" w:cs="宋体"/>
                <w:iCs/>
                <w:szCs w:val="21"/>
                <w:lang w:val="en-US" w:eastAsia="zh-CN"/>
              </w:rPr>
              <w:t>含</w:t>
            </w:r>
            <w:r>
              <w:rPr>
                <w:rFonts w:hint="eastAsia" w:ascii="宋体" w:hAnsi="宋体" w:cs="宋体"/>
                <w:iCs/>
                <w:szCs w:val="21"/>
                <w:lang w:eastAsia="zh-CN"/>
              </w:rPr>
              <w:t>）</w:t>
            </w:r>
            <w:r>
              <w:rPr>
                <w:rFonts w:hint="eastAsia" w:ascii="宋体" w:hAnsi="宋体" w:cs="宋体"/>
                <w:iCs/>
                <w:szCs w:val="21"/>
                <w:lang w:val="en-US" w:eastAsia="zh-CN"/>
              </w:rPr>
              <w:t>及</w:t>
            </w:r>
            <w:r>
              <w:rPr>
                <w:rFonts w:hint="eastAsia" w:ascii="宋体" w:hAnsi="宋体" w:cs="宋体"/>
                <w:iCs/>
                <w:szCs w:val="21"/>
              </w:rPr>
              <w:t>以上不到2公里的</w:t>
            </w:r>
            <w:r>
              <w:rPr>
                <w:rFonts w:hint="eastAsia" w:ascii="宋体" w:hAnsi="宋体" w:eastAsia="宋体" w:cs="宋体"/>
                <w:iCs/>
                <w:color w:val="auto"/>
                <w:sz w:val="21"/>
                <w:szCs w:val="21"/>
              </w:rPr>
              <w:t>，计</w:t>
            </w:r>
            <w:r>
              <w:rPr>
                <w:rFonts w:hint="eastAsia" w:ascii="宋体" w:hAnsi="宋体" w:eastAsia="宋体" w:cs="宋体"/>
                <w:iCs/>
                <w:color w:val="auto"/>
                <w:sz w:val="21"/>
                <w:szCs w:val="21"/>
                <w:lang w:val="en-US" w:eastAsia="zh-CN"/>
              </w:rPr>
              <w:t>1</w:t>
            </w:r>
            <w:r>
              <w:rPr>
                <w:rFonts w:hint="eastAsia" w:ascii="宋体" w:hAnsi="宋体" w:eastAsia="宋体" w:cs="宋体"/>
                <w:iCs/>
                <w:color w:val="auto"/>
                <w:sz w:val="21"/>
                <w:szCs w:val="21"/>
              </w:rPr>
              <w:t>分。</w:t>
            </w:r>
          </w:p>
          <w:p w14:paraId="2D52F98D">
            <w:pPr>
              <w:widowControl/>
              <w:overflowPunct/>
              <w:autoSpaceDE/>
              <w:autoSpaceDN/>
              <w:adjustRightInd w:val="0"/>
              <w:snapToGrid w:val="0"/>
              <w:spacing w:after="0" w:line="240" w:lineRule="auto"/>
              <w:ind w:left="0" w:leftChars="0" w:firstLine="0" w:firstLineChars="0"/>
              <w:jc w:val="left"/>
              <w:textAlignment w:val="auto"/>
              <w:rPr>
                <w:rFonts w:hint="eastAsia" w:ascii="宋体" w:hAnsi="宋体" w:eastAsia="宋体" w:cs="宋体"/>
                <w:iCs/>
                <w:color w:val="auto"/>
                <w:spacing w:val="0"/>
                <w:kern w:val="2"/>
                <w:sz w:val="21"/>
                <w:szCs w:val="21"/>
                <w:lang w:val="en-US" w:eastAsia="zh-CN" w:bidi="ar-SA"/>
              </w:rPr>
            </w:pPr>
            <w:r>
              <w:rPr>
                <w:rFonts w:hint="eastAsia" w:ascii="宋体" w:hAnsi="宋体" w:eastAsia="宋体" w:cs="宋体"/>
                <w:iCs/>
                <w:color w:val="auto"/>
                <w:spacing w:val="0"/>
                <w:kern w:val="2"/>
                <w:sz w:val="21"/>
                <w:szCs w:val="21"/>
                <w:lang w:val="en-US" w:eastAsia="zh-CN" w:bidi="ar-SA"/>
              </w:rPr>
              <w:t>4.</w:t>
            </w:r>
            <w:r>
              <w:rPr>
                <w:rFonts w:hint="eastAsia" w:ascii="宋体" w:hAnsi="宋体" w:cs="宋体"/>
                <w:iCs/>
                <w:szCs w:val="21"/>
              </w:rPr>
              <w:t>体检场地距地铁站出入口距离步行2公里</w:t>
            </w:r>
            <w:r>
              <w:rPr>
                <w:rFonts w:hint="eastAsia" w:ascii="宋体" w:hAnsi="宋体" w:cs="宋体"/>
                <w:iCs/>
                <w:szCs w:val="21"/>
                <w:lang w:eastAsia="zh-CN"/>
              </w:rPr>
              <w:t>（</w:t>
            </w:r>
            <w:r>
              <w:rPr>
                <w:rFonts w:hint="eastAsia" w:ascii="宋体" w:hAnsi="宋体" w:cs="宋体"/>
                <w:iCs/>
                <w:szCs w:val="21"/>
                <w:lang w:val="en-US" w:eastAsia="zh-CN"/>
              </w:rPr>
              <w:t>含</w:t>
            </w:r>
            <w:r>
              <w:rPr>
                <w:rFonts w:hint="eastAsia" w:ascii="宋体" w:hAnsi="宋体" w:cs="宋体"/>
                <w:iCs/>
                <w:szCs w:val="21"/>
                <w:lang w:eastAsia="zh-CN"/>
              </w:rPr>
              <w:t>）</w:t>
            </w:r>
            <w:r>
              <w:rPr>
                <w:rFonts w:hint="eastAsia" w:ascii="宋体" w:hAnsi="宋体" w:cs="宋体"/>
                <w:iCs/>
                <w:szCs w:val="21"/>
                <w:lang w:val="en-US" w:eastAsia="zh-CN"/>
              </w:rPr>
              <w:t>及</w:t>
            </w:r>
            <w:r>
              <w:rPr>
                <w:rFonts w:hint="eastAsia" w:ascii="宋体" w:hAnsi="宋体" w:cs="宋体"/>
                <w:iCs/>
                <w:szCs w:val="21"/>
              </w:rPr>
              <w:t>以上的</w:t>
            </w:r>
            <w:r>
              <w:rPr>
                <w:rFonts w:hint="eastAsia" w:ascii="宋体" w:hAnsi="宋体" w:eastAsia="宋体" w:cs="宋体"/>
                <w:iCs/>
                <w:color w:val="auto"/>
                <w:spacing w:val="0"/>
                <w:kern w:val="2"/>
                <w:sz w:val="21"/>
                <w:szCs w:val="21"/>
                <w:lang w:val="en-US" w:eastAsia="zh-CN" w:bidi="ar-SA"/>
              </w:rPr>
              <w:t>，不计分。</w:t>
            </w:r>
          </w:p>
          <w:p w14:paraId="610D7402">
            <w:pPr>
              <w:widowControl/>
              <w:overflowPunct/>
              <w:autoSpaceDE/>
              <w:autoSpaceDN/>
              <w:adjustRightInd w:val="0"/>
              <w:snapToGrid w:val="0"/>
              <w:spacing w:after="0" w:line="240" w:lineRule="auto"/>
              <w:ind w:left="0" w:leftChars="0" w:firstLine="0" w:firstLineChars="0"/>
              <w:jc w:val="left"/>
              <w:textAlignment w:val="auto"/>
              <w:rPr>
                <w:rFonts w:hint="eastAsia" w:ascii="宋体" w:hAnsi="宋体" w:eastAsia="宋体" w:cs="宋体"/>
                <w:b w:val="0"/>
                <w:bCs w:val="0"/>
                <w:iCs/>
                <w:color w:val="auto"/>
                <w:spacing w:val="0"/>
                <w:kern w:val="2"/>
                <w:sz w:val="21"/>
                <w:szCs w:val="21"/>
                <w:lang w:val="en-US" w:eastAsia="zh-CN" w:bidi="ar-SA"/>
              </w:rPr>
            </w:pPr>
          </w:p>
          <w:p w14:paraId="76F7B731">
            <w:pPr>
              <w:widowControl/>
              <w:overflowPunct/>
              <w:autoSpaceDE/>
              <w:autoSpaceDN/>
              <w:adjustRightInd w:val="0"/>
              <w:snapToGrid w:val="0"/>
              <w:spacing w:after="0" w:line="240" w:lineRule="auto"/>
              <w:ind w:left="0" w:leftChars="0" w:firstLine="0" w:firstLineChars="0"/>
              <w:jc w:val="left"/>
              <w:textAlignment w:val="auto"/>
              <w:rPr>
                <w:color w:val="auto"/>
                <w:highlight w:val="none"/>
              </w:rPr>
            </w:pPr>
            <w:r>
              <w:rPr>
                <w:rFonts w:hint="eastAsia" w:ascii="宋体" w:hAnsi="宋体" w:eastAsia="宋体" w:cs="宋体"/>
                <w:b/>
                <w:bCs/>
                <w:iCs/>
                <w:color w:val="auto"/>
                <w:spacing w:val="0"/>
                <w:kern w:val="2"/>
                <w:sz w:val="21"/>
                <w:szCs w:val="21"/>
                <w:lang w:val="en-US" w:eastAsia="zh-CN" w:bidi="ar-SA"/>
              </w:rPr>
              <w:t>注</w:t>
            </w:r>
            <w:r>
              <w:rPr>
                <w:rFonts w:hint="eastAsia" w:ascii="宋体" w:hAnsi="宋体" w:eastAsia="宋体" w:cs="宋体"/>
                <w:b w:val="0"/>
                <w:bCs w:val="0"/>
                <w:iCs/>
                <w:color w:val="auto"/>
                <w:spacing w:val="0"/>
                <w:kern w:val="2"/>
                <w:sz w:val="21"/>
                <w:szCs w:val="21"/>
                <w:lang w:val="en-US" w:eastAsia="zh-CN" w:bidi="ar-SA"/>
              </w:rPr>
              <w:t>：</w:t>
            </w:r>
            <w:r>
              <w:rPr>
                <w:rFonts w:hint="eastAsia" w:ascii="宋体" w:hAnsi="宋体" w:eastAsia="宋体" w:cs="宋体"/>
                <w:iCs/>
                <w:color w:val="auto"/>
                <w:spacing w:val="0"/>
                <w:kern w:val="2"/>
                <w:sz w:val="21"/>
                <w:szCs w:val="21"/>
                <w:lang w:val="en-US" w:eastAsia="zh-CN" w:bidi="ar-SA"/>
              </w:rPr>
              <w:t>上述步行距离测算须提供打印的电子地图证明材料。</w:t>
            </w:r>
          </w:p>
        </w:tc>
      </w:tr>
      <w:tr w14:paraId="2D542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0" w:hRule="atLeast"/>
          <w:jc w:val="center"/>
        </w:trPr>
        <w:tc>
          <w:tcPr>
            <w:tcW w:w="869" w:type="dxa"/>
            <w:vMerge w:val="continue"/>
            <w:tcBorders>
              <w:tl2br w:val="nil"/>
              <w:tr2bl w:val="nil"/>
            </w:tcBorders>
            <w:vAlign w:val="center"/>
          </w:tcPr>
          <w:p w14:paraId="689214B8">
            <w:pPr>
              <w:jc w:val="center"/>
              <w:rPr>
                <w:rFonts w:ascii="宋体" w:hAnsi="宋体" w:cs="宋体"/>
                <w:b/>
                <w:color w:val="auto"/>
                <w:szCs w:val="21"/>
                <w:highlight w:val="none"/>
              </w:rPr>
            </w:pPr>
          </w:p>
        </w:tc>
        <w:tc>
          <w:tcPr>
            <w:tcW w:w="824" w:type="dxa"/>
            <w:gridSpan w:val="2"/>
            <w:vMerge w:val="continue"/>
            <w:tcBorders>
              <w:tl2br w:val="nil"/>
              <w:tr2bl w:val="nil"/>
            </w:tcBorders>
            <w:shd w:val="clear" w:color="auto" w:fill="auto"/>
            <w:vAlign w:val="center"/>
          </w:tcPr>
          <w:p w14:paraId="3565F635">
            <w:pPr>
              <w:widowControl/>
              <w:spacing w:line="360" w:lineRule="exact"/>
              <w:jc w:val="center"/>
              <w:rPr>
                <w:rFonts w:hint="eastAsia" w:ascii="宋体" w:hAnsi="宋体" w:eastAsia="宋体" w:cs="宋体"/>
                <w:color w:val="auto"/>
                <w:szCs w:val="21"/>
                <w:highlight w:val="none"/>
              </w:rPr>
            </w:pPr>
          </w:p>
        </w:tc>
        <w:tc>
          <w:tcPr>
            <w:tcW w:w="1099" w:type="dxa"/>
            <w:gridSpan w:val="3"/>
            <w:tcBorders>
              <w:tl2br w:val="nil"/>
              <w:tr2bl w:val="nil"/>
            </w:tcBorders>
            <w:shd w:val="clear" w:color="auto" w:fill="auto"/>
            <w:vAlign w:val="center"/>
          </w:tcPr>
          <w:p w14:paraId="5D327D2F">
            <w:pPr>
              <w:spacing w:line="360" w:lineRule="exact"/>
              <w:jc w:val="center"/>
              <w:rPr>
                <w:rFonts w:ascii="宋体" w:hAnsi="宋体" w:cs="宋体"/>
                <w:color w:val="auto"/>
                <w:szCs w:val="21"/>
                <w:highlight w:val="none"/>
              </w:rPr>
            </w:pPr>
            <w:r>
              <w:rPr>
                <w:rFonts w:hint="eastAsia" w:ascii="宋体" w:hAnsi="宋体" w:eastAsia="宋体" w:cs="宋体"/>
                <w:color w:val="auto"/>
                <w:szCs w:val="21"/>
                <w:lang w:val="en-US" w:eastAsia="zh-CN" w:bidi="ar"/>
              </w:rPr>
              <w:t>增值</w:t>
            </w:r>
            <w:r>
              <w:rPr>
                <w:rFonts w:hint="eastAsia" w:ascii="宋体" w:hAnsi="宋体" w:eastAsia="宋体" w:cs="宋体"/>
                <w:color w:val="auto"/>
                <w:szCs w:val="21"/>
                <w:lang w:bidi="ar"/>
              </w:rPr>
              <w:t>服务</w:t>
            </w:r>
          </w:p>
        </w:tc>
        <w:tc>
          <w:tcPr>
            <w:tcW w:w="999" w:type="dxa"/>
            <w:tcBorders>
              <w:tl2br w:val="nil"/>
              <w:tr2bl w:val="nil"/>
            </w:tcBorders>
            <w:shd w:val="clear" w:color="auto" w:fill="auto"/>
            <w:vAlign w:val="center"/>
          </w:tcPr>
          <w:p w14:paraId="550235EC">
            <w:pPr>
              <w:widowControl/>
              <w:jc w:val="center"/>
              <w:textAlignment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lang w:val="en-US" w:eastAsia="zh-CN" w:bidi="ar"/>
              </w:rPr>
              <w:t>5</w:t>
            </w:r>
          </w:p>
        </w:tc>
        <w:tc>
          <w:tcPr>
            <w:tcW w:w="5711" w:type="dxa"/>
            <w:tcBorders>
              <w:tl2br w:val="nil"/>
              <w:tr2bl w:val="nil"/>
            </w:tcBorders>
            <w:shd w:val="clear" w:color="auto" w:fill="auto"/>
            <w:vAlign w:val="center"/>
          </w:tcPr>
          <w:p w14:paraId="4E86FF0E">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rPr>
              <w:t>1.承诺为</w:t>
            </w:r>
            <w:r>
              <w:rPr>
                <w:rFonts w:hint="eastAsia" w:ascii="宋体" w:hAnsi="宋体" w:eastAsia="宋体" w:cs="宋体"/>
                <w:iCs/>
                <w:color w:val="auto"/>
                <w:sz w:val="21"/>
                <w:szCs w:val="21"/>
                <w:lang w:eastAsia="zh-CN"/>
              </w:rPr>
              <w:t>招标</w:t>
            </w:r>
            <w:r>
              <w:rPr>
                <w:rFonts w:hint="eastAsia" w:ascii="宋体" w:hAnsi="宋体" w:eastAsia="宋体" w:cs="宋体"/>
                <w:iCs/>
                <w:color w:val="auto"/>
                <w:sz w:val="21"/>
                <w:szCs w:val="21"/>
              </w:rPr>
              <w:t>人开设体检专场的，每</w:t>
            </w:r>
            <w:r>
              <w:rPr>
                <w:rFonts w:hint="eastAsia" w:ascii="宋体" w:hAnsi="宋体" w:eastAsia="宋体" w:cs="宋体"/>
                <w:iCs/>
                <w:color w:val="auto"/>
                <w:sz w:val="21"/>
                <w:szCs w:val="21"/>
                <w:lang w:val="en-US" w:eastAsia="zh-CN"/>
              </w:rPr>
              <w:t>年</w:t>
            </w:r>
            <w:r>
              <w:rPr>
                <w:rFonts w:hint="eastAsia" w:ascii="宋体" w:hAnsi="宋体" w:eastAsia="宋体" w:cs="宋体"/>
                <w:iCs/>
                <w:color w:val="auto"/>
                <w:sz w:val="21"/>
                <w:szCs w:val="21"/>
              </w:rPr>
              <w:t>安排一场计</w:t>
            </w:r>
            <w:r>
              <w:rPr>
                <w:rFonts w:hint="eastAsia" w:ascii="宋体" w:hAnsi="宋体" w:eastAsia="宋体" w:cs="宋体"/>
                <w:iCs/>
                <w:color w:val="auto"/>
                <w:sz w:val="21"/>
                <w:szCs w:val="21"/>
                <w:lang w:val="en-US" w:eastAsia="zh-CN"/>
              </w:rPr>
              <w:t>1</w:t>
            </w:r>
            <w:r>
              <w:rPr>
                <w:rFonts w:hint="eastAsia" w:ascii="宋体" w:hAnsi="宋体" w:eastAsia="宋体" w:cs="宋体"/>
                <w:iCs/>
                <w:color w:val="auto"/>
                <w:sz w:val="21"/>
                <w:szCs w:val="21"/>
              </w:rPr>
              <w:t>分，最高</w:t>
            </w:r>
            <w:r>
              <w:rPr>
                <w:rFonts w:hint="eastAsia" w:ascii="宋体" w:hAnsi="宋体" w:eastAsia="宋体" w:cs="宋体"/>
                <w:iCs/>
                <w:color w:val="auto"/>
                <w:sz w:val="21"/>
                <w:szCs w:val="21"/>
                <w:lang w:val="en-US" w:eastAsia="zh-CN"/>
              </w:rPr>
              <w:t>计2</w:t>
            </w:r>
            <w:r>
              <w:rPr>
                <w:rFonts w:hint="eastAsia" w:ascii="宋体" w:hAnsi="宋体" w:eastAsia="宋体" w:cs="宋体"/>
                <w:iCs/>
                <w:color w:val="auto"/>
                <w:sz w:val="21"/>
                <w:szCs w:val="21"/>
              </w:rPr>
              <w:t>分。</w:t>
            </w:r>
          </w:p>
          <w:p w14:paraId="4309A79E">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rPr>
              <w:t>2.承诺</w:t>
            </w:r>
            <w:r>
              <w:rPr>
                <w:rFonts w:hint="eastAsia" w:ascii="宋体" w:hAnsi="宋体" w:eastAsia="宋体" w:cs="宋体"/>
                <w:iCs/>
                <w:color w:val="auto"/>
                <w:sz w:val="21"/>
                <w:szCs w:val="21"/>
                <w:lang w:val="en-US" w:eastAsia="zh-CN"/>
              </w:rPr>
              <w:t>每年</w:t>
            </w:r>
            <w:r>
              <w:rPr>
                <w:rFonts w:hint="eastAsia" w:ascii="宋体" w:hAnsi="宋体" w:eastAsia="宋体" w:cs="宋体"/>
                <w:iCs/>
                <w:color w:val="auto"/>
                <w:sz w:val="21"/>
                <w:szCs w:val="21"/>
              </w:rPr>
              <w:t>提供上门专场健康讲座及检后健康咨询的，计</w:t>
            </w:r>
            <w:r>
              <w:rPr>
                <w:rFonts w:hint="eastAsia" w:ascii="宋体" w:hAnsi="宋体" w:eastAsia="宋体" w:cs="宋体"/>
                <w:iCs/>
                <w:color w:val="auto"/>
                <w:sz w:val="21"/>
                <w:szCs w:val="21"/>
                <w:lang w:val="en-US" w:eastAsia="zh-CN"/>
              </w:rPr>
              <w:t>1</w:t>
            </w:r>
            <w:r>
              <w:rPr>
                <w:rFonts w:hint="eastAsia" w:ascii="宋体" w:hAnsi="宋体" w:eastAsia="宋体" w:cs="宋体"/>
                <w:iCs/>
                <w:color w:val="auto"/>
                <w:sz w:val="21"/>
                <w:szCs w:val="21"/>
              </w:rPr>
              <w:t>分。</w:t>
            </w:r>
          </w:p>
          <w:p w14:paraId="7013A1B9">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lang w:val="en-US" w:eastAsia="zh-CN"/>
              </w:rPr>
              <w:t>3</w:t>
            </w:r>
            <w:r>
              <w:rPr>
                <w:rFonts w:hint="eastAsia" w:ascii="宋体" w:hAnsi="宋体" w:eastAsia="宋体" w:cs="宋体"/>
                <w:iCs/>
                <w:color w:val="auto"/>
                <w:sz w:val="21"/>
                <w:szCs w:val="21"/>
              </w:rPr>
              <w:t>.</w:t>
            </w:r>
            <w:r>
              <w:rPr>
                <w:rFonts w:hint="eastAsia" w:ascii="宋体" w:hAnsi="宋体" w:eastAsia="宋体" w:cs="宋体"/>
                <w:iCs/>
                <w:color w:val="auto"/>
                <w:sz w:val="21"/>
                <w:szCs w:val="21"/>
                <w:lang w:val="en-US" w:eastAsia="zh-CN"/>
              </w:rPr>
              <w:t>服务期内</w:t>
            </w:r>
            <w:r>
              <w:rPr>
                <w:rFonts w:hint="eastAsia" w:ascii="宋体" w:hAnsi="宋体" w:eastAsia="宋体" w:cs="宋体"/>
                <w:iCs/>
                <w:color w:val="auto"/>
                <w:sz w:val="21"/>
                <w:szCs w:val="21"/>
              </w:rPr>
              <w:t>为</w:t>
            </w:r>
            <w:r>
              <w:rPr>
                <w:rFonts w:hint="eastAsia" w:ascii="宋体" w:hAnsi="宋体" w:eastAsia="宋体" w:cs="宋体"/>
                <w:iCs/>
                <w:color w:val="auto"/>
                <w:sz w:val="21"/>
                <w:szCs w:val="21"/>
                <w:lang w:eastAsia="zh-CN"/>
              </w:rPr>
              <w:t>招标</w:t>
            </w:r>
            <w:r>
              <w:rPr>
                <w:rFonts w:hint="eastAsia" w:ascii="宋体" w:hAnsi="宋体" w:eastAsia="宋体" w:cs="宋体"/>
                <w:iCs/>
                <w:color w:val="auto"/>
                <w:sz w:val="21"/>
                <w:szCs w:val="21"/>
              </w:rPr>
              <w:t>人提供免费停车位的，计</w:t>
            </w:r>
            <w:r>
              <w:rPr>
                <w:rFonts w:hint="eastAsia" w:ascii="宋体" w:hAnsi="宋体" w:eastAsia="宋体" w:cs="宋体"/>
                <w:iCs/>
                <w:color w:val="auto"/>
                <w:sz w:val="21"/>
                <w:szCs w:val="21"/>
                <w:lang w:val="en-US" w:eastAsia="zh-CN"/>
              </w:rPr>
              <w:t>1</w:t>
            </w:r>
            <w:r>
              <w:rPr>
                <w:rFonts w:hint="eastAsia" w:ascii="宋体" w:hAnsi="宋体" w:eastAsia="宋体" w:cs="宋体"/>
                <w:iCs/>
                <w:color w:val="auto"/>
                <w:sz w:val="21"/>
                <w:szCs w:val="21"/>
              </w:rPr>
              <w:t>分。</w:t>
            </w:r>
          </w:p>
          <w:p w14:paraId="4746BC40">
            <w:pPr>
              <w:adjustRightInd w:val="0"/>
              <w:snapToGrid w:val="0"/>
              <w:jc w:val="left"/>
              <w:rPr>
                <w:rFonts w:hint="eastAsia" w:ascii="宋体" w:hAnsi="宋体" w:eastAsia="宋体" w:cs="宋体"/>
                <w:iCs/>
                <w:color w:val="auto"/>
                <w:sz w:val="21"/>
                <w:szCs w:val="21"/>
              </w:rPr>
            </w:pPr>
            <w:r>
              <w:rPr>
                <w:rFonts w:hint="eastAsia" w:ascii="宋体" w:hAnsi="宋体" w:eastAsia="宋体" w:cs="宋体"/>
                <w:iCs/>
                <w:color w:val="auto"/>
                <w:sz w:val="21"/>
                <w:szCs w:val="21"/>
                <w:lang w:val="en-US" w:eastAsia="zh-CN"/>
              </w:rPr>
              <w:t>4</w:t>
            </w:r>
            <w:r>
              <w:rPr>
                <w:rFonts w:hint="eastAsia" w:ascii="宋体" w:hAnsi="宋体" w:eastAsia="宋体" w:cs="宋体"/>
                <w:iCs/>
                <w:color w:val="auto"/>
                <w:sz w:val="21"/>
                <w:szCs w:val="21"/>
              </w:rPr>
              <w:t>.</w:t>
            </w:r>
            <w:r>
              <w:rPr>
                <w:rFonts w:hint="eastAsia" w:ascii="宋体" w:hAnsi="宋体" w:eastAsia="宋体" w:cs="宋体"/>
                <w:iCs/>
                <w:color w:val="auto"/>
                <w:sz w:val="21"/>
                <w:szCs w:val="21"/>
                <w:lang w:val="en-US" w:eastAsia="zh-CN"/>
              </w:rPr>
              <w:t>服务期内</w:t>
            </w:r>
            <w:r>
              <w:rPr>
                <w:rFonts w:hint="eastAsia" w:ascii="宋体" w:hAnsi="宋体" w:eastAsia="宋体" w:cs="宋体"/>
                <w:iCs/>
                <w:color w:val="auto"/>
                <w:sz w:val="21"/>
                <w:szCs w:val="21"/>
              </w:rPr>
              <w:t>为参检人员家属提供体检同等优惠服务,计</w:t>
            </w:r>
            <w:r>
              <w:rPr>
                <w:rFonts w:hint="eastAsia" w:ascii="宋体" w:hAnsi="宋体" w:eastAsia="宋体" w:cs="宋体"/>
                <w:iCs/>
                <w:color w:val="auto"/>
                <w:sz w:val="21"/>
                <w:szCs w:val="21"/>
                <w:lang w:val="en-US" w:eastAsia="zh-CN"/>
              </w:rPr>
              <w:t>1</w:t>
            </w:r>
            <w:r>
              <w:rPr>
                <w:rFonts w:hint="eastAsia" w:ascii="宋体" w:hAnsi="宋体" w:eastAsia="宋体" w:cs="宋体"/>
                <w:iCs/>
                <w:color w:val="auto"/>
                <w:sz w:val="21"/>
                <w:szCs w:val="21"/>
              </w:rPr>
              <w:t>分。</w:t>
            </w:r>
          </w:p>
          <w:p w14:paraId="505A4AE8">
            <w:pPr>
              <w:snapToGrid w:val="0"/>
              <w:jc w:val="left"/>
              <w:rPr>
                <w:rFonts w:hint="eastAsia" w:ascii="宋体" w:hAnsi="宋体" w:eastAsia="宋体" w:cs="宋体"/>
                <w:iCs/>
                <w:color w:val="auto"/>
                <w:szCs w:val="21"/>
              </w:rPr>
            </w:pPr>
          </w:p>
          <w:p w14:paraId="1CA7FD36">
            <w:pPr>
              <w:adjustRightInd w:val="0"/>
              <w:snapToGrid w:val="0"/>
              <w:jc w:val="left"/>
              <w:rPr>
                <w:color w:val="auto"/>
                <w:highlight w:val="none"/>
              </w:rPr>
            </w:pPr>
            <w:r>
              <w:rPr>
                <w:rFonts w:hint="eastAsia" w:ascii="宋体" w:hAnsi="宋体" w:eastAsia="宋体" w:cs="宋体"/>
                <w:b/>
                <w:bCs/>
                <w:iCs/>
                <w:color w:val="auto"/>
                <w:sz w:val="21"/>
                <w:szCs w:val="21"/>
              </w:rPr>
              <w:t>注</w:t>
            </w:r>
            <w:r>
              <w:rPr>
                <w:rFonts w:hint="eastAsia" w:ascii="宋体" w:hAnsi="宋体" w:eastAsia="宋体" w:cs="宋体"/>
                <w:b w:val="0"/>
                <w:bCs w:val="0"/>
                <w:iCs/>
                <w:color w:val="auto"/>
                <w:sz w:val="21"/>
                <w:szCs w:val="21"/>
              </w:rPr>
              <w:t>：</w:t>
            </w:r>
            <w:r>
              <w:rPr>
                <w:rFonts w:hint="eastAsia" w:ascii="宋体" w:hAnsi="宋体" w:eastAsia="宋体" w:cs="宋体"/>
                <w:iCs/>
                <w:color w:val="auto"/>
                <w:sz w:val="21"/>
                <w:szCs w:val="21"/>
              </w:rPr>
              <w:t>本项内容以</w:t>
            </w:r>
            <w:r>
              <w:rPr>
                <w:rFonts w:hint="eastAsia" w:ascii="宋体" w:hAnsi="宋体" w:eastAsia="宋体" w:cs="宋体"/>
                <w:iCs/>
                <w:color w:val="auto"/>
                <w:sz w:val="21"/>
                <w:szCs w:val="21"/>
                <w:lang w:eastAsia="zh-CN"/>
              </w:rPr>
              <w:t>投标人</w:t>
            </w:r>
            <w:r>
              <w:rPr>
                <w:rFonts w:hint="eastAsia" w:ascii="宋体" w:hAnsi="宋体" w:eastAsia="宋体" w:cs="宋体"/>
                <w:iCs/>
                <w:color w:val="auto"/>
                <w:sz w:val="21"/>
                <w:szCs w:val="21"/>
              </w:rPr>
              <w:t>承诺书为准，格式自拟。</w:t>
            </w:r>
          </w:p>
        </w:tc>
      </w:tr>
      <w:tr w14:paraId="5162A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0" w:hRule="atLeast"/>
          <w:jc w:val="center"/>
        </w:trPr>
        <w:tc>
          <w:tcPr>
            <w:tcW w:w="869" w:type="dxa"/>
            <w:vMerge w:val="continue"/>
            <w:tcBorders>
              <w:tl2br w:val="nil"/>
              <w:tr2bl w:val="nil"/>
            </w:tcBorders>
            <w:vAlign w:val="center"/>
          </w:tcPr>
          <w:p w14:paraId="5E1FB650">
            <w:pPr>
              <w:jc w:val="center"/>
              <w:rPr>
                <w:rFonts w:ascii="宋体" w:hAnsi="宋体" w:cs="宋体"/>
                <w:b/>
                <w:color w:val="auto"/>
                <w:szCs w:val="21"/>
                <w:highlight w:val="none"/>
              </w:rPr>
            </w:pPr>
          </w:p>
        </w:tc>
        <w:tc>
          <w:tcPr>
            <w:tcW w:w="824" w:type="dxa"/>
            <w:gridSpan w:val="2"/>
            <w:vMerge w:val="continue"/>
            <w:tcBorders>
              <w:tl2br w:val="nil"/>
              <w:tr2bl w:val="nil"/>
            </w:tcBorders>
            <w:shd w:val="clear" w:color="auto" w:fill="auto"/>
            <w:vAlign w:val="center"/>
          </w:tcPr>
          <w:p w14:paraId="1CAF122B">
            <w:pPr>
              <w:widowControl/>
              <w:spacing w:line="360" w:lineRule="exact"/>
              <w:jc w:val="center"/>
              <w:rPr>
                <w:rFonts w:hint="eastAsia" w:ascii="宋体" w:hAnsi="宋体" w:eastAsia="宋体" w:cs="宋体"/>
                <w:color w:val="auto"/>
                <w:szCs w:val="21"/>
                <w:highlight w:val="none"/>
              </w:rPr>
            </w:pPr>
          </w:p>
        </w:tc>
        <w:tc>
          <w:tcPr>
            <w:tcW w:w="1099" w:type="dxa"/>
            <w:gridSpan w:val="3"/>
            <w:tcBorders>
              <w:tl2br w:val="nil"/>
              <w:tr2bl w:val="nil"/>
            </w:tcBorders>
            <w:shd w:val="clear" w:color="auto" w:fill="auto"/>
            <w:vAlign w:val="center"/>
          </w:tcPr>
          <w:p w14:paraId="63BE8DFF">
            <w:pPr>
              <w:spacing w:line="360" w:lineRule="exact"/>
              <w:jc w:val="center"/>
              <w:rPr>
                <w:rFonts w:ascii="宋体" w:hAnsi="宋体" w:cs="宋体"/>
                <w:color w:val="auto"/>
                <w:szCs w:val="21"/>
                <w:highlight w:val="none"/>
              </w:rPr>
            </w:pPr>
            <w:r>
              <w:rPr>
                <w:rFonts w:hint="eastAsia" w:ascii="宋体" w:hAnsi="宋体" w:eastAsia="宋体" w:cs="宋体"/>
                <w:color w:val="auto"/>
                <w:szCs w:val="21"/>
                <w:lang w:bidi="ar"/>
              </w:rPr>
              <w:t>体检服务方案</w:t>
            </w:r>
          </w:p>
        </w:tc>
        <w:tc>
          <w:tcPr>
            <w:tcW w:w="999" w:type="dxa"/>
            <w:tcBorders>
              <w:tl2br w:val="nil"/>
              <w:tr2bl w:val="nil"/>
            </w:tcBorders>
            <w:shd w:val="clear" w:color="auto" w:fill="auto"/>
            <w:vAlign w:val="center"/>
          </w:tcPr>
          <w:p w14:paraId="540A3924">
            <w:pPr>
              <w:widowControl/>
              <w:jc w:val="center"/>
              <w:textAlignment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lang w:val="en-US" w:eastAsia="zh-CN" w:bidi="ar"/>
              </w:rPr>
              <w:t>12</w:t>
            </w:r>
          </w:p>
        </w:tc>
        <w:tc>
          <w:tcPr>
            <w:tcW w:w="5711" w:type="dxa"/>
            <w:tcBorders>
              <w:tl2br w:val="nil"/>
              <w:tr2bl w:val="nil"/>
            </w:tcBorders>
            <w:shd w:val="clear" w:color="auto" w:fill="auto"/>
            <w:vAlign w:val="center"/>
          </w:tcPr>
          <w:p w14:paraId="268F9679">
            <w:pPr>
              <w:numPr>
                <w:ilvl w:val="0"/>
                <w:numId w:val="0"/>
              </w:numPr>
              <w:adjustRightInd/>
              <w:snapToGrid/>
              <w:jc w:val="left"/>
              <w:rPr>
                <w:rFonts w:hint="eastAsia"/>
                <w:lang w:val="en-US" w:eastAsia="zh-CN"/>
              </w:rPr>
            </w:pPr>
            <w:r>
              <w:rPr>
                <w:rFonts w:hint="eastAsia"/>
              </w:rPr>
              <w:t>投标人针对本项目采购需求制定体检服务方案，</w:t>
            </w:r>
            <w:r>
              <w:rPr>
                <w:rFonts w:hint="eastAsia"/>
                <w:lang w:eastAsia="zh-CN"/>
              </w:rPr>
              <w:t>（</w:t>
            </w:r>
            <w:r>
              <w:rPr>
                <w:rFonts w:hint="eastAsia"/>
              </w:rPr>
              <w:t>方案内容包含但不限于</w:t>
            </w:r>
            <w:r>
              <w:rPr>
                <w:rFonts w:hint="eastAsia"/>
                <w:lang w:eastAsia="zh-CN"/>
              </w:rPr>
              <w:t>：</w:t>
            </w:r>
            <w:r>
              <w:rPr>
                <w:rFonts w:hint="eastAsia"/>
              </w:rPr>
              <w:t>体检计划方案、体检流程安排、服务团队人员配置、</w:t>
            </w:r>
            <w:r>
              <w:rPr>
                <w:rStyle w:val="70"/>
                <w:rFonts w:hint="eastAsia" w:ascii="宋体" w:hAnsi="宋体" w:eastAsia="宋体" w:cs="宋体"/>
                <w:b w:val="0"/>
                <w:sz w:val="21"/>
                <w:szCs w:val="24"/>
                <w:highlight w:val="none"/>
              </w:rPr>
              <w:t>质量控制措施</w:t>
            </w:r>
            <w:r>
              <w:rPr>
                <w:rStyle w:val="70"/>
                <w:rFonts w:hint="eastAsia" w:ascii="宋体" w:hAnsi="宋体" w:eastAsia="宋体" w:cs="宋体"/>
                <w:b w:val="0"/>
                <w:sz w:val="21"/>
                <w:szCs w:val="24"/>
                <w:highlight w:val="none"/>
                <w:lang w:eastAsia="zh-CN"/>
              </w:rPr>
              <w:t>、</w:t>
            </w:r>
            <w:r>
              <w:rPr>
                <w:rStyle w:val="70"/>
                <w:rFonts w:hint="eastAsia" w:ascii="宋体" w:hAnsi="宋体" w:eastAsia="宋体" w:cs="宋体"/>
                <w:b w:val="0"/>
                <w:sz w:val="21"/>
                <w:szCs w:val="24"/>
                <w:highlight w:val="none"/>
              </w:rPr>
              <w:t>体检环境</w:t>
            </w:r>
            <w:r>
              <w:rPr>
                <w:rStyle w:val="70"/>
                <w:rFonts w:hint="eastAsia" w:ascii="宋体" w:hAnsi="宋体" w:eastAsia="宋体" w:cs="宋体"/>
                <w:b w:val="0"/>
                <w:sz w:val="21"/>
                <w:szCs w:val="24"/>
                <w:highlight w:val="none"/>
                <w:lang w:eastAsia="zh-CN"/>
              </w:rPr>
              <w:t>、</w:t>
            </w:r>
            <w:r>
              <w:rPr>
                <w:rStyle w:val="70"/>
                <w:rFonts w:hint="eastAsia" w:ascii="宋体" w:hAnsi="宋体" w:eastAsia="宋体" w:cs="宋体"/>
                <w:b w:val="0"/>
                <w:sz w:val="21"/>
                <w:szCs w:val="24"/>
                <w:highlight w:val="none"/>
              </w:rPr>
              <w:t>体检结果</w:t>
            </w:r>
            <w:r>
              <w:rPr>
                <w:rStyle w:val="70"/>
                <w:rFonts w:hint="eastAsia" w:ascii="宋体" w:hAnsi="宋体" w:eastAsia="宋体" w:cs="宋体"/>
                <w:b w:val="0"/>
                <w:sz w:val="21"/>
                <w:szCs w:val="24"/>
                <w:highlight w:val="none"/>
                <w:lang w:eastAsia="zh-CN"/>
              </w:rPr>
              <w:t>、</w:t>
            </w:r>
            <w:r>
              <w:rPr>
                <w:rStyle w:val="70"/>
                <w:rFonts w:hint="eastAsia" w:ascii="宋体" w:hAnsi="宋体" w:eastAsia="宋体" w:cs="宋体"/>
                <w:b w:val="0"/>
                <w:sz w:val="21"/>
                <w:szCs w:val="24"/>
                <w:highlight w:val="none"/>
              </w:rPr>
              <w:t>跟踪服务</w:t>
            </w:r>
            <w:r>
              <w:rPr>
                <w:rFonts w:hint="eastAsia"/>
                <w:lang w:val="en-US" w:eastAsia="zh-CN"/>
              </w:rPr>
              <w:t>等内容</w:t>
            </w:r>
            <w:r>
              <w:rPr>
                <w:rFonts w:hint="eastAsia"/>
                <w:lang w:eastAsia="zh-CN"/>
              </w:rPr>
              <w:t>）</w:t>
            </w:r>
            <w:r>
              <w:rPr>
                <w:rFonts w:hint="eastAsia"/>
                <w:lang w:val="en-US" w:eastAsia="zh-CN"/>
              </w:rPr>
              <w:t>。</w:t>
            </w:r>
          </w:p>
          <w:p w14:paraId="481DF216">
            <w:pPr>
              <w:numPr>
                <w:ilvl w:val="-1"/>
                <w:numId w:val="0"/>
              </w:numPr>
              <w:rPr>
                <w:rFonts w:hint="eastAsia"/>
                <w:lang w:val="en-US" w:eastAsia="zh-CN"/>
              </w:rPr>
            </w:pPr>
            <w:r>
              <w:rPr>
                <w:rFonts w:hint="eastAsia"/>
                <w:lang w:val="en-US" w:eastAsia="zh-CN"/>
              </w:rPr>
              <w:t>1.整体</w:t>
            </w:r>
            <w:r>
              <w:rPr>
                <w:rFonts w:hint="eastAsia"/>
              </w:rPr>
              <w:t>方案内容</w:t>
            </w:r>
            <w:r>
              <w:rPr>
                <w:rFonts w:hint="eastAsia"/>
                <w:lang w:val="en-US" w:eastAsia="zh-CN"/>
              </w:rPr>
              <w:t>完整</w:t>
            </w:r>
            <w:r>
              <w:rPr>
                <w:rFonts w:hint="eastAsia"/>
              </w:rPr>
              <w:t>、</w:t>
            </w:r>
            <w:r>
              <w:rPr>
                <w:rFonts w:hint="eastAsia"/>
                <w:lang w:val="en-US" w:eastAsia="zh-CN"/>
              </w:rPr>
              <w:t>思路</w:t>
            </w:r>
            <w:r>
              <w:rPr>
                <w:rFonts w:hint="eastAsia"/>
              </w:rPr>
              <w:t>清晰</w:t>
            </w:r>
            <w:r>
              <w:rPr>
                <w:rFonts w:hint="eastAsia"/>
                <w:lang w:eastAsia="zh-CN"/>
              </w:rPr>
              <w:t>、</w:t>
            </w:r>
            <w:r>
              <w:rPr>
                <w:rFonts w:hint="eastAsia"/>
              </w:rPr>
              <w:t>各方面都能满足采购需求的</w:t>
            </w:r>
            <w:r>
              <w:rPr>
                <w:rFonts w:hint="eastAsia"/>
                <w:lang w:eastAsia="zh-CN"/>
              </w:rPr>
              <w:t>，</w:t>
            </w:r>
            <w:r>
              <w:rPr>
                <w:rFonts w:hint="eastAsia"/>
                <w:lang w:val="en-US" w:eastAsia="zh-CN"/>
              </w:rPr>
              <w:t>计9-12分；</w:t>
            </w:r>
          </w:p>
          <w:p w14:paraId="02F2BC02">
            <w:pPr>
              <w:numPr>
                <w:ilvl w:val="-1"/>
                <w:numId w:val="0"/>
              </w:numPr>
              <w:rPr>
                <w:rFonts w:hint="eastAsia"/>
                <w:lang w:val="en-US" w:eastAsia="zh-CN"/>
              </w:rPr>
            </w:pPr>
            <w:r>
              <w:rPr>
                <w:rFonts w:hint="eastAsia"/>
                <w:lang w:val="en-US" w:eastAsia="zh-CN"/>
              </w:rPr>
              <w:t>2.整体</w:t>
            </w:r>
            <w:r>
              <w:rPr>
                <w:rFonts w:hint="eastAsia"/>
              </w:rPr>
              <w:t>方案内容</w:t>
            </w:r>
            <w:r>
              <w:rPr>
                <w:rFonts w:hint="eastAsia"/>
                <w:lang w:val="en-US" w:eastAsia="zh-CN"/>
              </w:rPr>
              <w:t>较完整</w:t>
            </w:r>
            <w:r>
              <w:rPr>
                <w:rFonts w:hint="eastAsia"/>
              </w:rPr>
              <w:t>、</w:t>
            </w:r>
            <w:r>
              <w:rPr>
                <w:rFonts w:hint="eastAsia"/>
                <w:lang w:val="en-US" w:eastAsia="zh-CN"/>
              </w:rPr>
              <w:t>思路较</w:t>
            </w:r>
            <w:r>
              <w:rPr>
                <w:rFonts w:hint="eastAsia"/>
              </w:rPr>
              <w:t>清晰</w:t>
            </w:r>
            <w:r>
              <w:rPr>
                <w:rFonts w:hint="eastAsia"/>
                <w:lang w:eastAsia="zh-CN"/>
              </w:rPr>
              <w:t>、</w:t>
            </w:r>
            <w:r>
              <w:rPr>
                <w:rFonts w:hint="eastAsia"/>
              </w:rPr>
              <w:t>各方面</w:t>
            </w:r>
            <w:r>
              <w:rPr>
                <w:rFonts w:hint="eastAsia"/>
                <w:lang w:val="en-US" w:eastAsia="zh-CN"/>
              </w:rPr>
              <w:t>基本</w:t>
            </w:r>
            <w:r>
              <w:rPr>
                <w:rFonts w:hint="eastAsia"/>
              </w:rPr>
              <w:t>满足采购需求的</w:t>
            </w:r>
            <w:r>
              <w:rPr>
                <w:rFonts w:hint="eastAsia"/>
                <w:lang w:eastAsia="zh-CN"/>
              </w:rPr>
              <w:t>，</w:t>
            </w:r>
            <w:r>
              <w:rPr>
                <w:rFonts w:hint="eastAsia"/>
                <w:lang w:val="en-US" w:eastAsia="zh-CN"/>
              </w:rPr>
              <w:t>计5-8分；</w:t>
            </w:r>
          </w:p>
          <w:p w14:paraId="63C29F7A">
            <w:pPr>
              <w:numPr>
                <w:ilvl w:val="-1"/>
                <w:numId w:val="0"/>
              </w:numPr>
              <w:rPr>
                <w:rFonts w:hint="eastAsia"/>
                <w:lang w:val="en-US" w:eastAsia="zh-CN"/>
              </w:rPr>
            </w:pPr>
            <w:r>
              <w:rPr>
                <w:rFonts w:hint="eastAsia"/>
                <w:lang w:val="en-US" w:eastAsia="zh-CN"/>
              </w:rPr>
              <w:t>3.整体</w:t>
            </w:r>
            <w:r>
              <w:rPr>
                <w:rFonts w:hint="eastAsia"/>
              </w:rPr>
              <w:t>方案内容</w:t>
            </w:r>
            <w:r>
              <w:rPr>
                <w:rFonts w:hint="eastAsia"/>
                <w:lang w:val="en-US" w:eastAsia="zh-CN"/>
              </w:rPr>
              <w:t>欠完整</w:t>
            </w:r>
            <w:r>
              <w:rPr>
                <w:rFonts w:hint="eastAsia"/>
              </w:rPr>
              <w:t>、</w:t>
            </w:r>
            <w:r>
              <w:rPr>
                <w:rFonts w:hint="eastAsia"/>
                <w:lang w:val="en-US" w:eastAsia="zh-CN"/>
              </w:rPr>
              <w:t>思路欠</w:t>
            </w:r>
            <w:r>
              <w:rPr>
                <w:rFonts w:hint="eastAsia"/>
              </w:rPr>
              <w:t>清晰</w:t>
            </w:r>
            <w:r>
              <w:rPr>
                <w:rFonts w:hint="eastAsia"/>
                <w:lang w:eastAsia="zh-CN"/>
              </w:rPr>
              <w:t>、</w:t>
            </w:r>
            <w:r>
              <w:rPr>
                <w:rFonts w:hint="eastAsia"/>
              </w:rPr>
              <w:t>各方面</w:t>
            </w:r>
            <w:r>
              <w:rPr>
                <w:rFonts w:hint="eastAsia"/>
                <w:lang w:val="en-US" w:eastAsia="zh-CN"/>
              </w:rPr>
              <w:t>是否</w:t>
            </w:r>
            <w:r>
              <w:rPr>
                <w:rFonts w:hint="eastAsia"/>
              </w:rPr>
              <w:t>满足采购需求</w:t>
            </w:r>
            <w:r>
              <w:rPr>
                <w:rFonts w:hint="eastAsia"/>
                <w:lang w:val="en-US" w:eastAsia="zh-CN"/>
              </w:rPr>
              <w:t>表述不详</w:t>
            </w:r>
            <w:r>
              <w:rPr>
                <w:rFonts w:hint="eastAsia"/>
              </w:rPr>
              <w:t>的</w:t>
            </w:r>
            <w:r>
              <w:rPr>
                <w:rFonts w:hint="eastAsia"/>
                <w:lang w:eastAsia="zh-CN"/>
              </w:rPr>
              <w:t>，</w:t>
            </w:r>
            <w:r>
              <w:rPr>
                <w:rFonts w:hint="eastAsia"/>
                <w:lang w:val="en-US" w:eastAsia="zh-CN"/>
              </w:rPr>
              <w:t>计1-4分；</w:t>
            </w:r>
          </w:p>
          <w:p w14:paraId="72C30B7E">
            <w:pPr>
              <w:numPr>
                <w:ilvl w:val="0"/>
                <w:numId w:val="0"/>
              </w:numPr>
              <w:adjustRightInd/>
              <w:snapToGrid/>
              <w:ind w:left="0" w:leftChars="0" w:firstLine="0" w:firstLineChars="0"/>
              <w:jc w:val="left"/>
              <w:rPr>
                <w:color w:val="auto"/>
                <w:highlight w:val="none"/>
              </w:rPr>
            </w:pPr>
            <w:r>
              <w:rPr>
                <w:rFonts w:hint="eastAsia"/>
                <w:lang w:val="en-US" w:eastAsia="zh-CN"/>
              </w:rPr>
              <w:t>4.未提供方案的，不计分。</w:t>
            </w:r>
          </w:p>
        </w:tc>
      </w:tr>
      <w:tr w14:paraId="6CCDD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0" w:hRule="atLeast"/>
          <w:jc w:val="center"/>
        </w:trPr>
        <w:tc>
          <w:tcPr>
            <w:tcW w:w="869" w:type="dxa"/>
            <w:vMerge w:val="continue"/>
            <w:tcBorders>
              <w:tl2br w:val="nil"/>
              <w:tr2bl w:val="nil"/>
            </w:tcBorders>
            <w:vAlign w:val="center"/>
          </w:tcPr>
          <w:p w14:paraId="6E75ACAE">
            <w:pPr>
              <w:jc w:val="center"/>
              <w:rPr>
                <w:rFonts w:ascii="宋体" w:hAnsi="宋体" w:cs="宋体"/>
                <w:b/>
                <w:color w:val="auto"/>
                <w:szCs w:val="21"/>
                <w:highlight w:val="none"/>
              </w:rPr>
            </w:pPr>
          </w:p>
        </w:tc>
        <w:tc>
          <w:tcPr>
            <w:tcW w:w="824" w:type="dxa"/>
            <w:gridSpan w:val="2"/>
            <w:vMerge w:val="continue"/>
            <w:tcBorders>
              <w:tl2br w:val="nil"/>
              <w:tr2bl w:val="nil"/>
            </w:tcBorders>
            <w:shd w:val="clear" w:color="auto" w:fill="auto"/>
            <w:vAlign w:val="center"/>
          </w:tcPr>
          <w:p w14:paraId="6233D1DF">
            <w:pPr>
              <w:widowControl/>
              <w:spacing w:line="360" w:lineRule="exact"/>
              <w:jc w:val="center"/>
              <w:rPr>
                <w:rFonts w:hint="eastAsia" w:ascii="宋体" w:hAnsi="宋体" w:eastAsia="宋体" w:cs="宋体"/>
                <w:color w:val="auto"/>
                <w:szCs w:val="21"/>
                <w:highlight w:val="none"/>
              </w:rPr>
            </w:pPr>
          </w:p>
        </w:tc>
        <w:tc>
          <w:tcPr>
            <w:tcW w:w="1099" w:type="dxa"/>
            <w:gridSpan w:val="3"/>
            <w:tcBorders>
              <w:tl2br w:val="nil"/>
              <w:tr2bl w:val="nil"/>
            </w:tcBorders>
            <w:shd w:val="clear" w:color="auto" w:fill="auto"/>
            <w:vAlign w:val="center"/>
          </w:tcPr>
          <w:p w14:paraId="477E8343">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ru" w:eastAsia="zh-CN" w:bidi="ar"/>
              </w:rPr>
              <w:t>应急预案</w:t>
            </w:r>
            <w:r>
              <w:rPr>
                <w:rFonts w:hint="eastAsia" w:ascii="宋体" w:hAnsi="宋体" w:eastAsia="宋体" w:cs="宋体"/>
                <w:color w:val="auto"/>
                <w:szCs w:val="21"/>
                <w:lang w:bidi="ar"/>
              </w:rPr>
              <w:t>方案</w:t>
            </w:r>
          </w:p>
        </w:tc>
        <w:tc>
          <w:tcPr>
            <w:tcW w:w="999" w:type="dxa"/>
            <w:tcBorders>
              <w:tl2br w:val="nil"/>
              <w:tr2bl w:val="nil"/>
            </w:tcBorders>
            <w:shd w:val="clear" w:color="auto" w:fill="auto"/>
            <w:vAlign w:val="center"/>
          </w:tcPr>
          <w:p w14:paraId="033C8A88">
            <w:pPr>
              <w:widowControl/>
              <w:jc w:val="center"/>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lang w:val="en-US" w:eastAsia="zh-CN" w:bidi="ar"/>
              </w:rPr>
              <w:t>12</w:t>
            </w:r>
          </w:p>
        </w:tc>
        <w:tc>
          <w:tcPr>
            <w:tcW w:w="5711" w:type="dxa"/>
            <w:tcBorders>
              <w:tl2br w:val="nil"/>
              <w:tr2bl w:val="nil"/>
            </w:tcBorders>
            <w:shd w:val="clear" w:color="auto" w:fill="auto"/>
            <w:vAlign w:val="center"/>
          </w:tcPr>
          <w:p w14:paraId="456B9E62">
            <w:pPr>
              <w:pStyle w:val="21"/>
              <w:adjustRightInd/>
              <w:snapToGrid/>
              <w:jc w:val="left"/>
              <w:rPr>
                <w:rFonts w:hint="eastAsia" w:ascii="宋体" w:hAnsi="宋体" w:eastAsia="宋体" w:cs="宋体"/>
                <w:lang w:val="en-US" w:eastAsia="zh-CN"/>
              </w:rPr>
            </w:pPr>
            <w:r>
              <w:rPr>
                <w:rFonts w:hint="eastAsia" w:ascii="宋体" w:hAnsi="宋体" w:eastAsia="宋体" w:cs="宋体"/>
              </w:rPr>
              <w:t>投标人针对本项目采购需求制定</w:t>
            </w:r>
            <w:r>
              <w:rPr>
                <w:rFonts w:hint="eastAsia" w:ascii="宋体" w:hAnsi="宋体" w:eastAsia="宋体" w:cs="宋体"/>
                <w:color w:val="auto"/>
                <w:sz w:val="21"/>
                <w:szCs w:val="21"/>
                <w:highlight w:val="none"/>
                <w:lang w:val="ru" w:eastAsia="zh-CN" w:bidi="ar"/>
              </w:rPr>
              <w:t>应急预案</w:t>
            </w:r>
            <w:r>
              <w:rPr>
                <w:rFonts w:hint="eastAsia" w:ascii="宋体" w:hAnsi="宋体" w:eastAsia="宋体" w:cs="宋体"/>
              </w:rPr>
              <w:t>，</w:t>
            </w:r>
            <w:r>
              <w:rPr>
                <w:rFonts w:hint="eastAsia" w:ascii="宋体" w:hAnsi="宋体" w:eastAsia="宋体" w:cs="宋体"/>
                <w:lang w:eastAsia="zh-CN"/>
              </w:rPr>
              <w:t>（</w:t>
            </w:r>
            <w:r>
              <w:rPr>
                <w:rFonts w:hint="eastAsia" w:ascii="宋体" w:hAnsi="宋体" w:eastAsia="宋体" w:cs="宋体"/>
              </w:rPr>
              <w:t>方案内容包含但不限于</w:t>
            </w:r>
            <w:r>
              <w:rPr>
                <w:rFonts w:hint="eastAsia" w:ascii="宋体" w:hAnsi="宋体" w:eastAsia="宋体" w:cs="宋体"/>
                <w:lang w:eastAsia="zh-CN"/>
              </w:rPr>
              <w:t>：</w:t>
            </w:r>
            <w:r>
              <w:rPr>
                <w:rFonts w:hint="eastAsia" w:ascii="宋体" w:hAnsi="宋体" w:eastAsia="宋体" w:cs="宋体"/>
                <w:color w:val="auto"/>
                <w:sz w:val="21"/>
                <w:szCs w:val="21"/>
                <w:highlight w:val="none"/>
              </w:rPr>
              <w:t>健康体检突发事件处置</w:t>
            </w:r>
            <w:r>
              <w:rPr>
                <w:rFonts w:hint="eastAsia" w:ascii="宋体" w:hAnsi="宋体" w:eastAsia="宋体" w:cs="宋体"/>
              </w:rPr>
              <w:t>、</w:t>
            </w:r>
            <w:r>
              <w:rPr>
                <w:rFonts w:hint="eastAsia" w:ascii="宋体" w:hAnsi="宋体" w:eastAsia="宋体" w:cs="宋体"/>
                <w:color w:val="auto"/>
                <w:sz w:val="21"/>
                <w:szCs w:val="21"/>
                <w:highlight w:val="none"/>
              </w:rPr>
              <w:t>受检者晕针晕血处理</w:t>
            </w:r>
            <w:r>
              <w:rPr>
                <w:rFonts w:hint="eastAsia" w:ascii="宋体" w:hAnsi="宋体" w:eastAsia="宋体" w:cs="宋体"/>
              </w:rPr>
              <w:t>、</w:t>
            </w:r>
            <w:r>
              <w:rPr>
                <w:rFonts w:hint="eastAsia" w:ascii="宋体" w:hAnsi="宋体" w:eastAsia="宋体" w:cs="宋体"/>
                <w:color w:val="auto"/>
                <w:sz w:val="21"/>
                <w:szCs w:val="21"/>
                <w:highlight w:val="none"/>
              </w:rPr>
              <w:t>受检者突发心脑血管急病处理</w:t>
            </w:r>
            <w:r>
              <w:rPr>
                <w:rFonts w:hint="eastAsia" w:ascii="宋体" w:hAnsi="宋体" w:eastAsia="宋体" w:cs="宋体"/>
              </w:rPr>
              <w:t>、</w:t>
            </w:r>
            <w:r>
              <w:rPr>
                <w:rFonts w:hint="eastAsia" w:ascii="宋体" w:hAnsi="宋体" w:eastAsia="宋体" w:cs="宋体"/>
                <w:color w:val="auto"/>
                <w:sz w:val="21"/>
                <w:szCs w:val="21"/>
                <w:highlight w:val="none"/>
              </w:rPr>
              <w:t>高血压急症处理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其他急症处理</w:t>
            </w:r>
            <w:r>
              <w:rPr>
                <w:rFonts w:hint="eastAsia" w:ascii="宋体" w:hAnsi="宋体" w:eastAsia="宋体" w:cs="宋体"/>
                <w:lang w:val="en-US" w:eastAsia="zh-CN"/>
              </w:rPr>
              <w:t>等内容）。</w:t>
            </w:r>
          </w:p>
          <w:p w14:paraId="27BE8F45">
            <w:pPr>
              <w:pStyle w:val="21"/>
              <w:rPr>
                <w:rFonts w:hint="eastAsia" w:ascii="宋体" w:hAnsi="宋体" w:eastAsia="宋体" w:cs="宋体"/>
                <w:lang w:val="en-US" w:eastAsia="zh-CN"/>
              </w:rPr>
            </w:pPr>
            <w:r>
              <w:rPr>
                <w:rFonts w:hint="eastAsia" w:ascii="宋体" w:hAnsi="宋体" w:eastAsia="宋体" w:cs="宋体"/>
                <w:lang w:val="en-US" w:eastAsia="zh-CN"/>
              </w:rPr>
              <w:t>1.整体</w:t>
            </w:r>
            <w:r>
              <w:rPr>
                <w:rFonts w:hint="eastAsia" w:ascii="宋体" w:hAnsi="宋体" w:eastAsia="宋体" w:cs="宋体"/>
              </w:rPr>
              <w:t>方案内容</w:t>
            </w:r>
            <w:r>
              <w:rPr>
                <w:rFonts w:hint="eastAsia" w:ascii="宋体" w:hAnsi="宋体" w:eastAsia="宋体" w:cs="宋体"/>
                <w:lang w:val="en-US" w:eastAsia="zh-CN"/>
              </w:rPr>
              <w:t>完整</w:t>
            </w:r>
            <w:r>
              <w:rPr>
                <w:rFonts w:hint="eastAsia" w:ascii="宋体" w:hAnsi="宋体" w:eastAsia="宋体" w:cs="宋体"/>
              </w:rPr>
              <w:t>、</w:t>
            </w:r>
            <w:r>
              <w:rPr>
                <w:rFonts w:hint="eastAsia" w:ascii="宋体" w:hAnsi="宋体" w:eastAsia="宋体" w:cs="宋体"/>
                <w:lang w:val="en-US" w:eastAsia="zh-CN"/>
              </w:rPr>
              <w:t>思路</w:t>
            </w:r>
            <w:r>
              <w:rPr>
                <w:rFonts w:hint="eastAsia" w:ascii="宋体" w:hAnsi="宋体" w:eastAsia="宋体" w:cs="宋体"/>
              </w:rPr>
              <w:t>清晰</w:t>
            </w:r>
            <w:r>
              <w:rPr>
                <w:rFonts w:hint="eastAsia" w:ascii="宋体" w:hAnsi="宋体" w:eastAsia="宋体" w:cs="宋体"/>
                <w:lang w:eastAsia="zh-CN"/>
              </w:rPr>
              <w:t>、</w:t>
            </w:r>
            <w:r>
              <w:rPr>
                <w:rFonts w:hint="eastAsia" w:ascii="宋体" w:hAnsi="宋体" w:eastAsia="宋体" w:cs="宋体"/>
              </w:rPr>
              <w:t>各方面都能满足采购需求的</w:t>
            </w:r>
            <w:r>
              <w:rPr>
                <w:rFonts w:hint="eastAsia" w:ascii="宋体" w:hAnsi="宋体" w:eastAsia="宋体" w:cs="宋体"/>
                <w:lang w:eastAsia="zh-CN"/>
              </w:rPr>
              <w:t>，</w:t>
            </w:r>
            <w:r>
              <w:rPr>
                <w:rFonts w:hint="eastAsia" w:ascii="宋体" w:hAnsi="宋体" w:eastAsia="宋体" w:cs="宋体"/>
                <w:lang w:val="en-US" w:eastAsia="zh-CN"/>
              </w:rPr>
              <w:t>计9-12分；</w:t>
            </w:r>
          </w:p>
          <w:p w14:paraId="7C75DCD4">
            <w:pPr>
              <w:pStyle w:val="21"/>
              <w:rPr>
                <w:rFonts w:hint="eastAsia" w:ascii="宋体" w:hAnsi="宋体" w:eastAsia="宋体" w:cs="宋体"/>
                <w:lang w:val="en-US" w:eastAsia="zh-CN"/>
              </w:rPr>
            </w:pPr>
            <w:r>
              <w:rPr>
                <w:rFonts w:hint="eastAsia" w:ascii="宋体" w:hAnsi="宋体" w:eastAsia="宋体" w:cs="宋体"/>
                <w:lang w:val="en-US" w:eastAsia="zh-CN"/>
              </w:rPr>
              <w:t>2.整体</w:t>
            </w:r>
            <w:r>
              <w:rPr>
                <w:rFonts w:hint="eastAsia" w:ascii="宋体" w:hAnsi="宋体" w:eastAsia="宋体" w:cs="宋体"/>
              </w:rPr>
              <w:t>方案内容</w:t>
            </w:r>
            <w:r>
              <w:rPr>
                <w:rFonts w:hint="eastAsia" w:ascii="宋体" w:hAnsi="宋体" w:eastAsia="宋体" w:cs="宋体"/>
                <w:lang w:val="en-US" w:eastAsia="zh-CN"/>
              </w:rPr>
              <w:t>较完整</w:t>
            </w:r>
            <w:r>
              <w:rPr>
                <w:rFonts w:hint="eastAsia" w:ascii="宋体" w:hAnsi="宋体" w:eastAsia="宋体" w:cs="宋体"/>
              </w:rPr>
              <w:t>、</w:t>
            </w:r>
            <w:r>
              <w:rPr>
                <w:rFonts w:hint="eastAsia" w:ascii="宋体" w:hAnsi="宋体" w:eastAsia="宋体" w:cs="宋体"/>
                <w:lang w:val="en-US" w:eastAsia="zh-CN"/>
              </w:rPr>
              <w:t>思路较</w:t>
            </w:r>
            <w:r>
              <w:rPr>
                <w:rFonts w:hint="eastAsia" w:ascii="宋体" w:hAnsi="宋体" w:eastAsia="宋体" w:cs="宋体"/>
              </w:rPr>
              <w:t>清晰</w:t>
            </w:r>
            <w:r>
              <w:rPr>
                <w:rFonts w:hint="eastAsia" w:ascii="宋体" w:hAnsi="宋体" w:eastAsia="宋体" w:cs="宋体"/>
                <w:lang w:eastAsia="zh-CN"/>
              </w:rPr>
              <w:t>、</w:t>
            </w:r>
            <w:r>
              <w:rPr>
                <w:rFonts w:hint="eastAsia" w:ascii="宋体" w:hAnsi="宋体" w:eastAsia="宋体" w:cs="宋体"/>
              </w:rPr>
              <w:t>各方面</w:t>
            </w:r>
            <w:r>
              <w:rPr>
                <w:rFonts w:hint="eastAsia" w:ascii="宋体" w:hAnsi="宋体" w:eastAsia="宋体" w:cs="宋体"/>
                <w:lang w:val="en-US" w:eastAsia="zh-CN"/>
              </w:rPr>
              <w:t>基本</w:t>
            </w:r>
            <w:r>
              <w:rPr>
                <w:rFonts w:hint="eastAsia" w:ascii="宋体" w:hAnsi="宋体" w:eastAsia="宋体" w:cs="宋体"/>
              </w:rPr>
              <w:t>满足采购需求的</w:t>
            </w:r>
            <w:r>
              <w:rPr>
                <w:rFonts w:hint="eastAsia" w:ascii="宋体" w:hAnsi="宋体" w:eastAsia="宋体" w:cs="宋体"/>
                <w:lang w:eastAsia="zh-CN"/>
              </w:rPr>
              <w:t>，</w:t>
            </w:r>
            <w:r>
              <w:rPr>
                <w:rFonts w:hint="eastAsia" w:ascii="宋体" w:hAnsi="宋体" w:eastAsia="宋体" w:cs="宋体"/>
                <w:lang w:val="en-US" w:eastAsia="zh-CN"/>
              </w:rPr>
              <w:t>计5-8分；</w:t>
            </w:r>
          </w:p>
          <w:p w14:paraId="790C263B">
            <w:pPr>
              <w:pStyle w:val="21"/>
              <w:rPr>
                <w:rFonts w:hint="eastAsia" w:ascii="宋体" w:hAnsi="宋体" w:eastAsia="宋体" w:cs="宋体"/>
                <w:lang w:val="en-US" w:eastAsia="zh-CN"/>
              </w:rPr>
            </w:pPr>
            <w:r>
              <w:rPr>
                <w:rFonts w:hint="eastAsia" w:ascii="宋体" w:hAnsi="宋体" w:eastAsia="宋体" w:cs="宋体"/>
                <w:lang w:val="en-US" w:eastAsia="zh-CN"/>
              </w:rPr>
              <w:t>3.整体</w:t>
            </w:r>
            <w:r>
              <w:rPr>
                <w:rFonts w:hint="eastAsia" w:ascii="宋体" w:hAnsi="宋体" w:eastAsia="宋体" w:cs="宋体"/>
              </w:rPr>
              <w:t>方案内容</w:t>
            </w:r>
            <w:r>
              <w:rPr>
                <w:rFonts w:hint="eastAsia" w:ascii="宋体" w:hAnsi="宋体" w:eastAsia="宋体" w:cs="宋体"/>
                <w:lang w:val="en-US" w:eastAsia="zh-CN"/>
              </w:rPr>
              <w:t>欠完整</w:t>
            </w:r>
            <w:r>
              <w:rPr>
                <w:rFonts w:hint="eastAsia" w:ascii="宋体" w:hAnsi="宋体" w:eastAsia="宋体" w:cs="宋体"/>
              </w:rPr>
              <w:t>、</w:t>
            </w:r>
            <w:r>
              <w:rPr>
                <w:rFonts w:hint="eastAsia" w:ascii="宋体" w:hAnsi="宋体" w:eastAsia="宋体" w:cs="宋体"/>
                <w:lang w:val="en-US" w:eastAsia="zh-CN"/>
              </w:rPr>
              <w:t>思路欠</w:t>
            </w:r>
            <w:r>
              <w:rPr>
                <w:rFonts w:hint="eastAsia" w:ascii="宋体" w:hAnsi="宋体" w:eastAsia="宋体" w:cs="宋体"/>
              </w:rPr>
              <w:t>清晰</w:t>
            </w:r>
            <w:r>
              <w:rPr>
                <w:rFonts w:hint="eastAsia" w:ascii="宋体" w:hAnsi="宋体" w:eastAsia="宋体" w:cs="宋体"/>
                <w:lang w:eastAsia="zh-CN"/>
              </w:rPr>
              <w:t>、</w:t>
            </w:r>
            <w:r>
              <w:rPr>
                <w:rFonts w:hint="eastAsia" w:ascii="宋体" w:hAnsi="宋体" w:eastAsia="宋体" w:cs="宋体"/>
              </w:rPr>
              <w:t>各方面</w:t>
            </w:r>
            <w:r>
              <w:rPr>
                <w:rFonts w:hint="eastAsia" w:ascii="宋体" w:hAnsi="宋体" w:eastAsia="宋体" w:cs="宋体"/>
                <w:lang w:val="en-US" w:eastAsia="zh-CN"/>
              </w:rPr>
              <w:t>是否</w:t>
            </w:r>
            <w:r>
              <w:rPr>
                <w:rFonts w:hint="eastAsia" w:ascii="宋体" w:hAnsi="宋体" w:eastAsia="宋体" w:cs="宋体"/>
              </w:rPr>
              <w:t>满足采购需求</w:t>
            </w:r>
            <w:r>
              <w:rPr>
                <w:rFonts w:hint="eastAsia" w:ascii="宋体" w:hAnsi="宋体" w:eastAsia="宋体" w:cs="宋体"/>
                <w:lang w:val="en-US" w:eastAsia="zh-CN"/>
              </w:rPr>
              <w:t>表述不详</w:t>
            </w:r>
            <w:r>
              <w:rPr>
                <w:rFonts w:hint="eastAsia" w:ascii="宋体" w:hAnsi="宋体" w:eastAsia="宋体" w:cs="宋体"/>
              </w:rPr>
              <w:t>的</w:t>
            </w:r>
            <w:r>
              <w:rPr>
                <w:rFonts w:hint="eastAsia" w:ascii="宋体" w:hAnsi="宋体" w:eastAsia="宋体" w:cs="宋体"/>
                <w:lang w:eastAsia="zh-CN"/>
              </w:rPr>
              <w:t>，</w:t>
            </w:r>
            <w:r>
              <w:rPr>
                <w:rFonts w:hint="eastAsia" w:ascii="宋体" w:hAnsi="宋体" w:eastAsia="宋体" w:cs="宋体"/>
                <w:lang w:val="en-US" w:eastAsia="zh-CN"/>
              </w:rPr>
              <w:t>计1-4分；</w:t>
            </w:r>
          </w:p>
          <w:p w14:paraId="2C87B523">
            <w:pPr>
              <w:pStyle w:val="21"/>
              <w:adjustRightInd/>
              <w:snapToGrid/>
              <w:jc w:val="left"/>
              <w:rPr>
                <w:rFonts w:hint="eastAsia" w:ascii="宋体" w:hAnsi="宋体" w:eastAsia="宋体" w:cs="宋体"/>
                <w:color w:val="auto"/>
                <w:highlight w:val="none"/>
              </w:rPr>
            </w:pPr>
            <w:r>
              <w:rPr>
                <w:rFonts w:hint="eastAsia" w:ascii="宋体" w:hAnsi="宋体" w:eastAsia="宋体" w:cs="宋体"/>
                <w:lang w:val="en-US" w:eastAsia="zh-CN"/>
              </w:rPr>
              <w:t>4.未提供方案的，不计分。</w:t>
            </w:r>
          </w:p>
        </w:tc>
      </w:tr>
      <w:tr w14:paraId="1DCEE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4" w:hRule="atLeast"/>
          <w:jc w:val="center"/>
        </w:trPr>
        <w:tc>
          <w:tcPr>
            <w:tcW w:w="869" w:type="dxa"/>
            <w:vMerge w:val="continue"/>
            <w:tcBorders>
              <w:tl2br w:val="nil"/>
              <w:tr2bl w:val="nil"/>
            </w:tcBorders>
            <w:vAlign w:val="center"/>
          </w:tcPr>
          <w:p w14:paraId="4C79A6D1">
            <w:pPr>
              <w:jc w:val="center"/>
              <w:rPr>
                <w:rFonts w:ascii="宋体" w:hAnsi="宋体" w:cs="宋体"/>
                <w:b/>
                <w:color w:val="auto"/>
                <w:szCs w:val="21"/>
                <w:highlight w:val="none"/>
              </w:rPr>
            </w:pPr>
          </w:p>
        </w:tc>
        <w:tc>
          <w:tcPr>
            <w:tcW w:w="824" w:type="dxa"/>
            <w:gridSpan w:val="2"/>
            <w:vMerge w:val="continue"/>
            <w:tcBorders>
              <w:tl2br w:val="nil"/>
              <w:tr2bl w:val="nil"/>
            </w:tcBorders>
            <w:shd w:val="clear" w:color="auto" w:fill="auto"/>
            <w:vAlign w:val="center"/>
          </w:tcPr>
          <w:p w14:paraId="48476ED4">
            <w:pPr>
              <w:widowControl/>
              <w:spacing w:line="360" w:lineRule="exact"/>
              <w:jc w:val="center"/>
              <w:rPr>
                <w:rFonts w:ascii="宋体" w:hAnsi="宋体" w:cs="宋体"/>
                <w:color w:val="auto"/>
                <w:szCs w:val="21"/>
                <w:highlight w:val="none"/>
              </w:rPr>
            </w:pPr>
          </w:p>
        </w:tc>
        <w:tc>
          <w:tcPr>
            <w:tcW w:w="1099" w:type="dxa"/>
            <w:gridSpan w:val="3"/>
            <w:tcBorders>
              <w:tl2br w:val="nil"/>
              <w:tr2bl w:val="nil"/>
            </w:tcBorders>
            <w:shd w:val="clear" w:color="auto" w:fill="auto"/>
            <w:vAlign w:val="center"/>
          </w:tcPr>
          <w:p w14:paraId="426842BF">
            <w:pPr>
              <w:spacing w:line="360" w:lineRule="exact"/>
              <w:jc w:val="center"/>
              <w:rPr>
                <w:rStyle w:val="70"/>
                <w:rFonts w:hint="eastAsia" w:ascii="宋体" w:hAnsi="宋体" w:eastAsia="宋体" w:cs="宋体"/>
                <w:b w:val="0"/>
                <w:color w:val="auto"/>
                <w:sz w:val="21"/>
                <w:szCs w:val="21"/>
                <w:highlight w:val="none"/>
              </w:rPr>
            </w:pPr>
            <w:r>
              <w:rPr>
                <w:rFonts w:hint="eastAsia" w:ascii="宋体" w:hAnsi="宋体" w:eastAsia="宋体" w:cs="宋体"/>
                <w:sz w:val="21"/>
                <w:szCs w:val="21"/>
                <w:lang w:val="en-US" w:eastAsia="zh-CN"/>
              </w:rPr>
              <w:t>就诊服务方案</w:t>
            </w:r>
          </w:p>
        </w:tc>
        <w:tc>
          <w:tcPr>
            <w:tcW w:w="999" w:type="dxa"/>
            <w:tcBorders>
              <w:tl2br w:val="nil"/>
              <w:tr2bl w:val="nil"/>
            </w:tcBorders>
            <w:shd w:val="clear" w:color="auto" w:fill="auto"/>
            <w:vAlign w:val="center"/>
          </w:tcPr>
          <w:p w14:paraId="17BD0B87">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
              </w:rPr>
              <w:t>6</w:t>
            </w:r>
          </w:p>
        </w:tc>
        <w:tc>
          <w:tcPr>
            <w:tcW w:w="5711" w:type="dxa"/>
            <w:tcBorders>
              <w:tl2br w:val="nil"/>
              <w:tr2bl w:val="nil"/>
            </w:tcBorders>
            <w:shd w:val="clear" w:color="auto" w:fill="auto"/>
            <w:vAlign w:val="center"/>
          </w:tcPr>
          <w:p w14:paraId="2176BDEE">
            <w:pPr>
              <w:pStyle w:val="21"/>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投标人针对本项目采购需求提供</w:t>
            </w:r>
            <w:r>
              <w:rPr>
                <w:rFonts w:hint="eastAsia" w:ascii="宋体" w:hAnsi="宋体" w:eastAsia="宋体" w:cs="宋体"/>
                <w:sz w:val="21"/>
                <w:szCs w:val="21"/>
              </w:rPr>
              <w:t>就诊时免费咨询、开通急诊、入院绿色通道、衔接床位</w:t>
            </w:r>
            <w:r>
              <w:rPr>
                <w:rFonts w:hint="eastAsia" w:ascii="宋体" w:hAnsi="宋体" w:eastAsia="宋体" w:cs="宋体"/>
                <w:sz w:val="21"/>
                <w:szCs w:val="21"/>
                <w:lang w:val="en-US" w:eastAsia="zh-CN"/>
              </w:rPr>
              <w:t>等</w:t>
            </w:r>
            <w:r>
              <w:rPr>
                <w:rFonts w:hint="eastAsia" w:ascii="宋体" w:hAnsi="宋体" w:eastAsia="宋体" w:cs="宋体"/>
                <w:sz w:val="21"/>
                <w:szCs w:val="21"/>
              </w:rPr>
              <w:t>服务</w:t>
            </w:r>
            <w:r>
              <w:rPr>
                <w:rFonts w:hint="eastAsia" w:ascii="宋体" w:hAnsi="宋体" w:eastAsia="宋体" w:cs="宋体"/>
                <w:sz w:val="21"/>
                <w:szCs w:val="21"/>
                <w:lang w:val="en-US" w:eastAsia="zh-CN"/>
              </w:rPr>
              <w:t>方案。</w:t>
            </w:r>
          </w:p>
          <w:p w14:paraId="530FAF7F">
            <w:pPr>
              <w:pStyle w:val="21"/>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1.整体</w:t>
            </w:r>
            <w:r>
              <w:rPr>
                <w:rFonts w:hint="eastAsia" w:ascii="宋体" w:hAnsi="宋体" w:eastAsia="宋体" w:cs="宋体"/>
                <w:sz w:val="21"/>
                <w:szCs w:val="21"/>
              </w:rPr>
              <w:t>方案内容</w:t>
            </w:r>
            <w:r>
              <w:rPr>
                <w:rFonts w:hint="eastAsia" w:ascii="宋体" w:hAnsi="宋体" w:eastAsia="宋体" w:cs="宋体"/>
                <w:sz w:val="21"/>
                <w:szCs w:val="21"/>
                <w:lang w:val="en-US" w:eastAsia="zh-CN"/>
              </w:rPr>
              <w:t>完整</w:t>
            </w:r>
            <w:r>
              <w:rPr>
                <w:rFonts w:hint="eastAsia" w:ascii="宋体" w:hAnsi="宋体" w:eastAsia="宋体" w:cs="宋体"/>
                <w:sz w:val="21"/>
                <w:szCs w:val="21"/>
              </w:rPr>
              <w:t>、</w:t>
            </w:r>
            <w:r>
              <w:rPr>
                <w:rFonts w:hint="eastAsia" w:ascii="宋体" w:hAnsi="宋体" w:eastAsia="宋体" w:cs="宋体"/>
                <w:sz w:val="21"/>
                <w:szCs w:val="21"/>
                <w:lang w:val="en-US" w:eastAsia="zh-CN"/>
              </w:rPr>
              <w:t>思路</w:t>
            </w:r>
            <w:r>
              <w:rPr>
                <w:rFonts w:hint="eastAsia" w:ascii="宋体" w:hAnsi="宋体" w:eastAsia="宋体" w:cs="宋体"/>
                <w:sz w:val="21"/>
                <w:szCs w:val="21"/>
              </w:rPr>
              <w:t>清晰</w:t>
            </w:r>
            <w:r>
              <w:rPr>
                <w:rFonts w:hint="eastAsia" w:ascii="宋体" w:hAnsi="宋体" w:eastAsia="宋体" w:cs="宋体"/>
                <w:sz w:val="21"/>
                <w:szCs w:val="21"/>
                <w:lang w:eastAsia="zh-CN"/>
              </w:rPr>
              <w:t>、</w:t>
            </w:r>
            <w:r>
              <w:rPr>
                <w:rFonts w:hint="eastAsia" w:ascii="宋体" w:hAnsi="宋体" w:eastAsia="宋体" w:cs="宋体"/>
                <w:sz w:val="21"/>
                <w:szCs w:val="21"/>
              </w:rPr>
              <w:t>各方面都能满足采购需求的</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计4-6分；</w:t>
            </w:r>
          </w:p>
          <w:p w14:paraId="2E2E4AAF">
            <w:pPr>
              <w:pStyle w:val="21"/>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2.整体</w:t>
            </w:r>
            <w:r>
              <w:rPr>
                <w:rFonts w:hint="eastAsia" w:ascii="宋体" w:hAnsi="宋体" w:eastAsia="宋体" w:cs="宋体"/>
                <w:sz w:val="21"/>
                <w:szCs w:val="21"/>
              </w:rPr>
              <w:t>方案内容</w:t>
            </w:r>
            <w:r>
              <w:rPr>
                <w:rFonts w:hint="eastAsia" w:ascii="宋体" w:hAnsi="宋体" w:eastAsia="宋体" w:cs="宋体"/>
                <w:sz w:val="21"/>
                <w:szCs w:val="21"/>
                <w:lang w:val="en-US" w:eastAsia="zh-CN"/>
              </w:rPr>
              <w:t>较完整</w:t>
            </w:r>
            <w:r>
              <w:rPr>
                <w:rFonts w:hint="eastAsia" w:ascii="宋体" w:hAnsi="宋体" w:eastAsia="宋体" w:cs="宋体"/>
                <w:sz w:val="21"/>
                <w:szCs w:val="21"/>
              </w:rPr>
              <w:t>、</w:t>
            </w:r>
            <w:r>
              <w:rPr>
                <w:rFonts w:hint="eastAsia" w:ascii="宋体" w:hAnsi="宋体" w:eastAsia="宋体" w:cs="宋体"/>
                <w:sz w:val="21"/>
                <w:szCs w:val="21"/>
                <w:lang w:val="en-US" w:eastAsia="zh-CN"/>
              </w:rPr>
              <w:t>思路较</w:t>
            </w:r>
            <w:r>
              <w:rPr>
                <w:rFonts w:hint="eastAsia" w:ascii="宋体" w:hAnsi="宋体" w:eastAsia="宋体" w:cs="宋体"/>
                <w:sz w:val="21"/>
                <w:szCs w:val="21"/>
              </w:rPr>
              <w:t>清晰</w:t>
            </w:r>
            <w:r>
              <w:rPr>
                <w:rFonts w:hint="eastAsia" w:ascii="宋体" w:hAnsi="宋体" w:eastAsia="宋体" w:cs="宋体"/>
                <w:sz w:val="21"/>
                <w:szCs w:val="21"/>
                <w:lang w:eastAsia="zh-CN"/>
              </w:rPr>
              <w:t>、</w:t>
            </w:r>
            <w:r>
              <w:rPr>
                <w:rFonts w:hint="eastAsia" w:ascii="宋体" w:hAnsi="宋体" w:eastAsia="宋体" w:cs="宋体"/>
                <w:sz w:val="21"/>
                <w:szCs w:val="21"/>
              </w:rPr>
              <w:t>各方面</w:t>
            </w:r>
            <w:r>
              <w:rPr>
                <w:rFonts w:hint="eastAsia" w:ascii="宋体" w:hAnsi="宋体" w:eastAsia="宋体" w:cs="宋体"/>
                <w:sz w:val="21"/>
                <w:szCs w:val="21"/>
                <w:lang w:val="en-US" w:eastAsia="zh-CN"/>
              </w:rPr>
              <w:t>基本</w:t>
            </w:r>
            <w:r>
              <w:rPr>
                <w:rFonts w:hint="eastAsia" w:ascii="宋体" w:hAnsi="宋体" w:eastAsia="宋体" w:cs="宋体"/>
                <w:sz w:val="21"/>
                <w:szCs w:val="21"/>
              </w:rPr>
              <w:t>满足采购需求的</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计2-3分；</w:t>
            </w:r>
          </w:p>
          <w:p w14:paraId="47E8B9CE">
            <w:pPr>
              <w:pStyle w:val="21"/>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3.整体</w:t>
            </w:r>
            <w:r>
              <w:rPr>
                <w:rFonts w:hint="eastAsia" w:ascii="宋体" w:hAnsi="宋体" w:eastAsia="宋体" w:cs="宋体"/>
                <w:sz w:val="21"/>
                <w:szCs w:val="21"/>
              </w:rPr>
              <w:t>方案内容</w:t>
            </w:r>
            <w:r>
              <w:rPr>
                <w:rFonts w:hint="eastAsia" w:ascii="宋体" w:hAnsi="宋体" w:eastAsia="宋体" w:cs="宋体"/>
                <w:sz w:val="21"/>
                <w:szCs w:val="21"/>
                <w:lang w:val="en-US" w:eastAsia="zh-CN"/>
              </w:rPr>
              <w:t>欠完整</w:t>
            </w:r>
            <w:r>
              <w:rPr>
                <w:rFonts w:hint="eastAsia" w:ascii="宋体" w:hAnsi="宋体" w:eastAsia="宋体" w:cs="宋体"/>
                <w:sz w:val="21"/>
                <w:szCs w:val="21"/>
              </w:rPr>
              <w:t>、</w:t>
            </w:r>
            <w:r>
              <w:rPr>
                <w:rFonts w:hint="eastAsia" w:ascii="宋体" w:hAnsi="宋体" w:eastAsia="宋体" w:cs="宋体"/>
                <w:sz w:val="21"/>
                <w:szCs w:val="21"/>
                <w:lang w:val="en-US" w:eastAsia="zh-CN"/>
              </w:rPr>
              <w:t>思路欠</w:t>
            </w:r>
            <w:r>
              <w:rPr>
                <w:rFonts w:hint="eastAsia" w:ascii="宋体" w:hAnsi="宋体" w:eastAsia="宋体" w:cs="宋体"/>
                <w:sz w:val="21"/>
                <w:szCs w:val="21"/>
              </w:rPr>
              <w:t>清晰</w:t>
            </w:r>
            <w:r>
              <w:rPr>
                <w:rFonts w:hint="eastAsia" w:ascii="宋体" w:hAnsi="宋体" w:eastAsia="宋体" w:cs="宋体"/>
                <w:sz w:val="21"/>
                <w:szCs w:val="21"/>
                <w:lang w:eastAsia="zh-CN"/>
              </w:rPr>
              <w:t>、</w:t>
            </w:r>
            <w:r>
              <w:rPr>
                <w:rFonts w:hint="eastAsia" w:ascii="宋体" w:hAnsi="宋体" w:eastAsia="宋体" w:cs="宋体"/>
                <w:sz w:val="21"/>
                <w:szCs w:val="21"/>
              </w:rPr>
              <w:t>各方面</w:t>
            </w:r>
            <w:r>
              <w:rPr>
                <w:rFonts w:hint="eastAsia" w:ascii="宋体" w:hAnsi="宋体" w:eastAsia="宋体" w:cs="宋体"/>
                <w:sz w:val="21"/>
                <w:szCs w:val="21"/>
                <w:lang w:val="en-US" w:eastAsia="zh-CN"/>
              </w:rPr>
              <w:t>是否</w:t>
            </w:r>
            <w:r>
              <w:rPr>
                <w:rFonts w:hint="eastAsia" w:ascii="宋体" w:hAnsi="宋体" w:eastAsia="宋体" w:cs="宋体"/>
                <w:sz w:val="21"/>
                <w:szCs w:val="21"/>
              </w:rPr>
              <w:t>满足采购需求</w:t>
            </w:r>
            <w:r>
              <w:rPr>
                <w:rFonts w:hint="eastAsia" w:ascii="宋体" w:hAnsi="宋体" w:eastAsia="宋体" w:cs="宋体"/>
                <w:sz w:val="21"/>
                <w:szCs w:val="21"/>
                <w:lang w:val="en-US" w:eastAsia="zh-CN"/>
              </w:rPr>
              <w:t>表述不详</w:t>
            </w:r>
            <w:r>
              <w:rPr>
                <w:rFonts w:hint="eastAsia" w:ascii="宋体" w:hAnsi="宋体" w:eastAsia="宋体" w:cs="宋体"/>
                <w:sz w:val="21"/>
                <w:szCs w:val="21"/>
              </w:rPr>
              <w:t>的</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计1分；</w:t>
            </w:r>
          </w:p>
          <w:p w14:paraId="62B6DB41">
            <w:pPr>
              <w:pStyle w:val="21"/>
              <w:adjustRightInd/>
              <w:snapToGrid/>
              <w:jc w:val="left"/>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4.未提供方案的，不计分。</w:t>
            </w:r>
          </w:p>
        </w:tc>
      </w:tr>
      <w:tr w14:paraId="04156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69" w:type="dxa"/>
            <w:vMerge w:val="continue"/>
            <w:tcBorders>
              <w:tl2br w:val="nil"/>
              <w:tr2bl w:val="nil"/>
            </w:tcBorders>
            <w:vAlign w:val="center"/>
          </w:tcPr>
          <w:p w14:paraId="3BC7DEEB">
            <w:pPr>
              <w:jc w:val="center"/>
              <w:rPr>
                <w:rFonts w:ascii="宋体" w:hAnsi="宋体" w:cs="宋体"/>
                <w:b/>
                <w:color w:val="auto"/>
                <w:szCs w:val="21"/>
                <w:highlight w:val="none"/>
              </w:rPr>
            </w:pPr>
          </w:p>
        </w:tc>
        <w:tc>
          <w:tcPr>
            <w:tcW w:w="1923" w:type="dxa"/>
            <w:gridSpan w:val="5"/>
            <w:tcBorders>
              <w:tl2br w:val="nil"/>
              <w:tr2bl w:val="nil"/>
            </w:tcBorders>
            <w:shd w:val="clear" w:color="auto" w:fill="auto"/>
            <w:vAlign w:val="center"/>
          </w:tcPr>
          <w:p w14:paraId="299EE0DB">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合计</w:t>
            </w:r>
          </w:p>
        </w:tc>
        <w:tc>
          <w:tcPr>
            <w:tcW w:w="999" w:type="dxa"/>
            <w:tcBorders>
              <w:tl2br w:val="nil"/>
              <w:tr2bl w:val="nil"/>
            </w:tcBorders>
            <w:shd w:val="clear" w:color="auto" w:fill="auto"/>
            <w:vAlign w:val="center"/>
          </w:tcPr>
          <w:p w14:paraId="69AFBAE8">
            <w:pPr>
              <w:widowControl/>
              <w:spacing w:line="360" w:lineRule="exact"/>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40</w:t>
            </w:r>
          </w:p>
        </w:tc>
        <w:tc>
          <w:tcPr>
            <w:tcW w:w="5711" w:type="dxa"/>
            <w:tcBorders>
              <w:tl2br w:val="nil"/>
              <w:tr2bl w:val="nil"/>
            </w:tcBorders>
            <w:shd w:val="clear" w:color="auto" w:fill="auto"/>
            <w:vAlign w:val="center"/>
          </w:tcPr>
          <w:p w14:paraId="45FC5FDA">
            <w:pPr>
              <w:spacing w:line="360" w:lineRule="exact"/>
              <w:jc w:val="left"/>
              <w:rPr>
                <w:rFonts w:ascii="宋体" w:hAnsi="宋体" w:cs="宋体"/>
                <w:color w:val="auto"/>
                <w:szCs w:val="21"/>
                <w:highlight w:val="none"/>
              </w:rPr>
            </w:pPr>
          </w:p>
        </w:tc>
      </w:tr>
      <w:tr w14:paraId="7FB7C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4" w:hRule="atLeast"/>
          <w:jc w:val="center"/>
        </w:trPr>
        <w:tc>
          <w:tcPr>
            <w:tcW w:w="869" w:type="dxa"/>
            <w:vMerge w:val="continue"/>
            <w:tcBorders>
              <w:tl2br w:val="nil"/>
              <w:tr2bl w:val="nil"/>
            </w:tcBorders>
            <w:vAlign w:val="center"/>
          </w:tcPr>
          <w:p w14:paraId="2B094DF5">
            <w:pPr>
              <w:jc w:val="center"/>
              <w:rPr>
                <w:rFonts w:ascii="宋体" w:hAnsi="宋体" w:cs="宋体"/>
                <w:b/>
                <w:color w:val="auto"/>
                <w:szCs w:val="21"/>
                <w:highlight w:val="none"/>
              </w:rPr>
            </w:pPr>
          </w:p>
        </w:tc>
        <w:tc>
          <w:tcPr>
            <w:tcW w:w="8633" w:type="dxa"/>
            <w:gridSpan w:val="7"/>
            <w:tcBorders>
              <w:tl2br w:val="nil"/>
              <w:tr2bl w:val="nil"/>
            </w:tcBorders>
            <w:shd w:val="clear" w:color="auto" w:fill="auto"/>
            <w:vAlign w:val="center"/>
          </w:tcPr>
          <w:p w14:paraId="05283C37">
            <w:pPr>
              <w:widowControl/>
              <w:spacing w:line="240" w:lineRule="auto"/>
              <w:jc w:val="left"/>
              <w:rPr>
                <w:rFonts w:ascii="宋体" w:hAnsi="宋体" w:cs="宋体"/>
                <w:b/>
                <w:iCs/>
                <w:color w:val="auto"/>
                <w:szCs w:val="21"/>
                <w:highlight w:val="none"/>
              </w:rPr>
            </w:pPr>
            <w:r>
              <w:rPr>
                <w:rFonts w:hint="eastAsia" w:ascii="宋体" w:hAnsi="宋体" w:cs="宋体"/>
                <w:b/>
                <w:iCs/>
                <w:color w:val="auto"/>
                <w:szCs w:val="21"/>
                <w:highlight w:val="none"/>
              </w:rPr>
              <w:t>备注：</w:t>
            </w:r>
          </w:p>
          <w:p w14:paraId="0DBC63C1">
            <w:pPr>
              <w:widowControl/>
              <w:spacing w:line="240" w:lineRule="auto"/>
              <w:jc w:val="left"/>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eastAsia="宋体" w:cs="宋体"/>
                <w:color w:val="auto"/>
                <w:szCs w:val="21"/>
                <w:highlight w:val="none"/>
                <w:lang w:val="en-AU"/>
              </w:rPr>
              <w:t>当评标委员会人数大于5时，技术部分单项得分为评标委员会成员个人评审计分去掉一个最高分和一个最低分后的算术平均值；当评标委员会人数等于5时，技术部分单项得分为评标委员会成员个人评审计分的算术平均值</w:t>
            </w:r>
            <w:r>
              <w:rPr>
                <w:rFonts w:hint="eastAsia" w:ascii="宋体" w:hAnsi="宋体" w:cs="宋体"/>
                <w:color w:val="auto"/>
                <w:szCs w:val="21"/>
                <w:highlight w:val="none"/>
              </w:rPr>
              <w:t>。</w:t>
            </w:r>
          </w:p>
          <w:p w14:paraId="14D0692E">
            <w:pPr>
              <w:widowControl/>
              <w:spacing w:line="240" w:lineRule="auto"/>
              <w:jc w:val="left"/>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eastAsia="宋体" w:cs="宋体"/>
                <w:color w:val="auto"/>
                <w:kern w:val="2"/>
                <w:sz w:val="21"/>
                <w:szCs w:val="21"/>
                <w:highlight w:val="none"/>
                <w:lang w:val="en-US" w:eastAsia="zh-CN" w:bidi="ar-SA"/>
              </w:rPr>
              <w:t>投标文件缺失某项评审因素的，该项计零分</w:t>
            </w:r>
            <w:r>
              <w:rPr>
                <w:rFonts w:hint="eastAsia" w:ascii="宋体" w:hAnsi="宋体" w:cs="宋体"/>
                <w:color w:val="auto"/>
                <w:szCs w:val="21"/>
                <w:highlight w:val="none"/>
              </w:rPr>
              <w:t>。</w:t>
            </w:r>
          </w:p>
        </w:tc>
      </w:tr>
      <w:tr w14:paraId="65A9C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869" w:type="dxa"/>
            <w:vMerge w:val="restart"/>
            <w:tcBorders>
              <w:tl2br w:val="nil"/>
              <w:tr2bl w:val="nil"/>
            </w:tcBorders>
            <w:vAlign w:val="center"/>
          </w:tcPr>
          <w:p w14:paraId="1F6BFB16">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2.2.2</w:t>
            </w:r>
          </w:p>
          <w:p w14:paraId="448928B1">
            <w:pPr>
              <w:spacing w:line="360" w:lineRule="exact"/>
              <w:jc w:val="center"/>
              <w:rPr>
                <w:rFonts w:ascii="宋体" w:hAnsi="宋体" w:cs="宋体"/>
                <w:b/>
                <w:color w:val="auto"/>
                <w:szCs w:val="21"/>
                <w:highlight w:val="none"/>
              </w:rPr>
            </w:pPr>
            <w:r>
              <w:rPr>
                <w:rFonts w:hint="eastAsia" w:ascii="宋体" w:hAnsi="宋体" w:cs="宋体"/>
                <w:color w:val="auto"/>
                <w:szCs w:val="21"/>
                <w:highlight w:val="none"/>
              </w:rPr>
              <w:t>（3）</w:t>
            </w:r>
          </w:p>
        </w:tc>
        <w:tc>
          <w:tcPr>
            <w:tcW w:w="8633" w:type="dxa"/>
            <w:gridSpan w:val="7"/>
            <w:tcBorders>
              <w:tl2br w:val="nil"/>
              <w:tr2bl w:val="nil"/>
            </w:tcBorders>
            <w:shd w:val="clear" w:color="auto" w:fill="auto"/>
            <w:vAlign w:val="center"/>
          </w:tcPr>
          <w:p w14:paraId="73D3655C">
            <w:pPr>
              <w:spacing w:line="360" w:lineRule="exact"/>
              <w:jc w:val="center"/>
              <w:rPr>
                <w:rFonts w:ascii="宋体" w:hAnsi="宋体" w:cs="宋体"/>
                <w:color w:val="auto"/>
                <w:szCs w:val="21"/>
                <w:highlight w:val="none"/>
                <w:lang w:bidi="ar"/>
              </w:rPr>
            </w:pPr>
            <w:r>
              <w:rPr>
                <w:rFonts w:hint="eastAsia" w:ascii="Times New Roman" w:hAnsi="Times New Roman" w:eastAsia="宋体" w:cs="Times New Roman"/>
                <w:color w:val="auto"/>
                <w:szCs w:val="21"/>
                <w:highlight w:val="none"/>
              </w:rPr>
              <w:t>报价部分详细评分标准</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30分</w:t>
            </w:r>
            <w:r>
              <w:rPr>
                <w:rFonts w:hint="eastAsia" w:ascii="Times New Roman" w:hAnsi="Times New Roman" w:eastAsia="宋体" w:cs="Times New Roman"/>
                <w:color w:val="auto"/>
                <w:szCs w:val="21"/>
                <w:highlight w:val="none"/>
                <w:lang w:eastAsia="zh-CN"/>
              </w:rPr>
              <w:t>）</w:t>
            </w:r>
          </w:p>
        </w:tc>
      </w:tr>
      <w:tr w14:paraId="51708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69" w:type="dxa"/>
            <w:vMerge w:val="continue"/>
            <w:tcBorders>
              <w:tl2br w:val="nil"/>
              <w:tr2bl w:val="nil"/>
            </w:tcBorders>
            <w:vAlign w:val="center"/>
          </w:tcPr>
          <w:p w14:paraId="3129A99B">
            <w:pPr>
              <w:spacing w:line="360" w:lineRule="exact"/>
              <w:jc w:val="center"/>
              <w:rPr>
                <w:rFonts w:ascii="宋体" w:hAnsi="宋体" w:cs="宋体"/>
                <w:color w:val="auto"/>
                <w:szCs w:val="21"/>
                <w:highlight w:val="none"/>
              </w:rPr>
            </w:pPr>
          </w:p>
        </w:tc>
        <w:tc>
          <w:tcPr>
            <w:tcW w:w="8633" w:type="dxa"/>
            <w:gridSpan w:val="7"/>
            <w:tcBorders>
              <w:tl2br w:val="nil"/>
              <w:tr2bl w:val="nil"/>
            </w:tcBorders>
            <w:shd w:val="clear" w:color="auto" w:fill="auto"/>
            <w:vAlign w:val="center"/>
          </w:tcPr>
          <w:p w14:paraId="7020EA57">
            <w:pPr>
              <w:widowControl/>
              <w:spacing w:line="240" w:lineRule="auto"/>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1.计算平均价格</w:t>
            </w:r>
          </w:p>
          <w:p w14:paraId="113FEBC8">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1.1.计算经济评审阶段合格投标人的投标报价算术平均值，得出Pa。</w:t>
            </w:r>
          </w:p>
          <w:p w14:paraId="7C3121C3">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1.1.1.如合格投标人在5家及以上，则先去掉一个最高投标报价和一个最低投标报价，对剩余合格投标人的投标报价进行算术平均。</w:t>
            </w:r>
          </w:p>
          <w:p w14:paraId="57DDB86D">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1.1.2.如合格投标人不足5家，则直接对所有合格投标人的投标报价进行算术平均。</w:t>
            </w:r>
          </w:p>
          <w:p w14:paraId="5B180636">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1.2.若有合格投标人的投标报价在[Pa×0.85，Pa×1.15]之外，则该投标人不参与第二轮的平均价格计算，重新计算其他投标报价在上述区间内的合格投标人的投标报价算术平均值，得出P。</w:t>
            </w:r>
          </w:p>
          <w:p w14:paraId="76825B47">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1.3.若合格投标人的投标报价均在[Pa×0.85，Pa×1.15]之内，则Pa=P。</w:t>
            </w:r>
          </w:p>
          <w:p w14:paraId="29FDF84B">
            <w:pPr>
              <w:keepNext w:val="0"/>
              <w:keepLines w:val="0"/>
              <w:pageBreakBefore w:val="0"/>
              <w:kinsoku/>
              <w:wordWrap w:val="0"/>
              <w:topLinePunct w:val="0"/>
              <w:bidi w:val="0"/>
              <w:spacing w:line="240" w:lineRule="auto"/>
              <w:jc w:val="left"/>
              <w:rPr>
                <w:rFonts w:ascii="宋体" w:hAnsi="宋体" w:cs="宋体"/>
                <w:color w:val="auto"/>
                <w:highlight w:val="none"/>
              </w:rPr>
            </w:pPr>
            <w:r>
              <w:rPr>
                <w:rFonts w:hint="eastAsia" w:ascii="宋体" w:hAnsi="宋体" w:eastAsia="宋体" w:cs="宋体"/>
                <w:bCs/>
                <w:color w:val="auto"/>
                <w:kern w:val="2"/>
                <w:sz w:val="21"/>
                <w:szCs w:val="21"/>
                <w:highlight w:val="none"/>
                <w:lang w:val="en-US" w:eastAsia="zh-CN" w:bidi="ar-SA"/>
              </w:rPr>
              <w:t>1.4.P为最终平均价格。</w:t>
            </w:r>
          </w:p>
        </w:tc>
      </w:tr>
      <w:tr w14:paraId="30F7E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869" w:type="dxa"/>
            <w:vMerge w:val="continue"/>
            <w:tcBorders>
              <w:tl2br w:val="nil"/>
              <w:tr2bl w:val="nil"/>
            </w:tcBorders>
            <w:vAlign w:val="center"/>
          </w:tcPr>
          <w:p w14:paraId="299B947B">
            <w:pPr>
              <w:spacing w:line="360" w:lineRule="exact"/>
              <w:jc w:val="center"/>
              <w:rPr>
                <w:rFonts w:ascii="宋体" w:hAnsi="宋体" w:cs="宋体"/>
                <w:color w:val="auto"/>
                <w:szCs w:val="21"/>
                <w:highlight w:val="none"/>
              </w:rPr>
            </w:pPr>
          </w:p>
        </w:tc>
        <w:tc>
          <w:tcPr>
            <w:tcW w:w="8633" w:type="dxa"/>
            <w:gridSpan w:val="7"/>
            <w:tcBorders>
              <w:tl2br w:val="nil"/>
              <w:tr2bl w:val="nil"/>
            </w:tcBorders>
            <w:shd w:val="clear" w:color="auto" w:fill="auto"/>
            <w:vAlign w:val="center"/>
          </w:tcPr>
          <w:p w14:paraId="27633618">
            <w:pPr>
              <w:widowControl/>
              <w:spacing w:line="240" w:lineRule="auto"/>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2.价格得分计算</w:t>
            </w:r>
          </w:p>
          <w:p w14:paraId="3712A8AA">
            <w:pPr>
              <w:widowControl/>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2.1.当Pn＝P时，C=30。</w:t>
            </w:r>
          </w:p>
          <w:p w14:paraId="32C72953">
            <w:pPr>
              <w:widowControl/>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2.2.当Pn＞P，且（Pn－P）/P≤10%时，C＝30－（Pn－P）/P×30。</w:t>
            </w:r>
          </w:p>
          <w:p w14:paraId="2AD851F6">
            <w:pPr>
              <w:widowControl w:val="0"/>
              <w:spacing w:line="240" w:lineRule="auto"/>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2.3.当Pn＞P，且（Pn－P）/P＞10%时，C＝30－（Pn－P）/P×2×30。</w:t>
            </w:r>
          </w:p>
          <w:p w14:paraId="7DFE15C8">
            <w:pPr>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2.4.当Pn＜P时，C＝30－（P－Pn）/P×0.5×30。</w:t>
            </w:r>
          </w:p>
          <w:p w14:paraId="2C707D80">
            <w:pPr>
              <w:spacing w:line="240" w:lineRule="auto"/>
              <w:rPr>
                <w:rFonts w:ascii="宋体" w:hAnsi="宋体" w:cs="宋体"/>
                <w:color w:val="auto"/>
                <w:highlight w:val="none"/>
              </w:rPr>
            </w:pPr>
            <w:r>
              <w:rPr>
                <w:rFonts w:hint="eastAsia" w:ascii="宋体" w:hAnsi="宋体" w:eastAsia="宋体" w:cs="宋体"/>
                <w:bCs/>
                <w:color w:val="auto"/>
                <w:kern w:val="2"/>
                <w:sz w:val="21"/>
                <w:szCs w:val="21"/>
                <w:highlight w:val="none"/>
                <w:lang w:val="en-US" w:eastAsia="zh-CN" w:bidi="ar-SA"/>
              </w:rPr>
              <w:t>Pn为各投标人的投标报价；C即为投标人的报价部分得分，分值最高为30分。</w:t>
            </w:r>
          </w:p>
        </w:tc>
      </w:tr>
      <w:tr w14:paraId="3603D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869" w:type="dxa"/>
            <w:vMerge w:val="continue"/>
            <w:tcBorders>
              <w:tl2br w:val="nil"/>
              <w:tr2bl w:val="nil"/>
            </w:tcBorders>
            <w:vAlign w:val="center"/>
          </w:tcPr>
          <w:p w14:paraId="1C4F40D4">
            <w:pPr>
              <w:spacing w:line="360" w:lineRule="exact"/>
              <w:jc w:val="center"/>
              <w:rPr>
                <w:rFonts w:ascii="宋体" w:hAnsi="宋体" w:cs="宋体"/>
                <w:color w:val="auto"/>
                <w:szCs w:val="21"/>
                <w:highlight w:val="none"/>
              </w:rPr>
            </w:pPr>
          </w:p>
        </w:tc>
        <w:tc>
          <w:tcPr>
            <w:tcW w:w="8633" w:type="dxa"/>
            <w:gridSpan w:val="7"/>
            <w:tcBorders>
              <w:tl2br w:val="nil"/>
              <w:tr2bl w:val="nil"/>
            </w:tcBorders>
            <w:shd w:val="clear" w:color="auto" w:fill="auto"/>
            <w:vAlign w:val="center"/>
          </w:tcPr>
          <w:p w14:paraId="781A8B8E">
            <w:pPr>
              <w:widowControl/>
              <w:spacing w:line="240" w:lineRule="auto"/>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3.经济评审说明</w:t>
            </w:r>
          </w:p>
          <w:p w14:paraId="43DE14D5">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3.1.投标人的投标报价是指投标文件中的含税投标总报价。</w:t>
            </w:r>
          </w:p>
          <w:p w14:paraId="2595CED2">
            <w:pPr>
              <w:widowControl/>
              <w:spacing w:line="240" w:lineRule="auto"/>
              <w:jc w:val="left"/>
              <w:rPr>
                <w:rFonts w:ascii="宋体" w:hAnsi="宋体" w:cs="宋体"/>
                <w:color w:val="auto"/>
                <w:highlight w:val="none"/>
              </w:rPr>
            </w:pPr>
            <w:r>
              <w:rPr>
                <w:rFonts w:hint="eastAsia" w:ascii="宋体" w:hAnsi="宋体" w:eastAsia="宋体" w:cs="宋体"/>
                <w:bCs/>
                <w:color w:val="auto"/>
                <w:kern w:val="2"/>
                <w:sz w:val="21"/>
                <w:szCs w:val="21"/>
                <w:highlight w:val="none"/>
                <w:lang w:val="en-US" w:eastAsia="zh-CN" w:bidi="ar-SA"/>
              </w:rPr>
              <w:t>3.2.经济评审以人民币元为单位，价格部分得分保留小数点后两位，小数点后第三位“四舍五入”。</w:t>
            </w:r>
          </w:p>
        </w:tc>
      </w:tr>
    </w:tbl>
    <w:p w14:paraId="20DFB424">
      <w:pPr>
        <w:wordWrap/>
        <w:spacing w:line="240" w:lineRule="auto"/>
        <w:ind w:firstLine="0"/>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4B954F5D">
      <w:pPr>
        <w:wordWrap/>
        <w:spacing w:line="24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1.评标方法</w:t>
      </w:r>
    </w:p>
    <w:p w14:paraId="73870EDB">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1.1本次评标采用</w:t>
      </w:r>
      <w:r>
        <w:rPr>
          <w:rFonts w:hint="eastAsia" w:ascii="宋体" w:hAnsi="宋体" w:eastAsia="宋体" w:cs="宋体"/>
          <w:color w:val="auto"/>
          <w:kern w:val="2"/>
          <w:sz w:val="21"/>
          <w:szCs w:val="21"/>
          <w:lang w:val="en-US" w:eastAsia="zh-CN" w:bidi="ar-SA"/>
        </w:rPr>
        <w:t>综合评分法</w:t>
      </w:r>
      <w:r>
        <w:rPr>
          <w:rFonts w:hint="eastAsia" w:ascii="宋体" w:hAnsi="宋体" w:cs="宋体"/>
          <w:color w:val="auto"/>
          <w:szCs w:val="21"/>
          <w:highlight w:val="none"/>
        </w:rPr>
        <w:t>，资格审查方式为资格后审。</w:t>
      </w:r>
    </w:p>
    <w:p w14:paraId="0E2D5864">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1.2评标委员会按照本章第2款规定的评审标准进行评审，并按招标文件规定推荐中标候选人，</w:t>
      </w:r>
      <w:r>
        <w:rPr>
          <w:rFonts w:hint="eastAsia" w:ascii="宋体" w:hAnsi="宋体" w:cs="宋体"/>
          <w:b/>
          <w:bCs/>
          <w:color w:val="auto"/>
          <w:szCs w:val="21"/>
          <w:highlight w:val="none"/>
        </w:rPr>
        <w:t>除招标文件另有规定外，第一、第二中</w:t>
      </w:r>
      <w:r>
        <w:rPr>
          <w:rFonts w:hint="eastAsia" w:ascii="宋体" w:hAnsi="宋体" w:cs="宋体"/>
          <w:b/>
          <w:bCs/>
          <w:color w:val="auto"/>
          <w:szCs w:val="21"/>
          <w:highlight w:val="none"/>
          <w:lang w:val="en-US" w:eastAsia="zh-CN"/>
        </w:rPr>
        <w:t>标</w:t>
      </w:r>
      <w:r>
        <w:rPr>
          <w:rFonts w:hint="eastAsia" w:ascii="宋体" w:hAnsi="宋体" w:cs="宋体"/>
          <w:b/>
          <w:bCs/>
          <w:color w:val="auto"/>
          <w:szCs w:val="21"/>
          <w:highlight w:val="none"/>
        </w:rPr>
        <w:t>选候选人将为本项目最终中</w:t>
      </w:r>
      <w:r>
        <w:rPr>
          <w:rFonts w:hint="eastAsia" w:ascii="宋体" w:hAnsi="宋体" w:cs="宋体"/>
          <w:b/>
          <w:bCs/>
          <w:color w:val="auto"/>
          <w:szCs w:val="21"/>
          <w:highlight w:val="none"/>
          <w:lang w:val="en-US" w:eastAsia="zh-CN"/>
        </w:rPr>
        <w:t>标</w:t>
      </w:r>
      <w:r>
        <w:rPr>
          <w:rFonts w:hint="eastAsia" w:ascii="宋体" w:hAnsi="宋体" w:cs="宋体"/>
          <w:b/>
          <w:bCs/>
          <w:color w:val="auto"/>
          <w:szCs w:val="21"/>
          <w:highlight w:val="none"/>
        </w:rPr>
        <w:t>人</w:t>
      </w: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p>
    <w:p w14:paraId="6546A60F">
      <w:pPr>
        <w:wordWrap w:val="0"/>
        <w:spacing w:line="360" w:lineRule="auto"/>
        <w:ind w:firstLine="480"/>
        <w:rPr>
          <w:rFonts w:ascii="宋体" w:hAnsi="宋体" w:cs="宋体"/>
          <w:b/>
          <w:color w:val="auto"/>
          <w:szCs w:val="21"/>
          <w:highlight w:val="none"/>
        </w:rPr>
      </w:pPr>
      <w:r>
        <w:rPr>
          <w:rFonts w:hint="eastAsia" w:ascii="宋体" w:hAnsi="宋体" w:cs="宋体"/>
          <w:b/>
          <w:color w:val="auto"/>
          <w:szCs w:val="21"/>
          <w:highlight w:val="none"/>
        </w:rPr>
        <w:t>2.评审标准</w:t>
      </w:r>
    </w:p>
    <w:p w14:paraId="0232D918">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2.1 初步评审标准</w:t>
      </w:r>
    </w:p>
    <w:p w14:paraId="58B18A83">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2.1.1</w:t>
      </w:r>
      <w:r>
        <w:rPr>
          <w:rFonts w:ascii="宋体"/>
          <w:color w:val="auto"/>
          <w:szCs w:val="21"/>
          <w:highlight w:val="none"/>
        </w:rPr>
        <w:t>资格评审标准：见评标办法前附表</w:t>
      </w:r>
      <w:r>
        <w:rPr>
          <w:rFonts w:hint="eastAsia" w:ascii="宋体"/>
          <w:color w:val="auto"/>
          <w:szCs w:val="21"/>
          <w:highlight w:val="none"/>
        </w:rPr>
        <w:t>。</w:t>
      </w:r>
    </w:p>
    <w:p w14:paraId="31824D23">
      <w:pPr>
        <w:wordWrap w:val="0"/>
        <w:spacing w:line="360" w:lineRule="auto"/>
        <w:ind w:firstLine="480"/>
        <w:rPr>
          <w:rFonts w:ascii="宋体" w:hAnsi="宋体" w:cs="宋体"/>
          <w:color w:val="auto"/>
          <w:szCs w:val="21"/>
          <w:highlight w:val="none"/>
        </w:rPr>
      </w:pPr>
      <w:r>
        <w:rPr>
          <w:rFonts w:ascii="宋体" w:hAnsi="宋体" w:cs="宋体"/>
          <w:color w:val="auto"/>
          <w:szCs w:val="21"/>
          <w:highlight w:val="none"/>
        </w:rPr>
        <w:t>2.1.2</w:t>
      </w:r>
      <w:r>
        <w:rPr>
          <w:rFonts w:hint="eastAsia" w:ascii="宋体" w:hAnsi="宋体" w:cs="宋体"/>
          <w:color w:val="auto"/>
          <w:szCs w:val="21"/>
          <w:highlight w:val="none"/>
        </w:rPr>
        <w:t>符合性评审标准：见评标办法前附表。</w:t>
      </w:r>
    </w:p>
    <w:p w14:paraId="0FCEA79B">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2.2 详细评审标准</w:t>
      </w:r>
    </w:p>
    <w:p w14:paraId="1996F14E">
      <w:pPr>
        <w:widowControl w:val="0"/>
        <w:wordWrap w:val="0"/>
        <w:spacing w:line="360" w:lineRule="auto"/>
        <w:ind w:firstLine="420" w:firstLineChars="200"/>
        <w:jc w:val="both"/>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2.2.1分值构成：见评标办法前附表；</w:t>
      </w:r>
    </w:p>
    <w:p w14:paraId="6FADD5AD">
      <w:pPr>
        <w:widowControl w:val="0"/>
        <w:wordWrap w:val="0"/>
        <w:spacing w:line="360" w:lineRule="auto"/>
        <w:ind w:firstLine="420" w:firstLineChars="200"/>
        <w:jc w:val="both"/>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2.2.2评分标准</w:t>
      </w:r>
    </w:p>
    <w:p w14:paraId="56E1F616">
      <w:pPr>
        <w:widowControl w:val="0"/>
        <w:wordWrap w:val="0"/>
        <w:spacing w:line="360" w:lineRule="auto"/>
        <w:ind w:firstLine="420" w:firstLineChars="200"/>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（1）商务部分：见评标办法前附表；</w:t>
      </w:r>
    </w:p>
    <w:p w14:paraId="7794ABE1">
      <w:pPr>
        <w:widowControl w:val="0"/>
        <w:wordWrap w:val="0"/>
        <w:spacing w:line="360" w:lineRule="auto"/>
        <w:ind w:firstLine="420" w:firstLineChars="200"/>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（2）技术部分：见评标办法前附表；</w:t>
      </w:r>
    </w:p>
    <w:p w14:paraId="5B883E02">
      <w:pPr>
        <w:widowControl w:val="0"/>
        <w:wordWrap w:val="0"/>
        <w:spacing w:line="36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（3）投标报价：见评标办法前附表。</w:t>
      </w:r>
    </w:p>
    <w:p w14:paraId="4BA2E0E8">
      <w:pPr>
        <w:wordWrap w:val="0"/>
        <w:spacing w:line="360" w:lineRule="auto"/>
        <w:ind w:firstLine="480"/>
        <w:rPr>
          <w:rFonts w:ascii="宋体" w:hAnsi="宋体" w:cs="宋体"/>
          <w:b/>
          <w:color w:val="auto"/>
          <w:szCs w:val="21"/>
          <w:highlight w:val="none"/>
        </w:rPr>
      </w:pPr>
      <w:r>
        <w:rPr>
          <w:rFonts w:hint="eastAsia" w:ascii="宋体" w:hAnsi="宋体" w:cs="宋体"/>
          <w:b/>
          <w:color w:val="auto"/>
          <w:szCs w:val="21"/>
          <w:highlight w:val="none"/>
        </w:rPr>
        <w:t>3.评标程序</w:t>
      </w:r>
    </w:p>
    <w:p w14:paraId="2F1139B8">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3.1 初步评审</w:t>
      </w:r>
    </w:p>
    <w:p w14:paraId="5E8C786B">
      <w:pPr>
        <w:widowControl w:val="0"/>
        <w:wordWrap w:val="0"/>
        <w:spacing w:line="360" w:lineRule="auto"/>
        <w:ind w:firstLine="48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3.1.1评标委员会根据第2.1款规定的评审因素和评审标准，对投标人的投标文件进行初步审查，有一项不符合评审标准的，评标委员会应当</w:t>
      </w:r>
      <w:r>
        <w:rPr>
          <w:rFonts w:hint="eastAsia" w:ascii="宋体" w:hAnsi="宋体" w:eastAsia="宋体" w:cs="宋体"/>
          <w:b/>
          <w:bCs/>
          <w:color w:val="auto"/>
          <w:kern w:val="2"/>
          <w:sz w:val="21"/>
          <w:szCs w:val="21"/>
          <w:highlight w:val="none"/>
          <w:lang w:val="en-US" w:eastAsia="zh-CN" w:bidi="ar-SA"/>
        </w:rPr>
        <w:t>否决</w:t>
      </w:r>
      <w:r>
        <w:rPr>
          <w:rFonts w:hint="eastAsia" w:ascii="宋体" w:hAnsi="宋体" w:eastAsia="宋体" w:cs="宋体"/>
          <w:color w:val="auto"/>
          <w:kern w:val="2"/>
          <w:sz w:val="21"/>
          <w:szCs w:val="21"/>
          <w:highlight w:val="none"/>
          <w:lang w:val="en-US" w:eastAsia="zh-CN" w:bidi="ar-SA"/>
        </w:rPr>
        <w:t>其投标。通过初步评审的有效投标人不足3家，且评标委员会认为投标明显缺乏竞争的，不得进入下一评审环节。</w:t>
      </w:r>
    </w:p>
    <w:p w14:paraId="792D2792">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3.1.2投标人有串通投标、弄虚作假、行贿等违法行为的，评标委员会应当</w:t>
      </w:r>
      <w:r>
        <w:rPr>
          <w:rFonts w:hint="eastAsia" w:ascii="宋体" w:hAnsi="宋体" w:cs="宋体"/>
          <w:b/>
          <w:color w:val="auto"/>
          <w:szCs w:val="21"/>
          <w:highlight w:val="none"/>
        </w:rPr>
        <w:t>否决</w:t>
      </w:r>
      <w:r>
        <w:rPr>
          <w:rFonts w:hint="eastAsia" w:ascii="宋体" w:hAnsi="宋体" w:cs="宋体"/>
          <w:color w:val="auto"/>
          <w:szCs w:val="21"/>
          <w:highlight w:val="none"/>
        </w:rPr>
        <w:t>其投标。</w:t>
      </w:r>
    </w:p>
    <w:p w14:paraId="46221D7B">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3.2 详细评审</w:t>
      </w:r>
    </w:p>
    <w:p w14:paraId="33C98AAD">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3.2.1评标委员会按本章第 2.2 款规定的量化因素和分值进行打分，并计算出综合评估得分。</w:t>
      </w:r>
    </w:p>
    <w:p w14:paraId="52A52D94">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（1）按本章第 2.2.2（1）目规定的评审因素和分值对商务部分计算出得分 A；</w:t>
      </w:r>
    </w:p>
    <w:p w14:paraId="57129588">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（2）按本章第 2.2.2（2）目规定的评审因素和分值对技术部分计算出得分 B；</w:t>
      </w:r>
    </w:p>
    <w:p w14:paraId="4545457B">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（3）按本章第 2.2.2（3）目规定的评审因素和分值对报价部分计算出得分 C；</w:t>
      </w:r>
    </w:p>
    <w:p w14:paraId="34E02006">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4</w:t>
      </w:r>
      <w:r>
        <w:rPr>
          <w:rFonts w:hint="eastAsia" w:ascii="宋体" w:hAnsi="宋体" w:cs="宋体"/>
          <w:color w:val="auto"/>
          <w:szCs w:val="21"/>
          <w:highlight w:val="none"/>
        </w:rPr>
        <w:t>）投标人得分</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A + B + C 。</w:t>
      </w:r>
    </w:p>
    <w:p w14:paraId="2090543B">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5</w:t>
      </w:r>
      <w:r>
        <w:rPr>
          <w:rFonts w:hint="eastAsia" w:ascii="宋体" w:hAnsi="宋体" w:cs="宋体"/>
          <w:color w:val="auto"/>
          <w:szCs w:val="21"/>
          <w:highlight w:val="none"/>
        </w:rPr>
        <w:t>）评分分值计算保留到小数点后两位，小数点后第三位“四舍五入”。</w:t>
      </w:r>
    </w:p>
    <w:p w14:paraId="0D99615D">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3.3 投标文件的澄清</w:t>
      </w:r>
    </w:p>
    <w:p w14:paraId="381192F8">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3.3.1</w:t>
      </w:r>
      <w:r>
        <w:rPr>
          <w:rFonts w:hint="eastAsia" w:ascii="宋体" w:hAnsi="宋体" w:eastAsia="宋体" w:cs="宋体"/>
          <w:color w:val="auto"/>
          <w:kern w:val="2"/>
          <w:sz w:val="21"/>
          <w:szCs w:val="21"/>
          <w:lang w:val="en-US" w:eastAsia="zh-CN" w:bidi="ar-SA"/>
        </w:rPr>
        <w:t>因投标人资格条件不符合规定否决其投标的，评标委员会应在资格审查结束后通知已否决的投标人予以澄清，但不能改变投标文件内容。投标人如未在规定时间内进行澄清，则视同认可资格审查结论</w:t>
      </w:r>
      <w:r>
        <w:rPr>
          <w:rFonts w:hint="eastAsia" w:ascii="宋体" w:hAnsi="宋体" w:cs="宋体"/>
          <w:color w:val="auto"/>
          <w:szCs w:val="21"/>
          <w:highlight w:val="none"/>
        </w:rPr>
        <w:t>。</w:t>
      </w:r>
    </w:p>
    <w:p w14:paraId="66BB7FA6">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3.3.2</w:t>
      </w:r>
      <w:r>
        <w:rPr>
          <w:rFonts w:hint="eastAsia" w:ascii="宋体" w:hAnsi="宋体" w:eastAsia="宋体" w:cs="宋体"/>
          <w:color w:val="auto"/>
          <w:kern w:val="2"/>
          <w:sz w:val="21"/>
          <w:szCs w:val="21"/>
          <w:lang w:val="en-US" w:eastAsia="zh-CN" w:bidi="ar-SA"/>
        </w:rPr>
        <w:t>在评标过程中，评标委员会可以要求投标人对投标文件中含义不明确、对同类问题表述不一致或者有明显文字和计算错误的内容作必要的澄清、说明或补正。澄清、说明或补正应在澄清答疑室进行。评标委员会不接受投标人主动提出的澄清、说明或补正</w:t>
      </w:r>
      <w:r>
        <w:rPr>
          <w:rFonts w:hint="eastAsia" w:ascii="宋体" w:hAnsi="宋体" w:cs="宋体"/>
          <w:color w:val="auto"/>
          <w:szCs w:val="21"/>
          <w:highlight w:val="none"/>
        </w:rPr>
        <w:t>。</w:t>
      </w:r>
    </w:p>
    <w:p w14:paraId="225383F4">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3.3.3投标人在评标过程中作出的澄清、说明或补正不得超出投标文件的范围且不得改变投标文件的实质性内容，并且澄清、说明或补正的内容构成投标文件的组成部分。</w:t>
      </w:r>
    </w:p>
    <w:p w14:paraId="42825CE8">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3.3.4投标人的澄清、说明或者补正按评标委员会的通知要求递交。</w:t>
      </w:r>
    </w:p>
    <w:p w14:paraId="1630083D">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3.3.5评标委员会对投标人提交的澄清、说明或补正有疑问的，可以要求投标人进一步澄清、说明或补正，直至满足评标委员会的要求。</w:t>
      </w:r>
    </w:p>
    <w:p w14:paraId="6E3DDE6D">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3.4 评标结果</w:t>
      </w:r>
    </w:p>
    <w:p w14:paraId="407B146A">
      <w:pPr>
        <w:wordWrap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3.4.1评标委员会按综合得分由高至低的顺序推荐中标候选人，其它单位不予排序。若出现投标人评审综合得分相同的情况，则依次按照其不含增值税报价由低至高排序、技术部分得分由高至低排序、评委票决的顺序确定成交候选人排序。评标委员会推荐中标候选人的人数见第二章投标人须知前附表 6.3.2。</w:t>
      </w:r>
    </w:p>
    <w:p w14:paraId="7B1D80F6">
      <w:pPr>
        <w:pStyle w:val="272"/>
        <w:wordWrap w:val="0"/>
        <w:jc w:val="both"/>
        <w:rPr>
          <w:rFonts w:hAnsi="宋体" w:cs="宋体"/>
          <w:color w:val="auto"/>
          <w:szCs w:val="21"/>
          <w:highlight w:val="none"/>
        </w:rPr>
      </w:pPr>
      <w:r>
        <w:rPr>
          <w:rFonts w:hint="eastAsia" w:ascii="宋体" w:hAnsi="宋体" w:eastAsia="宋体" w:cs="宋体"/>
          <w:b w:val="0"/>
          <w:bCs w:val="0"/>
          <w:color w:val="auto"/>
          <w:sz w:val="21"/>
          <w:szCs w:val="21"/>
          <w:highlight w:val="none"/>
        </w:rPr>
        <w:t>3.4.2</w:t>
      </w:r>
      <w:r>
        <w:rPr>
          <w:rFonts w:hint="eastAsia" w:ascii="Times New Roman" w:hAnsi="宋体" w:cs="宋体"/>
          <w:color w:val="auto"/>
          <w:sz w:val="21"/>
          <w:szCs w:val="21"/>
          <w:highlight w:val="none"/>
        </w:rPr>
        <w:t>评标委员会完成评标后，应当向招标人提交书面评标报告和中标候选人名单。</w:t>
      </w:r>
    </w:p>
    <w:p w14:paraId="608AB07E">
      <w:pPr>
        <w:pStyle w:val="272"/>
        <w:wordWrap w:val="0"/>
        <w:jc w:val="both"/>
        <w:rPr>
          <w:rFonts w:hAnsi="宋体" w:cs="宋体"/>
          <w:color w:val="auto"/>
          <w:szCs w:val="21"/>
          <w:highlight w:val="none"/>
        </w:rPr>
      </w:pPr>
    </w:p>
    <w:p w14:paraId="47BFF3A1">
      <w:pPr>
        <w:wordWrap w:val="0"/>
        <w:spacing w:line="360" w:lineRule="auto"/>
        <w:ind w:firstLine="1417" w:firstLineChars="392"/>
        <w:rPr>
          <w:rFonts w:hint="eastAsia" w:ascii="宋体" w:hAnsi="宋体" w:cs="宋体"/>
          <w:b/>
          <w:color w:val="auto"/>
          <w:sz w:val="36"/>
          <w:szCs w:val="36"/>
          <w:highlight w:val="none"/>
        </w:rPr>
      </w:pPr>
    </w:p>
    <w:p w14:paraId="40E6BFDA">
      <w:pPr>
        <w:widowControl/>
        <w:wordWrap w:val="0"/>
        <w:spacing w:line="360" w:lineRule="auto"/>
        <w:jc w:val="left"/>
        <w:rPr>
          <w:rFonts w:ascii="黑体" w:hAnsi="黑体" w:eastAsia="黑体"/>
          <w:b/>
          <w:color w:val="auto"/>
          <w:sz w:val="44"/>
          <w:szCs w:val="44"/>
          <w:highlight w:val="none"/>
        </w:rPr>
      </w:pPr>
      <w:r>
        <w:rPr>
          <w:rFonts w:hAnsi="黑体"/>
          <w:color w:val="auto"/>
          <w:sz w:val="44"/>
          <w:szCs w:val="44"/>
          <w:highlight w:val="none"/>
        </w:rPr>
        <w:br w:type="page"/>
      </w:r>
    </w:p>
    <w:p w14:paraId="3FF7272A">
      <w:pPr>
        <w:pStyle w:val="2"/>
        <w:wordWrap w:val="0"/>
        <w:spacing w:line="360" w:lineRule="auto"/>
        <w:ind w:left="0" w:leftChars="0" w:right="0" w:rightChars="0" w:firstLine="0" w:firstLineChars="0"/>
        <w:jc w:val="center"/>
        <w:rPr>
          <w:rFonts w:hAnsi="黑体"/>
          <w:color w:val="auto"/>
          <w:sz w:val="44"/>
          <w:szCs w:val="44"/>
          <w:highlight w:val="none"/>
        </w:rPr>
      </w:pPr>
      <w:bookmarkStart w:id="7" w:name="_Toc16233"/>
      <w:bookmarkStart w:id="8" w:name="_Toc1708"/>
      <w:r>
        <w:rPr>
          <w:rFonts w:hAnsi="黑体"/>
          <w:color w:val="auto"/>
          <w:sz w:val="44"/>
          <w:szCs w:val="44"/>
          <w:highlight w:val="none"/>
        </w:rPr>
        <w:t>第四章</w:t>
      </w:r>
      <w:r>
        <w:rPr>
          <w:rFonts w:hint="eastAsia" w:hAnsi="黑体"/>
          <w:color w:val="auto"/>
          <w:sz w:val="44"/>
          <w:szCs w:val="44"/>
          <w:highlight w:val="none"/>
        </w:rPr>
        <w:t xml:space="preserve"> </w:t>
      </w:r>
      <w:r>
        <w:rPr>
          <w:rFonts w:hAnsi="黑体"/>
          <w:color w:val="auto"/>
          <w:sz w:val="44"/>
          <w:szCs w:val="44"/>
          <w:highlight w:val="none"/>
        </w:rPr>
        <w:t>合同条款及格式</w:t>
      </w:r>
      <w:bookmarkEnd w:id="7"/>
      <w:bookmarkEnd w:id="8"/>
    </w:p>
    <w:p w14:paraId="4164B7CE">
      <w:pPr>
        <w:tabs>
          <w:tab w:val="left" w:pos="8364"/>
        </w:tabs>
        <w:adjustRightInd w:val="0"/>
        <w:snapToGrid w:val="0"/>
        <w:spacing w:line="360" w:lineRule="auto"/>
        <w:jc w:val="center"/>
        <w:rPr>
          <w:rFonts w:hint="eastAsia" w:ascii="黑体" w:hAnsi="黑体" w:eastAsia="黑体"/>
          <w:b/>
          <w:color w:val="auto"/>
          <w:sz w:val="28"/>
          <w:szCs w:val="32"/>
          <w:highlight w:val="none"/>
          <w:u w:val="single"/>
          <w:lang w:val="en-US" w:eastAsia="zh-CN"/>
        </w:rPr>
      </w:pPr>
    </w:p>
    <w:p w14:paraId="3132B695">
      <w:pPr>
        <w:tabs>
          <w:tab w:val="left" w:pos="8364"/>
        </w:tabs>
        <w:adjustRightInd w:val="0"/>
        <w:snapToGrid w:val="0"/>
        <w:spacing w:line="360" w:lineRule="auto"/>
        <w:jc w:val="center"/>
        <w:rPr>
          <w:rFonts w:hint="eastAsia" w:ascii="黑体" w:hAnsi="黑体" w:eastAsia="黑体" w:cs="Times New Roman"/>
          <w:b/>
          <w:bCs w:val="0"/>
          <w:snapToGrid/>
          <w:color w:val="0D0D0D"/>
          <w:kern w:val="2"/>
          <w:sz w:val="28"/>
          <w:szCs w:val="32"/>
          <w:highlight w:val="none"/>
          <w:u w:val="none"/>
        </w:rPr>
      </w:pPr>
      <w:r>
        <w:rPr>
          <w:rFonts w:hint="eastAsia" w:ascii="黑体" w:hAnsi="黑体" w:eastAsia="黑体" w:cs="Times New Roman"/>
          <w:b/>
          <w:snapToGrid/>
          <w:color w:val="0D0D0D"/>
          <w:kern w:val="2"/>
          <w:sz w:val="28"/>
          <w:szCs w:val="32"/>
          <w:highlight w:val="none"/>
          <w:u w:val="none"/>
        </w:rPr>
        <w:t>2025年长沙穗城轨道交通有限公司员工体检项目</w:t>
      </w:r>
      <w:r>
        <w:rPr>
          <w:rFonts w:hint="eastAsia" w:ascii="黑体" w:hAnsi="黑体" w:eastAsia="黑体" w:cs="Times New Roman"/>
          <w:b/>
          <w:color w:val="0D0D0D"/>
          <w:sz w:val="28"/>
          <w:szCs w:val="32"/>
          <w:highlight w:val="none"/>
          <w:u w:val="none"/>
        </w:rPr>
        <w:t>合同</w:t>
      </w:r>
    </w:p>
    <w:p w14:paraId="0B865A23">
      <w:pPr>
        <w:spacing w:line="360" w:lineRule="auto"/>
        <w:jc w:val="right"/>
        <w:rPr>
          <w:rFonts w:ascii="Times New Roman" w:hAnsi="Times New Roman" w:eastAsia="宋体" w:cs="Times New Roman"/>
          <w:color w:val="000000"/>
          <w:szCs w:val="22"/>
        </w:rPr>
      </w:pPr>
      <w:r>
        <w:rPr>
          <w:rFonts w:hint="eastAsia" w:ascii="Times New Roman" w:hAnsi="Times New Roman" w:eastAsia="宋体" w:cs="Times New Roman"/>
          <w:color w:val="0D0D0D"/>
          <w:szCs w:val="22"/>
          <w:highlight w:val="none"/>
          <w:lang w:val="en-US" w:eastAsia="zh-CN"/>
        </w:rPr>
        <w:t xml:space="preserve"> </w:t>
      </w:r>
      <w:r>
        <w:rPr>
          <w:rFonts w:hint="eastAsia" w:ascii="Times New Roman" w:hAnsi="Times New Roman" w:eastAsia="宋体" w:cs="Times New Roman"/>
          <w:color w:val="000000"/>
          <w:szCs w:val="22"/>
        </w:rPr>
        <w:t>合同编号：</w:t>
      </w:r>
    </w:p>
    <w:p w14:paraId="55A555CE">
      <w:pPr>
        <w:spacing w:line="360" w:lineRule="auto"/>
        <w:jc w:val="center"/>
        <w:rPr>
          <w:rFonts w:ascii="Times New Roman" w:hAnsi="Times New Roman" w:eastAsia="宋体" w:cs="Times New Roman"/>
          <w:color w:val="0D0D0D"/>
          <w:szCs w:val="22"/>
          <w:highlight w:val="none"/>
        </w:rPr>
      </w:pPr>
    </w:p>
    <w:p w14:paraId="7F137FEF">
      <w:pPr>
        <w:spacing w:line="360" w:lineRule="auto"/>
        <w:rPr>
          <w:rFonts w:hint="eastAsia" w:ascii="Times New Roman" w:hAnsi="Times New Roman" w:eastAsia="宋体" w:cs="Times New Roman"/>
          <w:color w:val="0D0D0D"/>
          <w:szCs w:val="22"/>
          <w:highlight w:val="none"/>
        </w:rPr>
      </w:pPr>
      <w:r>
        <w:rPr>
          <w:rFonts w:hint="eastAsia" w:ascii="Times New Roman" w:hAnsi="Times New Roman" w:eastAsia="宋体" w:cs="Times New Roman"/>
          <w:color w:val="0D0D0D"/>
          <w:szCs w:val="22"/>
          <w:highlight w:val="none"/>
        </w:rPr>
        <w:t>甲方：长沙穗城轨道交通有限公司</w:t>
      </w:r>
    </w:p>
    <w:p w14:paraId="6A15EF84">
      <w:pPr>
        <w:spacing w:line="360" w:lineRule="auto"/>
        <w:rPr>
          <w:rFonts w:hint="eastAsia" w:ascii="Times New Roman" w:hAnsi="Times New Roman" w:eastAsia="宋体" w:cs="Times New Roman"/>
          <w:color w:val="0D0D0D"/>
          <w:szCs w:val="22"/>
          <w:highlight w:val="none"/>
        </w:rPr>
      </w:pPr>
      <w:r>
        <w:rPr>
          <w:rFonts w:hint="eastAsia" w:ascii="Times New Roman" w:hAnsi="Times New Roman" w:eastAsia="宋体" w:cs="Times New Roman"/>
          <w:color w:val="0D0D0D"/>
          <w:szCs w:val="22"/>
          <w:highlight w:val="none"/>
        </w:rPr>
        <w:t>法定代表人：</w:t>
      </w:r>
      <w:r>
        <w:rPr>
          <w:rFonts w:hint="eastAsia" w:ascii="宋体" w:hAnsi="宋体" w:eastAsia="宋体" w:cs="Times New Roman"/>
          <w:szCs w:val="22"/>
        </w:rPr>
        <w:t>曹忠于</w:t>
      </w:r>
    </w:p>
    <w:p w14:paraId="2029F7A0">
      <w:pPr>
        <w:spacing w:line="360" w:lineRule="auto"/>
        <w:rPr>
          <w:rFonts w:hint="eastAsia" w:ascii="Times New Roman" w:hAnsi="Times New Roman" w:eastAsia="宋体" w:cs="Times New Roman"/>
          <w:color w:val="0D0D0D"/>
          <w:szCs w:val="22"/>
          <w:highlight w:val="none"/>
        </w:rPr>
      </w:pPr>
      <w:r>
        <w:rPr>
          <w:rFonts w:hint="eastAsia" w:ascii="Times New Roman" w:hAnsi="Times New Roman" w:eastAsia="宋体" w:cs="Times New Roman"/>
          <w:color w:val="0D0D0D"/>
          <w:szCs w:val="22"/>
          <w:highlight w:val="none"/>
        </w:rPr>
        <w:t>住所地：</w:t>
      </w:r>
      <w:r>
        <w:rPr>
          <w:rFonts w:hint="eastAsia" w:ascii="Times New Roman" w:hAnsi="Times New Roman" w:eastAsia="宋体" w:cs="Times New Roman"/>
          <w:color w:val="000000"/>
          <w:szCs w:val="22"/>
          <w:lang w:val="en-US" w:eastAsia="zh-CN"/>
        </w:rPr>
        <w:t>湖南省</w:t>
      </w:r>
      <w:r>
        <w:rPr>
          <w:rFonts w:hint="eastAsia" w:ascii="宋体" w:hAnsi="宋体" w:eastAsia="宋体" w:cs="Times New Roman"/>
          <w:szCs w:val="22"/>
        </w:rPr>
        <w:t>长沙县榔梨街道东六路南段8</w:t>
      </w:r>
      <w:r>
        <w:rPr>
          <w:rFonts w:ascii="宋体" w:hAnsi="宋体" w:eastAsia="宋体" w:cs="Times New Roman"/>
          <w:szCs w:val="22"/>
        </w:rPr>
        <w:t>5</w:t>
      </w:r>
      <w:r>
        <w:rPr>
          <w:rFonts w:hint="eastAsia" w:ascii="宋体" w:hAnsi="宋体" w:eastAsia="宋体" w:cs="Times New Roman"/>
          <w:szCs w:val="22"/>
        </w:rPr>
        <w:t>号轨道交通六号线黄梨路车辆段</w:t>
      </w:r>
    </w:p>
    <w:p w14:paraId="0BD9503A">
      <w:pPr>
        <w:spacing w:line="360" w:lineRule="auto"/>
        <w:rPr>
          <w:rFonts w:ascii="Times New Roman" w:hAnsi="Times New Roman" w:eastAsia="宋体" w:cs="Times New Roman"/>
          <w:color w:val="0D0D0D"/>
          <w:szCs w:val="22"/>
          <w:highlight w:val="none"/>
        </w:rPr>
      </w:pPr>
      <w:r>
        <w:rPr>
          <w:rFonts w:hint="eastAsia" w:ascii="Times New Roman" w:hAnsi="Times New Roman" w:eastAsia="宋体" w:cs="Times New Roman"/>
          <w:color w:val="0D0D0D"/>
          <w:szCs w:val="22"/>
          <w:highlight w:val="none"/>
        </w:rPr>
        <w:t>联系地址：</w:t>
      </w:r>
      <w:r>
        <w:rPr>
          <w:rFonts w:hint="eastAsia" w:ascii="Times New Roman" w:hAnsi="Times New Roman" w:eastAsia="宋体" w:cs="Times New Roman"/>
          <w:color w:val="000000"/>
          <w:szCs w:val="22"/>
          <w:lang w:val="en-US" w:eastAsia="zh-CN"/>
        </w:rPr>
        <w:t>湖南省</w:t>
      </w:r>
      <w:r>
        <w:rPr>
          <w:rFonts w:hint="eastAsia" w:ascii="宋体" w:hAnsi="宋体" w:eastAsia="宋体" w:cs="Times New Roman"/>
          <w:szCs w:val="22"/>
        </w:rPr>
        <w:t>长沙县榔梨街道东六路南段8</w:t>
      </w:r>
      <w:r>
        <w:rPr>
          <w:rFonts w:ascii="宋体" w:hAnsi="宋体" w:eastAsia="宋体" w:cs="Times New Roman"/>
          <w:szCs w:val="22"/>
        </w:rPr>
        <w:t>5</w:t>
      </w:r>
      <w:r>
        <w:rPr>
          <w:rFonts w:hint="eastAsia" w:ascii="宋体" w:hAnsi="宋体" w:eastAsia="宋体" w:cs="Times New Roman"/>
          <w:szCs w:val="22"/>
        </w:rPr>
        <w:t>号轨道交通六号线黄梨路车辆段</w:t>
      </w:r>
    </w:p>
    <w:p w14:paraId="39148CE9">
      <w:pPr>
        <w:spacing w:line="360" w:lineRule="auto"/>
        <w:rPr>
          <w:rFonts w:hint="eastAsia" w:ascii="Times New Roman" w:hAnsi="Times New Roman" w:eastAsia="宋体" w:cs="Times New Roman"/>
          <w:color w:val="0D0D0D"/>
          <w:szCs w:val="22"/>
          <w:highlight w:val="none"/>
        </w:rPr>
      </w:pPr>
    </w:p>
    <w:p w14:paraId="24607BFE">
      <w:pPr>
        <w:spacing w:line="360" w:lineRule="auto"/>
        <w:rPr>
          <w:rFonts w:hint="eastAsia" w:ascii="Times New Roman" w:hAnsi="Times New Roman" w:eastAsia="宋体" w:cs="Times New Roman"/>
          <w:color w:val="0D0D0D"/>
          <w:szCs w:val="22"/>
          <w:highlight w:val="none"/>
        </w:rPr>
      </w:pPr>
      <w:r>
        <w:rPr>
          <w:rFonts w:hint="eastAsia" w:ascii="Times New Roman" w:hAnsi="Times New Roman" w:eastAsia="宋体" w:cs="Times New Roman"/>
          <w:color w:val="0D0D0D"/>
          <w:szCs w:val="22"/>
          <w:highlight w:val="none"/>
        </w:rPr>
        <w:t>乙方：</w:t>
      </w:r>
    </w:p>
    <w:p w14:paraId="43857BAC">
      <w:pPr>
        <w:spacing w:line="360" w:lineRule="auto"/>
        <w:rPr>
          <w:rFonts w:hint="eastAsia" w:ascii="Times New Roman" w:hAnsi="Times New Roman" w:eastAsia="宋体" w:cs="Times New Roman"/>
          <w:color w:val="0D0D0D"/>
          <w:szCs w:val="22"/>
          <w:highlight w:val="none"/>
        </w:rPr>
      </w:pPr>
      <w:r>
        <w:rPr>
          <w:rFonts w:hint="eastAsia" w:ascii="Times New Roman" w:hAnsi="Times New Roman" w:eastAsia="宋体" w:cs="Times New Roman"/>
          <w:color w:val="0D0D0D"/>
          <w:szCs w:val="22"/>
          <w:highlight w:val="none"/>
        </w:rPr>
        <w:t>法定代表人：</w:t>
      </w:r>
    </w:p>
    <w:p w14:paraId="70BA1AB1">
      <w:pPr>
        <w:spacing w:line="360" w:lineRule="auto"/>
        <w:rPr>
          <w:rFonts w:hint="eastAsia" w:ascii="宋体" w:hAnsi="宋体" w:eastAsia="宋体" w:cs="宋体"/>
          <w:color w:val="0D0D0D"/>
          <w:szCs w:val="22"/>
          <w:highlight w:val="none"/>
        </w:rPr>
      </w:pPr>
      <w:r>
        <w:rPr>
          <w:rFonts w:hint="eastAsia" w:ascii="Times New Roman" w:hAnsi="Times New Roman" w:eastAsia="宋体" w:cs="Times New Roman"/>
          <w:color w:val="0D0D0D"/>
          <w:szCs w:val="22"/>
          <w:highlight w:val="none"/>
        </w:rPr>
        <w:t>住所地：</w:t>
      </w:r>
    </w:p>
    <w:p w14:paraId="0A562EAF">
      <w:pPr>
        <w:spacing w:line="360" w:lineRule="auto"/>
        <w:rPr>
          <w:rFonts w:hint="eastAsia" w:ascii="宋体" w:hAnsi="宋体" w:eastAsia="宋体" w:cs="宋体"/>
          <w:color w:val="0D0D0D"/>
          <w:szCs w:val="22"/>
          <w:highlight w:val="none"/>
        </w:rPr>
      </w:pPr>
      <w:r>
        <w:rPr>
          <w:rFonts w:hint="eastAsia" w:ascii="宋体" w:hAnsi="宋体" w:eastAsia="宋体" w:cs="宋体"/>
          <w:color w:val="0D0D0D"/>
          <w:szCs w:val="22"/>
          <w:highlight w:val="none"/>
        </w:rPr>
        <w:t>联系地址：</w:t>
      </w:r>
    </w:p>
    <w:p w14:paraId="273183F2">
      <w:pPr>
        <w:spacing w:line="360" w:lineRule="auto"/>
        <w:rPr>
          <w:rFonts w:hint="eastAsia" w:ascii="Times New Roman" w:hAnsi="Times New Roman" w:eastAsia="宋体" w:cs="Times New Roman"/>
          <w:color w:val="0D0D0D"/>
          <w:szCs w:val="22"/>
          <w:highlight w:val="none"/>
        </w:rPr>
      </w:pPr>
    </w:p>
    <w:p w14:paraId="335F3ED2">
      <w:pPr>
        <w:adjustRightInd w:val="0"/>
        <w:snapToGrid w:val="0"/>
        <w:spacing w:line="360" w:lineRule="auto"/>
        <w:ind w:firstLine="420" w:firstLineChars="200"/>
        <w:rPr>
          <w:rFonts w:hint="eastAsia" w:ascii="宋体" w:hAnsi="宋体" w:eastAsia="宋体" w:cs="Times New Roman"/>
          <w:snapToGrid w:val="0"/>
          <w:color w:val="0D0D0D"/>
          <w:kern w:val="0"/>
          <w:szCs w:val="21"/>
          <w:highlight w:val="none"/>
        </w:rPr>
      </w:pPr>
      <w:r>
        <w:rPr>
          <w:rFonts w:hint="eastAsia" w:ascii="Times New Roman" w:hAnsi="Times New Roman" w:eastAsia="宋体" w:cs="Times New Roman"/>
          <w:color w:val="0D0D0D"/>
          <w:szCs w:val="22"/>
          <w:highlight w:val="none"/>
        </w:rPr>
        <w:t>甲乙双方根据《中华人民共和国民法典》及其它有关规定，经友好协商，就本项目相关事宜，达成如下协议。</w:t>
      </w:r>
    </w:p>
    <w:p w14:paraId="2C81CC55">
      <w:pPr>
        <w:keepNext/>
        <w:keepLines/>
        <w:widowControl w:val="0"/>
        <w:numPr>
          <w:ilvl w:val="0"/>
          <w:numId w:val="12"/>
        </w:numPr>
        <w:tabs>
          <w:tab w:val="left" w:pos="720"/>
        </w:tabs>
        <w:adjustRightInd w:val="0"/>
        <w:snapToGrid w:val="0"/>
        <w:spacing w:before="0" w:after="0" w:line="360" w:lineRule="auto"/>
        <w:ind w:left="425" w:hanging="425"/>
        <w:jc w:val="both"/>
        <w:outlineLvl w:val="1"/>
        <w:rPr>
          <w:rFonts w:ascii="宋体" w:hAnsi="宋体" w:eastAsia="黑体" w:cs="Times New Roman"/>
          <w:b/>
          <w:snapToGrid w:val="0"/>
          <w:color w:val="000000"/>
          <w:kern w:val="0"/>
          <w:sz w:val="21"/>
          <w:szCs w:val="21"/>
          <w:lang w:val="en-US" w:eastAsia="zh-CN" w:bidi="ar-SA"/>
        </w:rPr>
      </w:pPr>
      <w:r>
        <w:rPr>
          <w:rFonts w:hint="eastAsia" w:ascii="宋体" w:hAnsi="宋体" w:eastAsia="黑体" w:cs="Times New Roman"/>
          <w:b/>
          <w:snapToGrid w:val="0"/>
          <w:color w:val="000000"/>
          <w:kern w:val="0"/>
          <w:sz w:val="21"/>
          <w:szCs w:val="21"/>
          <w:lang w:val="en-US" w:eastAsia="zh-CN" w:bidi="ar-SA"/>
        </w:rPr>
        <w:t>定义和解释</w:t>
      </w:r>
    </w:p>
    <w:p w14:paraId="706B8D53">
      <w:pPr>
        <w:numPr>
          <w:ilvl w:val="1"/>
          <w:numId w:val="13"/>
        </w:numPr>
        <w:tabs>
          <w:tab w:val="left" w:pos="426"/>
        </w:tabs>
        <w:adjustRightInd w:val="0"/>
        <w:snapToGrid w:val="0"/>
        <w:spacing w:line="360" w:lineRule="auto"/>
        <w:ind w:left="567" w:hanging="567"/>
        <w:rPr>
          <w:rFonts w:hint="eastAsia" w:ascii="宋体" w:hAnsi="宋体" w:eastAsia="宋体" w:cs="Times New Roman"/>
          <w:color w:val="000000"/>
          <w:szCs w:val="20"/>
        </w:rPr>
      </w:pPr>
      <w:r>
        <w:rPr>
          <w:rFonts w:hint="eastAsia" w:ascii="宋体" w:hAnsi="宋体" w:eastAsia="宋体" w:cs="Times New Roman"/>
          <w:color w:val="000000"/>
          <w:szCs w:val="20"/>
        </w:rPr>
        <w:t>项目或本项目：是指</w:t>
      </w:r>
      <w:r>
        <w:rPr>
          <w:rFonts w:hint="eastAsia" w:ascii="宋体" w:hAnsi="宋体" w:eastAsia="宋体" w:cs="Times New Roman"/>
          <w:color w:val="000000"/>
          <w:szCs w:val="20"/>
          <w:u w:val="single"/>
          <w:lang w:eastAsia="zh-CN"/>
        </w:rPr>
        <w:t>2</w:t>
      </w:r>
      <w:r>
        <w:rPr>
          <w:rFonts w:hint="eastAsia" w:ascii="宋体" w:hAnsi="宋体" w:eastAsia="宋体" w:cs="Times New Roman"/>
          <w:color w:val="000000"/>
          <w:szCs w:val="20"/>
          <w:u w:val="single"/>
        </w:rPr>
        <w:t>025年长沙穗城轨道交通有限公司员工体检项目</w:t>
      </w:r>
      <w:r>
        <w:rPr>
          <w:rFonts w:hint="eastAsia" w:ascii="宋体" w:hAnsi="宋体" w:eastAsia="宋体" w:cs="Times New Roman"/>
          <w:color w:val="000000"/>
          <w:szCs w:val="20"/>
        </w:rPr>
        <w:t>。</w:t>
      </w:r>
    </w:p>
    <w:p w14:paraId="7BD0B97C">
      <w:pPr>
        <w:numPr>
          <w:ilvl w:val="1"/>
          <w:numId w:val="13"/>
        </w:numPr>
        <w:tabs>
          <w:tab w:val="left" w:pos="426"/>
        </w:tabs>
        <w:adjustRightInd w:val="0"/>
        <w:snapToGrid w:val="0"/>
        <w:spacing w:line="360" w:lineRule="auto"/>
        <w:ind w:left="567" w:hanging="567"/>
        <w:rPr>
          <w:rFonts w:hint="eastAsia" w:ascii="宋体" w:hAnsi="宋体" w:eastAsia="宋体" w:cs="Times New Roman"/>
          <w:color w:val="000000"/>
          <w:szCs w:val="20"/>
        </w:rPr>
      </w:pPr>
      <w:r>
        <w:rPr>
          <w:rFonts w:hint="eastAsia" w:ascii="宋体" w:hAnsi="宋体" w:eastAsia="宋体" w:cs="Times New Roman"/>
          <w:color w:val="000000"/>
          <w:szCs w:val="20"/>
        </w:rPr>
        <w:t>项目成果：是指乙方按合同约定提交成果文件等，具体详见合同约定。</w:t>
      </w:r>
    </w:p>
    <w:p w14:paraId="740D6386">
      <w:pPr>
        <w:numPr>
          <w:ilvl w:val="1"/>
          <w:numId w:val="13"/>
        </w:numPr>
        <w:tabs>
          <w:tab w:val="left" w:pos="426"/>
        </w:tabs>
        <w:adjustRightInd w:val="0"/>
        <w:snapToGrid w:val="0"/>
        <w:spacing w:line="360" w:lineRule="auto"/>
        <w:ind w:left="567" w:hanging="567"/>
        <w:rPr>
          <w:rFonts w:hint="eastAsia" w:ascii="宋体" w:hAnsi="宋体" w:eastAsia="宋体" w:cs="Times New Roman"/>
          <w:color w:val="000000"/>
          <w:szCs w:val="20"/>
        </w:rPr>
      </w:pPr>
      <w:r>
        <w:rPr>
          <w:rFonts w:hint="eastAsia" w:ascii="宋体" w:hAnsi="宋体" w:eastAsia="宋体" w:cs="Times New Roman"/>
          <w:color w:val="000000"/>
          <w:szCs w:val="20"/>
        </w:rPr>
        <w:t>下列文件应被视作为本合同的有效组成部分：</w:t>
      </w:r>
    </w:p>
    <w:p w14:paraId="09EB5FDE">
      <w:pPr>
        <w:numPr>
          <w:ilvl w:val="0"/>
          <w:numId w:val="14"/>
        </w:numPr>
        <w:tabs>
          <w:tab w:val="left" w:pos="1080"/>
          <w:tab w:val="clear" w:pos="857"/>
        </w:tabs>
        <w:adjustRightInd w:val="0"/>
        <w:snapToGrid w:val="0"/>
        <w:spacing w:line="360" w:lineRule="auto"/>
        <w:ind w:hanging="715"/>
        <w:rPr>
          <w:rFonts w:hint="eastAsia"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本合同的附件及补充协议；</w:t>
      </w:r>
    </w:p>
    <w:p w14:paraId="5EA069B7">
      <w:pPr>
        <w:numPr>
          <w:ilvl w:val="0"/>
          <w:numId w:val="14"/>
        </w:numPr>
        <w:tabs>
          <w:tab w:val="left" w:pos="1080"/>
          <w:tab w:val="clear" w:pos="857"/>
        </w:tabs>
        <w:adjustRightInd w:val="0"/>
        <w:snapToGrid w:val="0"/>
        <w:spacing w:line="360" w:lineRule="auto"/>
        <w:ind w:hanging="715"/>
        <w:rPr>
          <w:rFonts w:hint="eastAsia"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甲方发出的公开</w:t>
      </w:r>
      <w:r>
        <w:rPr>
          <w:rFonts w:hint="eastAsia" w:ascii="宋体" w:hAnsi="宋体" w:eastAsia="宋体" w:cs="Times New Roman"/>
          <w:snapToGrid w:val="0"/>
          <w:color w:val="000000"/>
          <w:kern w:val="0"/>
          <w:szCs w:val="21"/>
          <w:lang w:eastAsia="zh-CN"/>
        </w:rPr>
        <w:t>招标</w:t>
      </w:r>
      <w:r>
        <w:rPr>
          <w:rFonts w:hint="eastAsia" w:ascii="宋体" w:hAnsi="宋体" w:eastAsia="宋体" w:cs="Times New Roman"/>
          <w:snapToGrid w:val="0"/>
          <w:color w:val="000000"/>
          <w:kern w:val="0"/>
          <w:szCs w:val="21"/>
        </w:rPr>
        <w:t>文件及其修改补充文件；</w:t>
      </w:r>
    </w:p>
    <w:p w14:paraId="5F31AA09">
      <w:pPr>
        <w:numPr>
          <w:ilvl w:val="0"/>
          <w:numId w:val="14"/>
        </w:numPr>
        <w:tabs>
          <w:tab w:val="left" w:pos="1080"/>
          <w:tab w:val="clear" w:pos="857"/>
        </w:tabs>
        <w:adjustRightInd w:val="0"/>
        <w:snapToGrid w:val="0"/>
        <w:spacing w:line="360" w:lineRule="auto"/>
        <w:ind w:hanging="715"/>
        <w:rPr>
          <w:rFonts w:hint="eastAsia"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乙方提交的响应文件及其修改澄清文件；</w:t>
      </w:r>
    </w:p>
    <w:p w14:paraId="564F3F11">
      <w:pPr>
        <w:numPr>
          <w:ilvl w:val="0"/>
          <w:numId w:val="14"/>
        </w:numPr>
        <w:tabs>
          <w:tab w:val="left" w:pos="1080"/>
          <w:tab w:val="clear" w:pos="857"/>
        </w:tabs>
        <w:adjustRightInd w:val="0"/>
        <w:snapToGrid w:val="0"/>
        <w:spacing w:line="360" w:lineRule="auto"/>
        <w:ind w:hanging="715"/>
        <w:rPr>
          <w:rFonts w:hint="eastAsia"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甲方向乙方发出的《</w:t>
      </w:r>
      <w:r>
        <w:rPr>
          <w:rFonts w:hint="eastAsia" w:ascii="宋体" w:hAnsi="宋体" w:eastAsia="宋体" w:cs="Times New Roman"/>
          <w:snapToGrid w:val="0"/>
          <w:color w:val="000000"/>
          <w:kern w:val="0"/>
          <w:szCs w:val="21"/>
          <w:lang w:eastAsia="zh-CN"/>
        </w:rPr>
        <w:t>中标</w:t>
      </w:r>
      <w:r>
        <w:rPr>
          <w:rFonts w:hint="eastAsia" w:ascii="宋体" w:hAnsi="宋体" w:eastAsia="宋体" w:cs="Times New Roman"/>
          <w:snapToGrid w:val="0"/>
          <w:color w:val="000000"/>
          <w:kern w:val="0"/>
          <w:szCs w:val="21"/>
        </w:rPr>
        <w:t>通知书》。</w:t>
      </w:r>
    </w:p>
    <w:p w14:paraId="262CDD1C">
      <w:pPr>
        <w:adjustRightInd w:val="0"/>
        <w:snapToGrid w:val="0"/>
        <w:spacing w:line="360" w:lineRule="auto"/>
        <w:ind w:firstLine="420" w:firstLineChars="200"/>
        <w:rPr>
          <w:rFonts w:hint="eastAsia"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若上述文件对相关事项的约定不相一致，以签署日期在后的文件约定为准。</w:t>
      </w:r>
    </w:p>
    <w:p w14:paraId="762E5D69">
      <w:pPr>
        <w:keepNext/>
        <w:keepLines/>
        <w:widowControl w:val="0"/>
        <w:numPr>
          <w:ilvl w:val="0"/>
          <w:numId w:val="12"/>
        </w:numPr>
        <w:tabs>
          <w:tab w:val="left" w:pos="720"/>
        </w:tabs>
        <w:adjustRightInd w:val="0"/>
        <w:snapToGrid w:val="0"/>
        <w:spacing w:before="0" w:after="0" w:line="360" w:lineRule="auto"/>
        <w:ind w:left="425" w:hanging="425"/>
        <w:jc w:val="both"/>
        <w:outlineLvl w:val="1"/>
        <w:rPr>
          <w:rFonts w:hint="eastAsia" w:ascii="宋体" w:hAnsi="宋体" w:eastAsia="黑体" w:cs="Times New Roman"/>
          <w:b/>
          <w:snapToGrid w:val="0"/>
          <w:color w:val="000000"/>
          <w:kern w:val="0"/>
          <w:sz w:val="21"/>
          <w:szCs w:val="21"/>
          <w:lang w:val="en-US" w:eastAsia="zh-CN" w:bidi="ar-SA"/>
        </w:rPr>
      </w:pPr>
      <w:r>
        <w:rPr>
          <w:rFonts w:hint="eastAsia" w:ascii="宋体" w:hAnsi="宋体" w:eastAsia="黑体" w:cs="Times New Roman"/>
          <w:b/>
          <w:snapToGrid w:val="0"/>
          <w:color w:val="000000"/>
          <w:kern w:val="0"/>
          <w:sz w:val="21"/>
          <w:szCs w:val="21"/>
          <w:lang w:val="en-US" w:eastAsia="zh-CN" w:bidi="ar-SA"/>
        </w:rPr>
        <w:t>合同范围</w:t>
      </w:r>
    </w:p>
    <w:p w14:paraId="798004F8">
      <w:pPr>
        <w:numPr>
          <w:ilvl w:val="1"/>
          <w:numId w:val="12"/>
        </w:numPr>
        <w:tabs>
          <w:tab w:val="left" w:pos="284"/>
          <w:tab w:val="left" w:pos="426"/>
          <w:tab w:val="left" w:pos="567"/>
          <w:tab w:val="left" w:pos="599"/>
          <w:tab w:val="clear" w:pos="1134"/>
        </w:tabs>
        <w:adjustRightInd w:val="0"/>
        <w:spacing w:line="360" w:lineRule="auto"/>
        <w:ind w:left="426" w:hanging="426"/>
        <w:rPr>
          <w:rFonts w:hint="eastAsia" w:ascii="宋体" w:hAnsi="宋体" w:eastAsia="宋体" w:cs="宋体"/>
          <w:szCs w:val="22"/>
        </w:rPr>
      </w:pPr>
      <w:r>
        <w:rPr>
          <w:rFonts w:hint="eastAsia" w:ascii="宋体" w:hAnsi="宋体" w:eastAsia="宋体" w:cs="宋体"/>
          <w:color w:val="000000"/>
          <w:szCs w:val="20"/>
        </w:rPr>
        <w:t>乙方在本合同项下为甲方提供以下服务，具体详见合同附件一。</w:t>
      </w:r>
    </w:p>
    <w:p w14:paraId="4392FAD2">
      <w:pPr>
        <w:keepNext/>
        <w:keepLines/>
        <w:widowControl w:val="0"/>
        <w:numPr>
          <w:ilvl w:val="0"/>
          <w:numId w:val="12"/>
        </w:numPr>
        <w:tabs>
          <w:tab w:val="left" w:pos="720"/>
        </w:tabs>
        <w:adjustRightInd w:val="0"/>
        <w:snapToGrid w:val="0"/>
        <w:spacing w:before="0" w:after="0" w:line="360" w:lineRule="auto"/>
        <w:ind w:left="425" w:hanging="425"/>
        <w:jc w:val="both"/>
        <w:outlineLvl w:val="1"/>
        <w:rPr>
          <w:rFonts w:hint="eastAsia" w:ascii="宋体" w:hAnsi="宋体" w:eastAsia="黑体" w:cs="Times New Roman"/>
          <w:b/>
          <w:snapToGrid w:val="0"/>
          <w:color w:val="000000"/>
          <w:kern w:val="0"/>
          <w:sz w:val="21"/>
          <w:szCs w:val="21"/>
          <w:lang w:val="en-US" w:eastAsia="zh-CN" w:bidi="ar-SA"/>
        </w:rPr>
      </w:pPr>
      <w:r>
        <w:rPr>
          <w:rFonts w:hint="eastAsia" w:ascii="宋体" w:hAnsi="宋体" w:eastAsia="黑体" w:cs="Times New Roman"/>
          <w:b/>
          <w:snapToGrid w:val="0"/>
          <w:color w:val="000000"/>
          <w:kern w:val="0"/>
          <w:sz w:val="21"/>
          <w:szCs w:val="21"/>
          <w:lang w:val="en-US" w:eastAsia="zh-CN" w:bidi="ar-SA"/>
        </w:rPr>
        <w:t>合同价款</w:t>
      </w:r>
    </w:p>
    <w:p w14:paraId="41B902FA">
      <w:pPr>
        <w:numPr>
          <w:ilvl w:val="1"/>
          <w:numId w:val="12"/>
        </w:numPr>
        <w:tabs>
          <w:tab w:val="left" w:pos="284"/>
          <w:tab w:val="left" w:pos="426"/>
          <w:tab w:val="left" w:pos="567"/>
          <w:tab w:val="left" w:pos="599"/>
          <w:tab w:val="clear" w:pos="1134"/>
        </w:tabs>
        <w:adjustRightInd w:val="0"/>
        <w:spacing w:line="360" w:lineRule="auto"/>
        <w:ind w:left="426" w:hanging="426"/>
        <w:rPr>
          <w:rFonts w:ascii="宋体" w:hAnsi="宋体" w:eastAsia="宋体" w:cs="Times New Roman"/>
          <w:color w:val="000000"/>
          <w:szCs w:val="20"/>
        </w:rPr>
      </w:pPr>
      <w:r>
        <w:rPr>
          <w:rFonts w:hint="eastAsia" w:ascii="宋体" w:hAnsi="宋体" w:cs="Times New Roman"/>
          <w:color w:val="000000"/>
          <w:szCs w:val="20"/>
          <w:lang w:val="en-US" w:eastAsia="zh-CN"/>
        </w:rPr>
        <w:t>本合同为单价合同，合同执行过程，根据甲方员工实际体检人数，按照员工体检单价标准据实结算，员工体检单价标准详见附件二。</w:t>
      </w:r>
      <w:r>
        <w:rPr>
          <w:rFonts w:hint="eastAsia" w:ascii="宋体" w:hAnsi="宋体" w:eastAsia="宋体" w:cs="Times New Roman"/>
          <w:color w:val="000000"/>
          <w:szCs w:val="20"/>
        </w:rPr>
        <w:t>本合同计价模式根据体检人数</w:t>
      </w:r>
      <w:r>
        <w:rPr>
          <w:rFonts w:hint="eastAsia" w:ascii="宋体" w:hAnsi="宋体" w:eastAsia="宋体" w:cs="Times New Roman"/>
          <w:color w:val="000000"/>
          <w:szCs w:val="20"/>
          <w:lang w:val="en-US" w:eastAsia="zh-CN"/>
        </w:rPr>
        <w:t>按照员工体检费用标准</w:t>
      </w:r>
      <w:r>
        <w:rPr>
          <w:rFonts w:hint="eastAsia" w:ascii="宋体" w:hAnsi="宋体" w:eastAsia="宋体" w:cs="Times New Roman"/>
          <w:color w:val="000000"/>
          <w:szCs w:val="20"/>
          <w:highlight w:val="none"/>
        </w:rPr>
        <w:t>据实结算，</w:t>
      </w:r>
      <w:r>
        <w:rPr>
          <w:rFonts w:hint="eastAsia" w:ascii="宋体" w:hAnsi="宋体" w:eastAsia="宋体" w:cs="Times New Roman"/>
          <w:color w:val="000000"/>
          <w:szCs w:val="20"/>
          <w:lang w:val="en-US" w:eastAsia="zh-CN"/>
        </w:rPr>
        <w:t>超出该标准的部分，由甲方员工或乙方自行承担，</w:t>
      </w:r>
      <w:r>
        <w:rPr>
          <w:rFonts w:hint="eastAsia" w:ascii="宋体" w:hAnsi="宋体" w:eastAsia="宋体" w:cs="Times New Roman"/>
          <w:color w:val="000000"/>
          <w:szCs w:val="20"/>
        </w:rPr>
        <w:t>乙方不得以任何理由向甲方追偿、索取或索赔。具体原则如下：</w:t>
      </w:r>
    </w:p>
    <w:p w14:paraId="6E25EFA8">
      <w:pPr>
        <w:numPr>
          <w:ilvl w:val="2"/>
          <w:numId w:val="12"/>
        </w:numPr>
        <w:tabs>
          <w:tab w:val="left" w:pos="284"/>
          <w:tab w:val="left" w:pos="425"/>
          <w:tab w:val="left" w:pos="567"/>
          <w:tab w:val="left" w:pos="599"/>
        </w:tabs>
        <w:adjustRightInd w:val="0"/>
        <w:spacing w:line="360" w:lineRule="auto"/>
        <w:ind w:left="709" w:hanging="709"/>
        <w:rPr>
          <w:rFonts w:ascii="宋体" w:hAnsi="宋体" w:eastAsia="宋体" w:cs="Times New Roman"/>
          <w:color w:val="000000"/>
          <w:szCs w:val="20"/>
        </w:rPr>
      </w:pPr>
      <w:r>
        <w:rPr>
          <w:rFonts w:hint="eastAsia" w:ascii="宋体" w:hAnsi="宋体" w:eastAsia="宋体" w:cs="Times New Roman"/>
          <w:color w:val="000000"/>
          <w:szCs w:val="20"/>
          <w:lang w:val="en-US" w:eastAsia="zh-CN"/>
        </w:rPr>
        <w:t>乙方按照甲方员工体检费用标准将自选体检项目合理搭配形成套餐，员工自行选择。套餐要求基础体检项目、自选体检项目合成的体检套餐费用及女员工专项检查费用之和不得低于员工体检费用标准，超出部分由乙方承担，</w:t>
      </w:r>
      <w:r>
        <w:rPr>
          <w:rFonts w:hint="eastAsia" w:ascii="宋体" w:hAnsi="宋体" w:cs="Times New Roman"/>
          <w:color w:val="000000"/>
          <w:sz w:val="21"/>
          <w:szCs w:val="20"/>
          <w:lang w:val="en-US" w:eastAsia="zh-CN"/>
        </w:rPr>
        <w:t>甲方</w:t>
      </w:r>
      <w:r>
        <w:rPr>
          <w:rFonts w:hint="eastAsia" w:ascii="宋体" w:hAnsi="宋体" w:eastAsia="宋体" w:cs="Times New Roman"/>
          <w:color w:val="000000"/>
          <w:sz w:val="21"/>
          <w:szCs w:val="20"/>
        </w:rPr>
        <w:t>结算的</w:t>
      </w:r>
      <w:r>
        <w:rPr>
          <w:rFonts w:hint="eastAsia" w:ascii="宋体" w:hAnsi="宋体" w:eastAsia="宋体" w:cs="Times New Roman"/>
          <w:color w:val="000000"/>
          <w:sz w:val="21"/>
          <w:szCs w:val="20"/>
          <w:lang w:val="en-US" w:eastAsia="zh-CN"/>
        </w:rPr>
        <w:t>员工</w:t>
      </w:r>
      <w:r>
        <w:rPr>
          <w:rFonts w:hint="eastAsia" w:ascii="宋体" w:hAnsi="宋体" w:eastAsia="宋体" w:cs="Times New Roman"/>
          <w:color w:val="000000"/>
          <w:sz w:val="21"/>
          <w:szCs w:val="20"/>
        </w:rPr>
        <w:t>体检项目费用之和不超过员工体检</w:t>
      </w:r>
      <w:r>
        <w:rPr>
          <w:rFonts w:hint="eastAsia" w:ascii="宋体" w:hAnsi="宋体" w:eastAsia="宋体" w:cs="Times New Roman"/>
          <w:color w:val="000000"/>
          <w:sz w:val="21"/>
          <w:szCs w:val="20"/>
          <w:lang w:val="en-US" w:eastAsia="zh-CN"/>
        </w:rPr>
        <w:t>费用</w:t>
      </w:r>
      <w:r>
        <w:rPr>
          <w:rFonts w:hint="eastAsia" w:ascii="宋体" w:hAnsi="宋体" w:eastAsia="宋体" w:cs="Times New Roman"/>
          <w:color w:val="000000"/>
          <w:sz w:val="21"/>
          <w:szCs w:val="20"/>
        </w:rPr>
        <w:t>标准。</w:t>
      </w:r>
    </w:p>
    <w:p w14:paraId="10EEA671">
      <w:pPr>
        <w:numPr>
          <w:ilvl w:val="2"/>
          <w:numId w:val="12"/>
        </w:numPr>
        <w:tabs>
          <w:tab w:val="left" w:pos="284"/>
          <w:tab w:val="left" w:pos="425"/>
          <w:tab w:val="left" w:pos="567"/>
          <w:tab w:val="left" w:pos="599"/>
        </w:tabs>
        <w:adjustRightInd w:val="0"/>
        <w:spacing w:line="360" w:lineRule="auto"/>
        <w:ind w:left="709" w:hanging="709"/>
        <w:rPr>
          <w:rFonts w:ascii="宋体" w:hAnsi="宋体" w:eastAsia="宋体" w:cs="Times New Roman"/>
          <w:color w:val="000000"/>
          <w:szCs w:val="20"/>
        </w:rPr>
      </w:pPr>
      <w:r>
        <w:rPr>
          <w:rFonts w:hint="eastAsia" w:ascii="宋体" w:hAnsi="宋体" w:eastAsia="宋体" w:cs="Times New Roman"/>
          <w:color w:val="000000"/>
          <w:szCs w:val="20"/>
          <w:lang w:val="en-US" w:eastAsia="zh-CN"/>
        </w:rPr>
        <w:t>本项目执行过程根据员工性别、年龄及</w:t>
      </w:r>
      <w:r>
        <w:rPr>
          <w:rFonts w:hint="eastAsia" w:ascii="宋体" w:hAnsi="宋体" w:eastAsia="宋体" w:cs="Times New Roman"/>
          <w:color w:val="000000"/>
          <w:szCs w:val="20"/>
        </w:rPr>
        <w:t>女员工专项检查</w:t>
      </w:r>
      <w:r>
        <w:rPr>
          <w:rFonts w:hint="eastAsia" w:ascii="宋体" w:hAnsi="宋体" w:eastAsia="宋体" w:cs="Times New Roman"/>
          <w:color w:val="000000"/>
          <w:szCs w:val="20"/>
          <w:lang w:val="en-US" w:eastAsia="zh-CN"/>
        </w:rPr>
        <w:t>项目分别采用基础体检项目加自选体检项目组合套餐进行体检，</w:t>
      </w:r>
      <w:r>
        <w:rPr>
          <w:rFonts w:hint="eastAsia" w:ascii="宋体" w:hAnsi="宋体" w:eastAsia="宋体" w:cs="Times New Roman"/>
          <w:color w:val="000000"/>
          <w:szCs w:val="20"/>
        </w:rPr>
        <w:t>员工体检</w:t>
      </w:r>
      <w:r>
        <w:rPr>
          <w:rFonts w:hint="eastAsia" w:ascii="宋体" w:hAnsi="宋体" w:eastAsia="宋体" w:cs="Times New Roman"/>
          <w:color w:val="000000"/>
          <w:szCs w:val="20"/>
          <w:lang w:val="en-US" w:eastAsia="zh-CN"/>
        </w:rPr>
        <w:t>套餐</w:t>
      </w:r>
      <w:r>
        <w:rPr>
          <w:rFonts w:hint="eastAsia" w:ascii="宋体" w:hAnsi="宋体" w:eastAsia="宋体" w:cs="Times New Roman"/>
          <w:color w:val="000000"/>
          <w:szCs w:val="20"/>
        </w:rPr>
        <w:t>标准为:</w:t>
      </w:r>
    </w:p>
    <w:p w14:paraId="1D730134">
      <w:pPr>
        <w:numPr>
          <w:ilvl w:val="0"/>
          <w:numId w:val="0"/>
        </w:numPr>
        <w:tabs>
          <w:tab w:val="left" w:pos="284"/>
          <w:tab w:val="left" w:pos="426"/>
          <w:tab w:val="left" w:pos="567"/>
          <w:tab w:val="left" w:pos="599"/>
        </w:tabs>
        <w:adjustRightInd w:val="0"/>
        <w:spacing w:line="360" w:lineRule="auto"/>
        <w:ind w:leftChars="0" w:firstLine="1050" w:firstLineChars="500"/>
        <w:rPr>
          <w:rFonts w:hint="eastAsia" w:ascii="宋体" w:hAnsi="宋体" w:eastAsia="宋体" w:cs="Times New Roman"/>
          <w:color w:val="000000"/>
          <w:szCs w:val="20"/>
          <w:lang w:eastAsia="zh-CN"/>
        </w:rPr>
      </w:pPr>
      <w:r>
        <w:rPr>
          <w:rFonts w:hint="eastAsia" w:ascii="宋体" w:hAnsi="宋体" w:eastAsia="宋体" w:cs="Times New Roman"/>
          <w:color w:val="000000"/>
          <w:szCs w:val="20"/>
        </w:rPr>
        <w:t>超过40岁的男员工为1308元/人</w:t>
      </w:r>
      <w:r>
        <w:rPr>
          <w:rFonts w:hint="eastAsia" w:ascii="宋体" w:hAnsi="宋体" w:eastAsia="宋体" w:cs="Times New Roman"/>
          <w:color w:val="000000"/>
          <w:szCs w:val="20"/>
          <w:lang w:eastAsia="zh-CN"/>
        </w:rPr>
        <w:t>；</w:t>
      </w:r>
    </w:p>
    <w:p w14:paraId="7CF5912C">
      <w:pPr>
        <w:numPr>
          <w:ilvl w:val="0"/>
          <w:numId w:val="0"/>
        </w:numPr>
        <w:tabs>
          <w:tab w:val="left" w:pos="284"/>
          <w:tab w:val="left" w:pos="426"/>
          <w:tab w:val="left" w:pos="567"/>
          <w:tab w:val="left" w:pos="599"/>
        </w:tabs>
        <w:adjustRightInd w:val="0"/>
        <w:spacing w:line="360" w:lineRule="auto"/>
        <w:ind w:leftChars="0" w:firstLine="1050" w:firstLineChars="500"/>
        <w:rPr>
          <w:rFonts w:hint="eastAsia" w:ascii="宋体" w:hAnsi="宋体" w:eastAsia="宋体" w:cs="Times New Roman"/>
          <w:color w:val="000000"/>
          <w:szCs w:val="20"/>
          <w:lang w:eastAsia="zh-CN"/>
        </w:rPr>
      </w:pPr>
      <w:r>
        <w:rPr>
          <w:rFonts w:hint="eastAsia" w:ascii="宋体" w:hAnsi="宋体" w:eastAsia="宋体" w:cs="Times New Roman"/>
          <w:color w:val="000000"/>
          <w:szCs w:val="20"/>
        </w:rPr>
        <w:t>超过40岁的女员工为1179元/人</w:t>
      </w:r>
      <w:r>
        <w:rPr>
          <w:rFonts w:hint="eastAsia" w:ascii="宋体" w:hAnsi="宋体" w:eastAsia="宋体" w:cs="Times New Roman"/>
          <w:color w:val="000000"/>
          <w:szCs w:val="20"/>
          <w:lang w:eastAsia="zh-CN"/>
        </w:rPr>
        <w:t>；</w:t>
      </w:r>
    </w:p>
    <w:p w14:paraId="05FA869C">
      <w:pPr>
        <w:numPr>
          <w:ilvl w:val="0"/>
          <w:numId w:val="0"/>
        </w:numPr>
        <w:tabs>
          <w:tab w:val="left" w:pos="284"/>
          <w:tab w:val="left" w:pos="426"/>
          <w:tab w:val="left" w:pos="567"/>
          <w:tab w:val="left" w:pos="599"/>
        </w:tabs>
        <w:adjustRightInd w:val="0"/>
        <w:spacing w:line="360" w:lineRule="auto"/>
        <w:ind w:leftChars="0" w:firstLine="1050" w:firstLineChars="500"/>
        <w:rPr>
          <w:rFonts w:hint="eastAsia" w:ascii="宋体" w:hAnsi="宋体" w:eastAsia="宋体" w:cs="Times New Roman"/>
          <w:color w:val="000000"/>
          <w:szCs w:val="20"/>
          <w:lang w:eastAsia="zh-CN"/>
        </w:rPr>
      </w:pPr>
      <w:r>
        <w:rPr>
          <w:rFonts w:hint="eastAsia" w:ascii="宋体" w:hAnsi="宋体" w:eastAsia="宋体" w:cs="Times New Roman"/>
          <w:color w:val="000000"/>
          <w:szCs w:val="20"/>
        </w:rPr>
        <w:t>40岁及以下的男员工为884元/人</w:t>
      </w:r>
      <w:r>
        <w:rPr>
          <w:rFonts w:hint="eastAsia" w:ascii="宋体" w:hAnsi="宋体" w:eastAsia="宋体" w:cs="Times New Roman"/>
          <w:color w:val="000000"/>
          <w:szCs w:val="20"/>
          <w:lang w:eastAsia="zh-CN"/>
        </w:rPr>
        <w:t>；</w:t>
      </w:r>
    </w:p>
    <w:p w14:paraId="2722568E">
      <w:pPr>
        <w:numPr>
          <w:ilvl w:val="0"/>
          <w:numId w:val="0"/>
        </w:numPr>
        <w:tabs>
          <w:tab w:val="left" w:pos="284"/>
          <w:tab w:val="left" w:pos="426"/>
          <w:tab w:val="left" w:pos="567"/>
          <w:tab w:val="left" w:pos="599"/>
        </w:tabs>
        <w:adjustRightInd w:val="0"/>
        <w:spacing w:line="360" w:lineRule="auto"/>
        <w:ind w:leftChars="0" w:firstLine="1050" w:firstLineChars="500"/>
        <w:rPr>
          <w:rFonts w:hint="eastAsia" w:ascii="宋体" w:hAnsi="宋体" w:eastAsia="宋体" w:cs="Times New Roman"/>
          <w:color w:val="000000"/>
          <w:szCs w:val="20"/>
          <w:lang w:eastAsia="zh-CN"/>
        </w:rPr>
      </w:pPr>
      <w:r>
        <w:rPr>
          <w:rFonts w:hint="eastAsia" w:ascii="宋体" w:hAnsi="宋体" w:eastAsia="宋体" w:cs="Times New Roman"/>
          <w:color w:val="000000"/>
          <w:szCs w:val="20"/>
        </w:rPr>
        <w:t>40岁及以下的女员工为954元/人</w:t>
      </w:r>
      <w:r>
        <w:rPr>
          <w:rFonts w:hint="eastAsia" w:ascii="宋体" w:hAnsi="宋体" w:eastAsia="宋体" w:cs="Times New Roman"/>
          <w:color w:val="000000"/>
          <w:szCs w:val="20"/>
          <w:lang w:eastAsia="zh-CN"/>
        </w:rPr>
        <w:t>；</w:t>
      </w:r>
    </w:p>
    <w:p w14:paraId="18D8E97B">
      <w:pPr>
        <w:pageBreakBefore w:val="0"/>
        <w:widowControl w:val="0"/>
        <w:numPr>
          <w:ilvl w:val="0"/>
          <w:numId w:val="0"/>
        </w:numPr>
        <w:tabs>
          <w:tab w:val="left" w:pos="567"/>
        </w:tabs>
        <w:kinsoku/>
        <w:wordWrap/>
        <w:topLinePunct w:val="0"/>
        <w:bidi w:val="0"/>
        <w:adjustRightInd w:val="0"/>
        <w:snapToGrid w:val="0"/>
        <w:spacing w:line="360" w:lineRule="auto"/>
        <w:ind w:leftChars="0" w:firstLine="1050" w:firstLineChars="5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已婚女员工专项检查为650元/人;</w:t>
      </w:r>
    </w:p>
    <w:p w14:paraId="63397F44">
      <w:pPr>
        <w:numPr>
          <w:ilvl w:val="0"/>
          <w:numId w:val="0"/>
        </w:numPr>
        <w:tabs>
          <w:tab w:val="left" w:pos="567"/>
        </w:tabs>
        <w:adjustRightInd w:val="0"/>
        <w:snapToGrid w:val="0"/>
        <w:spacing w:line="360" w:lineRule="auto"/>
        <w:ind w:leftChars="0" w:firstLine="1050" w:firstLineChars="500"/>
        <w:rPr>
          <w:rFonts w:hint="eastAsia" w:ascii="宋体" w:hAnsi="宋体" w:eastAsia="宋体" w:cs="Times New Roman"/>
          <w:color w:val="000000"/>
          <w:szCs w:val="20"/>
          <w:lang w:eastAsia="zh-CN"/>
        </w:rPr>
      </w:pPr>
      <w:r>
        <w:rPr>
          <w:rFonts w:hint="eastAsia" w:ascii="宋体" w:hAnsi="宋体" w:eastAsia="宋体" w:cs="Times New Roman"/>
          <w:color w:val="000000"/>
          <w:szCs w:val="21"/>
        </w:rPr>
        <w:t>未婚女员工专项检查为300元/人</w:t>
      </w:r>
      <w:r>
        <w:rPr>
          <w:rFonts w:hint="eastAsia" w:ascii="宋体" w:hAnsi="宋体" w:eastAsia="宋体" w:cs="Times New Roman"/>
          <w:color w:val="000000"/>
          <w:szCs w:val="20"/>
          <w:lang w:eastAsia="zh-CN"/>
        </w:rPr>
        <w:t>。</w:t>
      </w:r>
    </w:p>
    <w:p w14:paraId="2358E20D">
      <w:pPr>
        <w:numPr>
          <w:ilvl w:val="2"/>
          <w:numId w:val="12"/>
        </w:numPr>
        <w:tabs>
          <w:tab w:val="left" w:pos="284"/>
          <w:tab w:val="left" w:pos="425"/>
          <w:tab w:val="left" w:pos="567"/>
          <w:tab w:val="left" w:pos="599"/>
        </w:tabs>
        <w:adjustRightInd w:val="0"/>
        <w:spacing w:line="360" w:lineRule="auto"/>
        <w:ind w:left="709" w:hanging="709"/>
        <w:rPr>
          <w:rFonts w:hint="eastAsia" w:ascii="宋体" w:hAnsi="宋体" w:eastAsia="宋体" w:cs="Times New Roman"/>
          <w:color w:val="000000"/>
          <w:szCs w:val="20"/>
        </w:rPr>
      </w:pPr>
      <w:r>
        <w:rPr>
          <w:rFonts w:hint="eastAsia" w:ascii="宋体" w:hAnsi="宋体" w:eastAsia="宋体" w:cs="Times New Roman"/>
          <w:color w:val="000000"/>
          <w:szCs w:val="20"/>
          <w:lang w:val="en-US" w:eastAsia="zh-CN"/>
        </w:rPr>
        <w:t>甲方员工</w:t>
      </w:r>
      <w:r>
        <w:rPr>
          <w:rFonts w:hint="eastAsia" w:ascii="宋体" w:hAnsi="宋体" w:cs="Times New Roman"/>
          <w:color w:val="000000"/>
          <w:szCs w:val="20"/>
          <w:lang w:val="en-US" w:eastAsia="zh-CN"/>
        </w:rPr>
        <w:t>在乙方</w:t>
      </w:r>
      <w:r>
        <w:rPr>
          <w:rFonts w:hint="eastAsia" w:ascii="宋体" w:hAnsi="宋体" w:eastAsia="宋体" w:cs="Times New Roman"/>
          <w:color w:val="000000"/>
          <w:szCs w:val="20"/>
          <w:lang w:val="en-US" w:eastAsia="zh-CN"/>
        </w:rPr>
        <w:t>提供</w:t>
      </w:r>
      <w:r>
        <w:rPr>
          <w:rFonts w:hint="eastAsia" w:ascii="宋体" w:hAnsi="宋体" w:cs="Times New Roman"/>
          <w:color w:val="000000"/>
          <w:szCs w:val="20"/>
          <w:lang w:val="en-US" w:eastAsia="zh-CN"/>
        </w:rPr>
        <w:t>的</w:t>
      </w:r>
      <w:r>
        <w:rPr>
          <w:rFonts w:hint="eastAsia" w:ascii="宋体" w:hAnsi="宋体" w:eastAsia="宋体" w:cs="Times New Roman"/>
          <w:color w:val="000000"/>
          <w:szCs w:val="20"/>
          <w:lang w:val="en-US" w:eastAsia="zh-CN"/>
        </w:rPr>
        <w:t>自选体检</w:t>
      </w:r>
      <w:r>
        <w:rPr>
          <w:rFonts w:hint="eastAsia" w:ascii="宋体" w:hAnsi="宋体" w:cs="Times New Roman"/>
          <w:color w:val="000000"/>
          <w:szCs w:val="20"/>
          <w:lang w:val="en-US" w:eastAsia="zh-CN"/>
        </w:rPr>
        <w:t>套餐外</w:t>
      </w:r>
      <w:r>
        <w:rPr>
          <w:rFonts w:hint="eastAsia" w:ascii="宋体" w:hAnsi="宋体" w:eastAsia="宋体" w:cs="Times New Roman"/>
          <w:bCs w:val="0"/>
          <w:color w:val="000000"/>
          <w:sz w:val="21"/>
          <w:szCs w:val="20"/>
        </w:rPr>
        <w:t>自主</w:t>
      </w:r>
      <w:r>
        <w:rPr>
          <w:rFonts w:hint="eastAsia" w:ascii="宋体" w:hAnsi="宋体" w:cs="Times New Roman"/>
          <w:bCs w:val="0"/>
          <w:color w:val="000000"/>
          <w:sz w:val="21"/>
          <w:szCs w:val="20"/>
          <w:lang w:val="en-US" w:eastAsia="zh-CN"/>
        </w:rPr>
        <w:t>增加的体检项目</w:t>
      </w:r>
      <w:r>
        <w:rPr>
          <w:rFonts w:hint="eastAsia" w:ascii="宋体" w:hAnsi="宋体" w:eastAsia="宋体" w:cs="Times New Roman"/>
          <w:color w:val="000000"/>
          <w:sz w:val="21"/>
          <w:szCs w:val="20"/>
        </w:rPr>
        <w:t>导致体检</w:t>
      </w:r>
      <w:r>
        <w:rPr>
          <w:rFonts w:hint="eastAsia" w:ascii="宋体" w:hAnsi="宋体" w:eastAsia="宋体" w:cs="Times New Roman"/>
          <w:color w:val="000000"/>
          <w:sz w:val="21"/>
          <w:szCs w:val="20"/>
          <w:lang w:val="en-US" w:eastAsia="zh-CN"/>
        </w:rPr>
        <w:t>项目</w:t>
      </w:r>
      <w:r>
        <w:rPr>
          <w:rFonts w:hint="eastAsia" w:ascii="宋体" w:hAnsi="宋体" w:eastAsia="宋体" w:cs="Times New Roman"/>
          <w:color w:val="000000"/>
          <w:sz w:val="21"/>
          <w:szCs w:val="20"/>
        </w:rPr>
        <w:t>费用之和超出</w:t>
      </w:r>
      <w:r>
        <w:rPr>
          <w:rFonts w:hint="eastAsia" w:ascii="宋体" w:hAnsi="宋体" w:cs="Times New Roman"/>
          <w:color w:val="000000"/>
          <w:sz w:val="21"/>
          <w:szCs w:val="20"/>
          <w:lang w:val="en-US" w:eastAsia="zh-CN"/>
        </w:rPr>
        <w:t>上述</w:t>
      </w:r>
      <w:r>
        <w:rPr>
          <w:rFonts w:hint="eastAsia" w:ascii="宋体" w:hAnsi="宋体" w:eastAsia="宋体" w:cs="Times New Roman"/>
          <w:color w:val="000000"/>
          <w:szCs w:val="20"/>
          <w:lang w:val="en-US" w:eastAsia="zh-CN"/>
        </w:rPr>
        <w:t>员工体检费用标准的</w:t>
      </w:r>
      <w:r>
        <w:rPr>
          <w:rFonts w:hint="eastAsia" w:ascii="宋体" w:hAnsi="宋体" w:eastAsia="宋体" w:cs="Times New Roman"/>
          <w:color w:val="000000"/>
          <w:sz w:val="21"/>
          <w:szCs w:val="20"/>
        </w:rPr>
        <w:t>，</w:t>
      </w:r>
      <w:r>
        <w:rPr>
          <w:rFonts w:hint="eastAsia" w:ascii="宋体" w:hAnsi="宋体" w:cs="Times New Roman"/>
          <w:color w:val="000000"/>
          <w:sz w:val="21"/>
          <w:szCs w:val="20"/>
          <w:lang w:val="en-US" w:eastAsia="zh-CN"/>
        </w:rPr>
        <w:t>甲方</w:t>
      </w:r>
      <w:r>
        <w:rPr>
          <w:rFonts w:hint="eastAsia" w:ascii="宋体" w:hAnsi="宋体" w:eastAsia="宋体" w:cs="Times New Roman"/>
          <w:color w:val="000000"/>
          <w:sz w:val="21"/>
          <w:szCs w:val="20"/>
        </w:rPr>
        <w:t>员工自行补足差价，</w:t>
      </w:r>
      <w:r>
        <w:rPr>
          <w:rFonts w:hint="eastAsia" w:ascii="宋体" w:hAnsi="宋体" w:cs="Times New Roman"/>
          <w:color w:val="000000"/>
          <w:sz w:val="21"/>
          <w:szCs w:val="20"/>
          <w:lang w:val="en-US" w:eastAsia="zh-CN"/>
        </w:rPr>
        <w:t>甲</w:t>
      </w:r>
      <w:r>
        <w:rPr>
          <w:rFonts w:hint="eastAsia" w:ascii="宋体" w:hAnsi="宋体" w:eastAsia="宋体" w:cs="Times New Roman"/>
          <w:color w:val="000000"/>
          <w:sz w:val="21"/>
          <w:szCs w:val="20"/>
          <w:lang w:val="en-US" w:eastAsia="zh-CN"/>
        </w:rPr>
        <w:t>方</w:t>
      </w:r>
      <w:r>
        <w:rPr>
          <w:rFonts w:hint="eastAsia" w:ascii="宋体" w:hAnsi="宋体" w:eastAsia="宋体" w:cs="Times New Roman"/>
          <w:color w:val="000000"/>
          <w:sz w:val="21"/>
          <w:szCs w:val="20"/>
        </w:rPr>
        <w:t>不再另行支付</w:t>
      </w:r>
      <w:r>
        <w:rPr>
          <w:rFonts w:hint="eastAsia" w:ascii="宋体" w:hAnsi="宋体" w:cs="Times New Roman"/>
          <w:color w:val="000000"/>
          <w:sz w:val="21"/>
          <w:szCs w:val="20"/>
          <w:lang w:eastAsia="zh-CN"/>
        </w:rPr>
        <w:t>。</w:t>
      </w:r>
      <w:r>
        <w:rPr>
          <w:rFonts w:hint="eastAsia" w:ascii="宋体" w:hAnsi="宋体" w:cs="Times New Roman"/>
          <w:color w:val="000000"/>
          <w:sz w:val="21"/>
          <w:szCs w:val="20"/>
          <w:lang w:val="en-US" w:eastAsia="zh-CN"/>
        </w:rPr>
        <w:t>甲方</w:t>
      </w:r>
      <w:r>
        <w:rPr>
          <w:rFonts w:hint="eastAsia" w:ascii="宋体" w:hAnsi="宋体" w:eastAsia="宋体" w:cs="Times New Roman"/>
          <w:i w:val="0"/>
          <w:iCs w:val="0"/>
          <w:caps w:val="0"/>
          <w:color w:val="000000"/>
          <w:spacing w:val="0"/>
          <w:sz w:val="21"/>
          <w:szCs w:val="20"/>
          <w:shd w:val="clear" w:fill="auto"/>
        </w:rPr>
        <w:t>员工自愿放弃</w:t>
      </w:r>
      <w:r>
        <w:rPr>
          <w:rFonts w:hint="eastAsia" w:ascii="宋体" w:hAnsi="宋体" w:cs="Times New Roman"/>
          <w:i w:val="0"/>
          <w:iCs w:val="0"/>
          <w:caps w:val="0"/>
          <w:color w:val="000000"/>
          <w:spacing w:val="0"/>
          <w:sz w:val="21"/>
          <w:szCs w:val="20"/>
          <w:shd w:val="clear"/>
          <w:lang w:val="en-US" w:eastAsia="zh-CN"/>
        </w:rPr>
        <w:t>自选套餐</w:t>
      </w:r>
      <w:r>
        <w:rPr>
          <w:rFonts w:hint="eastAsia" w:ascii="宋体" w:hAnsi="宋体" w:eastAsia="宋体" w:cs="Times New Roman"/>
          <w:i w:val="0"/>
          <w:iCs w:val="0"/>
          <w:caps w:val="0"/>
          <w:color w:val="000000"/>
          <w:spacing w:val="0"/>
          <w:sz w:val="21"/>
          <w:szCs w:val="20"/>
          <w:shd w:val="clear" w:fill="auto"/>
        </w:rPr>
        <w:t>内</w:t>
      </w:r>
      <w:r>
        <w:rPr>
          <w:rFonts w:hint="eastAsia" w:ascii="宋体" w:hAnsi="宋体" w:cs="Times New Roman"/>
          <w:i w:val="0"/>
          <w:iCs w:val="0"/>
          <w:caps w:val="0"/>
          <w:color w:val="000000"/>
          <w:spacing w:val="0"/>
          <w:sz w:val="21"/>
          <w:szCs w:val="20"/>
          <w:shd w:val="clear"/>
          <w:lang w:val="en-US" w:eastAsia="zh-CN"/>
        </w:rPr>
        <w:t>体检</w:t>
      </w:r>
      <w:r>
        <w:rPr>
          <w:rFonts w:hint="eastAsia" w:ascii="宋体" w:hAnsi="宋体" w:eastAsia="宋体" w:cs="Times New Roman"/>
          <w:i w:val="0"/>
          <w:iCs w:val="0"/>
          <w:caps w:val="0"/>
          <w:color w:val="000000"/>
          <w:spacing w:val="0"/>
          <w:sz w:val="21"/>
          <w:szCs w:val="20"/>
          <w:shd w:val="clear" w:fill="auto"/>
        </w:rPr>
        <w:t>项目的，甲方仅按实际发生的体检项目费用与乙方</w:t>
      </w:r>
      <w:r>
        <w:rPr>
          <w:rFonts w:hint="eastAsia" w:ascii="宋体" w:hAnsi="宋体" w:cs="Times New Roman"/>
          <w:i w:val="0"/>
          <w:iCs w:val="0"/>
          <w:caps w:val="0"/>
          <w:color w:val="000000"/>
          <w:spacing w:val="0"/>
          <w:sz w:val="21"/>
          <w:szCs w:val="20"/>
          <w:shd w:val="clear"/>
          <w:lang w:val="en-US" w:eastAsia="zh-CN"/>
        </w:rPr>
        <w:t>据实</w:t>
      </w:r>
      <w:r>
        <w:rPr>
          <w:rFonts w:hint="eastAsia" w:ascii="宋体" w:hAnsi="宋体" w:eastAsia="宋体" w:cs="Times New Roman"/>
          <w:i w:val="0"/>
          <w:iCs w:val="0"/>
          <w:caps w:val="0"/>
          <w:color w:val="000000"/>
          <w:spacing w:val="0"/>
          <w:sz w:val="21"/>
          <w:szCs w:val="20"/>
          <w:shd w:val="clear" w:fill="auto"/>
        </w:rPr>
        <w:t>结算。</w:t>
      </w:r>
    </w:p>
    <w:p w14:paraId="00883287">
      <w:pPr>
        <w:numPr>
          <w:ilvl w:val="1"/>
          <w:numId w:val="12"/>
        </w:numPr>
        <w:tabs>
          <w:tab w:val="left" w:pos="284"/>
          <w:tab w:val="left" w:pos="426"/>
          <w:tab w:val="left" w:pos="567"/>
          <w:tab w:val="left" w:pos="599"/>
          <w:tab w:val="clear" w:pos="1134"/>
        </w:tabs>
        <w:adjustRightInd w:val="0"/>
        <w:spacing w:line="360" w:lineRule="auto"/>
        <w:ind w:left="426" w:hanging="426"/>
        <w:rPr>
          <w:rFonts w:hint="eastAsia" w:ascii="宋体" w:hAnsi="宋体" w:eastAsia="宋体" w:cs="Times New Roman"/>
          <w:color w:val="000000"/>
          <w:szCs w:val="20"/>
        </w:rPr>
      </w:pPr>
      <w:r>
        <w:rPr>
          <w:rFonts w:hint="eastAsia" w:ascii="宋体" w:hAnsi="宋体" w:eastAsia="宋体" w:cs="Times New Roman"/>
          <w:color w:val="000000"/>
          <w:szCs w:val="20"/>
        </w:rPr>
        <w:t>体检项目计价原则为单个体检项单价包干，价格明细详见附件二《合同价款构成清单》</w:t>
      </w:r>
      <w:r>
        <w:rPr>
          <w:rFonts w:hint="eastAsia" w:ascii="宋体" w:hAnsi="宋体" w:eastAsia="宋体" w:cs="Times New Roman"/>
          <w:color w:val="000000"/>
          <w:szCs w:val="20"/>
          <w:lang w:eastAsia="zh-CN"/>
        </w:rPr>
        <w:t>。</w:t>
      </w:r>
    </w:p>
    <w:p w14:paraId="4036A375">
      <w:pPr>
        <w:numPr>
          <w:ilvl w:val="1"/>
          <w:numId w:val="12"/>
        </w:numPr>
        <w:tabs>
          <w:tab w:val="left" w:pos="284"/>
          <w:tab w:val="left" w:pos="426"/>
          <w:tab w:val="left" w:pos="567"/>
          <w:tab w:val="left" w:pos="599"/>
          <w:tab w:val="clear" w:pos="1134"/>
        </w:tabs>
        <w:adjustRightInd w:val="0"/>
        <w:spacing w:line="360" w:lineRule="auto"/>
        <w:ind w:left="426" w:hanging="426"/>
        <w:rPr>
          <w:rFonts w:ascii="宋体" w:hAnsi="宋体" w:eastAsia="宋体" w:cs="Times New Roman"/>
          <w:color w:val="000000"/>
          <w:szCs w:val="20"/>
        </w:rPr>
      </w:pPr>
      <w:r>
        <w:rPr>
          <w:rFonts w:hint="eastAsia" w:ascii="宋体" w:hAnsi="宋体" w:eastAsia="宋体" w:cs="Times New Roman"/>
          <w:color w:val="000000"/>
          <w:szCs w:val="20"/>
        </w:rPr>
        <w:t>本项目合同价</w:t>
      </w:r>
      <w:r>
        <w:rPr>
          <w:rFonts w:hint="eastAsia" w:ascii="宋体" w:hAnsi="宋体" w:eastAsia="宋体" w:cs="Times New Roman"/>
          <w:color w:val="000000"/>
          <w:szCs w:val="20"/>
          <w:lang w:val="en-US" w:eastAsia="zh-CN"/>
        </w:rPr>
        <w:t>格</w:t>
      </w:r>
      <w:r>
        <w:rPr>
          <w:rFonts w:hint="eastAsia" w:ascii="宋体" w:hAnsi="宋体" w:eastAsia="宋体" w:cs="Times New Roman"/>
          <w:color w:val="000000"/>
          <w:szCs w:val="20"/>
        </w:rPr>
        <w:t>为含税金额，发票税金包含在合同价格中。</w:t>
      </w:r>
    </w:p>
    <w:p w14:paraId="4630EB46">
      <w:pPr>
        <w:numPr>
          <w:ilvl w:val="1"/>
          <w:numId w:val="12"/>
        </w:numPr>
        <w:tabs>
          <w:tab w:val="left" w:pos="284"/>
          <w:tab w:val="left" w:pos="426"/>
          <w:tab w:val="left" w:pos="567"/>
          <w:tab w:val="left" w:pos="599"/>
          <w:tab w:val="clear" w:pos="1134"/>
        </w:tabs>
        <w:adjustRightInd w:val="0"/>
        <w:spacing w:line="360" w:lineRule="auto"/>
        <w:ind w:left="426" w:hanging="426"/>
        <w:rPr>
          <w:rFonts w:hint="eastAsia" w:ascii="宋体" w:hAnsi="宋体" w:eastAsia="宋体" w:cs="Times New Roman"/>
          <w:color w:val="000000"/>
          <w:szCs w:val="20"/>
        </w:rPr>
      </w:pPr>
      <w:r>
        <w:rPr>
          <w:rFonts w:hint="eastAsia" w:ascii="宋体" w:hAnsi="宋体" w:eastAsia="宋体" w:cs="Times New Roman"/>
          <w:color w:val="000000"/>
          <w:szCs w:val="22"/>
        </w:rPr>
        <w:t>本合同的不含税部分不因国家税收政策变化而变化；若在履行期间，遇国家税收政策调整，则税率根据国家最新规定执行，合同总价做相应调整</w:t>
      </w:r>
      <w:r>
        <w:rPr>
          <w:rFonts w:hint="eastAsia" w:ascii="宋体" w:hAnsi="宋体" w:eastAsia="宋体" w:cs="Times New Roman"/>
          <w:color w:val="000000"/>
          <w:szCs w:val="20"/>
        </w:rPr>
        <w:t>。</w:t>
      </w:r>
    </w:p>
    <w:p w14:paraId="2EF03AF8">
      <w:pPr>
        <w:numPr>
          <w:ilvl w:val="1"/>
          <w:numId w:val="12"/>
        </w:numPr>
        <w:tabs>
          <w:tab w:val="left" w:pos="284"/>
          <w:tab w:val="left" w:pos="426"/>
          <w:tab w:val="left" w:pos="567"/>
          <w:tab w:val="left" w:pos="599"/>
          <w:tab w:val="clear" w:pos="1134"/>
        </w:tabs>
        <w:adjustRightInd w:val="0"/>
        <w:spacing w:line="360" w:lineRule="auto"/>
        <w:ind w:left="426" w:hanging="426"/>
        <w:rPr>
          <w:rFonts w:ascii="宋体" w:hAnsi="宋体" w:eastAsia="宋体" w:cs="Times New Roman"/>
          <w:color w:val="000000"/>
          <w:szCs w:val="20"/>
        </w:rPr>
      </w:pPr>
      <w:r>
        <w:rPr>
          <w:rFonts w:hint="eastAsia" w:ascii="宋体" w:hAnsi="宋体" w:eastAsia="宋体" w:cs="Times New Roman"/>
          <w:color w:val="000000"/>
          <w:szCs w:val="22"/>
        </w:rPr>
        <w:t>除合同另行约定外，本项目的合同价</w:t>
      </w:r>
      <w:r>
        <w:rPr>
          <w:rFonts w:hint="eastAsia" w:ascii="宋体" w:hAnsi="宋体" w:eastAsia="宋体" w:cs="Times New Roman"/>
          <w:color w:val="000000"/>
          <w:szCs w:val="20"/>
          <w:lang w:val="en-US" w:eastAsia="zh-CN"/>
        </w:rPr>
        <w:t>格</w:t>
      </w:r>
      <w:r>
        <w:rPr>
          <w:rFonts w:hint="eastAsia" w:ascii="宋体" w:hAnsi="宋体" w:eastAsia="宋体" w:cs="Times New Roman"/>
          <w:color w:val="000000"/>
          <w:szCs w:val="22"/>
        </w:rPr>
        <w:t>已包括</w:t>
      </w:r>
      <w:r>
        <w:rPr>
          <w:rFonts w:hint="eastAsia" w:ascii="宋体" w:hAnsi="宋体" w:eastAsia="宋体" w:cs="Times New Roman"/>
          <w:color w:val="000000"/>
          <w:szCs w:val="21"/>
        </w:rPr>
        <w:t>乙方履行本项目合同</w:t>
      </w:r>
      <w:r>
        <w:rPr>
          <w:rFonts w:hint="eastAsia" w:ascii="宋体" w:hAnsi="宋体" w:eastAsia="宋体" w:cs="Times New Roman"/>
          <w:snapToGrid w:val="0"/>
          <w:color w:val="000000"/>
          <w:kern w:val="0"/>
          <w:szCs w:val="21"/>
        </w:rPr>
        <w:t>所必须的所有成本费用；</w:t>
      </w:r>
      <w:r>
        <w:rPr>
          <w:rFonts w:hint="eastAsia" w:ascii="宋体" w:hAnsi="宋体" w:eastAsia="宋体" w:cs="Times New Roman"/>
          <w:bCs/>
          <w:snapToGrid w:val="0"/>
          <w:color w:val="000000"/>
          <w:kern w:val="0"/>
          <w:szCs w:val="21"/>
        </w:rPr>
        <w:t>包括但不仅限于前期调研、成果编制、装订及寄送、文档和图档的打印、成果评审、办公、交通、人员、培训、差旅、文件、税费、测试工具费用、其他管理费用以及乙方所需的合理利润。乙方的合同总价应已考虑了履行本项目的所有市场风险，包括但不限于人力成本的增加、原材料的价格上涨、国家宏观调控、经济环境变化等因素。</w:t>
      </w:r>
    </w:p>
    <w:p w14:paraId="4EF38FB3">
      <w:pPr>
        <w:numPr>
          <w:ilvl w:val="1"/>
          <w:numId w:val="12"/>
        </w:numPr>
        <w:tabs>
          <w:tab w:val="left" w:pos="284"/>
          <w:tab w:val="left" w:pos="426"/>
          <w:tab w:val="left" w:pos="567"/>
          <w:tab w:val="left" w:pos="599"/>
          <w:tab w:val="clear" w:pos="1134"/>
        </w:tabs>
        <w:adjustRightInd w:val="0"/>
        <w:spacing w:line="360" w:lineRule="auto"/>
        <w:ind w:left="426" w:hanging="426"/>
        <w:rPr>
          <w:rFonts w:hint="eastAsia" w:ascii="宋体" w:hAnsi="宋体" w:eastAsia="宋体" w:cs="Times New Roman"/>
          <w:color w:val="000000"/>
          <w:szCs w:val="20"/>
        </w:rPr>
      </w:pPr>
      <w:r>
        <w:rPr>
          <w:rFonts w:hint="eastAsia" w:ascii="宋体" w:hAnsi="宋体" w:eastAsia="宋体" w:cs="Times New Roman"/>
          <w:color w:val="000000"/>
          <w:szCs w:val="20"/>
        </w:rPr>
        <w:t>应当认为乙方已经彻底查清，并在合同价</w:t>
      </w:r>
      <w:r>
        <w:rPr>
          <w:rFonts w:hint="eastAsia" w:ascii="宋体" w:hAnsi="宋体" w:eastAsia="宋体" w:cs="Times New Roman"/>
          <w:color w:val="000000"/>
          <w:szCs w:val="20"/>
          <w:lang w:val="en-US" w:eastAsia="zh-CN"/>
        </w:rPr>
        <w:t>格</w:t>
      </w:r>
      <w:r>
        <w:rPr>
          <w:rFonts w:hint="eastAsia" w:ascii="宋体" w:hAnsi="宋体" w:eastAsia="宋体" w:cs="Times New Roman"/>
          <w:color w:val="000000"/>
          <w:szCs w:val="20"/>
        </w:rPr>
        <w:t>中充分考虑到了以下几项：</w:t>
      </w:r>
    </w:p>
    <w:p w14:paraId="2117986D">
      <w:pPr>
        <w:numPr>
          <w:ilvl w:val="0"/>
          <w:numId w:val="15"/>
        </w:numPr>
        <w:tabs>
          <w:tab w:val="left" w:pos="1080"/>
        </w:tabs>
        <w:adjustRightInd w:val="0"/>
        <w:snapToGrid w:val="0"/>
        <w:spacing w:line="360" w:lineRule="auto"/>
        <w:ind w:hanging="715"/>
        <w:rPr>
          <w:rFonts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影响到合同价</w:t>
      </w:r>
      <w:r>
        <w:rPr>
          <w:rFonts w:hint="eastAsia" w:ascii="宋体" w:hAnsi="宋体" w:eastAsia="宋体" w:cs="Times New Roman"/>
          <w:color w:val="000000"/>
          <w:szCs w:val="20"/>
          <w:lang w:val="en-US" w:eastAsia="zh-CN"/>
        </w:rPr>
        <w:t>格</w:t>
      </w:r>
      <w:r>
        <w:rPr>
          <w:rFonts w:hint="eastAsia" w:ascii="宋体" w:hAnsi="宋体" w:eastAsia="宋体" w:cs="Times New Roman"/>
          <w:snapToGrid w:val="0"/>
          <w:color w:val="000000"/>
          <w:kern w:val="0"/>
          <w:szCs w:val="21"/>
        </w:rPr>
        <w:t>的全部条件和情况；</w:t>
      </w:r>
    </w:p>
    <w:p w14:paraId="13A94665">
      <w:pPr>
        <w:numPr>
          <w:ilvl w:val="0"/>
          <w:numId w:val="15"/>
        </w:numPr>
        <w:tabs>
          <w:tab w:val="left" w:pos="1080"/>
        </w:tabs>
        <w:adjustRightInd w:val="0"/>
        <w:snapToGrid w:val="0"/>
        <w:spacing w:line="360" w:lineRule="auto"/>
        <w:ind w:hanging="715"/>
        <w:rPr>
          <w:rFonts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完成项目中所有可能出现的情况；</w:t>
      </w:r>
    </w:p>
    <w:p w14:paraId="37ACC66E">
      <w:pPr>
        <w:numPr>
          <w:ilvl w:val="0"/>
          <w:numId w:val="15"/>
        </w:numPr>
        <w:tabs>
          <w:tab w:val="left" w:pos="1080"/>
        </w:tabs>
        <w:adjustRightInd w:val="0"/>
        <w:snapToGrid w:val="0"/>
        <w:spacing w:line="360" w:lineRule="auto"/>
        <w:ind w:hanging="715"/>
        <w:rPr>
          <w:rFonts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现场的综合情况；</w:t>
      </w:r>
    </w:p>
    <w:p w14:paraId="2EAE9EDD">
      <w:pPr>
        <w:numPr>
          <w:ilvl w:val="0"/>
          <w:numId w:val="15"/>
        </w:numPr>
        <w:tabs>
          <w:tab w:val="left" w:pos="1080"/>
        </w:tabs>
        <w:adjustRightInd w:val="0"/>
        <w:snapToGrid w:val="0"/>
        <w:spacing w:line="360" w:lineRule="auto"/>
        <w:ind w:hanging="715"/>
        <w:rPr>
          <w:rFonts w:hint="eastAsia"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现场总的劳务情况。</w:t>
      </w:r>
    </w:p>
    <w:p w14:paraId="3A45DD53">
      <w:pPr>
        <w:numPr>
          <w:ilvl w:val="1"/>
          <w:numId w:val="12"/>
        </w:numPr>
        <w:tabs>
          <w:tab w:val="left" w:pos="284"/>
          <w:tab w:val="left" w:pos="426"/>
          <w:tab w:val="left" w:pos="567"/>
          <w:tab w:val="left" w:pos="599"/>
          <w:tab w:val="clear" w:pos="1134"/>
        </w:tabs>
        <w:adjustRightInd w:val="0"/>
        <w:spacing w:line="360" w:lineRule="auto"/>
        <w:ind w:left="426" w:hanging="426"/>
        <w:rPr>
          <w:rFonts w:hint="eastAsia" w:ascii="宋体" w:hAnsi="宋体" w:eastAsia="宋体" w:cs="Times New Roman"/>
          <w:color w:val="000000"/>
          <w:szCs w:val="20"/>
        </w:rPr>
      </w:pPr>
      <w:r>
        <w:rPr>
          <w:rFonts w:hint="eastAsia" w:ascii="宋体" w:hAnsi="宋体" w:eastAsia="宋体" w:cs="Times New Roman"/>
          <w:color w:val="000000"/>
          <w:szCs w:val="20"/>
        </w:rPr>
        <w:t>除上述合同价款外，乙方履行本合同约定义务甲方不再支付任何费用。</w:t>
      </w:r>
    </w:p>
    <w:p w14:paraId="5C665DE6">
      <w:pPr>
        <w:keepNext/>
        <w:keepLines/>
        <w:numPr>
          <w:ilvl w:val="0"/>
          <w:numId w:val="12"/>
        </w:numPr>
        <w:tabs>
          <w:tab w:val="left" w:pos="720"/>
        </w:tabs>
        <w:adjustRightInd w:val="0"/>
        <w:snapToGrid w:val="0"/>
        <w:spacing w:line="360" w:lineRule="auto"/>
        <w:ind w:left="425" w:hanging="425"/>
        <w:outlineLvl w:val="1"/>
        <w:rPr>
          <w:rFonts w:hint="eastAsia" w:ascii="宋体" w:hAnsi="宋体" w:eastAsia="黑体" w:cs="Times New Roman"/>
          <w:b/>
          <w:snapToGrid w:val="0"/>
          <w:color w:val="000000"/>
          <w:kern w:val="0"/>
          <w:szCs w:val="21"/>
        </w:rPr>
      </w:pPr>
      <w:r>
        <w:rPr>
          <w:rFonts w:hint="eastAsia" w:ascii="宋体" w:hAnsi="宋体" w:eastAsia="黑体" w:cs="Times New Roman"/>
          <w:b/>
          <w:snapToGrid w:val="0"/>
          <w:color w:val="000000"/>
          <w:kern w:val="0"/>
          <w:szCs w:val="21"/>
        </w:rPr>
        <w:t>合同款项支付</w:t>
      </w:r>
    </w:p>
    <w:p w14:paraId="11A3A51D">
      <w:pPr>
        <w:numPr>
          <w:ilvl w:val="1"/>
          <w:numId w:val="12"/>
        </w:numPr>
        <w:tabs>
          <w:tab w:val="left" w:pos="284"/>
          <w:tab w:val="left" w:pos="426"/>
          <w:tab w:val="left" w:pos="567"/>
          <w:tab w:val="left" w:pos="599"/>
          <w:tab w:val="clear" w:pos="1134"/>
        </w:tabs>
        <w:adjustRightInd w:val="0"/>
        <w:spacing w:line="360" w:lineRule="auto"/>
        <w:ind w:left="426" w:hanging="426"/>
        <w:rPr>
          <w:rFonts w:ascii="宋体" w:hAnsi="宋体" w:eastAsia="宋体" w:cs="Times New Roman"/>
          <w:color w:val="000000"/>
          <w:szCs w:val="20"/>
        </w:rPr>
      </w:pPr>
      <w:r>
        <w:rPr>
          <w:rFonts w:hint="eastAsia" w:ascii="宋体" w:hAnsi="宋体" w:eastAsia="宋体" w:cs="Times New Roman"/>
          <w:color w:val="000000"/>
          <w:szCs w:val="20"/>
        </w:rPr>
        <w:t>本合同所有款项的支付均通过甲方指定的中国境内银行（不含港澳台地区）以电汇方式支付给乙方指定的中国境内银行（不含港澳台地区）的银行账号。</w:t>
      </w:r>
    </w:p>
    <w:p w14:paraId="2E01DAD1">
      <w:pPr>
        <w:numPr>
          <w:ilvl w:val="1"/>
          <w:numId w:val="12"/>
        </w:numPr>
        <w:tabs>
          <w:tab w:val="left" w:pos="284"/>
          <w:tab w:val="left" w:pos="425"/>
          <w:tab w:val="left" w:pos="567"/>
          <w:tab w:val="left" w:pos="599"/>
          <w:tab w:val="clear" w:pos="1134"/>
        </w:tabs>
        <w:adjustRightInd w:val="0"/>
        <w:spacing w:line="360" w:lineRule="auto"/>
        <w:ind w:left="426" w:hanging="426"/>
        <w:rPr>
          <w:rFonts w:ascii="宋体" w:hAnsi="宋体" w:eastAsia="宋体" w:cs="Times New Roman"/>
          <w:color w:val="000000"/>
          <w:szCs w:val="20"/>
        </w:rPr>
      </w:pPr>
      <w:r>
        <w:rPr>
          <w:rFonts w:hint="eastAsia" w:ascii="宋体" w:hAnsi="宋体" w:eastAsia="宋体" w:cs="Times New Roman"/>
          <w:color w:val="000000"/>
          <w:szCs w:val="22"/>
        </w:rPr>
        <w:t>乙方满足下列条件且经甲方确认无误后的30日内，甲方根据合同</w:t>
      </w:r>
      <w:r>
        <w:rPr>
          <w:rFonts w:hint="eastAsia" w:ascii="宋体" w:hAnsi="宋体" w:eastAsia="宋体" w:cs="Times New Roman"/>
          <w:color w:val="000000"/>
          <w:szCs w:val="22"/>
          <w:lang w:val="en-US" w:eastAsia="zh-CN"/>
        </w:rPr>
        <w:t>约定按</w:t>
      </w:r>
      <w:r>
        <w:rPr>
          <w:rFonts w:hint="eastAsia" w:ascii="宋体" w:hAnsi="宋体" w:eastAsia="宋体" w:cs="Times New Roman"/>
          <w:color w:val="000000"/>
          <w:szCs w:val="22"/>
        </w:rPr>
        <w:t>体检人数进行</w:t>
      </w:r>
      <w:r>
        <w:rPr>
          <w:rFonts w:hint="eastAsia" w:ascii="宋体" w:hAnsi="宋体" w:eastAsia="宋体" w:cs="Times New Roman"/>
          <w:color w:val="000000"/>
          <w:szCs w:val="22"/>
          <w:highlight w:val="none"/>
        </w:rPr>
        <w:t>据实结算。</w:t>
      </w:r>
    </w:p>
    <w:p w14:paraId="6AAAA87D">
      <w:pPr>
        <w:numPr>
          <w:ilvl w:val="0"/>
          <w:numId w:val="16"/>
        </w:numPr>
        <w:tabs>
          <w:tab w:val="left" w:pos="1080"/>
          <w:tab w:val="clear" w:pos="857"/>
        </w:tabs>
        <w:adjustRightInd w:val="0"/>
        <w:snapToGrid w:val="0"/>
        <w:spacing w:line="360" w:lineRule="auto"/>
        <w:ind w:hanging="715"/>
        <w:rPr>
          <w:rFonts w:hint="eastAsia"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乙方须提供与当次支付金额一致的合法、合规、有效的增值税专用发票(含发票联及抵扣联，符合增值税相关规定要求）</w:t>
      </w:r>
      <w:r>
        <w:rPr>
          <w:rFonts w:hint="eastAsia" w:ascii="宋体" w:hAnsi="宋体" w:eastAsia="宋体" w:cs="Times New Roman"/>
          <w:snapToGrid w:val="0"/>
          <w:color w:val="000000"/>
          <w:kern w:val="0"/>
          <w:sz w:val="21"/>
          <w:szCs w:val="21"/>
          <w:lang w:bidi="ar"/>
        </w:rPr>
        <w:t>或医疗门诊收费票据</w:t>
      </w:r>
      <w:r>
        <w:rPr>
          <w:rFonts w:hint="eastAsia" w:ascii="宋体" w:hAnsi="宋体" w:eastAsia="宋体" w:cs="Times New Roman"/>
          <w:snapToGrid w:val="0"/>
          <w:color w:val="000000"/>
          <w:kern w:val="0"/>
          <w:szCs w:val="21"/>
        </w:rPr>
        <w:t>；</w:t>
      </w:r>
    </w:p>
    <w:p w14:paraId="642579E5">
      <w:pPr>
        <w:numPr>
          <w:ilvl w:val="0"/>
          <w:numId w:val="16"/>
        </w:numPr>
        <w:tabs>
          <w:tab w:val="left" w:pos="1080"/>
          <w:tab w:val="clear" w:pos="857"/>
        </w:tabs>
        <w:adjustRightInd w:val="0"/>
        <w:snapToGrid w:val="0"/>
        <w:spacing w:line="360" w:lineRule="auto"/>
        <w:ind w:hanging="715"/>
        <w:rPr>
          <w:rFonts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乙方已按甲方要求提交支付请求；</w:t>
      </w:r>
    </w:p>
    <w:p w14:paraId="4B708A2A">
      <w:pPr>
        <w:numPr>
          <w:ilvl w:val="0"/>
          <w:numId w:val="16"/>
        </w:numPr>
        <w:tabs>
          <w:tab w:val="left" w:pos="1080"/>
          <w:tab w:val="clear" w:pos="857"/>
        </w:tabs>
        <w:adjustRightInd w:val="0"/>
        <w:snapToGrid w:val="0"/>
        <w:spacing w:line="360" w:lineRule="auto"/>
        <w:ind w:hanging="715"/>
        <w:rPr>
          <w:rFonts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经甲方确认的</w:t>
      </w:r>
      <w:r>
        <w:rPr>
          <w:rFonts w:hint="eastAsia" w:ascii="宋体" w:hAnsi="宋体" w:eastAsia="宋体" w:cs="Times New Roman"/>
          <w:snapToGrid w:val="0"/>
          <w:color w:val="000000"/>
          <w:kern w:val="0"/>
          <w:szCs w:val="21"/>
          <w:lang w:val="en-US" w:eastAsia="zh-CN"/>
        </w:rPr>
        <w:t>已出具正式体检报告的</w:t>
      </w:r>
      <w:r>
        <w:rPr>
          <w:rFonts w:hint="eastAsia" w:ascii="宋体" w:hAnsi="宋体" w:eastAsia="宋体" w:cs="Times New Roman"/>
          <w:snapToGrid w:val="0"/>
          <w:color w:val="000000"/>
          <w:kern w:val="0"/>
          <w:szCs w:val="21"/>
        </w:rPr>
        <w:t>员工体检人数</w:t>
      </w:r>
      <w:r>
        <w:rPr>
          <w:rFonts w:hint="eastAsia" w:ascii="宋体" w:hAnsi="宋体" w:eastAsia="宋体" w:cs="Times New Roman"/>
          <w:snapToGrid w:val="0"/>
          <w:color w:val="000000"/>
          <w:kern w:val="0"/>
          <w:szCs w:val="21"/>
          <w:highlight w:val="none"/>
        </w:rPr>
        <w:t>及体检项目</w:t>
      </w:r>
      <w:r>
        <w:rPr>
          <w:rFonts w:hint="eastAsia" w:ascii="宋体" w:hAnsi="宋体" w:eastAsia="宋体" w:cs="Times New Roman"/>
          <w:snapToGrid w:val="0"/>
          <w:color w:val="000000"/>
          <w:kern w:val="0"/>
          <w:szCs w:val="21"/>
        </w:rPr>
        <w:t>结算数据。</w:t>
      </w:r>
    </w:p>
    <w:p w14:paraId="5B6F73E5">
      <w:pPr>
        <w:keepNext/>
        <w:keepLines/>
        <w:numPr>
          <w:ilvl w:val="0"/>
          <w:numId w:val="12"/>
        </w:numPr>
        <w:tabs>
          <w:tab w:val="left" w:pos="720"/>
        </w:tabs>
        <w:adjustRightInd w:val="0"/>
        <w:snapToGrid w:val="0"/>
        <w:spacing w:line="360" w:lineRule="auto"/>
        <w:ind w:left="425" w:hanging="425"/>
        <w:outlineLvl w:val="1"/>
        <w:rPr>
          <w:rFonts w:hint="eastAsia" w:ascii="宋体" w:hAnsi="宋体" w:eastAsia="黑体" w:cs="Times New Roman"/>
          <w:b/>
          <w:snapToGrid w:val="0"/>
          <w:color w:val="000000"/>
          <w:kern w:val="0"/>
          <w:szCs w:val="21"/>
          <w:lang w:val="en-US" w:eastAsia="zh-CN"/>
        </w:rPr>
      </w:pPr>
      <w:r>
        <w:rPr>
          <w:rFonts w:hint="eastAsia" w:ascii="宋体" w:hAnsi="宋体" w:eastAsia="黑体" w:cs="Times New Roman"/>
          <w:b/>
          <w:snapToGrid w:val="0"/>
          <w:color w:val="000000"/>
          <w:kern w:val="0"/>
          <w:szCs w:val="21"/>
          <w:lang w:val="en-US" w:eastAsia="zh-CN"/>
        </w:rPr>
        <w:t>发票赔偿责任</w:t>
      </w:r>
    </w:p>
    <w:p w14:paraId="59A151BF">
      <w:pPr>
        <w:numPr>
          <w:ilvl w:val="1"/>
          <w:numId w:val="12"/>
        </w:numPr>
        <w:tabs>
          <w:tab w:val="left" w:pos="567"/>
          <w:tab w:val="clear" w:pos="1134"/>
        </w:tabs>
        <w:adjustRightInd w:val="0"/>
        <w:snapToGrid w:val="0"/>
        <w:spacing w:line="360" w:lineRule="auto"/>
        <w:ind w:left="567"/>
        <w:rPr>
          <w:rFonts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由于乙方不及时提供发票或提供的发票不符合税务部门的要求，导致甲方取得的</w:t>
      </w:r>
      <w:r>
        <w:rPr>
          <w:rFonts w:hint="eastAsia" w:ascii="宋体" w:hAnsi="宋体" w:eastAsia="宋体" w:cs="Times New Roman"/>
          <w:snapToGrid w:val="0"/>
          <w:color w:val="000000"/>
          <w:kern w:val="0"/>
          <w:szCs w:val="21"/>
          <w:lang w:eastAsia="zh-CN"/>
        </w:rPr>
        <w:t>增值税发票或医疗门诊收费票据</w:t>
      </w:r>
      <w:r>
        <w:rPr>
          <w:rFonts w:hint="eastAsia" w:ascii="宋体" w:hAnsi="宋体" w:eastAsia="宋体" w:cs="Times New Roman"/>
          <w:snapToGrid w:val="0"/>
          <w:color w:val="000000"/>
          <w:kern w:val="0"/>
          <w:szCs w:val="21"/>
        </w:rPr>
        <w:t>不能报验抵扣进项税金，或虽可通过报验，后被税务机关以“比对不符”或“失控发票”等事由追缴税款，从而给甲方造成的全部经济损失，由乙方负责赔偿。</w:t>
      </w:r>
    </w:p>
    <w:p w14:paraId="3FC900D8">
      <w:pPr>
        <w:numPr>
          <w:ilvl w:val="1"/>
          <w:numId w:val="12"/>
        </w:numPr>
        <w:tabs>
          <w:tab w:val="left" w:pos="567"/>
          <w:tab w:val="clear" w:pos="1134"/>
        </w:tabs>
        <w:adjustRightInd w:val="0"/>
        <w:snapToGrid w:val="0"/>
        <w:spacing w:line="360" w:lineRule="auto"/>
        <w:ind w:left="567"/>
        <w:rPr>
          <w:rFonts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乙方开具的发票在送达甲方后如发生丢失、灭失、或被盗等，应按照税法规定和甲方的要求及时积极协助甲方在税法规定期限内办理发票的进项税额的认证抵扣手续，否则由此造成的经济损失，由双方平均分担。</w:t>
      </w:r>
    </w:p>
    <w:p w14:paraId="33B4636A">
      <w:pPr>
        <w:keepNext/>
        <w:keepLines/>
        <w:numPr>
          <w:ilvl w:val="0"/>
          <w:numId w:val="12"/>
        </w:numPr>
        <w:tabs>
          <w:tab w:val="left" w:pos="720"/>
        </w:tabs>
        <w:adjustRightInd w:val="0"/>
        <w:snapToGrid w:val="0"/>
        <w:spacing w:line="360" w:lineRule="auto"/>
        <w:ind w:left="425" w:hanging="425"/>
        <w:outlineLvl w:val="1"/>
        <w:rPr>
          <w:rFonts w:hint="eastAsia" w:ascii="宋体" w:hAnsi="宋体" w:eastAsia="黑体" w:cs="Times New Roman"/>
          <w:b/>
          <w:snapToGrid w:val="0"/>
          <w:color w:val="000000"/>
          <w:kern w:val="0"/>
          <w:szCs w:val="21"/>
          <w:lang w:val="en-US" w:eastAsia="zh-CN"/>
        </w:rPr>
      </w:pPr>
      <w:r>
        <w:rPr>
          <w:rFonts w:hint="eastAsia" w:ascii="宋体" w:hAnsi="宋体" w:eastAsia="黑体" w:cs="Times New Roman"/>
          <w:b/>
          <w:snapToGrid w:val="0"/>
          <w:color w:val="000000"/>
          <w:kern w:val="0"/>
          <w:szCs w:val="21"/>
          <w:lang w:val="en-US" w:eastAsia="zh-CN"/>
        </w:rPr>
        <w:t>项目进度与管理</w:t>
      </w:r>
    </w:p>
    <w:p w14:paraId="46E6A0FD">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乙方应安排充足的人力与技术投入，以保证项目顺利进行，</w:t>
      </w:r>
      <w:r>
        <w:rPr>
          <w:rFonts w:hint="eastAsia" w:ascii="宋体" w:hAnsi="宋体" w:eastAsia="宋体" w:cs="Times New Roman"/>
          <w:color w:val="000000"/>
          <w:szCs w:val="21"/>
          <w:lang w:val="en-US" w:eastAsia="zh-CN"/>
        </w:rPr>
        <w:t>具体</w:t>
      </w:r>
      <w:r>
        <w:rPr>
          <w:rFonts w:hint="eastAsia" w:ascii="宋体" w:hAnsi="宋体" w:eastAsia="宋体" w:cs="Times New Roman"/>
          <w:color w:val="000000"/>
          <w:szCs w:val="21"/>
        </w:rPr>
        <w:t>要求详见合同附件一。</w:t>
      </w:r>
    </w:p>
    <w:p w14:paraId="0311AAE9">
      <w:pPr>
        <w:numPr>
          <w:ilvl w:val="1"/>
          <w:numId w:val="12"/>
        </w:numPr>
        <w:tabs>
          <w:tab w:val="left" w:pos="284"/>
          <w:tab w:val="left" w:pos="426"/>
          <w:tab w:val="left" w:pos="567"/>
          <w:tab w:val="left" w:pos="599"/>
          <w:tab w:val="clear" w:pos="1134"/>
        </w:tabs>
        <w:adjustRightInd w:val="0"/>
        <w:spacing w:line="360" w:lineRule="auto"/>
        <w:ind w:left="426" w:hanging="426"/>
        <w:rPr>
          <w:rFonts w:ascii="宋体" w:hAnsi="宋体" w:eastAsia="宋体" w:cs="Times New Roman"/>
          <w:color w:val="000000"/>
          <w:szCs w:val="20"/>
        </w:rPr>
      </w:pPr>
      <w:r>
        <w:rPr>
          <w:rFonts w:hint="eastAsia" w:ascii="宋体" w:hAnsi="宋体" w:eastAsia="宋体" w:cs="Times New Roman"/>
          <w:color w:val="000000"/>
          <w:szCs w:val="20"/>
          <w:lang w:val="en-US" w:eastAsia="zh-CN"/>
        </w:rPr>
        <w:t>员工集中</w:t>
      </w:r>
      <w:r>
        <w:rPr>
          <w:rFonts w:hint="eastAsia" w:ascii="宋体" w:hAnsi="宋体" w:eastAsia="宋体" w:cs="Times New Roman"/>
          <w:color w:val="000000"/>
          <w:szCs w:val="20"/>
        </w:rPr>
        <w:t>体检</w:t>
      </w:r>
      <w:r>
        <w:rPr>
          <w:rFonts w:hint="eastAsia" w:ascii="宋体" w:hAnsi="宋体" w:eastAsia="宋体" w:cs="Times New Roman"/>
          <w:color w:val="000000"/>
          <w:szCs w:val="20"/>
          <w:lang w:val="en-US" w:eastAsia="zh-CN"/>
        </w:rPr>
        <w:t>时间为</w:t>
      </w:r>
      <w:r>
        <w:rPr>
          <w:rFonts w:hint="eastAsia" w:ascii="宋体" w:hAnsi="宋体" w:eastAsia="宋体" w:cs="Times New Roman"/>
          <w:color w:val="000000"/>
          <w:szCs w:val="21"/>
        </w:rPr>
        <w:t>每年</w:t>
      </w:r>
      <w:r>
        <w:rPr>
          <w:rFonts w:hint="eastAsia" w:ascii="宋体" w:hAnsi="宋体" w:cs="Times New Roman"/>
          <w:color w:val="000000"/>
          <w:szCs w:val="21"/>
          <w:lang w:val="en-US" w:eastAsia="zh-CN"/>
        </w:rPr>
        <w:t>10</w:t>
      </w:r>
      <w:r>
        <w:rPr>
          <w:rFonts w:hint="eastAsia" w:ascii="宋体" w:hAnsi="宋体" w:eastAsia="宋体" w:cs="Times New Roman"/>
          <w:color w:val="000000"/>
          <w:szCs w:val="21"/>
        </w:rPr>
        <w:t>月启动</w:t>
      </w:r>
      <w:r>
        <w:rPr>
          <w:rFonts w:hint="eastAsia" w:ascii="宋体" w:hAnsi="宋体" w:eastAsia="宋体" w:cs="Times New Roman"/>
          <w:color w:val="000000"/>
          <w:szCs w:val="20"/>
          <w:lang w:val="en-US" w:eastAsia="zh-CN"/>
        </w:rPr>
        <w:t>，</w:t>
      </w:r>
      <w:r>
        <w:rPr>
          <w:rFonts w:hint="eastAsia" w:ascii="宋体" w:hAnsi="宋体" w:eastAsia="宋体" w:cs="Times New Roman"/>
          <w:color w:val="000000"/>
          <w:szCs w:val="21"/>
        </w:rPr>
        <w:t>具体以合同签订后双方约定的体检时间为准</w:t>
      </w:r>
      <w:r>
        <w:rPr>
          <w:rFonts w:hint="eastAsia" w:ascii="宋体" w:hAnsi="宋体" w:eastAsia="宋体" w:cs="Times New Roman"/>
          <w:color w:val="000000"/>
          <w:szCs w:val="20"/>
        </w:rPr>
        <w:t>。</w:t>
      </w:r>
    </w:p>
    <w:p w14:paraId="5495FD47">
      <w:pPr>
        <w:keepNext/>
        <w:keepLines/>
        <w:numPr>
          <w:ilvl w:val="0"/>
          <w:numId w:val="12"/>
        </w:numPr>
        <w:tabs>
          <w:tab w:val="left" w:pos="720"/>
        </w:tabs>
        <w:adjustRightInd w:val="0"/>
        <w:snapToGrid w:val="0"/>
        <w:spacing w:line="360" w:lineRule="auto"/>
        <w:ind w:left="425" w:hanging="425"/>
        <w:outlineLvl w:val="1"/>
        <w:rPr>
          <w:rFonts w:hint="eastAsia" w:ascii="宋体" w:hAnsi="宋体" w:eastAsia="黑体" w:cs="Times New Roman"/>
          <w:b/>
          <w:snapToGrid w:val="0"/>
          <w:color w:val="000000"/>
          <w:kern w:val="0"/>
          <w:szCs w:val="21"/>
          <w:lang w:val="en-US" w:eastAsia="zh-CN"/>
        </w:rPr>
      </w:pPr>
      <w:r>
        <w:rPr>
          <w:rFonts w:hint="eastAsia" w:ascii="宋体" w:hAnsi="宋体" w:eastAsia="黑体" w:cs="Times New Roman"/>
          <w:b/>
          <w:snapToGrid w:val="0"/>
          <w:color w:val="000000"/>
          <w:kern w:val="0"/>
          <w:szCs w:val="21"/>
          <w:lang w:val="en-US" w:eastAsia="zh-CN"/>
        </w:rPr>
        <w:t>体检报告的交付</w:t>
      </w:r>
    </w:p>
    <w:p w14:paraId="3718F316">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乙方应按照</w:t>
      </w:r>
      <w:r>
        <w:rPr>
          <w:rFonts w:hint="eastAsia" w:ascii="宋体" w:hAnsi="宋体" w:eastAsia="宋体" w:cs="Times New Roman"/>
          <w:color w:val="000000"/>
          <w:szCs w:val="20"/>
        </w:rPr>
        <w:t>本合同用户需求书的要求提交员工体检报告</w:t>
      </w:r>
      <w:r>
        <w:rPr>
          <w:rFonts w:hint="eastAsia" w:ascii="宋体" w:hAnsi="宋体" w:eastAsia="宋体" w:cs="Times New Roman"/>
          <w:color w:val="000000"/>
          <w:szCs w:val="20"/>
          <w:lang w:val="en-US" w:eastAsia="zh-CN"/>
        </w:rPr>
        <w:t>和甲方团体体检报告</w:t>
      </w:r>
      <w:r>
        <w:rPr>
          <w:rFonts w:hint="eastAsia" w:ascii="宋体" w:hAnsi="宋体" w:eastAsia="宋体" w:cs="Times New Roman"/>
          <w:color w:val="000000"/>
          <w:szCs w:val="21"/>
        </w:rPr>
        <w:t>，具体详见附件一。</w:t>
      </w:r>
    </w:p>
    <w:p w14:paraId="7213E0E6">
      <w:pPr>
        <w:numPr>
          <w:ilvl w:val="2"/>
          <w:numId w:val="12"/>
        </w:numPr>
        <w:adjustRightInd w:val="0"/>
        <w:snapToGrid w:val="0"/>
        <w:spacing w:line="360" w:lineRule="auto"/>
        <w:ind w:left="709" w:hanging="709"/>
        <w:rPr>
          <w:rFonts w:hint="eastAsia" w:ascii="宋体" w:hAnsi="Courier New" w:eastAsia="宋体" w:cs="Times New Roman"/>
          <w:color w:val="000000"/>
          <w:szCs w:val="20"/>
        </w:rPr>
      </w:pPr>
      <w:r>
        <w:rPr>
          <w:rFonts w:hint="eastAsia" w:ascii="宋体" w:hAnsi="宋体" w:eastAsia="宋体" w:cs="Times New Roman"/>
          <w:color w:val="000000"/>
          <w:szCs w:val="21"/>
        </w:rPr>
        <w:t>乙方应有规范的管理以控制项目成果质量，在成果交付给甲方前，乙方应进行严格审核。对乙方正式提交的项目成果，如经甲方审核认定未符合合同要求的，乙方须按甲方的审核意见及时予以修改直至验收通过，由此引起的所有责任和费用由乙方承担。</w:t>
      </w:r>
    </w:p>
    <w:p w14:paraId="59CC77E6">
      <w:pPr>
        <w:keepNext/>
        <w:keepLines/>
        <w:numPr>
          <w:ilvl w:val="0"/>
          <w:numId w:val="12"/>
        </w:numPr>
        <w:tabs>
          <w:tab w:val="left" w:pos="720"/>
        </w:tabs>
        <w:adjustRightInd w:val="0"/>
        <w:snapToGrid w:val="0"/>
        <w:spacing w:line="360" w:lineRule="auto"/>
        <w:ind w:left="425" w:hanging="425"/>
        <w:outlineLvl w:val="1"/>
        <w:rPr>
          <w:rFonts w:hint="eastAsia" w:ascii="宋体" w:hAnsi="宋体" w:eastAsia="黑体" w:cs="Times New Roman"/>
          <w:b/>
          <w:snapToGrid w:val="0"/>
          <w:color w:val="000000"/>
          <w:kern w:val="0"/>
          <w:szCs w:val="21"/>
          <w:lang w:val="en-US" w:eastAsia="zh-CN"/>
        </w:rPr>
      </w:pPr>
      <w:r>
        <w:rPr>
          <w:rFonts w:hint="eastAsia" w:ascii="宋体" w:hAnsi="宋体" w:eastAsia="黑体" w:cs="Times New Roman"/>
          <w:b/>
          <w:snapToGrid w:val="0"/>
          <w:color w:val="000000"/>
          <w:kern w:val="0"/>
          <w:szCs w:val="21"/>
          <w:lang w:val="en-US" w:eastAsia="zh-CN"/>
        </w:rPr>
        <w:t>甲方权利与义务</w:t>
      </w:r>
    </w:p>
    <w:p w14:paraId="426975B0">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snapToGrid w:val="0"/>
          <w:color w:val="000000"/>
          <w:kern w:val="0"/>
          <w:szCs w:val="21"/>
        </w:rPr>
        <w:t>提供专人与乙方联络，准备所能提供的用于本合同履行的相关数据、文件和信</w:t>
      </w:r>
      <w:r>
        <w:rPr>
          <w:rFonts w:hint="eastAsia" w:ascii="宋体" w:hAnsi="宋体" w:eastAsia="宋体" w:cs="Times New Roman"/>
          <w:color w:val="000000"/>
          <w:szCs w:val="21"/>
        </w:rPr>
        <w:t>息。</w:t>
      </w:r>
    </w:p>
    <w:p w14:paraId="26FE16C2">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甲方有责任协调内部相关的各方资源参与本合同的履行。</w:t>
      </w:r>
    </w:p>
    <w:p w14:paraId="0D090915">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对于乙方提交的需甲方做出答复的事宜，甲方应在一个合理时间内做出回应。</w:t>
      </w:r>
    </w:p>
    <w:p w14:paraId="4C5A14B3">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项目实施过程中，如乙方的意见与甲方有分歧，以甲方的最终意见为准；乙方须无条件予以执行，相关后果由甲方负责；但不影响乙方须按合同约定承担的相关责任。</w:t>
      </w:r>
    </w:p>
    <w:p w14:paraId="36268B1D">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甲方有权对乙方的服务质量进行检查和监督，并有权要求乙方对相关工作进行必要的说明和解释。</w:t>
      </w:r>
    </w:p>
    <w:p w14:paraId="2BABF5AD">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及时履行合同约定的付款义务。</w:t>
      </w:r>
    </w:p>
    <w:p w14:paraId="539D1C1D">
      <w:pPr>
        <w:numPr>
          <w:ilvl w:val="1"/>
          <w:numId w:val="12"/>
        </w:numPr>
        <w:tabs>
          <w:tab w:val="left" w:pos="284"/>
          <w:tab w:val="left" w:pos="426"/>
          <w:tab w:val="left" w:pos="567"/>
          <w:tab w:val="left" w:pos="599"/>
          <w:tab w:val="clear" w:pos="1134"/>
        </w:tabs>
        <w:adjustRightInd w:val="0"/>
        <w:spacing w:line="360" w:lineRule="auto"/>
        <w:ind w:left="426" w:hanging="426"/>
        <w:rPr>
          <w:rFonts w:ascii="宋体" w:hAnsi="宋体" w:eastAsia="宋体" w:cs="Times New Roman"/>
          <w:color w:val="000000"/>
          <w:szCs w:val="20"/>
        </w:rPr>
      </w:pPr>
      <w:r>
        <w:rPr>
          <w:rFonts w:hint="eastAsia" w:ascii="宋体" w:hAnsi="宋体" w:eastAsia="宋体" w:cs="Times New Roman"/>
          <w:color w:val="000000"/>
          <w:szCs w:val="20"/>
        </w:rPr>
        <w:t>甲方有权在任一款项支付中扣减乙方应承担的违约金或损害赔偿金。</w:t>
      </w:r>
    </w:p>
    <w:p w14:paraId="32D3FCE7">
      <w:pPr>
        <w:keepNext/>
        <w:keepLines/>
        <w:numPr>
          <w:ilvl w:val="0"/>
          <w:numId w:val="12"/>
        </w:numPr>
        <w:tabs>
          <w:tab w:val="left" w:pos="720"/>
        </w:tabs>
        <w:adjustRightInd w:val="0"/>
        <w:snapToGrid w:val="0"/>
        <w:spacing w:line="360" w:lineRule="auto"/>
        <w:ind w:left="425" w:hanging="425"/>
        <w:outlineLvl w:val="1"/>
        <w:rPr>
          <w:rFonts w:hint="eastAsia" w:ascii="宋体" w:hAnsi="宋体" w:eastAsia="黑体" w:cs="Times New Roman"/>
          <w:b/>
          <w:snapToGrid w:val="0"/>
          <w:color w:val="000000"/>
          <w:kern w:val="0"/>
          <w:szCs w:val="21"/>
          <w:lang w:val="en-US" w:eastAsia="zh-CN"/>
        </w:rPr>
      </w:pPr>
      <w:r>
        <w:rPr>
          <w:rFonts w:hint="eastAsia" w:ascii="宋体" w:hAnsi="宋体" w:eastAsia="黑体" w:cs="Times New Roman"/>
          <w:b/>
          <w:snapToGrid w:val="0"/>
          <w:color w:val="000000"/>
          <w:kern w:val="0"/>
          <w:szCs w:val="21"/>
          <w:lang w:val="en-US" w:eastAsia="zh-CN"/>
        </w:rPr>
        <w:t>乙方权利与义务</w:t>
      </w:r>
    </w:p>
    <w:p w14:paraId="6380EBA8">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乙方应在充分了解项目整体要求的前提下，按合同约定向甲方提供所有服务；并应尽一切努力，高效又经济地按照本合同的要求，使用适当的先进技术、先进管理方法，以合理、谨慎、努力和有效的方式向甲方提供最好的服务。</w:t>
      </w:r>
    </w:p>
    <w:p w14:paraId="48DB3331">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乙方应按照合同要求，按计划、按时、按质、按量为甲方进行本项目总体部署，提交项目完整的项目成果，以合理、专业、谨慎、努力和有效的方式提供约定的服务。</w:t>
      </w:r>
    </w:p>
    <w:p w14:paraId="4EFB9FCD">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乙方必须为项目设立专门的项目小组，以实施其合同项下的义务；乙方设立的项目小组在本合同的有效期内必须接受和服从甲方项目管理机构的监督，同时，乙方有责任对甲方参与本项目的技术人员进行指导及后方支持。</w:t>
      </w:r>
    </w:p>
    <w:p w14:paraId="756693CD">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对于甲方提供的资料和信息，若</w:t>
      </w:r>
      <w:r>
        <w:rPr>
          <w:rFonts w:ascii="宋体" w:hAnsi="宋体" w:eastAsia="宋体" w:cs="Times New Roman"/>
          <w:color w:val="000000"/>
          <w:szCs w:val="21"/>
        </w:rPr>
        <w:t>乙方</w:t>
      </w:r>
      <w:r>
        <w:rPr>
          <w:rFonts w:hint="eastAsia" w:ascii="宋体" w:hAnsi="宋体" w:eastAsia="宋体" w:cs="Times New Roman"/>
          <w:color w:val="000000"/>
          <w:szCs w:val="21"/>
        </w:rPr>
        <w:t>认为存在不准确或不完整情形时，乙方应及时向甲方提出。</w:t>
      </w:r>
    </w:p>
    <w:p w14:paraId="660E08C9">
      <w:pPr>
        <w:numPr>
          <w:ilvl w:val="1"/>
          <w:numId w:val="12"/>
        </w:numPr>
        <w:tabs>
          <w:tab w:val="left" w:pos="567"/>
          <w:tab w:val="clear" w:pos="1134"/>
        </w:tabs>
        <w:adjustRightInd w:val="0"/>
        <w:snapToGrid w:val="0"/>
        <w:spacing w:line="360" w:lineRule="auto"/>
        <w:ind w:left="638" w:hanging="638" w:hangingChars="304"/>
        <w:rPr>
          <w:rFonts w:hint="eastAsia" w:ascii="宋体" w:hAnsi="宋体" w:eastAsia="宋体" w:cs="Times New Roman"/>
          <w:color w:val="000000"/>
          <w:szCs w:val="21"/>
        </w:rPr>
      </w:pPr>
      <w:r>
        <w:rPr>
          <w:rFonts w:hint="eastAsia" w:ascii="宋体" w:hAnsi="宋体" w:eastAsia="宋体" w:cs="Times New Roman"/>
          <w:color w:val="000000"/>
          <w:szCs w:val="21"/>
        </w:rPr>
        <w:t>乙方在履行合同的过程中，可采用其关联公司的相关资源协助其完成本合同项下的相关义务；但该行为需通知甲方且该行为的一切责任由乙方承担。</w:t>
      </w:r>
    </w:p>
    <w:p w14:paraId="37F718A9">
      <w:pPr>
        <w:numPr>
          <w:ilvl w:val="1"/>
          <w:numId w:val="12"/>
        </w:numPr>
        <w:tabs>
          <w:tab w:val="left" w:pos="567"/>
          <w:tab w:val="clear" w:pos="1134"/>
        </w:tabs>
        <w:adjustRightInd w:val="0"/>
        <w:snapToGrid w:val="0"/>
        <w:spacing w:line="360" w:lineRule="auto"/>
        <w:ind w:left="638" w:hanging="638" w:hangingChars="304"/>
        <w:rPr>
          <w:rFonts w:hint="eastAsia" w:ascii="宋体" w:hAnsi="宋体" w:eastAsia="宋体" w:cs="Times New Roman"/>
          <w:color w:val="000000"/>
          <w:szCs w:val="21"/>
        </w:rPr>
      </w:pPr>
      <w:r>
        <w:rPr>
          <w:rFonts w:hint="eastAsia" w:ascii="宋体" w:hAnsi="宋体" w:eastAsia="宋体" w:cs="Times New Roman"/>
          <w:color w:val="000000"/>
          <w:szCs w:val="21"/>
        </w:rPr>
        <w:t>乙方应准确系统地建立项目和服务过程中的文档和记录，其形式和详细程度应符合其专业水平，并允许甲方在项目执行过程中进行检查和复印。</w:t>
      </w:r>
    </w:p>
    <w:p w14:paraId="595A6565">
      <w:pPr>
        <w:keepNext/>
        <w:keepLines/>
        <w:numPr>
          <w:ilvl w:val="0"/>
          <w:numId w:val="12"/>
        </w:numPr>
        <w:tabs>
          <w:tab w:val="left" w:pos="720"/>
        </w:tabs>
        <w:adjustRightInd w:val="0"/>
        <w:snapToGrid w:val="0"/>
        <w:spacing w:line="360" w:lineRule="auto"/>
        <w:ind w:left="425" w:hanging="425"/>
        <w:outlineLvl w:val="1"/>
        <w:rPr>
          <w:rFonts w:hint="eastAsia" w:ascii="宋体" w:hAnsi="宋体" w:eastAsia="黑体" w:cs="Times New Roman"/>
          <w:b/>
          <w:snapToGrid w:val="0"/>
          <w:color w:val="000000"/>
          <w:kern w:val="0"/>
          <w:szCs w:val="21"/>
          <w:lang w:val="en-US" w:eastAsia="zh-CN"/>
        </w:rPr>
      </w:pPr>
      <w:r>
        <w:rPr>
          <w:rFonts w:hint="eastAsia" w:ascii="宋体" w:hAnsi="宋体" w:eastAsia="黑体" w:cs="Times New Roman"/>
          <w:b/>
          <w:snapToGrid w:val="0"/>
          <w:color w:val="000000"/>
          <w:kern w:val="0"/>
          <w:szCs w:val="21"/>
          <w:lang w:val="en-US" w:eastAsia="zh-CN"/>
        </w:rPr>
        <w:t>项目分包</w:t>
      </w:r>
    </w:p>
    <w:p w14:paraId="3873605C">
      <w:pPr>
        <w:numPr>
          <w:ilvl w:val="1"/>
          <w:numId w:val="12"/>
        </w:numPr>
        <w:tabs>
          <w:tab w:val="left" w:pos="567"/>
          <w:tab w:val="clear" w:pos="1134"/>
        </w:tabs>
        <w:adjustRightInd w:val="0"/>
        <w:spacing w:line="360" w:lineRule="auto"/>
        <w:ind w:left="567"/>
        <w:rPr>
          <w:rFonts w:hint="eastAsia"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除合同明确约定采购第三人设备或服务外，未经甲方书面同意，乙方不得转让合同中规定的任何义务。</w:t>
      </w:r>
    </w:p>
    <w:p w14:paraId="17A4CFD2">
      <w:pPr>
        <w:numPr>
          <w:ilvl w:val="1"/>
          <w:numId w:val="12"/>
        </w:numPr>
        <w:tabs>
          <w:tab w:val="left" w:pos="567"/>
          <w:tab w:val="clear" w:pos="1134"/>
        </w:tabs>
        <w:adjustRightInd w:val="0"/>
        <w:spacing w:line="360" w:lineRule="auto"/>
        <w:ind w:left="567"/>
        <w:rPr>
          <w:rFonts w:hint="eastAsia"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本项目禁止转包、禁止分包，否则一切责任由乙方承担。</w:t>
      </w:r>
    </w:p>
    <w:p w14:paraId="3943EF46">
      <w:pPr>
        <w:keepNext/>
        <w:keepLines/>
        <w:numPr>
          <w:ilvl w:val="0"/>
          <w:numId w:val="12"/>
        </w:numPr>
        <w:tabs>
          <w:tab w:val="left" w:pos="720"/>
        </w:tabs>
        <w:adjustRightInd w:val="0"/>
        <w:snapToGrid w:val="0"/>
        <w:spacing w:line="360" w:lineRule="auto"/>
        <w:ind w:left="425" w:hanging="425"/>
        <w:outlineLvl w:val="1"/>
        <w:rPr>
          <w:rFonts w:hint="eastAsia" w:ascii="宋体" w:hAnsi="宋体" w:eastAsia="黑体" w:cs="Times New Roman"/>
          <w:b/>
          <w:snapToGrid w:val="0"/>
          <w:color w:val="000000"/>
          <w:kern w:val="0"/>
          <w:szCs w:val="21"/>
          <w:lang w:val="en-US" w:eastAsia="zh-CN"/>
        </w:rPr>
      </w:pPr>
      <w:r>
        <w:rPr>
          <w:rFonts w:hint="eastAsia" w:ascii="宋体" w:hAnsi="宋体" w:eastAsia="黑体" w:cs="Times New Roman"/>
          <w:b/>
          <w:snapToGrid w:val="0"/>
          <w:color w:val="000000"/>
          <w:kern w:val="0"/>
          <w:szCs w:val="21"/>
          <w:lang w:val="en-US" w:eastAsia="zh-CN"/>
        </w:rPr>
        <w:t>人员配置</w:t>
      </w:r>
    </w:p>
    <w:p w14:paraId="1BCC3BBD">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乙方应指定有相应资历的、项目经验丰富而且可以信赖的人员来完成项目和提供服务。</w:t>
      </w:r>
    </w:p>
    <w:p w14:paraId="14A68845">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乙方参与本项目人员必须为乙方正式员工，如个别服务内容具有特殊性，需非乙方员工参与，乙方必须向甲方提出书面申请，并征得甲方同意；且该同意不视为乙方任何责任或义务的转移，所有后果由乙方承担。</w:t>
      </w:r>
    </w:p>
    <w:p w14:paraId="58D3258C">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甲方在有合理依据的情况下有权要求乙方更换任何不称职的人员</w:t>
      </w:r>
      <w:r>
        <w:rPr>
          <w:rFonts w:ascii="宋体" w:hAnsi="宋体" w:eastAsia="宋体" w:cs="Times New Roman"/>
          <w:color w:val="000000"/>
          <w:szCs w:val="21"/>
        </w:rPr>
        <w:t>，</w:t>
      </w:r>
      <w:r>
        <w:rPr>
          <w:rFonts w:hint="eastAsia" w:ascii="宋体" w:hAnsi="宋体" w:eastAsia="宋体" w:cs="Times New Roman"/>
          <w:color w:val="000000"/>
          <w:szCs w:val="21"/>
        </w:rPr>
        <w:t>乙方</w:t>
      </w:r>
      <w:r>
        <w:rPr>
          <w:rFonts w:ascii="宋体" w:hAnsi="宋体" w:eastAsia="宋体" w:cs="Times New Roman"/>
          <w:color w:val="000000"/>
          <w:szCs w:val="21"/>
        </w:rPr>
        <w:t>应予</w:t>
      </w:r>
      <w:r>
        <w:rPr>
          <w:rFonts w:hint="eastAsia" w:ascii="宋体" w:hAnsi="宋体" w:eastAsia="宋体" w:cs="Times New Roman"/>
          <w:color w:val="000000"/>
          <w:szCs w:val="21"/>
        </w:rPr>
        <w:t>以</w:t>
      </w:r>
      <w:r>
        <w:rPr>
          <w:rFonts w:ascii="宋体" w:hAnsi="宋体" w:eastAsia="宋体" w:cs="Times New Roman"/>
          <w:color w:val="000000"/>
          <w:szCs w:val="21"/>
        </w:rPr>
        <w:t>接受</w:t>
      </w:r>
      <w:r>
        <w:rPr>
          <w:rFonts w:hint="eastAsia" w:ascii="宋体" w:hAnsi="宋体" w:eastAsia="宋体" w:cs="Times New Roman"/>
          <w:color w:val="000000"/>
          <w:szCs w:val="21"/>
        </w:rPr>
        <w:t>。</w:t>
      </w:r>
    </w:p>
    <w:p w14:paraId="1C56C428">
      <w:pPr>
        <w:numPr>
          <w:ilvl w:val="1"/>
          <w:numId w:val="12"/>
        </w:numPr>
        <w:tabs>
          <w:tab w:val="left" w:pos="567"/>
          <w:tab w:val="clear" w:pos="1134"/>
        </w:tabs>
        <w:adjustRightInd w:val="0"/>
        <w:snapToGrid w:val="0"/>
        <w:spacing w:line="360" w:lineRule="auto"/>
        <w:ind w:left="567"/>
        <w:rPr>
          <w:rFonts w:ascii="宋体" w:hAnsi="宋体" w:eastAsia="宋体" w:cs="Times New Roman"/>
          <w:color w:val="000000"/>
          <w:szCs w:val="21"/>
        </w:rPr>
      </w:pPr>
      <w:r>
        <w:rPr>
          <w:rFonts w:hint="eastAsia" w:ascii="宋体" w:hAnsi="宋体" w:eastAsia="宋体" w:cs="Times New Roman"/>
          <w:color w:val="000000"/>
          <w:szCs w:val="21"/>
        </w:rPr>
        <w:t>无论如何，因为乙方人员更换导致的所有费用和所有责任由乙方承担。</w:t>
      </w:r>
    </w:p>
    <w:p w14:paraId="0B05BB8E">
      <w:pPr>
        <w:keepNext/>
        <w:keepLines/>
        <w:numPr>
          <w:ilvl w:val="0"/>
          <w:numId w:val="12"/>
        </w:numPr>
        <w:tabs>
          <w:tab w:val="left" w:pos="720"/>
        </w:tabs>
        <w:adjustRightInd w:val="0"/>
        <w:snapToGrid w:val="0"/>
        <w:spacing w:line="360" w:lineRule="auto"/>
        <w:ind w:left="425" w:hanging="425"/>
        <w:outlineLvl w:val="1"/>
        <w:rPr>
          <w:rFonts w:hint="eastAsia" w:ascii="宋体" w:hAnsi="宋体" w:eastAsia="黑体" w:cs="Times New Roman"/>
          <w:b/>
          <w:snapToGrid w:val="0"/>
          <w:color w:val="000000"/>
          <w:kern w:val="0"/>
          <w:szCs w:val="21"/>
          <w:lang w:val="en-US" w:eastAsia="zh-CN"/>
        </w:rPr>
      </w:pPr>
      <w:r>
        <w:rPr>
          <w:rFonts w:hint="eastAsia" w:ascii="宋体" w:hAnsi="宋体" w:eastAsia="黑体" w:cs="Times New Roman"/>
          <w:b/>
          <w:snapToGrid w:val="0"/>
          <w:color w:val="000000"/>
          <w:kern w:val="0"/>
          <w:szCs w:val="21"/>
          <w:lang w:val="en-US" w:eastAsia="zh-CN"/>
        </w:rPr>
        <w:t>保密条款</w:t>
      </w:r>
    </w:p>
    <w:p w14:paraId="7E2CBB52">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保密信息是指一方向另一方透露的书面或介质形式的一切装置、图表、书面资料、系统配置或者其它资料或信息。</w:t>
      </w:r>
    </w:p>
    <w:p w14:paraId="68CBF2A3">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对于一方向另一方提供的保密信息，另一方须以合理和合适的方式予以保密；未经提供方书面同意，另一方不得将保密信息通过任何方式透露给任何第三方。</w:t>
      </w:r>
    </w:p>
    <w:p w14:paraId="4C5B1168">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甲方向乙方提供的图纸、资料在本合同履行完毕后，乙方须予以归还（包括拷贝资料）。</w:t>
      </w:r>
    </w:p>
    <w:p w14:paraId="042D3084">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甲乙双方不得将保密资料用于本合同履行以外的任何目的。</w:t>
      </w:r>
    </w:p>
    <w:p w14:paraId="72A3C19F">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一方对另一方提供的保密信息应采取适当的保密措施</w:t>
      </w:r>
      <w:r>
        <w:rPr>
          <w:rFonts w:ascii="宋体" w:hAnsi="宋体" w:eastAsia="宋体" w:cs="Times New Roman"/>
          <w:color w:val="000000"/>
          <w:szCs w:val="21"/>
        </w:rPr>
        <w:t>,并将传播</w:t>
      </w:r>
      <w:r>
        <w:rPr>
          <w:rFonts w:hint="eastAsia" w:ascii="宋体" w:hAnsi="宋体" w:eastAsia="宋体" w:cs="Times New Roman"/>
          <w:color w:val="000000"/>
          <w:szCs w:val="21"/>
        </w:rPr>
        <w:t>范围</w:t>
      </w:r>
      <w:r>
        <w:rPr>
          <w:rFonts w:ascii="宋体" w:hAnsi="宋体" w:eastAsia="宋体" w:cs="Times New Roman"/>
          <w:color w:val="000000"/>
          <w:szCs w:val="21"/>
        </w:rPr>
        <w:t>限制</w:t>
      </w:r>
      <w:r>
        <w:rPr>
          <w:rFonts w:hint="eastAsia" w:ascii="宋体" w:hAnsi="宋体" w:eastAsia="宋体" w:cs="Times New Roman"/>
          <w:color w:val="000000"/>
          <w:szCs w:val="21"/>
        </w:rPr>
        <w:t>为履行合同</w:t>
      </w:r>
      <w:r>
        <w:rPr>
          <w:rFonts w:ascii="宋体" w:hAnsi="宋体" w:eastAsia="宋体" w:cs="Times New Roman"/>
          <w:color w:val="000000"/>
          <w:szCs w:val="21"/>
        </w:rPr>
        <w:t>目的而需要知晓此保密</w:t>
      </w:r>
      <w:r>
        <w:rPr>
          <w:rFonts w:hint="eastAsia" w:ascii="宋体" w:hAnsi="宋体" w:eastAsia="宋体" w:cs="Times New Roman"/>
          <w:color w:val="000000"/>
          <w:szCs w:val="21"/>
        </w:rPr>
        <w:t>信息</w:t>
      </w:r>
      <w:r>
        <w:rPr>
          <w:rFonts w:ascii="宋体" w:hAnsi="宋体" w:eastAsia="宋体" w:cs="Times New Roman"/>
          <w:color w:val="000000"/>
          <w:szCs w:val="21"/>
        </w:rPr>
        <w:t>的</w:t>
      </w:r>
      <w:r>
        <w:rPr>
          <w:rFonts w:hint="eastAsia" w:ascii="宋体" w:hAnsi="宋体" w:eastAsia="宋体" w:cs="Times New Roman"/>
          <w:color w:val="000000"/>
          <w:szCs w:val="21"/>
        </w:rPr>
        <w:t>相关人员</w:t>
      </w:r>
      <w:r>
        <w:rPr>
          <w:rFonts w:ascii="宋体" w:hAnsi="宋体" w:eastAsia="宋体" w:cs="Times New Roman"/>
          <w:color w:val="000000"/>
          <w:szCs w:val="21"/>
        </w:rPr>
        <w:t>，</w:t>
      </w:r>
      <w:r>
        <w:rPr>
          <w:rFonts w:hint="eastAsia" w:ascii="宋体" w:hAnsi="宋体" w:eastAsia="宋体" w:cs="Times New Roman"/>
          <w:color w:val="000000"/>
          <w:szCs w:val="21"/>
        </w:rPr>
        <w:t>并仅在履行本合同项下的义务需要时复制该保密信息。</w:t>
      </w:r>
    </w:p>
    <w:p w14:paraId="32FD1464">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除本合同的明确约定外，对保密信息没有任何其它明示或暗示的许可。</w:t>
      </w:r>
    </w:p>
    <w:p w14:paraId="248E20E0">
      <w:pPr>
        <w:numPr>
          <w:ilvl w:val="1"/>
          <w:numId w:val="12"/>
        </w:numPr>
        <w:tabs>
          <w:tab w:val="left" w:pos="567"/>
          <w:tab w:val="clear" w:pos="1134"/>
        </w:tabs>
        <w:adjustRightInd w:val="0"/>
        <w:snapToGrid w:val="0"/>
        <w:spacing w:line="360" w:lineRule="auto"/>
        <w:ind w:left="567"/>
        <w:rPr>
          <w:rFonts w:ascii="宋体" w:hAnsi="宋体" w:eastAsia="宋体" w:cs="Times New Roman"/>
          <w:color w:val="000000"/>
          <w:szCs w:val="21"/>
        </w:rPr>
      </w:pPr>
      <w:r>
        <w:rPr>
          <w:rFonts w:hint="eastAsia" w:ascii="宋体" w:hAnsi="宋体" w:eastAsia="宋体" w:cs="Times New Roman"/>
          <w:color w:val="000000"/>
          <w:szCs w:val="21"/>
        </w:rPr>
        <w:t>本合同保密信息的保密期限为合同生效之日起五年。保密期限届满后，如相关资料或信息仍符合国家有关法规对“保密”的定义，则一方仍需承担保密义务。</w:t>
      </w:r>
    </w:p>
    <w:p w14:paraId="06FC148F">
      <w:pPr>
        <w:keepNext/>
        <w:keepLines/>
        <w:numPr>
          <w:ilvl w:val="0"/>
          <w:numId w:val="12"/>
        </w:numPr>
        <w:tabs>
          <w:tab w:val="left" w:pos="720"/>
        </w:tabs>
        <w:adjustRightInd w:val="0"/>
        <w:snapToGrid w:val="0"/>
        <w:spacing w:line="360" w:lineRule="auto"/>
        <w:ind w:left="425" w:hanging="425"/>
        <w:outlineLvl w:val="1"/>
        <w:rPr>
          <w:rFonts w:hint="eastAsia" w:ascii="宋体" w:hAnsi="宋体" w:eastAsia="黑体" w:cs="Times New Roman"/>
          <w:b/>
          <w:snapToGrid w:val="0"/>
          <w:color w:val="000000"/>
          <w:kern w:val="0"/>
          <w:szCs w:val="21"/>
          <w:lang w:val="en-US" w:eastAsia="zh-CN"/>
        </w:rPr>
      </w:pPr>
      <w:r>
        <w:rPr>
          <w:rFonts w:hint="eastAsia" w:ascii="宋体" w:hAnsi="宋体" w:eastAsia="黑体" w:cs="Times New Roman"/>
          <w:b/>
          <w:snapToGrid w:val="0"/>
          <w:color w:val="000000"/>
          <w:kern w:val="0"/>
          <w:szCs w:val="21"/>
          <w:lang w:val="en-US" w:eastAsia="zh-CN"/>
        </w:rPr>
        <w:t>违约条款</w:t>
      </w:r>
    </w:p>
    <w:p w14:paraId="0C4FE17B">
      <w:pPr>
        <w:numPr>
          <w:ilvl w:val="1"/>
          <w:numId w:val="12"/>
        </w:numPr>
        <w:tabs>
          <w:tab w:val="left" w:pos="540"/>
          <w:tab w:val="left" w:pos="567"/>
          <w:tab w:val="clear" w:pos="1134"/>
        </w:tabs>
        <w:adjustRightInd w:val="0"/>
        <w:snapToGrid w:val="0"/>
        <w:spacing w:line="360" w:lineRule="auto"/>
        <w:ind w:left="567"/>
        <w:rPr>
          <w:rFonts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甲方的违约情形及违约责任</w:t>
      </w:r>
    </w:p>
    <w:p w14:paraId="736E8C81">
      <w:pPr>
        <w:numPr>
          <w:ilvl w:val="2"/>
          <w:numId w:val="12"/>
        </w:numPr>
        <w:tabs>
          <w:tab w:val="left" w:pos="851"/>
          <w:tab w:val="clear" w:pos="709"/>
        </w:tabs>
        <w:adjustRightInd w:val="0"/>
        <w:snapToGrid w:val="0"/>
        <w:spacing w:line="360" w:lineRule="auto"/>
        <w:ind w:left="851" w:hanging="851"/>
        <w:rPr>
          <w:rFonts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未按合同约定支付相关款项的，每延期一天应按</w:t>
      </w:r>
      <w:r>
        <w:rPr>
          <w:rFonts w:hint="eastAsia" w:ascii="宋体" w:hAnsi="宋体" w:cs="Times New Roman"/>
          <w:bCs/>
          <w:snapToGrid w:val="0"/>
          <w:color w:val="000000"/>
          <w:kern w:val="0"/>
          <w:szCs w:val="21"/>
          <w:lang w:val="en-US" w:eastAsia="zh-CN"/>
        </w:rPr>
        <w:t>欠付金额</w:t>
      </w:r>
      <w:r>
        <w:rPr>
          <w:rFonts w:hint="eastAsia" w:ascii="宋体" w:hAnsi="宋体" w:eastAsia="宋体" w:cs="Times New Roman"/>
          <w:bCs/>
          <w:snapToGrid w:val="0"/>
          <w:color w:val="000000"/>
          <w:kern w:val="0"/>
          <w:szCs w:val="21"/>
        </w:rPr>
        <w:t>的千分之一支付违约金，延期支付超过30日的，乙方有权单方解除合同。</w:t>
      </w:r>
    </w:p>
    <w:p w14:paraId="26B57F62">
      <w:pPr>
        <w:numPr>
          <w:ilvl w:val="2"/>
          <w:numId w:val="12"/>
        </w:numPr>
        <w:tabs>
          <w:tab w:val="left" w:pos="851"/>
          <w:tab w:val="clear" w:pos="709"/>
        </w:tabs>
        <w:adjustRightInd w:val="0"/>
        <w:snapToGrid w:val="0"/>
        <w:spacing w:line="360" w:lineRule="auto"/>
        <w:ind w:left="851" w:hanging="851"/>
        <w:rPr>
          <w:rFonts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违反保密条款的，乙方有权单方解除合同。</w:t>
      </w:r>
    </w:p>
    <w:p w14:paraId="483D48E4">
      <w:pPr>
        <w:numPr>
          <w:ilvl w:val="2"/>
          <w:numId w:val="12"/>
        </w:numPr>
        <w:tabs>
          <w:tab w:val="left" w:pos="851"/>
          <w:tab w:val="clear" w:pos="709"/>
        </w:tabs>
        <w:adjustRightInd w:val="0"/>
        <w:snapToGrid w:val="0"/>
        <w:spacing w:line="360" w:lineRule="auto"/>
        <w:ind w:left="851" w:hanging="851"/>
        <w:rPr>
          <w:rFonts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违反合同其他约定且在乙方书面提示之后同一违约行为仍未进行改进的，应按合同总额的千分之五支付违约金；违约金处罚后同一违约行为仍未进行改进的，乙方有权单方解除合同。</w:t>
      </w:r>
    </w:p>
    <w:p w14:paraId="3633AC79">
      <w:pPr>
        <w:numPr>
          <w:ilvl w:val="2"/>
          <w:numId w:val="12"/>
        </w:numPr>
        <w:tabs>
          <w:tab w:val="left" w:pos="851"/>
          <w:tab w:val="clear" w:pos="709"/>
        </w:tabs>
        <w:adjustRightInd w:val="0"/>
        <w:snapToGrid w:val="0"/>
        <w:spacing w:line="360" w:lineRule="auto"/>
        <w:ind w:left="851" w:hanging="851"/>
        <w:rPr>
          <w:rFonts w:hint="eastAsia"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根本性违约且导致合同不能继续履行的，乙方有权单方解除合同。</w:t>
      </w:r>
    </w:p>
    <w:p w14:paraId="7988A691">
      <w:pPr>
        <w:numPr>
          <w:ilvl w:val="2"/>
          <w:numId w:val="12"/>
        </w:numPr>
        <w:tabs>
          <w:tab w:val="left" w:pos="851"/>
          <w:tab w:val="clear" w:pos="709"/>
        </w:tabs>
        <w:adjustRightInd w:val="0"/>
        <w:snapToGrid w:val="0"/>
        <w:spacing w:line="360" w:lineRule="auto"/>
        <w:ind w:left="851" w:hanging="851"/>
        <w:rPr>
          <w:rFonts w:hint="eastAsia"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甲方承担违约责任后，乙方因该违约行为获得的违约金不足以弥补其损失的，甲方还需补偿乙方所有损失。</w:t>
      </w:r>
    </w:p>
    <w:p w14:paraId="74B930D5">
      <w:pPr>
        <w:numPr>
          <w:ilvl w:val="1"/>
          <w:numId w:val="12"/>
        </w:numPr>
        <w:tabs>
          <w:tab w:val="left" w:pos="540"/>
          <w:tab w:val="left" w:pos="567"/>
          <w:tab w:val="clear" w:pos="1134"/>
        </w:tabs>
        <w:adjustRightInd w:val="0"/>
        <w:snapToGrid w:val="0"/>
        <w:spacing w:line="360" w:lineRule="auto"/>
        <w:ind w:left="567"/>
        <w:rPr>
          <w:rFonts w:ascii="宋体" w:hAnsi="宋体" w:eastAsia="宋体" w:cs="Times New Roman"/>
          <w:snapToGrid w:val="0"/>
          <w:color w:val="000000"/>
          <w:kern w:val="0"/>
          <w:szCs w:val="21"/>
        </w:rPr>
      </w:pPr>
      <w:r>
        <w:rPr>
          <w:rFonts w:hint="eastAsia" w:ascii="宋体" w:hAnsi="宋体" w:eastAsia="宋体" w:cs="Times New Roman"/>
          <w:snapToGrid w:val="0"/>
          <w:color w:val="000000"/>
          <w:kern w:val="0"/>
          <w:szCs w:val="21"/>
        </w:rPr>
        <w:t>乙方的违约情形及违约责任</w:t>
      </w:r>
    </w:p>
    <w:p w14:paraId="6A4BB8E1">
      <w:pPr>
        <w:numPr>
          <w:ilvl w:val="2"/>
          <w:numId w:val="12"/>
        </w:numPr>
        <w:tabs>
          <w:tab w:val="left" w:pos="851"/>
          <w:tab w:val="clear" w:pos="709"/>
        </w:tabs>
        <w:adjustRightInd w:val="0"/>
        <w:snapToGrid w:val="0"/>
        <w:spacing w:line="360" w:lineRule="auto"/>
        <w:ind w:left="851" w:hanging="851"/>
        <w:rPr>
          <w:rFonts w:hint="eastAsia"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未按合同约定时间提交</w:t>
      </w:r>
      <w:r>
        <w:rPr>
          <w:rFonts w:hint="eastAsia" w:ascii="宋体" w:hAnsi="宋体" w:eastAsia="宋体" w:cs="Times New Roman"/>
          <w:bCs/>
          <w:snapToGrid w:val="0"/>
          <w:color w:val="000000"/>
          <w:kern w:val="0"/>
          <w:szCs w:val="21"/>
          <w:lang w:val="en-US" w:eastAsia="zh-CN"/>
        </w:rPr>
        <w:t>报告</w:t>
      </w:r>
      <w:r>
        <w:rPr>
          <w:rFonts w:hint="eastAsia" w:ascii="宋体" w:hAnsi="宋体" w:eastAsia="宋体" w:cs="Times New Roman"/>
          <w:bCs/>
          <w:snapToGrid w:val="0"/>
          <w:color w:val="000000"/>
          <w:kern w:val="0"/>
          <w:szCs w:val="21"/>
        </w:rPr>
        <w:t>的，</w:t>
      </w:r>
      <w:r>
        <w:rPr>
          <w:rFonts w:hint="eastAsia" w:ascii="宋体" w:hAnsi="宋体" w:eastAsia="宋体" w:cs="Times New Roman"/>
          <w:bCs/>
          <w:snapToGrid w:val="0"/>
          <w:color w:val="000000"/>
          <w:kern w:val="0"/>
          <w:szCs w:val="21"/>
          <w:lang w:val="en-US" w:eastAsia="zh-CN"/>
        </w:rPr>
        <w:t>经甲方提出后仍未整改的</w:t>
      </w:r>
      <w:r>
        <w:rPr>
          <w:rFonts w:hint="eastAsia" w:ascii="宋体" w:hAnsi="宋体" w:eastAsia="宋体" w:cs="Times New Roman"/>
          <w:bCs/>
          <w:snapToGrid w:val="0"/>
          <w:color w:val="000000"/>
          <w:kern w:val="0"/>
          <w:szCs w:val="21"/>
        </w:rPr>
        <w:t>，应</w:t>
      </w:r>
      <w:r>
        <w:rPr>
          <w:rFonts w:hint="eastAsia" w:ascii="宋体" w:hAnsi="宋体" w:eastAsia="宋体" w:cs="Times New Roman"/>
          <w:snapToGrid w:val="0"/>
          <w:color w:val="000000"/>
          <w:kern w:val="0"/>
          <w:szCs w:val="21"/>
        </w:rPr>
        <w:t>按合同总额的千分之五支付违约金</w:t>
      </w:r>
      <w:r>
        <w:rPr>
          <w:rFonts w:hint="eastAsia" w:ascii="宋体" w:hAnsi="宋体" w:eastAsia="宋体" w:cs="Times New Roman"/>
          <w:bCs/>
          <w:snapToGrid w:val="0"/>
          <w:color w:val="000000"/>
          <w:kern w:val="0"/>
          <w:szCs w:val="21"/>
        </w:rPr>
        <w:t>；甲方同意延期的除外。</w:t>
      </w:r>
    </w:p>
    <w:p w14:paraId="1ABAFD12">
      <w:pPr>
        <w:numPr>
          <w:ilvl w:val="2"/>
          <w:numId w:val="12"/>
        </w:numPr>
        <w:tabs>
          <w:tab w:val="left" w:pos="851"/>
          <w:tab w:val="clear" w:pos="709"/>
        </w:tabs>
        <w:adjustRightInd w:val="0"/>
        <w:snapToGrid w:val="0"/>
        <w:spacing w:line="360" w:lineRule="auto"/>
        <w:ind w:left="851" w:hanging="851"/>
        <w:rPr>
          <w:rFonts w:hint="eastAsia"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违反保密条款的，甲方有权单方解除合同</w:t>
      </w:r>
      <w:r>
        <w:rPr>
          <w:rFonts w:hint="eastAsia" w:ascii="宋体" w:hAnsi="宋体" w:eastAsia="宋体" w:cs="Times New Roman"/>
          <w:color w:val="000000"/>
          <w:szCs w:val="22"/>
        </w:rPr>
        <w:t>，乙方自行承担相应的法律后果，</w:t>
      </w:r>
      <w:r>
        <w:rPr>
          <w:rFonts w:hint="eastAsia" w:ascii="宋体" w:hAnsi="宋体" w:eastAsia="宋体" w:cs="Times New Roman"/>
          <w:color w:val="000000"/>
          <w:szCs w:val="22"/>
          <w:lang w:val="en-US" w:eastAsia="zh-CN"/>
        </w:rPr>
        <w:t>甲方</w:t>
      </w:r>
      <w:r>
        <w:rPr>
          <w:rFonts w:hint="eastAsia" w:ascii="Times New Roman" w:hAnsi="Times New Roman" w:eastAsia="宋体" w:cs="Times New Roman"/>
          <w:szCs w:val="22"/>
        </w:rPr>
        <w:t>采取补救措施以及对员工造成的一切损失</w:t>
      </w:r>
      <w:r>
        <w:rPr>
          <w:rFonts w:hint="eastAsia" w:ascii="Times New Roman" w:hAnsi="Times New Roman" w:eastAsia="宋体" w:cs="Times New Roman"/>
          <w:szCs w:val="22"/>
          <w:lang w:eastAsia="zh-CN"/>
        </w:rPr>
        <w:t>，</w:t>
      </w:r>
      <w:r>
        <w:rPr>
          <w:rFonts w:hint="eastAsia" w:ascii="Times New Roman" w:hAnsi="Times New Roman" w:eastAsia="宋体" w:cs="Times New Roman"/>
          <w:szCs w:val="22"/>
        </w:rPr>
        <w:t>公司</w:t>
      </w:r>
      <w:r>
        <w:rPr>
          <w:rFonts w:hint="eastAsia" w:ascii="Times New Roman" w:hAnsi="Times New Roman" w:eastAsia="宋体" w:cs="Times New Roman"/>
          <w:szCs w:val="22"/>
          <w:lang w:val="en-US" w:eastAsia="zh-CN"/>
        </w:rPr>
        <w:t>先</w:t>
      </w:r>
      <w:r>
        <w:rPr>
          <w:rFonts w:hint="eastAsia" w:ascii="Times New Roman" w:hAnsi="Times New Roman" w:eastAsia="宋体" w:cs="Times New Roman"/>
          <w:szCs w:val="22"/>
        </w:rPr>
        <w:t>行垫付后由乙方</w:t>
      </w:r>
      <w:r>
        <w:rPr>
          <w:rFonts w:hint="eastAsia" w:ascii="Times New Roman" w:hAnsi="Times New Roman" w:eastAsia="宋体" w:cs="Times New Roman"/>
          <w:szCs w:val="22"/>
          <w:lang w:val="en-US" w:eastAsia="zh-CN"/>
        </w:rPr>
        <w:t>全部</w:t>
      </w:r>
      <w:r>
        <w:rPr>
          <w:rFonts w:hint="eastAsia" w:ascii="Times New Roman" w:hAnsi="Times New Roman" w:eastAsia="宋体" w:cs="Times New Roman"/>
          <w:szCs w:val="22"/>
        </w:rPr>
        <w:t>承担</w:t>
      </w:r>
      <w:r>
        <w:rPr>
          <w:rFonts w:hint="eastAsia" w:ascii="宋体" w:hAnsi="宋体" w:eastAsia="宋体" w:cs="Times New Roman"/>
          <w:bCs/>
          <w:snapToGrid w:val="0"/>
          <w:color w:val="000000"/>
          <w:kern w:val="0"/>
          <w:szCs w:val="21"/>
        </w:rPr>
        <w:t>。</w:t>
      </w:r>
    </w:p>
    <w:p w14:paraId="450183AD">
      <w:pPr>
        <w:numPr>
          <w:ilvl w:val="2"/>
          <w:numId w:val="12"/>
        </w:numPr>
        <w:tabs>
          <w:tab w:val="left" w:pos="851"/>
          <w:tab w:val="clear" w:pos="709"/>
        </w:tabs>
        <w:adjustRightInd w:val="0"/>
        <w:snapToGrid w:val="0"/>
        <w:spacing w:line="360" w:lineRule="auto"/>
        <w:ind w:left="851" w:hanging="851"/>
        <w:rPr>
          <w:rFonts w:hint="eastAsia" w:ascii="宋体" w:hAnsi="宋体" w:eastAsia="宋体" w:cs="Times New Roman"/>
          <w:snapToGrid w:val="0"/>
          <w:color w:val="000000"/>
          <w:kern w:val="0"/>
          <w:szCs w:val="21"/>
        </w:rPr>
      </w:pPr>
      <w:r>
        <w:rPr>
          <w:rFonts w:hint="eastAsia" w:ascii="宋体" w:hAnsi="宋体" w:eastAsia="宋体" w:cs="Times New Roman"/>
          <w:bCs/>
          <w:snapToGrid w:val="0"/>
          <w:color w:val="000000"/>
          <w:kern w:val="0"/>
          <w:szCs w:val="21"/>
        </w:rPr>
        <w:t>违反甲方合同其他约定且在甲方书面提示之后同一违约行为仍未进行改进的，应</w:t>
      </w:r>
      <w:r>
        <w:rPr>
          <w:rFonts w:hint="eastAsia" w:ascii="宋体" w:hAnsi="宋体" w:eastAsia="宋体" w:cs="Times New Roman"/>
          <w:snapToGrid w:val="0"/>
          <w:color w:val="000000"/>
          <w:kern w:val="0"/>
          <w:szCs w:val="21"/>
        </w:rPr>
        <w:t>按合同总额的千分之五支付违约金；违约金处罚后同一违约行为仍未进行改进的，甲方有权单方解除合同。</w:t>
      </w:r>
    </w:p>
    <w:p w14:paraId="37E2147C">
      <w:pPr>
        <w:numPr>
          <w:ilvl w:val="2"/>
          <w:numId w:val="12"/>
        </w:numPr>
        <w:tabs>
          <w:tab w:val="left" w:pos="851"/>
          <w:tab w:val="clear" w:pos="709"/>
        </w:tabs>
        <w:adjustRightInd w:val="0"/>
        <w:snapToGrid w:val="0"/>
        <w:spacing w:line="360" w:lineRule="auto"/>
        <w:ind w:left="851" w:hanging="851"/>
        <w:rPr>
          <w:rFonts w:hint="eastAsia"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违反合同约定进行分包或转包的，</w:t>
      </w:r>
      <w:r>
        <w:rPr>
          <w:rFonts w:hint="eastAsia" w:ascii="Times New Roman" w:hAnsi="Times New Roman" w:eastAsia="宋体" w:cs="Times New Roman"/>
          <w:szCs w:val="22"/>
          <w:lang w:val="en-US" w:eastAsia="zh-CN"/>
        </w:rPr>
        <w:t>提供虚假体检报告的，</w:t>
      </w:r>
      <w:r>
        <w:rPr>
          <w:rFonts w:hint="eastAsia" w:ascii="宋体" w:hAnsi="宋体" w:eastAsia="宋体" w:cs="Times New Roman"/>
          <w:bCs/>
          <w:snapToGrid w:val="0"/>
          <w:color w:val="000000"/>
          <w:kern w:val="0"/>
          <w:szCs w:val="21"/>
        </w:rPr>
        <w:t>甲方有权单方解除合同。</w:t>
      </w:r>
    </w:p>
    <w:p w14:paraId="419F21F7">
      <w:pPr>
        <w:numPr>
          <w:ilvl w:val="2"/>
          <w:numId w:val="12"/>
        </w:numPr>
        <w:tabs>
          <w:tab w:val="left" w:pos="851"/>
          <w:tab w:val="clear" w:pos="709"/>
        </w:tabs>
        <w:adjustRightInd w:val="0"/>
        <w:snapToGrid w:val="0"/>
        <w:spacing w:line="360" w:lineRule="auto"/>
        <w:ind w:left="851" w:hanging="851"/>
        <w:rPr>
          <w:rFonts w:hint="eastAsia"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因乙方违约造成甲方财产损害或人身损害的，甲方有权单方解除合同。</w:t>
      </w:r>
    </w:p>
    <w:p w14:paraId="056CA9F5">
      <w:pPr>
        <w:numPr>
          <w:ilvl w:val="2"/>
          <w:numId w:val="12"/>
        </w:numPr>
        <w:tabs>
          <w:tab w:val="left" w:pos="851"/>
          <w:tab w:val="clear" w:pos="709"/>
        </w:tabs>
        <w:adjustRightInd w:val="0"/>
        <w:snapToGrid w:val="0"/>
        <w:spacing w:line="360" w:lineRule="auto"/>
        <w:ind w:left="851" w:hanging="851"/>
        <w:rPr>
          <w:rFonts w:hint="eastAsia"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根本性违约且导致合同不能继续履行的，甲方有权单方解除合同。</w:t>
      </w:r>
    </w:p>
    <w:p w14:paraId="1DEA7959">
      <w:pPr>
        <w:numPr>
          <w:ilvl w:val="2"/>
          <w:numId w:val="12"/>
        </w:numPr>
        <w:tabs>
          <w:tab w:val="left" w:pos="851"/>
          <w:tab w:val="clear" w:pos="709"/>
        </w:tabs>
        <w:adjustRightInd w:val="0"/>
        <w:snapToGrid w:val="0"/>
        <w:spacing w:line="360" w:lineRule="auto"/>
        <w:ind w:left="851" w:hanging="851"/>
        <w:rPr>
          <w:rFonts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乙方承担违约责任后，甲方因该违约行为获得的违约金不足以弥补其损失的，乙方还需补偿甲方所有损失。</w:t>
      </w:r>
    </w:p>
    <w:p w14:paraId="7006D2A4">
      <w:pPr>
        <w:numPr>
          <w:ilvl w:val="2"/>
          <w:numId w:val="12"/>
        </w:numPr>
        <w:tabs>
          <w:tab w:val="left" w:pos="851"/>
          <w:tab w:val="clear" w:pos="709"/>
        </w:tabs>
        <w:adjustRightInd w:val="0"/>
        <w:snapToGrid w:val="0"/>
        <w:spacing w:line="360" w:lineRule="auto"/>
        <w:ind w:left="851" w:hanging="851"/>
        <w:rPr>
          <w:rFonts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乙方应承担的违约金、赔偿金、补偿金等，甲方有权从乙方的履约保证金或应向乙方支付的任一款项中直接扣除，不足部分甲方有权向乙方进行追偿</w:t>
      </w:r>
      <w:r>
        <w:rPr>
          <w:rFonts w:hint="eastAsia" w:ascii="宋体" w:hAnsi="宋体" w:eastAsia="宋体" w:cs="Times New Roman"/>
          <w:bCs/>
          <w:snapToGrid w:val="0"/>
          <w:color w:val="000000"/>
          <w:kern w:val="0"/>
          <w:szCs w:val="21"/>
          <w:lang w:eastAsia="zh-CN"/>
        </w:rPr>
        <w:t>。</w:t>
      </w:r>
    </w:p>
    <w:p w14:paraId="6BEC9CEC">
      <w:pPr>
        <w:keepNext/>
        <w:keepLines/>
        <w:numPr>
          <w:ilvl w:val="0"/>
          <w:numId w:val="12"/>
        </w:numPr>
        <w:tabs>
          <w:tab w:val="left" w:pos="720"/>
        </w:tabs>
        <w:adjustRightInd w:val="0"/>
        <w:snapToGrid w:val="0"/>
        <w:spacing w:line="360" w:lineRule="auto"/>
        <w:ind w:left="425" w:hanging="425"/>
        <w:outlineLvl w:val="1"/>
        <w:rPr>
          <w:rFonts w:hint="eastAsia" w:ascii="宋体" w:hAnsi="宋体" w:eastAsia="黑体" w:cs="Times New Roman"/>
          <w:b/>
          <w:snapToGrid w:val="0"/>
          <w:color w:val="000000"/>
          <w:kern w:val="0"/>
          <w:szCs w:val="21"/>
          <w:lang w:val="en-US" w:eastAsia="zh-CN"/>
        </w:rPr>
      </w:pPr>
      <w:r>
        <w:rPr>
          <w:rFonts w:hint="eastAsia" w:ascii="宋体" w:hAnsi="宋体" w:eastAsia="黑体" w:cs="Times New Roman"/>
          <w:b/>
          <w:snapToGrid w:val="0"/>
          <w:color w:val="000000"/>
          <w:kern w:val="0"/>
          <w:szCs w:val="21"/>
          <w:lang w:val="en-US" w:eastAsia="zh-CN"/>
        </w:rPr>
        <w:t>合同变更、解除及终止</w:t>
      </w:r>
    </w:p>
    <w:p w14:paraId="004D188A">
      <w:pPr>
        <w:numPr>
          <w:ilvl w:val="1"/>
          <w:numId w:val="12"/>
        </w:numPr>
        <w:tabs>
          <w:tab w:val="left" w:pos="567"/>
          <w:tab w:val="clear" w:pos="1134"/>
        </w:tabs>
        <w:adjustRightInd w:val="0"/>
        <w:snapToGrid w:val="0"/>
        <w:spacing w:line="360" w:lineRule="auto"/>
        <w:ind w:left="540" w:hanging="539" w:hangingChars="257"/>
        <w:rPr>
          <w:rFonts w:hint="eastAsia"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在合同执行期内如发生合同变更时，乙方承诺相关费用不高于原合同单价。</w:t>
      </w:r>
    </w:p>
    <w:p w14:paraId="2AE01D37">
      <w:pPr>
        <w:numPr>
          <w:ilvl w:val="1"/>
          <w:numId w:val="12"/>
        </w:numPr>
        <w:tabs>
          <w:tab w:val="left" w:pos="567"/>
          <w:tab w:val="left" w:pos="851"/>
          <w:tab w:val="clear" w:pos="1134"/>
        </w:tabs>
        <w:adjustRightInd w:val="0"/>
        <w:snapToGrid w:val="0"/>
        <w:spacing w:line="360" w:lineRule="auto"/>
        <w:ind w:left="567"/>
        <w:rPr>
          <w:rFonts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甲方根据合同约定单方解除合同的，按以下原则处理：</w:t>
      </w:r>
    </w:p>
    <w:p w14:paraId="04C5C2DF">
      <w:pPr>
        <w:numPr>
          <w:ilvl w:val="0"/>
          <w:numId w:val="17"/>
        </w:numPr>
        <w:tabs>
          <w:tab w:val="left" w:pos="1080"/>
        </w:tabs>
        <w:adjustRightInd w:val="0"/>
        <w:spacing w:line="360" w:lineRule="auto"/>
        <w:ind w:left="945" w:hanging="420"/>
        <w:rPr>
          <w:rFonts w:ascii="宋体" w:hAnsi="Courier New" w:eastAsia="宋体" w:cs="Times New Roman"/>
          <w:color w:val="000000"/>
          <w:szCs w:val="20"/>
        </w:rPr>
      </w:pPr>
      <w:r>
        <w:rPr>
          <w:rFonts w:hint="eastAsia" w:ascii="宋体" w:hAnsi="Courier New" w:eastAsia="宋体" w:cs="Times New Roman"/>
          <w:color w:val="000000"/>
          <w:szCs w:val="20"/>
        </w:rPr>
        <w:t>除合同约定外，乙方须退还甲方已支付的所有合同款项；</w:t>
      </w:r>
    </w:p>
    <w:p w14:paraId="52281F56">
      <w:pPr>
        <w:numPr>
          <w:ilvl w:val="0"/>
          <w:numId w:val="17"/>
        </w:numPr>
        <w:tabs>
          <w:tab w:val="left" w:pos="1080"/>
        </w:tabs>
        <w:adjustRightInd w:val="0"/>
        <w:spacing w:line="360" w:lineRule="auto"/>
        <w:ind w:left="945" w:hanging="420"/>
        <w:rPr>
          <w:rFonts w:ascii="宋体" w:hAnsi="Courier New" w:eastAsia="宋体" w:cs="Times New Roman"/>
          <w:color w:val="000000"/>
          <w:szCs w:val="20"/>
        </w:rPr>
      </w:pPr>
      <w:r>
        <w:rPr>
          <w:rFonts w:hint="eastAsia" w:ascii="宋体" w:hAnsi="宋体" w:eastAsia="宋体" w:cs="Times New Roman"/>
          <w:bCs/>
          <w:snapToGrid w:val="0"/>
          <w:color w:val="000000"/>
          <w:kern w:val="0"/>
          <w:szCs w:val="21"/>
        </w:rPr>
        <w:t>乙方已提交的所有项目成果，无论是否已经通过验收，甲方均有权自行决定是否接受。</w:t>
      </w:r>
      <w:r>
        <w:rPr>
          <w:rFonts w:ascii="宋体" w:hAnsi="宋体" w:eastAsia="宋体" w:cs="Times New Roman"/>
          <w:bCs/>
          <w:snapToGrid w:val="0"/>
          <w:color w:val="000000"/>
          <w:kern w:val="0"/>
          <w:szCs w:val="21"/>
        </w:rPr>
        <w:t>对于甲方接受的部分</w:t>
      </w:r>
      <w:r>
        <w:rPr>
          <w:rFonts w:hint="eastAsia" w:ascii="宋体" w:hAnsi="宋体" w:eastAsia="宋体" w:cs="Times New Roman"/>
          <w:bCs/>
          <w:snapToGrid w:val="0"/>
          <w:color w:val="000000"/>
          <w:kern w:val="0"/>
          <w:szCs w:val="21"/>
        </w:rPr>
        <w:t>，项目成果按合同约定标准支付相关费用，合同无相关约定的，双方协商确认；对于甲方不接受的部分，全部予以退还且不支付任何费用。</w:t>
      </w:r>
    </w:p>
    <w:p w14:paraId="322D6162">
      <w:pPr>
        <w:numPr>
          <w:ilvl w:val="1"/>
          <w:numId w:val="12"/>
        </w:numPr>
        <w:tabs>
          <w:tab w:val="left" w:pos="567"/>
          <w:tab w:val="clear" w:pos="1134"/>
        </w:tabs>
        <w:adjustRightInd w:val="0"/>
        <w:snapToGrid w:val="0"/>
        <w:spacing w:line="360" w:lineRule="auto"/>
        <w:ind w:left="567"/>
        <w:rPr>
          <w:rFonts w:hint="eastAsia"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乙方根据合同约定单方解除合同的，甲方需赔偿乙方因此遭受的所有直接经济损失。</w:t>
      </w:r>
    </w:p>
    <w:p w14:paraId="6F5B5C6D">
      <w:pPr>
        <w:numPr>
          <w:ilvl w:val="1"/>
          <w:numId w:val="12"/>
        </w:numPr>
        <w:tabs>
          <w:tab w:val="left" w:pos="567"/>
          <w:tab w:val="clear" w:pos="1134"/>
        </w:tabs>
        <w:adjustRightInd w:val="0"/>
        <w:snapToGrid w:val="0"/>
        <w:spacing w:line="360" w:lineRule="auto"/>
        <w:ind w:left="567"/>
        <w:rPr>
          <w:rFonts w:ascii="宋体" w:hAnsi="宋体" w:eastAsia="宋体" w:cs="Times New Roman"/>
          <w:bCs/>
          <w:snapToGrid w:val="0"/>
          <w:color w:val="000000"/>
          <w:kern w:val="0"/>
          <w:szCs w:val="21"/>
        </w:rPr>
      </w:pPr>
      <w:r>
        <w:rPr>
          <w:rFonts w:hint="eastAsia" w:ascii="宋体" w:hAnsi="宋体" w:eastAsia="宋体" w:cs="Times New Roman"/>
          <w:bCs/>
          <w:snapToGrid w:val="0"/>
          <w:color w:val="000000"/>
          <w:kern w:val="0"/>
          <w:szCs w:val="21"/>
        </w:rPr>
        <w:t>合同的解除及终止不影响任何一方依据本合同的约定向另一方提出索赔、追索或其他约定、法定权利。</w:t>
      </w:r>
    </w:p>
    <w:p w14:paraId="651ABC3B">
      <w:pPr>
        <w:keepNext/>
        <w:keepLines/>
        <w:widowControl w:val="0"/>
        <w:numPr>
          <w:ilvl w:val="0"/>
          <w:numId w:val="12"/>
        </w:numPr>
        <w:adjustRightInd w:val="0"/>
        <w:snapToGrid w:val="0"/>
        <w:spacing w:before="0" w:after="0" w:line="360" w:lineRule="auto"/>
        <w:ind w:left="425" w:hanging="425"/>
        <w:jc w:val="both"/>
        <w:outlineLvl w:val="1"/>
        <w:rPr>
          <w:rFonts w:ascii="宋体" w:hAnsi="宋体" w:eastAsia="黑体" w:cs="Times New Roman"/>
          <w:b/>
          <w:snapToGrid w:val="0"/>
          <w:color w:val="000000"/>
          <w:kern w:val="0"/>
          <w:sz w:val="21"/>
          <w:szCs w:val="21"/>
          <w:lang w:val="en-US" w:eastAsia="zh-CN" w:bidi="ar-SA"/>
        </w:rPr>
      </w:pPr>
      <w:r>
        <w:rPr>
          <w:rFonts w:hint="eastAsia" w:ascii="宋体" w:hAnsi="宋体" w:eastAsia="黑体" w:cs="Times New Roman"/>
          <w:b/>
          <w:snapToGrid w:val="0"/>
          <w:color w:val="000000"/>
          <w:kern w:val="0"/>
          <w:sz w:val="21"/>
          <w:szCs w:val="21"/>
          <w:lang w:val="en-US" w:eastAsia="zh-CN" w:bidi="ar-SA"/>
        </w:rPr>
        <w:t>争议的解决</w:t>
      </w:r>
    </w:p>
    <w:p w14:paraId="4C2063B3">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在合同履行过程中出现任何争议，双方应协商解决。</w:t>
      </w:r>
    </w:p>
    <w:p w14:paraId="0489736E">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若双方协商不能达成一致的，则任一方有权将争议提交</w:t>
      </w:r>
      <w:r>
        <w:rPr>
          <w:rFonts w:ascii="宋体" w:hAnsi="宋体" w:eastAsia="宋体" w:cs="Times New Roman"/>
          <w:color w:val="000000"/>
          <w:szCs w:val="21"/>
        </w:rPr>
        <w:t>至</w:t>
      </w:r>
      <w:r>
        <w:rPr>
          <w:rFonts w:hint="eastAsia" w:ascii="宋体" w:hAnsi="宋体" w:eastAsia="宋体" w:cs="Times New Roman"/>
          <w:color w:val="000000"/>
          <w:szCs w:val="21"/>
        </w:rPr>
        <w:t>甲方住所地有管辖权的人民法院诉讼解决。</w:t>
      </w:r>
    </w:p>
    <w:p w14:paraId="185C85A5">
      <w:pPr>
        <w:keepNext/>
        <w:keepLines/>
        <w:widowControl w:val="0"/>
        <w:numPr>
          <w:ilvl w:val="0"/>
          <w:numId w:val="12"/>
        </w:numPr>
        <w:adjustRightInd w:val="0"/>
        <w:snapToGrid w:val="0"/>
        <w:spacing w:before="0" w:after="0" w:line="360" w:lineRule="auto"/>
        <w:ind w:left="425" w:hanging="425"/>
        <w:jc w:val="both"/>
        <w:outlineLvl w:val="1"/>
        <w:rPr>
          <w:rFonts w:ascii="宋体" w:hAnsi="宋体" w:eastAsia="黑体" w:cs="Times New Roman"/>
          <w:b/>
          <w:snapToGrid w:val="0"/>
          <w:color w:val="000000"/>
          <w:kern w:val="0"/>
          <w:sz w:val="21"/>
          <w:szCs w:val="21"/>
          <w:lang w:val="en-US" w:eastAsia="zh-CN" w:bidi="ar-SA"/>
        </w:rPr>
      </w:pPr>
      <w:r>
        <w:rPr>
          <w:rFonts w:hint="eastAsia" w:ascii="宋体" w:hAnsi="宋体" w:eastAsia="黑体" w:cs="Times New Roman"/>
          <w:b/>
          <w:snapToGrid w:val="0"/>
          <w:color w:val="000000"/>
          <w:kern w:val="0"/>
          <w:sz w:val="21"/>
          <w:szCs w:val="21"/>
          <w:lang w:val="en-US" w:eastAsia="zh-CN" w:bidi="ar-SA"/>
        </w:rPr>
        <w:t>合同生效</w:t>
      </w:r>
    </w:p>
    <w:p w14:paraId="25108D65">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合同自双方法定代表人或授权代表签字或签章，并加盖甲方合同专用章、乙方法人公章或合同专用章后生效。</w:t>
      </w:r>
      <w:r>
        <w:rPr>
          <w:rFonts w:hint="eastAsia" w:ascii="宋体" w:hAnsi="宋体" w:eastAsia="宋体" w:cs="Times New Roman"/>
          <w:color w:val="000000"/>
          <w:szCs w:val="21"/>
          <w:lang w:val="en-US" w:eastAsia="zh-CN"/>
        </w:rPr>
        <w:t>有效期</w:t>
      </w:r>
      <w:r>
        <w:rPr>
          <w:rFonts w:hint="eastAsia" w:ascii="宋体" w:hAnsi="宋体" w:cs="Times New Roman"/>
          <w:color w:val="000000"/>
          <w:szCs w:val="21"/>
          <w:lang w:val="en-US" w:eastAsia="zh-CN"/>
        </w:rPr>
        <w:t>3</w:t>
      </w:r>
      <w:r>
        <w:rPr>
          <w:rFonts w:hint="eastAsia" w:ascii="宋体" w:hAnsi="宋体" w:eastAsia="宋体" w:cs="Times New Roman"/>
          <w:color w:val="000000"/>
          <w:szCs w:val="21"/>
          <w:lang w:val="en-US" w:eastAsia="zh-CN"/>
        </w:rPr>
        <w:t>年。</w:t>
      </w:r>
    </w:p>
    <w:p w14:paraId="13C873A8">
      <w:pPr>
        <w:keepNext/>
        <w:keepLines/>
        <w:widowControl w:val="0"/>
        <w:numPr>
          <w:ilvl w:val="0"/>
          <w:numId w:val="12"/>
        </w:numPr>
        <w:adjustRightInd w:val="0"/>
        <w:snapToGrid w:val="0"/>
        <w:spacing w:before="0" w:after="0" w:line="360" w:lineRule="auto"/>
        <w:ind w:left="425" w:hanging="425"/>
        <w:jc w:val="both"/>
        <w:outlineLvl w:val="1"/>
        <w:rPr>
          <w:rFonts w:ascii="宋体" w:hAnsi="宋体" w:eastAsia="黑体" w:cs="Times New Roman"/>
          <w:b/>
          <w:snapToGrid w:val="0"/>
          <w:color w:val="000000"/>
          <w:kern w:val="0"/>
          <w:sz w:val="21"/>
          <w:szCs w:val="21"/>
          <w:lang w:val="en-US" w:eastAsia="zh-CN" w:bidi="ar-SA"/>
        </w:rPr>
      </w:pPr>
      <w:r>
        <w:rPr>
          <w:rFonts w:hint="eastAsia" w:ascii="宋体" w:hAnsi="宋体" w:eastAsia="黑体" w:cs="Times New Roman"/>
          <w:b/>
          <w:snapToGrid w:val="0"/>
          <w:color w:val="000000"/>
          <w:kern w:val="0"/>
          <w:sz w:val="21"/>
          <w:szCs w:val="21"/>
          <w:lang w:val="en-US" w:eastAsia="zh-CN" w:bidi="ar-SA"/>
        </w:rPr>
        <w:t>其他</w:t>
      </w:r>
    </w:p>
    <w:p w14:paraId="4E49FFD1">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本合同的变更必须由双方协商一致，并以书面形式确定。</w:t>
      </w:r>
    </w:p>
    <w:p w14:paraId="23B7638E">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双方往来正式文件和合同文本均以中文为准。</w:t>
      </w:r>
    </w:p>
    <w:p w14:paraId="2809F142">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根据本合同发出的任何通知应以书面写成，按本合同所载地址递交。</w:t>
      </w:r>
    </w:p>
    <w:p w14:paraId="5CAEF975">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如甲乙双方通过电子邮件进行通讯联系，在传送文件前，必须与收件人联系，传送后应对传送内容予以确认。</w:t>
      </w:r>
    </w:p>
    <w:p w14:paraId="7B68AA02">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本合同两正六副，甲方执正本一份、副本五份；乙方执正本一份、副本一份；正副本内容不一致的，以正本内容为准。</w:t>
      </w:r>
    </w:p>
    <w:p w14:paraId="06FD8AE3">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000000"/>
          <w:szCs w:val="21"/>
        </w:rPr>
      </w:pPr>
      <w:r>
        <w:rPr>
          <w:rFonts w:hint="eastAsia" w:ascii="宋体" w:hAnsi="宋体" w:eastAsia="宋体" w:cs="Times New Roman"/>
          <w:color w:val="000000"/>
          <w:szCs w:val="21"/>
        </w:rPr>
        <w:t>合同附件将作为本合同不可分割的部分</w:t>
      </w:r>
      <w:r>
        <w:rPr>
          <w:rFonts w:hint="eastAsia" w:ascii="宋体" w:hAnsi="宋体" w:cs="Times New Roman"/>
          <w:color w:val="000000"/>
          <w:szCs w:val="21"/>
          <w:lang w:eastAsia="zh-CN"/>
        </w:rPr>
        <w:t>，</w:t>
      </w:r>
      <w:r>
        <w:rPr>
          <w:rFonts w:hint="eastAsia" w:ascii="宋体" w:hAnsi="宋体" w:cs="Times New Roman"/>
          <w:color w:val="000000"/>
          <w:szCs w:val="21"/>
          <w:lang w:val="en-US" w:eastAsia="zh-CN"/>
        </w:rPr>
        <w:t>与正文具有同等法律效力</w:t>
      </w:r>
      <w:r>
        <w:rPr>
          <w:rFonts w:hint="eastAsia" w:ascii="宋体" w:hAnsi="宋体" w:eastAsia="宋体" w:cs="Times New Roman"/>
          <w:color w:val="000000"/>
          <w:szCs w:val="21"/>
        </w:rPr>
        <w:t>：</w:t>
      </w:r>
    </w:p>
    <w:p w14:paraId="080EDA5D">
      <w:pPr>
        <w:adjustRightInd w:val="0"/>
        <w:spacing w:line="360" w:lineRule="auto"/>
        <w:ind w:firstLine="840" w:firstLineChars="400"/>
        <w:rPr>
          <w:rFonts w:hint="eastAsia" w:ascii="宋体" w:hAnsi="宋体" w:eastAsia="宋体" w:cs="Times New Roman"/>
          <w:color w:val="000000"/>
          <w:szCs w:val="22"/>
        </w:rPr>
      </w:pPr>
      <w:r>
        <w:rPr>
          <w:rFonts w:hint="eastAsia" w:ascii="宋体" w:hAnsi="宋体" w:eastAsia="宋体" w:cs="Times New Roman"/>
          <w:snapToGrid w:val="0"/>
          <w:color w:val="000000"/>
          <w:szCs w:val="22"/>
        </w:rPr>
        <w:t xml:space="preserve">合同附件一  </w:t>
      </w:r>
      <w:r>
        <w:rPr>
          <w:rFonts w:hint="eastAsia" w:ascii="宋体" w:hAnsi="宋体" w:eastAsia="宋体" w:cs="Times New Roman"/>
          <w:color w:val="000000"/>
          <w:szCs w:val="22"/>
        </w:rPr>
        <w:t>用户需求书</w:t>
      </w:r>
    </w:p>
    <w:p w14:paraId="0EFA0A4B">
      <w:pPr>
        <w:adjustRightInd w:val="0"/>
        <w:spacing w:line="360" w:lineRule="auto"/>
        <w:ind w:firstLine="840" w:firstLineChars="400"/>
        <w:rPr>
          <w:rFonts w:hint="eastAsia" w:ascii="宋体" w:hAnsi="宋体" w:eastAsia="宋体" w:cs="Times New Roman"/>
          <w:color w:val="000000"/>
          <w:szCs w:val="22"/>
        </w:rPr>
      </w:pPr>
      <w:r>
        <w:rPr>
          <w:rFonts w:hint="eastAsia" w:ascii="宋体" w:hAnsi="宋体" w:eastAsia="宋体" w:cs="Times New Roman"/>
          <w:snapToGrid w:val="0"/>
          <w:color w:val="000000"/>
          <w:szCs w:val="22"/>
        </w:rPr>
        <w:t xml:space="preserve">合同附件二  </w:t>
      </w:r>
      <w:r>
        <w:rPr>
          <w:rFonts w:hint="eastAsia" w:ascii="宋体" w:hAnsi="宋体" w:eastAsia="宋体" w:cs="Times New Roman"/>
          <w:color w:val="000000"/>
          <w:szCs w:val="22"/>
        </w:rPr>
        <w:t>合同价</w:t>
      </w:r>
      <w:r>
        <w:rPr>
          <w:rFonts w:hint="eastAsia" w:ascii="宋体" w:hAnsi="宋体" w:eastAsia="宋体" w:cs="Times New Roman"/>
          <w:color w:val="000000"/>
          <w:szCs w:val="22"/>
          <w:lang w:val="en-US" w:eastAsia="zh-CN"/>
        </w:rPr>
        <w:t>款</w:t>
      </w:r>
      <w:r>
        <w:rPr>
          <w:rFonts w:hint="eastAsia" w:ascii="宋体" w:hAnsi="宋体" w:eastAsia="宋体" w:cs="Times New Roman"/>
          <w:color w:val="000000"/>
          <w:szCs w:val="22"/>
        </w:rPr>
        <w:t>构成清单</w:t>
      </w:r>
    </w:p>
    <w:p w14:paraId="61F1758C">
      <w:pPr>
        <w:adjustRightInd w:val="0"/>
        <w:spacing w:line="360" w:lineRule="auto"/>
        <w:ind w:firstLine="840" w:firstLineChars="400"/>
        <w:rPr>
          <w:rFonts w:hint="eastAsia" w:ascii="宋体" w:hAnsi="宋体" w:eastAsia="宋体" w:cs="Times New Roman"/>
          <w:snapToGrid w:val="0"/>
          <w:color w:val="000000"/>
          <w:szCs w:val="22"/>
        </w:rPr>
      </w:pPr>
      <w:r>
        <w:rPr>
          <w:rFonts w:hint="eastAsia" w:ascii="宋体" w:hAnsi="宋体" w:eastAsia="宋体" w:cs="Times New Roman"/>
          <w:snapToGrid w:val="0"/>
          <w:color w:val="000000"/>
          <w:szCs w:val="22"/>
        </w:rPr>
        <w:t xml:space="preserve">合同附件三 </w:t>
      </w:r>
      <w:r>
        <w:rPr>
          <w:rFonts w:ascii="宋体" w:hAnsi="宋体" w:eastAsia="宋体" w:cs="Times New Roman"/>
          <w:snapToGrid w:val="0"/>
          <w:color w:val="000000"/>
          <w:szCs w:val="22"/>
        </w:rPr>
        <w:t xml:space="preserve"> </w:t>
      </w:r>
      <w:r>
        <w:rPr>
          <w:rFonts w:hint="eastAsia" w:ascii="宋体" w:hAnsi="宋体" w:eastAsia="宋体" w:cs="Times New Roman"/>
          <w:snapToGrid w:val="0"/>
          <w:color w:val="000000"/>
          <w:szCs w:val="22"/>
        </w:rPr>
        <w:t>廉洁协议</w:t>
      </w:r>
    </w:p>
    <w:p w14:paraId="4681A79A">
      <w:pPr>
        <w:widowControl w:val="0"/>
        <w:spacing w:after="120"/>
        <w:ind w:firstLine="210" w:firstLineChars="100"/>
        <w:jc w:val="both"/>
        <w:rPr>
          <w:rFonts w:hint="eastAsia" w:ascii="Times New Roman" w:hAnsi="Times New Roman" w:eastAsia="宋体" w:cs="Times New Roman"/>
          <w:kern w:val="2"/>
          <w:sz w:val="21"/>
          <w:szCs w:val="22"/>
          <w:lang w:val="en-US" w:eastAsia="zh-CN" w:bidi="ar-SA"/>
        </w:rPr>
      </w:pPr>
    </w:p>
    <w:p w14:paraId="64473E5E">
      <w:pPr>
        <w:spacing w:line="360" w:lineRule="auto"/>
        <w:rPr>
          <w:rFonts w:hint="eastAsia" w:ascii="仿宋" w:hAnsi="仿宋" w:eastAsia="仿宋" w:cs="仿宋"/>
          <w:sz w:val="24"/>
          <w:szCs w:val="24"/>
        </w:rPr>
      </w:pPr>
    </w:p>
    <w:p w14:paraId="69A07548">
      <w:pPr>
        <w:spacing w:line="360" w:lineRule="auto"/>
        <w:rPr>
          <w:rFonts w:ascii="宋体" w:hAnsi="宋体" w:eastAsia="宋体" w:cs="Times New Roman"/>
          <w:snapToGrid w:val="0"/>
          <w:color w:val="000000"/>
          <w:szCs w:val="22"/>
        </w:rPr>
      </w:pPr>
      <w:r>
        <w:rPr>
          <w:rFonts w:hint="eastAsia" w:ascii="宋体" w:hAnsi="宋体" w:eastAsia="宋体" w:cs="Times New Roman"/>
          <w:snapToGrid w:val="0"/>
          <w:color w:val="000000"/>
          <w:szCs w:val="22"/>
        </w:rPr>
        <w:t xml:space="preserve">甲方：长沙穗城轨道交通有限公司       </w:t>
      </w:r>
      <w:r>
        <w:rPr>
          <w:rFonts w:ascii="宋体" w:hAnsi="宋体" w:eastAsia="宋体" w:cs="Times New Roman"/>
          <w:snapToGrid w:val="0"/>
          <w:color w:val="000000"/>
          <w:szCs w:val="22"/>
        </w:rPr>
        <w:t xml:space="preserve">     </w:t>
      </w:r>
      <w:r>
        <w:rPr>
          <w:rFonts w:hint="eastAsia" w:ascii="宋体" w:hAnsi="宋体" w:eastAsia="宋体" w:cs="Times New Roman"/>
          <w:snapToGrid w:val="0"/>
          <w:color w:val="000000"/>
          <w:szCs w:val="22"/>
        </w:rPr>
        <w:t>乙方：</w:t>
      </w:r>
    </w:p>
    <w:p w14:paraId="1F20F3EE">
      <w:pPr>
        <w:spacing w:line="360" w:lineRule="auto"/>
        <w:ind w:firstLine="1260" w:firstLineChars="600"/>
        <w:rPr>
          <w:rFonts w:hint="eastAsia" w:ascii="宋体" w:hAnsi="宋体" w:eastAsia="宋体" w:cs="Times New Roman"/>
          <w:snapToGrid w:val="0"/>
          <w:color w:val="000000"/>
          <w:szCs w:val="22"/>
        </w:rPr>
      </w:pPr>
      <w:r>
        <w:rPr>
          <w:rFonts w:hint="eastAsia" w:ascii="宋体" w:hAnsi="宋体" w:eastAsia="宋体" w:cs="Times New Roman"/>
          <w:snapToGrid w:val="0"/>
          <w:color w:val="000000"/>
          <w:szCs w:val="22"/>
        </w:rPr>
        <w:t xml:space="preserve"> （盖章）                     </w:t>
      </w:r>
      <w:r>
        <w:rPr>
          <w:rFonts w:ascii="宋体" w:hAnsi="宋体" w:eastAsia="宋体" w:cs="Times New Roman"/>
          <w:snapToGrid w:val="0"/>
          <w:color w:val="000000"/>
          <w:szCs w:val="22"/>
        </w:rPr>
        <w:t xml:space="preserve">         </w:t>
      </w:r>
      <w:r>
        <w:rPr>
          <w:rFonts w:hint="eastAsia" w:ascii="宋体" w:hAnsi="宋体" w:eastAsia="宋体" w:cs="Times New Roman"/>
          <w:snapToGrid w:val="0"/>
          <w:color w:val="000000"/>
          <w:szCs w:val="22"/>
        </w:rPr>
        <w:t>（盖章）</w:t>
      </w:r>
    </w:p>
    <w:p w14:paraId="6F52F299">
      <w:pPr>
        <w:spacing w:line="360" w:lineRule="auto"/>
        <w:jc w:val="left"/>
        <w:rPr>
          <w:rFonts w:ascii="宋体" w:hAnsi="宋体" w:eastAsia="宋体" w:cs="Times New Roman"/>
          <w:snapToGrid w:val="0"/>
          <w:color w:val="000000"/>
          <w:szCs w:val="22"/>
        </w:rPr>
      </w:pPr>
      <w:r>
        <w:rPr>
          <w:rFonts w:hint="eastAsia" w:ascii="宋体" w:hAnsi="宋体" w:eastAsia="宋体" w:cs="Times New Roman"/>
          <w:snapToGrid w:val="0"/>
          <w:color w:val="000000"/>
          <w:szCs w:val="22"/>
        </w:rPr>
        <w:t xml:space="preserve">法定代表人或授权代表签字：        </w:t>
      </w:r>
      <w:r>
        <w:rPr>
          <w:rFonts w:ascii="宋体" w:hAnsi="宋体" w:eastAsia="宋体" w:cs="Times New Roman"/>
          <w:snapToGrid w:val="0"/>
          <w:color w:val="000000"/>
          <w:szCs w:val="22"/>
        </w:rPr>
        <w:t xml:space="preserve">        </w:t>
      </w:r>
      <w:r>
        <w:rPr>
          <w:rFonts w:hint="eastAsia" w:ascii="宋体" w:hAnsi="宋体" w:eastAsia="宋体" w:cs="Times New Roman"/>
          <w:snapToGrid w:val="0"/>
          <w:color w:val="000000"/>
          <w:szCs w:val="22"/>
        </w:rPr>
        <w:t xml:space="preserve">法定代表人或授权代表签字：                         </w:t>
      </w:r>
    </w:p>
    <w:p w14:paraId="4E24A0FE">
      <w:pPr>
        <w:spacing w:line="360" w:lineRule="auto"/>
        <w:jc w:val="left"/>
        <w:rPr>
          <w:rFonts w:ascii="宋体" w:hAnsi="宋体" w:eastAsia="宋体" w:cs="Times New Roman"/>
          <w:snapToGrid w:val="0"/>
          <w:color w:val="000000"/>
          <w:szCs w:val="22"/>
        </w:rPr>
      </w:pPr>
    </w:p>
    <w:p w14:paraId="13C6A0DA">
      <w:pPr>
        <w:spacing w:line="360" w:lineRule="auto"/>
        <w:jc w:val="left"/>
        <w:rPr>
          <w:rFonts w:ascii="宋体" w:hAnsi="宋体" w:eastAsia="宋体" w:cs="Times New Roman"/>
          <w:snapToGrid w:val="0"/>
          <w:color w:val="000000"/>
          <w:szCs w:val="22"/>
        </w:rPr>
      </w:pPr>
      <w:r>
        <w:rPr>
          <w:rFonts w:hint="eastAsia" w:ascii="宋体" w:hAnsi="宋体" w:eastAsia="宋体" w:cs="Times New Roman"/>
          <w:snapToGrid w:val="0"/>
          <w:color w:val="000000"/>
          <w:szCs w:val="22"/>
        </w:rPr>
        <w:t xml:space="preserve">时间： </w:t>
      </w:r>
      <w:r>
        <w:rPr>
          <w:rFonts w:ascii="宋体" w:hAnsi="宋体" w:eastAsia="宋体" w:cs="Times New Roman"/>
          <w:snapToGrid w:val="0"/>
          <w:color w:val="000000"/>
          <w:szCs w:val="22"/>
        </w:rPr>
        <w:t xml:space="preserve">     年</w:t>
      </w:r>
      <w:r>
        <w:rPr>
          <w:rFonts w:hint="eastAsia" w:ascii="宋体" w:hAnsi="宋体" w:eastAsia="宋体" w:cs="Times New Roman"/>
          <w:snapToGrid w:val="0"/>
          <w:color w:val="000000"/>
          <w:szCs w:val="22"/>
        </w:rPr>
        <w:t xml:space="preserve"> </w:t>
      </w:r>
      <w:r>
        <w:rPr>
          <w:rFonts w:ascii="宋体" w:hAnsi="宋体" w:eastAsia="宋体" w:cs="Times New Roman"/>
          <w:snapToGrid w:val="0"/>
          <w:color w:val="000000"/>
          <w:szCs w:val="22"/>
        </w:rPr>
        <w:t xml:space="preserve"> </w:t>
      </w:r>
      <w:r>
        <w:rPr>
          <w:rFonts w:hint="eastAsia" w:ascii="宋体" w:hAnsi="宋体" w:eastAsia="宋体" w:cs="Times New Roman"/>
          <w:snapToGrid w:val="0"/>
          <w:color w:val="000000"/>
          <w:szCs w:val="22"/>
        </w:rPr>
        <w:t xml:space="preserve"> </w:t>
      </w:r>
      <w:r>
        <w:rPr>
          <w:rFonts w:ascii="宋体" w:hAnsi="宋体" w:eastAsia="宋体" w:cs="Times New Roman"/>
          <w:snapToGrid w:val="0"/>
          <w:color w:val="000000"/>
          <w:szCs w:val="22"/>
        </w:rPr>
        <w:t xml:space="preserve"> 月</w:t>
      </w:r>
      <w:r>
        <w:rPr>
          <w:rFonts w:hint="eastAsia" w:ascii="宋体" w:hAnsi="宋体" w:eastAsia="宋体" w:cs="Times New Roman"/>
          <w:snapToGrid w:val="0"/>
          <w:color w:val="000000"/>
          <w:szCs w:val="22"/>
        </w:rPr>
        <w:t xml:space="preserve"> </w:t>
      </w:r>
      <w:r>
        <w:rPr>
          <w:rFonts w:ascii="宋体" w:hAnsi="宋体" w:eastAsia="宋体" w:cs="Times New Roman"/>
          <w:snapToGrid w:val="0"/>
          <w:color w:val="000000"/>
          <w:szCs w:val="22"/>
        </w:rPr>
        <w:t xml:space="preserve"> </w:t>
      </w:r>
      <w:r>
        <w:rPr>
          <w:rFonts w:hint="eastAsia" w:ascii="宋体" w:hAnsi="宋体" w:eastAsia="宋体" w:cs="Times New Roman"/>
          <w:snapToGrid w:val="0"/>
          <w:color w:val="000000"/>
          <w:szCs w:val="22"/>
        </w:rPr>
        <w:t xml:space="preserve"> </w:t>
      </w:r>
      <w:r>
        <w:rPr>
          <w:rFonts w:ascii="宋体" w:hAnsi="宋体" w:eastAsia="宋体" w:cs="Times New Roman"/>
          <w:snapToGrid w:val="0"/>
          <w:color w:val="000000"/>
          <w:szCs w:val="22"/>
        </w:rPr>
        <w:t xml:space="preserve"> 日</w:t>
      </w:r>
      <w:r>
        <w:rPr>
          <w:rFonts w:hint="eastAsia" w:ascii="宋体" w:hAnsi="宋体" w:eastAsia="宋体" w:cs="Times New Roman"/>
          <w:snapToGrid w:val="0"/>
          <w:color w:val="000000"/>
          <w:szCs w:val="22"/>
        </w:rPr>
        <w:t xml:space="preserve">                 </w:t>
      </w:r>
      <w:r>
        <w:rPr>
          <w:rFonts w:ascii="宋体" w:hAnsi="宋体" w:eastAsia="宋体" w:cs="Times New Roman"/>
          <w:snapToGrid w:val="0"/>
          <w:color w:val="000000"/>
          <w:szCs w:val="22"/>
        </w:rPr>
        <w:t xml:space="preserve">     </w:t>
      </w:r>
      <w:r>
        <w:rPr>
          <w:rFonts w:hint="eastAsia" w:ascii="宋体" w:hAnsi="宋体" w:eastAsia="宋体" w:cs="Times New Roman"/>
          <w:snapToGrid w:val="0"/>
          <w:color w:val="000000"/>
          <w:szCs w:val="22"/>
        </w:rPr>
        <w:t xml:space="preserve">时间： </w:t>
      </w:r>
      <w:r>
        <w:rPr>
          <w:rFonts w:ascii="宋体" w:hAnsi="宋体" w:eastAsia="宋体" w:cs="Times New Roman"/>
          <w:snapToGrid w:val="0"/>
          <w:color w:val="000000"/>
          <w:szCs w:val="22"/>
        </w:rPr>
        <w:t xml:space="preserve">     年</w:t>
      </w:r>
      <w:r>
        <w:rPr>
          <w:rFonts w:hint="eastAsia" w:ascii="宋体" w:hAnsi="宋体" w:eastAsia="宋体" w:cs="Times New Roman"/>
          <w:snapToGrid w:val="0"/>
          <w:color w:val="000000"/>
          <w:szCs w:val="22"/>
        </w:rPr>
        <w:t xml:space="preserve"> </w:t>
      </w:r>
      <w:r>
        <w:rPr>
          <w:rFonts w:ascii="宋体" w:hAnsi="宋体" w:eastAsia="宋体" w:cs="Times New Roman"/>
          <w:snapToGrid w:val="0"/>
          <w:color w:val="000000"/>
          <w:szCs w:val="22"/>
        </w:rPr>
        <w:t xml:space="preserve">  月</w:t>
      </w:r>
      <w:r>
        <w:rPr>
          <w:rFonts w:hint="eastAsia" w:ascii="宋体" w:hAnsi="宋体" w:eastAsia="宋体" w:cs="Times New Roman"/>
          <w:snapToGrid w:val="0"/>
          <w:color w:val="000000"/>
          <w:szCs w:val="22"/>
        </w:rPr>
        <w:t xml:space="preserve"> </w:t>
      </w:r>
      <w:r>
        <w:rPr>
          <w:rFonts w:ascii="宋体" w:hAnsi="宋体" w:eastAsia="宋体" w:cs="Times New Roman"/>
          <w:snapToGrid w:val="0"/>
          <w:color w:val="000000"/>
          <w:szCs w:val="22"/>
        </w:rPr>
        <w:t xml:space="preserve">   日</w:t>
      </w:r>
    </w:p>
    <w:p w14:paraId="1FF343BD">
      <w:pPr>
        <w:keepNext/>
        <w:keepLines/>
        <w:widowControl w:val="0"/>
        <w:numPr>
          <w:ilvl w:val="0"/>
          <w:numId w:val="0"/>
        </w:numPr>
        <w:adjustRightInd w:val="0"/>
        <w:snapToGrid w:val="0"/>
        <w:spacing w:before="0" w:after="0" w:line="360" w:lineRule="auto"/>
        <w:jc w:val="both"/>
        <w:outlineLvl w:val="1"/>
        <w:rPr>
          <w:rFonts w:hint="eastAsia" w:ascii="黑体" w:hAnsi="黑体" w:eastAsia="黑体" w:cs="Times New Roman"/>
          <w:b w:val="0"/>
          <w:snapToGrid w:val="0"/>
          <w:color w:val="000000"/>
          <w:kern w:val="0"/>
          <w:sz w:val="24"/>
          <w:szCs w:val="24"/>
          <w:lang w:val="en-US" w:eastAsia="zh-CN" w:bidi="ar-SA"/>
        </w:rPr>
      </w:pPr>
      <w:r>
        <w:rPr>
          <w:rFonts w:ascii="黑体" w:hAnsi="Times New Roman" w:eastAsia="黑体" w:cs="Times New Roman"/>
          <w:b/>
          <w:snapToGrid w:val="0"/>
          <w:color w:val="000000"/>
          <w:kern w:val="0"/>
          <w:sz w:val="28"/>
          <w:szCs w:val="28"/>
          <w:lang w:val="en-US" w:eastAsia="zh-CN" w:bidi="ar-SA"/>
        </w:rPr>
        <w:br w:type="page"/>
      </w:r>
      <w:r>
        <w:rPr>
          <w:rFonts w:hint="eastAsia" w:ascii="黑体" w:hAnsi="黑体" w:eastAsia="黑体" w:cs="Times New Roman"/>
          <w:b w:val="0"/>
          <w:snapToGrid w:val="0"/>
          <w:color w:val="000000"/>
          <w:kern w:val="0"/>
          <w:sz w:val="24"/>
          <w:szCs w:val="24"/>
          <w:lang w:val="en-US" w:eastAsia="zh-CN" w:bidi="ar-SA"/>
        </w:rPr>
        <w:t>附件一</w:t>
      </w:r>
    </w:p>
    <w:p w14:paraId="33C636D6">
      <w:pPr>
        <w:tabs>
          <w:tab w:val="left" w:pos="8364"/>
        </w:tabs>
        <w:adjustRightInd w:val="0"/>
        <w:snapToGrid w:val="0"/>
        <w:spacing w:line="360" w:lineRule="auto"/>
        <w:jc w:val="center"/>
        <w:outlineLvl w:val="2"/>
        <w:rPr>
          <w:rFonts w:hint="eastAsia" w:ascii="黑体" w:hAnsi="黑体" w:eastAsia="黑体" w:cs="Times New Roman"/>
          <w:b/>
          <w:snapToGrid/>
          <w:color w:val="0D0D0D"/>
          <w:kern w:val="2"/>
          <w:sz w:val="28"/>
          <w:szCs w:val="32"/>
          <w:highlight w:val="none"/>
          <w:u w:val="none"/>
        </w:rPr>
      </w:pPr>
      <w:r>
        <w:rPr>
          <w:rFonts w:hint="eastAsia" w:ascii="黑体" w:hAnsi="黑体" w:eastAsia="黑体" w:cs="Times New Roman"/>
          <w:b/>
          <w:snapToGrid/>
          <w:color w:val="0D0D0D"/>
          <w:kern w:val="2"/>
          <w:sz w:val="28"/>
          <w:szCs w:val="32"/>
          <w:highlight w:val="none"/>
          <w:u w:val="none"/>
        </w:rPr>
        <w:t>用户需求书</w:t>
      </w:r>
    </w:p>
    <w:p w14:paraId="22676998">
      <w:pPr>
        <w:keepNext w:val="0"/>
        <w:keepLines w:val="0"/>
        <w:pageBreakBefore w:val="0"/>
        <w:widowControl w:val="0"/>
        <w:kinsoku/>
        <w:wordWrap/>
        <w:overflowPunct w:val="0"/>
        <w:topLinePunct w:val="0"/>
        <w:autoSpaceDE w:val="0"/>
        <w:autoSpaceDN w:val="0"/>
        <w:bidi w:val="0"/>
        <w:adjustRightInd w:val="0"/>
        <w:snapToGrid w:val="0"/>
        <w:spacing w:line="360" w:lineRule="auto"/>
        <w:ind w:firstLine="422" w:firstLineChars="200"/>
        <w:jc w:val="both"/>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一、项目概况</w:t>
      </w:r>
    </w:p>
    <w:p w14:paraId="14741F88">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（一）项目名称：2025年长沙穗城轨道交通有限公司员工体检项目</w:t>
      </w:r>
    </w:p>
    <w:p w14:paraId="2EF0F7C1">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（二）实施内容：对长沙穗城轨道交通有限公司年度员工体检服务单位进行公开</w:t>
      </w:r>
      <w:r>
        <w:rPr>
          <w:rFonts w:hint="eastAsia" w:ascii="宋体" w:hAnsi="宋体" w:eastAsia="宋体" w:cs="Times New Roman"/>
          <w:color w:val="000000"/>
          <w:szCs w:val="21"/>
          <w:lang w:eastAsia="zh-CN"/>
        </w:rPr>
        <w:t>招标</w:t>
      </w:r>
      <w:r>
        <w:rPr>
          <w:rFonts w:hint="eastAsia" w:ascii="宋体" w:hAnsi="宋体" w:eastAsia="宋体" w:cs="Times New Roman"/>
          <w:color w:val="000000"/>
          <w:szCs w:val="21"/>
        </w:rPr>
        <w:t>，选择两家定点体检机构或医院。</w:t>
      </w:r>
    </w:p>
    <w:p w14:paraId="6D0B203A">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（三）服务期限：</w:t>
      </w:r>
      <w:r>
        <w:rPr>
          <w:rFonts w:hint="eastAsia" w:ascii="宋体" w:hAnsi="宋体" w:eastAsia="宋体" w:cs="Times New Roman"/>
          <w:color w:val="000000"/>
          <w:szCs w:val="21"/>
          <w:lang w:val="en-US" w:eastAsia="zh-CN"/>
        </w:rPr>
        <w:t>3</w:t>
      </w:r>
      <w:r>
        <w:rPr>
          <w:rFonts w:hint="eastAsia" w:ascii="宋体" w:hAnsi="宋体" w:eastAsia="宋体" w:cs="Times New Roman"/>
          <w:color w:val="000000"/>
          <w:szCs w:val="21"/>
        </w:rPr>
        <w:t>年，</w:t>
      </w:r>
      <w:r>
        <w:rPr>
          <w:rFonts w:hint="eastAsia" w:ascii="宋体" w:hAnsi="宋体" w:eastAsia="宋体" w:cs="Times New Roman"/>
          <w:color w:val="000000"/>
          <w:szCs w:val="21"/>
          <w:lang w:eastAsia="zh-CN"/>
        </w:rPr>
        <w:t>中标</w:t>
      </w:r>
      <w:r>
        <w:rPr>
          <w:rFonts w:hint="eastAsia" w:ascii="宋体" w:hAnsi="宋体" w:eastAsia="宋体" w:cs="Times New Roman"/>
          <w:color w:val="000000"/>
          <w:szCs w:val="21"/>
        </w:rPr>
        <w:t>单位与</w:t>
      </w:r>
      <w:r>
        <w:rPr>
          <w:rFonts w:hint="eastAsia" w:ascii="宋体" w:hAnsi="宋体" w:eastAsia="宋体" w:cs="Times New Roman"/>
          <w:color w:val="000000"/>
          <w:szCs w:val="21"/>
          <w:lang w:eastAsia="zh-CN"/>
        </w:rPr>
        <w:t>招标</w:t>
      </w:r>
      <w:r>
        <w:rPr>
          <w:rFonts w:hint="eastAsia" w:ascii="宋体" w:hAnsi="宋体" w:eastAsia="宋体" w:cs="Times New Roman"/>
          <w:color w:val="000000"/>
          <w:szCs w:val="21"/>
        </w:rPr>
        <w:t>人签订合同，承担</w:t>
      </w:r>
      <w:r>
        <w:rPr>
          <w:rFonts w:hint="eastAsia" w:ascii="宋体" w:hAnsi="宋体" w:eastAsia="宋体" w:cs="Times New Roman"/>
          <w:color w:val="000000"/>
          <w:szCs w:val="21"/>
          <w:lang w:eastAsia="zh-CN"/>
        </w:rPr>
        <w:t>招标</w:t>
      </w:r>
      <w:r>
        <w:rPr>
          <w:rFonts w:hint="eastAsia" w:ascii="宋体" w:hAnsi="宋体" w:eastAsia="宋体" w:cs="Times New Roman"/>
          <w:color w:val="000000"/>
          <w:szCs w:val="21"/>
        </w:rPr>
        <w:t>人员工</w:t>
      </w:r>
      <w:bookmarkStart w:id="17" w:name="_GoBack"/>
      <w:r>
        <w:rPr>
          <w:rFonts w:hint="eastAsia" w:ascii="宋体" w:hAnsi="宋体" w:eastAsia="宋体" w:cs="Times New Roman"/>
          <w:color w:val="000000"/>
          <w:szCs w:val="21"/>
          <w:lang w:eastAsia="zh-CN"/>
        </w:rPr>
        <w:t>2025</w:t>
      </w:r>
      <w:bookmarkEnd w:id="17"/>
      <w:r>
        <w:rPr>
          <w:rFonts w:hint="eastAsia" w:ascii="宋体" w:hAnsi="宋体" w:eastAsia="宋体" w:cs="Times New Roman"/>
          <w:color w:val="000000"/>
          <w:szCs w:val="21"/>
          <w:lang w:eastAsia="zh-CN"/>
        </w:rPr>
        <w:t>-2027年</w:t>
      </w:r>
      <w:r>
        <w:rPr>
          <w:rFonts w:hint="eastAsia" w:ascii="宋体" w:hAnsi="宋体" w:eastAsia="宋体" w:cs="Times New Roman"/>
          <w:color w:val="000000"/>
          <w:szCs w:val="21"/>
        </w:rPr>
        <w:t>体检项目服务工作。</w:t>
      </w:r>
    </w:p>
    <w:p w14:paraId="10472C22">
      <w:pPr>
        <w:keepNext w:val="0"/>
        <w:keepLines w:val="0"/>
        <w:pageBreakBefore w:val="0"/>
        <w:widowControl w:val="0"/>
        <w:kinsoku/>
        <w:wordWrap/>
        <w:overflowPunct w:val="0"/>
        <w:topLinePunct w:val="0"/>
        <w:autoSpaceDE w:val="0"/>
        <w:autoSpaceDN w:val="0"/>
        <w:bidi w:val="0"/>
        <w:adjustRightInd w:val="0"/>
        <w:snapToGrid w:val="0"/>
        <w:spacing w:line="360" w:lineRule="auto"/>
        <w:ind w:firstLine="422" w:firstLineChars="200"/>
        <w:jc w:val="both"/>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二、体检项目</w:t>
      </w:r>
    </w:p>
    <w:p w14:paraId="589AC9A2">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（一）体检需求项目</w:t>
      </w:r>
    </w:p>
    <w:p w14:paraId="47AF7042">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体检基础项目套餐采用“1+X”模式，其中“1”为员工基础体检项目；“X”为自选体检项目，为员工按照各自体检预算标准在项目中</w:t>
      </w:r>
      <w:r>
        <w:rPr>
          <w:rFonts w:hint="eastAsia" w:ascii="宋体" w:hAnsi="宋体" w:eastAsia="宋体" w:cs="Times New Roman"/>
          <w:color w:val="000000"/>
          <w:szCs w:val="21"/>
          <w:lang w:val="en-US" w:eastAsia="zh-CN"/>
        </w:rPr>
        <w:t>标</w:t>
      </w:r>
      <w:r>
        <w:rPr>
          <w:rFonts w:hint="eastAsia" w:ascii="宋体" w:hAnsi="宋体" w:eastAsia="宋体" w:cs="Times New Roman"/>
          <w:color w:val="000000"/>
          <w:szCs w:val="21"/>
        </w:rPr>
        <w:t>择的个性化体检项目，详见附件。</w:t>
      </w:r>
    </w:p>
    <w:p w14:paraId="7648E2F6">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（二）体检时间：每年9月启动，具体以合同签订后双方约定的体检时间为准。</w:t>
      </w:r>
    </w:p>
    <w:p w14:paraId="75567C5F">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（三）体检人数：按3年预计参加体检的职工总人数为2685人（2025年853人，2026年886人，2027年946人）。参加体检人数具体以体检人员自行选择为准。</w:t>
      </w:r>
    </w:p>
    <w:p w14:paraId="520450DE">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（四）员工体检费用标准</w:t>
      </w:r>
    </w:p>
    <w:p w14:paraId="766DB577">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1.超过40岁的男员工为1308元/人;</w:t>
      </w:r>
    </w:p>
    <w:p w14:paraId="14DADA24">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2.超过40岁的女员工为1179元/人;</w:t>
      </w:r>
    </w:p>
    <w:p w14:paraId="65D68E99">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3.40岁及以下的男员工为884元/人;</w:t>
      </w:r>
    </w:p>
    <w:p w14:paraId="419E5CF2">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4.40岁及以下的女员工为954元/人；</w:t>
      </w:r>
    </w:p>
    <w:p w14:paraId="584C9A0A">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5.已婚女员工专项检查为650元/人;</w:t>
      </w:r>
    </w:p>
    <w:p w14:paraId="5B91B65B">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6.未婚女员工专项检查为300元/人。</w:t>
      </w:r>
    </w:p>
    <w:p w14:paraId="2E0EA397">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（五）预计体检人数</w:t>
      </w:r>
    </w:p>
    <w:tbl>
      <w:tblPr>
        <w:tblStyle w:val="64"/>
        <w:tblW w:w="77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0"/>
        <w:gridCol w:w="2532"/>
        <w:gridCol w:w="851"/>
        <w:gridCol w:w="1096"/>
        <w:gridCol w:w="1398"/>
        <w:gridCol w:w="1310"/>
      </w:tblGrid>
      <w:tr w14:paraId="70CB1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610" w:type="dxa"/>
            <w:vMerge w:val="restart"/>
            <w:tcBorders>
              <w:top w:val="single" w:color="000000" w:sz="4" w:space="0"/>
              <w:left w:val="single" w:color="000000" w:sz="4" w:space="0"/>
              <w:right w:val="single" w:color="000000" w:sz="4" w:space="0"/>
            </w:tcBorders>
            <w:noWrap/>
            <w:vAlign w:val="center"/>
          </w:tcPr>
          <w:p w14:paraId="5AFE4519">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532" w:type="dxa"/>
            <w:vMerge w:val="restart"/>
            <w:tcBorders>
              <w:top w:val="single" w:color="000000" w:sz="4" w:space="0"/>
              <w:left w:val="single" w:color="000000" w:sz="4" w:space="0"/>
              <w:right w:val="single" w:color="000000" w:sz="4" w:space="0"/>
            </w:tcBorders>
            <w:noWrap/>
            <w:vAlign w:val="center"/>
          </w:tcPr>
          <w:p w14:paraId="6CE72164">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年龄段</w:t>
            </w:r>
          </w:p>
        </w:tc>
        <w:tc>
          <w:tcPr>
            <w:tcW w:w="851" w:type="dxa"/>
            <w:vMerge w:val="restart"/>
            <w:tcBorders>
              <w:top w:val="single" w:color="000000" w:sz="4" w:space="0"/>
              <w:left w:val="single" w:color="000000" w:sz="4" w:space="0"/>
              <w:right w:val="single" w:color="000000" w:sz="4" w:space="0"/>
            </w:tcBorders>
            <w:noWrap/>
            <w:vAlign w:val="center"/>
          </w:tcPr>
          <w:p w14:paraId="63EBEF7F">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婚姻情况</w:t>
            </w:r>
          </w:p>
        </w:tc>
        <w:tc>
          <w:tcPr>
            <w:tcW w:w="3804" w:type="dxa"/>
            <w:gridSpan w:val="3"/>
            <w:tcBorders>
              <w:top w:val="single" w:color="000000" w:sz="4" w:space="0"/>
              <w:left w:val="single" w:color="000000" w:sz="4" w:space="0"/>
              <w:bottom w:val="single" w:color="000000" w:sz="4" w:space="0"/>
              <w:right w:val="single" w:color="000000" w:sz="4" w:space="0"/>
            </w:tcBorders>
            <w:noWrap/>
            <w:vAlign w:val="center"/>
          </w:tcPr>
          <w:p w14:paraId="39CB7FEB">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体检人数（人）</w:t>
            </w:r>
          </w:p>
        </w:tc>
      </w:tr>
      <w:tr w14:paraId="57554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610" w:type="dxa"/>
            <w:vMerge w:val="continue"/>
            <w:tcBorders>
              <w:left w:val="single" w:color="000000" w:sz="4" w:space="0"/>
              <w:bottom w:val="single" w:color="000000" w:sz="4" w:space="0"/>
              <w:right w:val="single" w:color="000000" w:sz="4" w:space="0"/>
            </w:tcBorders>
            <w:noWrap/>
            <w:vAlign w:val="center"/>
          </w:tcPr>
          <w:p w14:paraId="3BA33C22">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2532" w:type="dxa"/>
            <w:vMerge w:val="continue"/>
            <w:tcBorders>
              <w:left w:val="single" w:color="000000" w:sz="4" w:space="0"/>
              <w:bottom w:val="single" w:color="000000" w:sz="4" w:space="0"/>
              <w:right w:val="single" w:color="000000" w:sz="4" w:space="0"/>
            </w:tcBorders>
            <w:noWrap/>
            <w:vAlign w:val="center"/>
          </w:tcPr>
          <w:p w14:paraId="252A94DF">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51" w:type="dxa"/>
            <w:vMerge w:val="continue"/>
            <w:tcBorders>
              <w:left w:val="single" w:color="000000" w:sz="4" w:space="0"/>
              <w:bottom w:val="single" w:color="000000" w:sz="4" w:space="0"/>
              <w:right w:val="single" w:color="000000" w:sz="4" w:space="0"/>
            </w:tcBorders>
            <w:noWrap/>
            <w:vAlign w:val="center"/>
          </w:tcPr>
          <w:p w14:paraId="5A18B3A5">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6" w:type="dxa"/>
            <w:tcBorders>
              <w:top w:val="single" w:color="000000" w:sz="4" w:space="0"/>
              <w:left w:val="single" w:color="000000" w:sz="4" w:space="0"/>
              <w:bottom w:val="single" w:color="000000" w:sz="4" w:space="0"/>
              <w:right w:val="single" w:color="000000" w:sz="4" w:space="0"/>
            </w:tcBorders>
            <w:noWrap/>
            <w:vAlign w:val="center"/>
          </w:tcPr>
          <w:p w14:paraId="563E9CF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2025年</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6DE9BE1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2026年</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0CB1221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2027年</w:t>
            </w:r>
          </w:p>
        </w:tc>
      </w:tr>
      <w:tr w14:paraId="6A525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610" w:type="dxa"/>
            <w:tcBorders>
              <w:top w:val="single" w:color="000000" w:sz="4" w:space="0"/>
              <w:left w:val="single" w:color="000000" w:sz="4" w:space="0"/>
              <w:bottom w:val="single" w:color="000000" w:sz="4" w:space="0"/>
              <w:right w:val="single" w:color="000000" w:sz="4" w:space="0"/>
            </w:tcBorders>
            <w:noWrap/>
            <w:vAlign w:val="center"/>
          </w:tcPr>
          <w:p w14:paraId="2C06C16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2532" w:type="dxa"/>
            <w:tcBorders>
              <w:top w:val="single" w:color="000000" w:sz="4" w:space="0"/>
              <w:left w:val="single" w:color="000000" w:sz="4" w:space="0"/>
              <w:bottom w:val="single" w:color="000000" w:sz="4" w:space="0"/>
              <w:right w:val="single" w:color="000000" w:sz="4" w:space="0"/>
            </w:tcBorders>
            <w:noWrap/>
            <w:vAlign w:val="center"/>
          </w:tcPr>
          <w:p w14:paraId="6079FE9D">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超过40岁的男员工</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12D32345">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14:paraId="4CFAC94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28</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0331ADD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35</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424AC14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51</w:t>
            </w:r>
          </w:p>
        </w:tc>
      </w:tr>
      <w:tr w14:paraId="6DDB4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610" w:type="dxa"/>
            <w:tcBorders>
              <w:top w:val="single" w:color="000000" w:sz="4" w:space="0"/>
              <w:left w:val="single" w:color="000000" w:sz="4" w:space="0"/>
              <w:bottom w:val="single" w:color="000000" w:sz="4" w:space="0"/>
              <w:right w:val="single" w:color="000000" w:sz="4" w:space="0"/>
            </w:tcBorders>
            <w:noWrap/>
            <w:vAlign w:val="center"/>
          </w:tcPr>
          <w:p w14:paraId="367002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532" w:type="dxa"/>
            <w:tcBorders>
              <w:top w:val="single" w:color="000000" w:sz="4" w:space="0"/>
              <w:left w:val="single" w:color="000000" w:sz="4" w:space="0"/>
              <w:bottom w:val="single" w:color="000000" w:sz="4" w:space="0"/>
              <w:right w:val="single" w:color="000000" w:sz="4" w:space="0"/>
            </w:tcBorders>
            <w:noWrap/>
            <w:vAlign w:val="center"/>
          </w:tcPr>
          <w:p w14:paraId="330FCB2C">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超过40岁的女员工</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4B756178">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已婚</w:t>
            </w:r>
          </w:p>
        </w:tc>
        <w:tc>
          <w:tcPr>
            <w:tcW w:w="1096" w:type="dxa"/>
            <w:tcBorders>
              <w:top w:val="single" w:color="000000" w:sz="4" w:space="0"/>
              <w:left w:val="single" w:color="000000" w:sz="4" w:space="0"/>
              <w:bottom w:val="single" w:color="000000" w:sz="4" w:space="0"/>
              <w:right w:val="single" w:color="000000" w:sz="4" w:space="0"/>
            </w:tcBorders>
            <w:noWrap/>
            <w:vAlign w:val="center"/>
          </w:tcPr>
          <w:p w14:paraId="79440BD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3B018FA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6A24EE3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w:t>
            </w:r>
          </w:p>
        </w:tc>
      </w:tr>
      <w:tr w14:paraId="6383B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610" w:type="dxa"/>
            <w:tcBorders>
              <w:top w:val="single" w:color="000000" w:sz="4" w:space="0"/>
              <w:left w:val="single" w:color="000000" w:sz="4" w:space="0"/>
              <w:bottom w:val="single" w:color="000000" w:sz="4" w:space="0"/>
              <w:right w:val="single" w:color="000000" w:sz="4" w:space="0"/>
            </w:tcBorders>
            <w:noWrap/>
            <w:vAlign w:val="center"/>
          </w:tcPr>
          <w:p w14:paraId="4CD33C6F">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w:t>
            </w:r>
          </w:p>
        </w:tc>
        <w:tc>
          <w:tcPr>
            <w:tcW w:w="2532" w:type="dxa"/>
            <w:tcBorders>
              <w:top w:val="single" w:color="000000" w:sz="4" w:space="0"/>
              <w:left w:val="single" w:color="000000" w:sz="4" w:space="0"/>
              <w:bottom w:val="single" w:color="000000" w:sz="4" w:space="0"/>
              <w:right w:val="single" w:color="000000" w:sz="4" w:space="0"/>
            </w:tcBorders>
            <w:noWrap/>
            <w:vAlign w:val="center"/>
          </w:tcPr>
          <w:p w14:paraId="15B1D400">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40岁及以下的男员工</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628D7003">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w:t>
            </w:r>
          </w:p>
        </w:tc>
        <w:tc>
          <w:tcPr>
            <w:tcW w:w="1096" w:type="dxa"/>
            <w:tcBorders>
              <w:top w:val="single" w:color="000000" w:sz="4" w:space="0"/>
              <w:left w:val="single" w:color="000000" w:sz="4" w:space="0"/>
              <w:bottom w:val="single" w:color="000000" w:sz="4" w:space="0"/>
              <w:right w:val="single" w:color="000000" w:sz="4" w:space="0"/>
            </w:tcBorders>
            <w:noWrap/>
            <w:vAlign w:val="center"/>
          </w:tcPr>
          <w:p w14:paraId="628F041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434</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6F336B3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439</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61F7AE6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438</w:t>
            </w:r>
          </w:p>
        </w:tc>
      </w:tr>
      <w:tr w14:paraId="2BAB6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610" w:type="dxa"/>
            <w:vMerge w:val="restart"/>
            <w:tcBorders>
              <w:top w:val="single" w:color="000000" w:sz="4" w:space="0"/>
              <w:left w:val="single" w:color="000000" w:sz="4" w:space="0"/>
              <w:right w:val="single" w:color="000000" w:sz="4" w:space="0"/>
            </w:tcBorders>
            <w:noWrap/>
            <w:vAlign w:val="center"/>
          </w:tcPr>
          <w:p w14:paraId="3DDC6B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2532" w:type="dxa"/>
            <w:vMerge w:val="restart"/>
            <w:tcBorders>
              <w:top w:val="single" w:color="000000" w:sz="4" w:space="0"/>
              <w:left w:val="single" w:color="000000" w:sz="4" w:space="0"/>
              <w:right w:val="single" w:color="000000" w:sz="4" w:space="0"/>
            </w:tcBorders>
            <w:noWrap/>
            <w:vAlign w:val="center"/>
          </w:tcPr>
          <w:p w14:paraId="73135ADE">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40岁及以下的女员工</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20690D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已婚</w:t>
            </w:r>
          </w:p>
        </w:tc>
        <w:tc>
          <w:tcPr>
            <w:tcW w:w="1096" w:type="dxa"/>
            <w:tcBorders>
              <w:top w:val="single" w:color="000000" w:sz="4" w:space="0"/>
              <w:left w:val="single" w:color="000000" w:sz="4" w:space="0"/>
              <w:bottom w:val="single" w:color="000000" w:sz="4" w:space="0"/>
              <w:right w:val="single" w:color="000000" w:sz="4" w:space="0"/>
            </w:tcBorders>
            <w:noWrap/>
            <w:vAlign w:val="center"/>
          </w:tcPr>
          <w:p w14:paraId="654D8E6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160</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16DD0CE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199</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159EBBC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259</w:t>
            </w:r>
          </w:p>
        </w:tc>
      </w:tr>
      <w:tr w14:paraId="6CD89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610" w:type="dxa"/>
            <w:vMerge w:val="continue"/>
            <w:tcBorders>
              <w:left w:val="single" w:color="000000" w:sz="4" w:space="0"/>
              <w:bottom w:val="single" w:color="000000" w:sz="4" w:space="0"/>
              <w:right w:val="single" w:color="000000" w:sz="4" w:space="0"/>
            </w:tcBorders>
            <w:noWrap/>
            <w:vAlign w:val="center"/>
          </w:tcPr>
          <w:p w14:paraId="1DA98E9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p>
        </w:tc>
        <w:tc>
          <w:tcPr>
            <w:tcW w:w="2532" w:type="dxa"/>
            <w:vMerge w:val="continue"/>
            <w:tcBorders>
              <w:left w:val="single" w:color="000000" w:sz="4" w:space="0"/>
              <w:bottom w:val="single" w:color="000000" w:sz="4" w:space="0"/>
              <w:right w:val="single" w:color="000000" w:sz="4" w:space="0"/>
            </w:tcBorders>
            <w:noWrap/>
            <w:vAlign w:val="center"/>
          </w:tcPr>
          <w:p w14:paraId="3F5B387D">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7C90363E">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未婚</w:t>
            </w:r>
          </w:p>
        </w:tc>
        <w:tc>
          <w:tcPr>
            <w:tcW w:w="1096" w:type="dxa"/>
            <w:tcBorders>
              <w:top w:val="single" w:color="000000" w:sz="4" w:space="0"/>
              <w:left w:val="single" w:color="000000" w:sz="4" w:space="0"/>
              <w:bottom w:val="single" w:color="000000" w:sz="4" w:space="0"/>
              <w:right w:val="single" w:color="000000" w:sz="4" w:space="0"/>
            </w:tcBorders>
            <w:noWrap/>
            <w:vAlign w:val="center"/>
          </w:tcPr>
          <w:p w14:paraId="2E46BD5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227</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100E165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207</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0E0FC7C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178</w:t>
            </w:r>
          </w:p>
        </w:tc>
      </w:tr>
      <w:tr w14:paraId="39788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3993" w:type="dxa"/>
            <w:gridSpan w:val="3"/>
            <w:tcBorders>
              <w:top w:val="single" w:color="000000" w:sz="4" w:space="0"/>
              <w:left w:val="single" w:color="000000" w:sz="4" w:space="0"/>
              <w:bottom w:val="single" w:color="000000" w:sz="4" w:space="0"/>
              <w:right w:val="single" w:color="000000" w:sz="4" w:space="0"/>
            </w:tcBorders>
            <w:noWrap/>
            <w:vAlign w:val="center"/>
          </w:tcPr>
          <w:p w14:paraId="4F3E1F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w:t>
            </w:r>
          </w:p>
        </w:tc>
        <w:tc>
          <w:tcPr>
            <w:tcW w:w="1096" w:type="dxa"/>
            <w:tcBorders>
              <w:top w:val="single" w:color="000000" w:sz="4" w:space="0"/>
              <w:left w:val="single" w:color="000000" w:sz="4" w:space="0"/>
              <w:bottom w:val="single" w:color="000000" w:sz="4" w:space="0"/>
              <w:right w:val="single" w:color="000000" w:sz="4" w:space="0"/>
            </w:tcBorders>
            <w:noWrap/>
            <w:vAlign w:val="center"/>
          </w:tcPr>
          <w:p w14:paraId="1F8CB35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853</w:t>
            </w:r>
          </w:p>
        </w:tc>
        <w:tc>
          <w:tcPr>
            <w:tcW w:w="1398" w:type="dxa"/>
            <w:tcBorders>
              <w:top w:val="single" w:color="000000" w:sz="4" w:space="0"/>
              <w:left w:val="single" w:color="000000" w:sz="4" w:space="0"/>
              <w:bottom w:val="single" w:color="000000" w:sz="4" w:space="0"/>
              <w:right w:val="single" w:color="000000" w:sz="4" w:space="0"/>
            </w:tcBorders>
            <w:noWrap/>
            <w:vAlign w:val="center"/>
          </w:tcPr>
          <w:p w14:paraId="105771B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886</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18A9B39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946</w:t>
            </w:r>
          </w:p>
        </w:tc>
      </w:tr>
    </w:tbl>
    <w:p w14:paraId="4B3B6FBD">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p>
    <w:p w14:paraId="0CDE8B02">
      <w:pPr>
        <w:keepNext w:val="0"/>
        <w:keepLines w:val="0"/>
        <w:pageBreakBefore w:val="0"/>
        <w:widowControl w:val="0"/>
        <w:kinsoku/>
        <w:wordWrap/>
        <w:overflowPunct w:val="0"/>
        <w:topLinePunct w:val="0"/>
        <w:autoSpaceDE w:val="0"/>
        <w:autoSpaceDN w:val="0"/>
        <w:bidi w:val="0"/>
        <w:adjustRightInd w:val="0"/>
        <w:snapToGrid w:val="0"/>
        <w:spacing w:line="360" w:lineRule="auto"/>
        <w:ind w:firstLine="422" w:firstLineChars="200"/>
        <w:jc w:val="both"/>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三、项目实施要求</w:t>
      </w:r>
    </w:p>
    <w:p w14:paraId="5383CCB0">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（一）</w:t>
      </w:r>
      <w:r>
        <w:rPr>
          <w:rFonts w:hint="eastAsia" w:ascii="宋体" w:hAnsi="宋体" w:eastAsia="宋体" w:cs="Times New Roman"/>
          <w:color w:val="000000"/>
          <w:szCs w:val="21"/>
          <w:lang w:eastAsia="zh-CN"/>
        </w:rPr>
        <w:t>投标人</w:t>
      </w:r>
      <w:r>
        <w:rPr>
          <w:rFonts w:hint="eastAsia" w:ascii="宋体" w:hAnsi="宋体" w:eastAsia="宋体" w:cs="Times New Roman"/>
          <w:color w:val="000000"/>
          <w:szCs w:val="21"/>
        </w:rPr>
        <w:t>在投标过程中发生的一切费用，无论中标与否，均由</w:t>
      </w:r>
      <w:r>
        <w:rPr>
          <w:rFonts w:hint="eastAsia" w:ascii="宋体" w:hAnsi="宋体" w:eastAsia="宋体" w:cs="Times New Roman"/>
          <w:color w:val="000000"/>
          <w:szCs w:val="21"/>
          <w:lang w:eastAsia="zh-CN"/>
        </w:rPr>
        <w:t>投标人</w:t>
      </w:r>
      <w:r>
        <w:rPr>
          <w:rFonts w:hint="eastAsia" w:ascii="宋体" w:hAnsi="宋体" w:eastAsia="宋体" w:cs="Times New Roman"/>
          <w:color w:val="000000"/>
          <w:szCs w:val="21"/>
        </w:rPr>
        <w:t>自负。</w:t>
      </w:r>
    </w:p>
    <w:p w14:paraId="3E25D73F">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（二）体检结论：体检机构应在体检结束后30日内，向用户方提交体检报告，具体内容包括个人体检报告和团检报告。</w:t>
      </w:r>
    </w:p>
    <w:p w14:paraId="2CB5DBBD">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（三）其它需要说明问题：体检过程中所需要的设备和耗材，全部由</w:t>
      </w:r>
      <w:r>
        <w:rPr>
          <w:rFonts w:hint="eastAsia" w:ascii="宋体" w:hAnsi="宋体" w:eastAsia="宋体" w:cs="Times New Roman"/>
          <w:color w:val="000000"/>
          <w:szCs w:val="21"/>
          <w:lang w:eastAsia="zh-CN"/>
        </w:rPr>
        <w:t>投标人</w:t>
      </w:r>
      <w:r>
        <w:rPr>
          <w:rFonts w:hint="eastAsia" w:ascii="宋体" w:hAnsi="宋体" w:eastAsia="宋体" w:cs="Times New Roman"/>
          <w:color w:val="000000"/>
          <w:szCs w:val="21"/>
        </w:rPr>
        <w:t>提供；要求耗材采用一次性用品。</w:t>
      </w:r>
    </w:p>
    <w:p w14:paraId="2F01308D">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（四）本次招标具体条款内容，以招标人与中标人签订的合同内容为准。</w:t>
      </w:r>
    </w:p>
    <w:p w14:paraId="02BD9BDE">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（五）投标人必须按照招标文件规定的格式和内容进行报价，综合考虑本项目的具体情况、投标人自身实力和考虑市场竞争因素。</w:t>
      </w:r>
    </w:p>
    <w:p w14:paraId="1C2E9EDC">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（六）本项目响应报价为结算价，合同实施过程中，具体结算方式按参加体检人数据实结算。</w:t>
      </w:r>
      <w:bookmarkStart w:id="9" w:name="_Toc226899294"/>
      <w:bookmarkStart w:id="10" w:name="_Toc33340839"/>
      <w:bookmarkStart w:id="11" w:name="_Toc24455234"/>
      <w:bookmarkStart w:id="12" w:name="_Toc24083814"/>
    </w:p>
    <w:p w14:paraId="34801E40">
      <w:pPr>
        <w:keepNext w:val="0"/>
        <w:keepLines w:val="0"/>
        <w:pageBreakBefore w:val="0"/>
        <w:widowControl w:val="0"/>
        <w:kinsoku/>
        <w:wordWrap/>
        <w:overflowPunct w:val="0"/>
        <w:topLinePunct w:val="0"/>
        <w:autoSpaceDE w:val="0"/>
        <w:autoSpaceDN w:val="0"/>
        <w:bidi w:val="0"/>
        <w:adjustRightInd w:val="0"/>
        <w:snapToGrid w:val="0"/>
        <w:spacing w:line="360" w:lineRule="auto"/>
        <w:ind w:firstLine="422" w:firstLineChars="200"/>
        <w:jc w:val="both"/>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四、基本服务</w:t>
      </w:r>
    </w:p>
    <w:p w14:paraId="1015F1B2">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（一）投标人须满足《2025年长沙穗城轨道交通有限公司员工体检项目表》（附件）所提需求；</w:t>
      </w:r>
    </w:p>
    <w:p w14:paraId="71C023D9">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（二）中标单位须为本项目安排1-2名有经验的专职工作人员，与招标人对接做好体检工作相关事宜。在体检前为招标人员工提供体检注意事项及健康信息问卷调查表。</w:t>
      </w:r>
    </w:p>
    <w:p w14:paraId="4F6EB2B4">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三）中标单位应按每年照员工个人体检预算标准将自选体检项目合理搭配形成套餐，供员工选择。体检套餐要求包括常规体检套餐、专项体检套餐等，按照年龄段、性别等人员类别差异化配置，要求基础体检项目及体检套餐费用之和不得低于个人体检预算标准，超出部分由中标单位承担，公司结算的个人基础体检项目和自选体检项目费用之和不超过员工个人体检预算标准。</w:t>
      </w:r>
    </w:p>
    <w:p w14:paraId="626D1C37">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（四）中标单位为员工提供自选体检项目的自主搭配服务，该服务如导致基础体检项目和体检套餐费用之和超出员工个人体检预算标准，员工自行补足差价，招标人不再另行支付。</w:t>
      </w:r>
    </w:p>
    <w:p w14:paraId="41A56D86">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（五）中标单位需针对我司参加体检人员，安排专属集中体检时间段，未能在集中体检时间段参加体检的人员，需为其提供自行预约体检。</w:t>
      </w:r>
    </w:p>
    <w:p w14:paraId="7979043A">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（六）中标单位应提供优质体检服务、优化体检流程、减少体检人员等候时间。</w:t>
      </w:r>
    </w:p>
    <w:p w14:paraId="05426C62">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（七）体检后10日内提供个人网上体检结果查询，健康报告在体检项目结束30日内派人送至我司。</w:t>
      </w:r>
    </w:p>
    <w:p w14:paraId="4BF81A80">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（八）所有参检人员的检查结果必须进信息库保存，做到参检人本人随到随查，如体检人纸质体检报告不慎遗失，须提供重新打印服务。</w:t>
      </w:r>
    </w:p>
    <w:p w14:paraId="795CC075">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（九）体检后30日内由健康管理师进行电话回访服务，异常报告定期电话提醒复查，有体检结果重大异常者，中标单位必须当天通知就诊，并提出诊疗建议。</w:t>
      </w:r>
    </w:p>
    <w:p w14:paraId="681B1115">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（十）合同期内提供体检后健康咨询，并前往招标人单位，每年至少提供1次员工健康讲座。</w:t>
      </w:r>
    </w:p>
    <w:p w14:paraId="5028013E">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（十一）中标单位应保证体检质量与结果的准确性，对体检结果承担相应的法律责任和经济责任，对体检结果承担保密责任。</w:t>
      </w:r>
    </w:p>
    <w:p w14:paraId="17136206">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（十二）中标单位需建立每位参检人员个人电子档案，对服务期限内的检查结果进行对照，实施健康管理。</w:t>
      </w:r>
    </w:p>
    <w:p w14:paraId="2C033474">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（十三）为当天参检人员提供免费营养早餐。</w:t>
      </w:r>
    </w:p>
    <w:p w14:paraId="74350181">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（十三）参检人员因特殊情况可以放弃基础体检项目中的项目，根据实际参检项目结算。</w:t>
      </w:r>
    </w:p>
    <w:p w14:paraId="08DA44C0">
      <w:pPr>
        <w:keepNext w:val="0"/>
        <w:keepLines w:val="0"/>
        <w:pageBreakBefore w:val="0"/>
        <w:widowControl w:val="0"/>
        <w:kinsoku/>
        <w:wordWrap/>
        <w:overflowPunct w:val="0"/>
        <w:topLinePunct w:val="0"/>
        <w:autoSpaceDE w:val="0"/>
        <w:autoSpaceDN w:val="0"/>
        <w:bidi w:val="0"/>
        <w:adjustRightInd w:val="0"/>
        <w:snapToGrid w:val="0"/>
        <w:spacing w:line="360" w:lineRule="auto"/>
        <w:ind w:firstLine="420" w:firstLineChars="200"/>
        <w:jc w:val="both"/>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（十四）对招标人员工在体检套餐项目外自费增加的所有项目均给予相同的优惠折扣。</w:t>
      </w:r>
    </w:p>
    <w:p w14:paraId="0DC7E8F6">
      <w:pPr>
        <w:keepNext w:val="0"/>
        <w:keepLines w:val="0"/>
        <w:pageBreakBefore w:val="0"/>
        <w:widowControl w:val="0"/>
        <w:kinsoku/>
        <w:wordWrap/>
        <w:overflowPunct w:val="0"/>
        <w:topLinePunct w:val="0"/>
        <w:autoSpaceDE w:val="0"/>
        <w:autoSpaceDN w:val="0"/>
        <w:bidi w:val="0"/>
        <w:adjustRightInd w:val="0"/>
        <w:snapToGrid w:val="0"/>
        <w:spacing w:line="360" w:lineRule="auto"/>
        <w:ind w:firstLine="422" w:firstLineChars="200"/>
        <w:jc w:val="both"/>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五、其他服务</w:t>
      </w:r>
    </w:p>
    <w:p w14:paraId="7AB29A92">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（一）员工家属(仅限于其配偶、子女、父母)自费前往体检，可享受同等优惠折扣。</w:t>
      </w:r>
    </w:p>
    <w:p w14:paraId="0E949852">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二）本项目单价包含完成本项目所需的设备及材料购置，以及培训、人工、管理、财务、车辆接送、体检当日提供免费营养早餐以及检后健康讲座等所有费用，如一旦中标，在项目实施中出现任何遗漏，均由中标人免费提供，招标人不再支付任何费用。</w:t>
      </w:r>
    </w:p>
    <w:p w14:paraId="2825F82B">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（三）体检疑难病例，中标单位需组织专家会诊，给出科学精准的体检结论。</w:t>
      </w:r>
    </w:p>
    <w:p w14:paraId="24514EC5">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（四）针对招标人所有员工提供就诊时免费咨询、开通急诊、入院绿色通道、衔接床位的服务。</w:t>
      </w:r>
      <w:bookmarkEnd w:id="9"/>
      <w:bookmarkEnd w:id="10"/>
      <w:bookmarkEnd w:id="11"/>
      <w:bookmarkEnd w:id="12"/>
    </w:p>
    <w:p w14:paraId="02BF2377">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p>
    <w:p w14:paraId="6189A8DA">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r>
        <w:rPr>
          <w:rFonts w:hint="eastAsia" w:ascii="宋体" w:hAnsi="宋体" w:eastAsia="宋体" w:cs="Times New Roman"/>
          <w:color w:val="000000"/>
          <w:szCs w:val="21"/>
        </w:rPr>
        <w:t>附件：</w:t>
      </w:r>
      <w:r>
        <w:rPr>
          <w:rFonts w:hint="eastAsia" w:ascii="宋体" w:hAnsi="宋体" w:eastAsia="宋体" w:cs="Times New Roman"/>
          <w:color w:val="000000"/>
          <w:szCs w:val="21"/>
          <w:lang w:eastAsia="zh-CN"/>
        </w:rPr>
        <w:t>2025年长沙穗城轨道交通有限公司员工体检项目表</w:t>
      </w:r>
    </w:p>
    <w:p w14:paraId="455205B7">
      <w:pPr>
        <w:pageBreakBefore w:val="0"/>
        <w:widowControl w:val="0"/>
        <w:numPr>
          <w:ilvl w:val="0"/>
          <w:numId w:val="0"/>
        </w:numPr>
        <w:tabs>
          <w:tab w:val="left" w:pos="567"/>
        </w:tabs>
        <w:kinsoku/>
        <w:wordWrap/>
        <w:topLinePunct w:val="0"/>
        <w:bidi w:val="0"/>
        <w:adjustRightInd w:val="0"/>
        <w:snapToGrid w:val="0"/>
        <w:spacing w:line="360" w:lineRule="auto"/>
        <w:ind w:leftChars="0" w:firstLine="420" w:firstLineChars="200"/>
        <w:textAlignment w:val="auto"/>
        <w:rPr>
          <w:rFonts w:hint="eastAsia" w:ascii="宋体" w:hAnsi="宋体" w:eastAsia="宋体" w:cs="Times New Roman"/>
          <w:color w:val="000000"/>
          <w:szCs w:val="21"/>
        </w:rPr>
      </w:pPr>
    </w:p>
    <w:p w14:paraId="7C05DBE8">
      <w:pPr>
        <w:keepNext w:val="0"/>
        <w:keepLines w:val="0"/>
        <w:pageBreakBefore w:val="0"/>
        <w:widowControl w:val="0"/>
        <w:kinsoku/>
        <w:wordWrap/>
        <w:overflowPunct w:val="0"/>
        <w:topLinePunct w:val="0"/>
        <w:autoSpaceDE w:val="0"/>
        <w:autoSpaceDN w:val="0"/>
        <w:bidi w:val="0"/>
        <w:adjustRightInd w:val="0"/>
        <w:snapToGrid w:val="0"/>
        <w:spacing w:line="240" w:lineRule="auto"/>
        <w:jc w:val="both"/>
        <w:textAlignment w:val="auto"/>
        <w:rPr>
          <w:rFonts w:hint="eastAsia" w:ascii="黑体" w:hAnsi="黑体" w:eastAsia="黑体" w:cs="Times New Roman"/>
          <w:b w:val="0"/>
          <w:snapToGrid w:val="0"/>
          <w:color w:val="000000"/>
          <w:kern w:val="0"/>
          <w:sz w:val="24"/>
          <w:szCs w:val="24"/>
          <w:lang w:val="en-US" w:eastAsia="zh-CN" w:bidi="ar-SA"/>
        </w:rPr>
      </w:pPr>
      <w:r>
        <w:rPr>
          <w:rFonts w:ascii="宋体" w:hAnsi="宋体" w:eastAsia="宋体" w:cs="Times New Roman"/>
          <w:bCs/>
          <w:snapToGrid w:val="0"/>
          <w:color w:val="000000"/>
          <w:kern w:val="0"/>
          <w:szCs w:val="21"/>
        </w:rPr>
        <w:br w:type="page"/>
      </w:r>
      <w:r>
        <w:rPr>
          <w:rFonts w:hint="eastAsia" w:ascii="黑体" w:hAnsi="黑体" w:eastAsia="黑体" w:cs="Times New Roman"/>
          <w:b w:val="0"/>
          <w:snapToGrid w:val="0"/>
          <w:color w:val="000000"/>
          <w:kern w:val="0"/>
          <w:sz w:val="24"/>
          <w:szCs w:val="24"/>
          <w:lang w:val="en-US" w:eastAsia="zh-CN" w:bidi="ar-SA"/>
        </w:rPr>
        <w:t>附件</w:t>
      </w:r>
    </w:p>
    <w:tbl>
      <w:tblPr>
        <w:tblStyle w:val="64"/>
        <w:tblpPr w:leftFromText="180" w:rightFromText="180" w:vertAnchor="text" w:horzAnchor="page" w:tblpX="1356" w:tblpY="61"/>
        <w:tblOverlap w:val="never"/>
        <w:tblW w:w="94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5"/>
        <w:gridCol w:w="540"/>
        <w:gridCol w:w="75"/>
        <w:gridCol w:w="1410"/>
        <w:gridCol w:w="4245"/>
        <w:gridCol w:w="495"/>
        <w:gridCol w:w="570"/>
        <w:gridCol w:w="1440"/>
      </w:tblGrid>
      <w:tr w14:paraId="7E80F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420" w:type="dxa"/>
            <w:gridSpan w:val="8"/>
            <w:tcBorders>
              <w:top w:val="nil"/>
              <w:left w:val="nil"/>
              <w:bottom w:val="nil"/>
              <w:right w:val="nil"/>
            </w:tcBorders>
            <w:noWrap w:val="0"/>
            <w:vAlign w:val="center"/>
          </w:tcPr>
          <w:p w14:paraId="572E3DF2">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40"/>
                <w:szCs w:val="40"/>
                <w:u w:val="none"/>
              </w:rPr>
            </w:pPr>
            <w:r>
              <w:rPr>
                <w:rFonts w:hint="eastAsia" w:ascii="黑体" w:hAnsi="黑体" w:eastAsia="黑体" w:cs="Times New Roman"/>
                <w:snapToGrid w:val="0"/>
                <w:color w:val="000000"/>
                <w:kern w:val="0"/>
                <w:sz w:val="28"/>
                <w:szCs w:val="28"/>
                <w:highlight w:val="none"/>
                <w:lang w:val="en-US" w:eastAsia="zh-CN"/>
              </w:rPr>
              <w:t>2025年长沙穗城轨道交通有限公司员工年度体检项目表</w:t>
            </w:r>
          </w:p>
        </w:tc>
      </w:tr>
      <w:tr w14:paraId="0FC4B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14:paraId="3B3E905E">
            <w:pPr>
              <w:keepNext w:val="0"/>
              <w:keepLines w:val="0"/>
              <w:widowControl/>
              <w:suppressLineNumbers w:val="0"/>
              <w:jc w:val="center"/>
              <w:textAlignment w:val="center"/>
              <w:rPr>
                <w:rFonts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序号</w:t>
            </w:r>
          </w:p>
        </w:tc>
        <w:tc>
          <w:tcPr>
            <w:tcW w:w="202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3A7BA797">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体检项目</w:t>
            </w:r>
          </w:p>
        </w:tc>
        <w:tc>
          <w:tcPr>
            <w:tcW w:w="4245" w:type="dxa"/>
            <w:vMerge w:val="restart"/>
            <w:tcBorders>
              <w:top w:val="single" w:color="000000" w:sz="4" w:space="0"/>
              <w:left w:val="single" w:color="000000" w:sz="4" w:space="0"/>
              <w:bottom w:val="single" w:color="000000" w:sz="4" w:space="0"/>
              <w:right w:val="single" w:color="000000" w:sz="4" w:space="0"/>
            </w:tcBorders>
            <w:noWrap w:val="0"/>
            <w:vAlign w:val="center"/>
          </w:tcPr>
          <w:p w14:paraId="5C88AB98">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检查意义</w:t>
            </w:r>
          </w:p>
        </w:tc>
        <w:tc>
          <w:tcPr>
            <w:tcW w:w="1065" w:type="dxa"/>
            <w:gridSpan w:val="2"/>
            <w:tcBorders>
              <w:top w:val="single" w:color="000000" w:sz="4" w:space="0"/>
              <w:left w:val="single" w:color="000000" w:sz="4" w:space="0"/>
              <w:bottom w:val="single" w:color="000000" w:sz="4" w:space="0"/>
              <w:right w:val="single" w:color="000000" w:sz="4" w:space="0"/>
            </w:tcBorders>
            <w:noWrap w:val="0"/>
            <w:vAlign w:val="center"/>
          </w:tcPr>
          <w:p w14:paraId="2E7AE59B">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计划方案</w:t>
            </w: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05590700">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备注</w:t>
            </w:r>
          </w:p>
        </w:tc>
      </w:tr>
      <w:tr w14:paraId="30174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426CA3">
            <w:pPr>
              <w:jc w:val="center"/>
              <w:rPr>
                <w:rFonts w:hint="eastAsia" w:ascii="黑体" w:hAnsi="宋体" w:eastAsia="黑体" w:cs="黑体"/>
                <w:b/>
                <w:bCs/>
                <w:i w:val="0"/>
                <w:iCs w:val="0"/>
                <w:color w:val="000000"/>
                <w:sz w:val="20"/>
                <w:szCs w:val="20"/>
                <w:u w:val="none"/>
              </w:rPr>
            </w:pPr>
          </w:p>
        </w:tc>
        <w:tc>
          <w:tcPr>
            <w:tcW w:w="202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5AFEF9C0">
            <w:pPr>
              <w:jc w:val="center"/>
              <w:rPr>
                <w:rFonts w:hint="eastAsia" w:ascii="黑体" w:hAnsi="宋体" w:eastAsia="黑体" w:cs="黑体"/>
                <w:b/>
                <w:bCs/>
                <w:i w:val="0"/>
                <w:iCs w:val="0"/>
                <w:color w:val="000000"/>
                <w:sz w:val="20"/>
                <w:szCs w:val="20"/>
                <w:u w:val="none"/>
              </w:rPr>
            </w:pPr>
          </w:p>
        </w:tc>
        <w:tc>
          <w:tcPr>
            <w:tcW w:w="4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9EC7AF">
            <w:pPr>
              <w:jc w:val="center"/>
              <w:rPr>
                <w:rFonts w:hint="eastAsia" w:ascii="黑体" w:hAnsi="宋体" w:eastAsia="黑体" w:cs="黑体"/>
                <w:b/>
                <w:bCs/>
                <w:i w:val="0"/>
                <w:iCs w:val="0"/>
                <w:color w:val="000000"/>
                <w:sz w:val="20"/>
                <w:szCs w:val="20"/>
                <w:u w:val="none"/>
              </w:rPr>
            </w:pP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F961D94">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男</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E90C5A0">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女</w:t>
            </w: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936393">
            <w:pPr>
              <w:jc w:val="center"/>
              <w:rPr>
                <w:rFonts w:hint="eastAsia" w:ascii="黑体" w:hAnsi="宋体" w:eastAsia="黑体" w:cs="黑体"/>
                <w:b/>
                <w:bCs/>
                <w:i w:val="0"/>
                <w:iCs w:val="0"/>
                <w:color w:val="000000"/>
                <w:sz w:val="20"/>
                <w:szCs w:val="20"/>
                <w:u w:val="none"/>
              </w:rPr>
            </w:pPr>
          </w:p>
        </w:tc>
      </w:tr>
      <w:tr w14:paraId="5AD9C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420" w:type="dxa"/>
            <w:gridSpan w:val="8"/>
            <w:tcBorders>
              <w:top w:val="single" w:color="000000" w:sz="4" w:space="0"/>
              <w:left w:val="single" w:color="000000" w:sz="4" w:space="0"/>
              <w:bottom w:val="single" w:color="000000" w:sz="4" w:space="0"/>
              <w:right w:val="single" w:color="000000" w:sz="4" w:space="0"/>
            </w:tcBorders>
            <w:noWrap w:val="0"/>
            <w:vAlign w:val="center"/>
          </w:tcPr>
          <w:p w14:paraId="144758E5">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一、基础体检项目★</w:t>
            </w:r>
          </w:p>
        </w:tc>
      </w:tr>
      <w:tr w14:paraId="1D2DE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2669A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F2834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一般项目</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1689C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通过仪器测量人体身高、体重、血压、心率、腰围、臀围，科学判断体重是否标准、血压是否正常，评估心脑血管疾病危险因素，为健康评估和健康计划提供依据。</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B15FA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F48F5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34ECE4A">
            <w:pPr>
              <w:rPr>
                <w:rFonts w:hint="eastAsia" w:ascii="宋体" w:hAnsi="宋体" w:eastAsia="宋体" w:cs="宋体"/>
                <w:i w:val="0"/>
                <w:iCs w:val="0"/>
                <w:color w:val="000000"/>
                <w:sz w:val="20"/>
                <w:szCs w:val="20"/>
                <w:u w:val="none"/>
              </w:rPr>
            </w:pPr>
          </w:p>
        </w:tc>
      </w:tr>
      <w:tr w14:paraId="16833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AD5BA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083B7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内科</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58E16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视、触、叩、听等手段，检查心脏及血管杂音、心包摩擦音；检查胸部音响、呼吸频率快慢，有无干湿性罗音及胸膜摩擦音；检查腹部有无压痛，肝脾是否肿大、有无包块及移动性浊音、肠鸣音是否正常，肌力、肌张力、生理反射是否正常。</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49F95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CEBA6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B484405">
            <w:pPr>
              <w:rPr>
                <w:rFonts w:hint="eastAsia" w:ascii="宋体" w:hAnsi="宋体" w:eastAsia="宋体" w:cs="宋体"/>
                <w:i w:val="0"/>
                <w:iCs w:val="0"/>
                <w:color w:val="000000"/>
                <w:sz w:val="20"/>
                <w:szCs w:val="20"/>
                <w:u w:val="none"/>
              </w:rPr>
            </w:pPr>
          </w:p>
        </w:tc>
      </w:tr>
      <w:tr w14:paraId="6797A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7FDEB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090DAC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外科</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83C98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判断颈部、腋窝、腹股沟浅表淋巴结病变或肿瘤淋巴转移；检查四肢、关节、外生殖器，早期发现乳腺、甲状腺病症和肿瘤；肛门指诊判断痔疮、息肉、肛裂、肿瘤和前列腺（男性）病症。</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22959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F080A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4642F3F">
            <w:pPr>
              <w:rPr>
                <w:rFonts w:hint="eastAsia" w:ascii="宋体" w:hAnsi="宋体" w:eastAsia="宋体" w:cs="宋体"/>
                <w:i w:val="0"/>
                <w:iCs w:val="0"/>
                <w:color w:val="000000"/>
                <w:sz w:val="20"/>
                <w:szCs w:val="20"/>
                <w:u w:val="none"/>
              </w:rPr>
            </w:pPr>
          </w:p>
        </w:tc>
      </w:tr>
      <w:tr w14:paraId="3337B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B33A3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F0F97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耳鼻喉科</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7E3CA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通过对耳、鼻、咽、扁桃喉等器官的常规检查，筛查头颈部浅表部位的炎症、息肉及新生物，如鼻炎、中耳炎、咽炎等，早期发现无症状甲状腺疾病和淋巴疾病。</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22EC2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8A59B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BB28F71">
            <w:pPr>
              <w:rPr>
                <w:rFonts w:hint="eastAsia" w:ascii="宋体" w:hAnsi="宋体" w:eastAsia="宋体" w:cs="宋体"/>
                <w:i w:val="0"/>
                <w:iCs w:val="0"/>
                <w:color w:val="000000"/>
                <w:sz w:val="20"/>
                <w:szCs w:val="20"/>
                <w:u w:val="none"/>
              </w:rPr>
            </w:pPr>
          </w:p>
        </w:tc>
      </w:tr>
      <w:tr w14:paraId="512A0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49BD8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A3CD2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口腔科</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11890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全面了解口腔健康状况，及时发现和诊断口腔疾病，检查牙齿的完整性，防止引起或加重全身系统性疾病。</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0F4C3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435C9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77F5124">
            <w:pPr>
              <w:rPr>
                <w:rFonts w:hint="eastAsia" w:ascii="宋体" w:hAnsi="宋体" w:eastAsia="宋体" w:cs="宋体"/>
                <w:i w:val="0"/>
                <w:iCs w:val="0"/>
                <w:color w:val="000000"/>
                <w:sz w:val="20"/>
                <w:szCs w:val="20"/>
                <w:u w:val="none"/>
              </w:rPr>
            </w:pPr>
          </w:p>
        </w:tc>
      </w:tr>
      <w:tr w14:paraId="73403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5F917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26F11E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眼科</w:t>
            </w: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392226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包括但不限于眼底检查（裂隙灯下）、视力、辨色力</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6FC33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检查眼睑、泪囊、结膜、眼球等是否存在异常情况，了解视力状况，判断视力及色觉功能，检查眼底动脉有无硬化、视网膜病变、青光眼、白内障等早期变化及病变程度，对高血压病、糖尿病等有辅助诊断作用。</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1A678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C2F16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555A0182">
            <w:pPr>
              <w:jc w:val="center"/>
              <w:rPr>
                <w:rFonts w:hint="eastAsia" w:ascii="宋体" w:hAnsi="宋体" w:eastAsia="宋体" w:cs="宋体"/>
                <w:i w:val="0"/>
                <w:iCs w:val="0"/>
                <w:color w:val="000000"/>
                <w:sz w:val="20"/>
                <w:szCs w:val="20"/>
                <w:u w:val="none"/>
              </w:rPr>
            </w:pPr>
          </w:p>
        </w:tc>
      </w:tr>
      <w:tr w14:paraId="0E922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42CD6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EDBAC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血细胞分析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（全血细胞计数加五分类）</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557A9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检查红细胞、血红蛋白、白细胞计数及其分类、血小板计数等，筛查血液系统疾病，评价骨髓功能，有助于临床急慢性感染、病毒性疾病的判断；有助于了解有无贫血及贫血分类；有助于出血性疾病的诊断等。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CE8B1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50A8F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E7AD620">
            <w:pPr>
              <w:rPr>
                <w:rFonts w:hint="eastAsia" w:ascii="宋体" w:hAnsi="宋体" w:eastAsia="宋体" w:cs="宋体"/>
                <w:i w:val="0"/>
                <w:iCs w:val="0"/>
                <w:color w:val="000000"/>
                <w:sz w:val="20"/>
                <w:szCs w:val="20"/>
                <w:u w:val="none"/>
              </w:rPr>
            </w:pPr>
          </w:p>
        </w:tc>
      </w:tr>
      <w:tr w14:paraId="2F386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DDB0C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15639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尿液分析（含镜检）</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39B6A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检查尿比重、酸碱度、尿蛋白、尿糖、红血球、白血球，评估肾功能和泌尿疾病，如泌尿系统感染、肿瘤、结石，还可用于协助检查其他系统疾病，如糖尿病、高血压、肝炎等。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194A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D41F8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80A097F">
            <w:pPr>
              <w:rPr>
                <w:rFonts w:hint="eastAsia" w:ascii="宋体" w:hAnsi="宋体" w:eastAsia="宋体" w:cs="宋体"/>
                <w:i w:val="0"/>
                <w:iCs w:val="0"/>
                <w:color w:val="000000"/>
                <w:sz w:val="20"/>
                <w:szCs w:val="20"/>
                <w:u w:val="none"/>
              </w:rPr>
            </w:pPr>
          </w:p>
        </w:tc>
      </w:tr>
      <w:tr w14:paraId="530B8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FD8D2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15C5C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粪便常规(机器法)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加隐血试验</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F2C1C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早期筛查肠道肿瘤，了解消化道及肝胆、胰腺等器官有无病变，间接地判胃肠、胰腺、肝胆系统的功能状况；大便隐血试验是当今大肠癌普查中使用最广泛而且评估最多的一项试验，该试验快速简单且无痛。</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509AB7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D118D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4D65DC84">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如员工要求，可更换同等价位项目</w:t>
            </w:r>
          </w:p>
        </w:tc>
      </w:tr>
      <w:tr w14:paraId="17F43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67EBD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A9AFE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肝功能十一项</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5F0D6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0"/>
                <w:u w:val="none"/>
                <w:lang w:val="en-US" w:eastAsia="zh-CN" w:bidi="ar"/>
              </w:rPr>
              <w:t>通过检测血清丙氨酸氨基转移酶测定(ALT)、血清天门冬氨酸氨基转移酶测定(AST)、血清γ-谷氨酰基转移酶测定（γ-GT)、血清碱性磷酸酶测定(ALP)、血清总胆红素测定(T-Bil)、血清间接胆红素(I-Bil)、血清直接胆红素测定(D-Bil)、血清总蛋白测定(TP)、血清球蛋白、血清白蛋白测定(Alb)、白蛋白/球蛋白，了解及评估肝脏功能，筛查肝脏疾病。</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8443B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E4294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bottom"/>
          </w:tcPr>
          <w:p w14:paraId="22637830">
            <w:pPr>
              <w:jc w:val="left"/>
              <w:rPr>
                <w:rFonts w:hint="eastAsia" w:ascii="宋体" w:hAnsi="宋体" w:eastAsia="宋体" w:cs="宋体"/>
                <w:b/>
                <w:bCs/>
                <w:i w:val="0"/>
                <w:iCs w:val="0"/>
                <w:color w:val="000000"/>
                <w:sz w:val="20"/>
                <w:szCs w:val="20"/>
                <w:u w:val="none"/>
              </w:rPr>
            </w:pPr>
          </w:p>
        </w:tc>
      </w:tr>
      <w:tr w14:paraId="2A3A5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C5981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3989F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乙型病毒性肝炎检测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（乙肝三对检查）</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8E940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用于评价是否感染乙肝病毒和目前所处状态，对乙肝是否有免疫力、有无传染性、是否需要进一步深入检查及治疗。</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6DEAD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EDEB6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B323C01">
            <w:pPr>
              <w:rPr>
                <w:rFonts w:hint="eastAsia" w:ascii="宋体" w:hAnsi="宋体" w:eastAsia="宋体" w:cs="宋体"/>
                <w:i w:val="0"/>
                <w:iCs w:val="0"/>
                <w:color w:val="000000"/>
                <w:sz w:val="20"/>
                <w:szCs w:val="20"/>
                <w:u w:val="none"/>
              </w:rPr>
            </w:pPr>
          </w:p>
        </w:tc>
      </w:tr>
      <w:tr w14:paraId="33018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BD06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084ADD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肾功能三项</w:t>
            </w: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25E7BC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尿素氮（BUN）、尿酸（UA）、肌酐（Cr）</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0DAAE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用于了解及评估肾脏功能，筛查肾脏疾病。</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5EF8A8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67B61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bottom"/>
          </w:tcPr>
          <w:p w14:paraId="4777AD41">
            <w:pPr>
              <w:jc w:val="left"/>
              <w:rPr>
                <w:rFonts w:hint="eastAsia" w:ascii="宋体" w:hAnsi="宋体" w:eastAsia="宋体" w:cs="宋体"/>
                <w:b/>
                <w:bCs/>
                <w:i w:val="0"/>
                <w:iCs w:val="0"/>
                <w:color w:val="000000"/>
                <w:sz w:val="20"/>
                <w:szCs w:val="20"/>
                <w:u w:val="none"/>
              </w:rPr>
            </w:pPr>
          </w:p>
        </w:tc>
      </w:tr>
      <w:tr w14:paraId="411B6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A8402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CBE8C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空腹血糖</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3D171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评价人体空腹状态下糖代谢是否正常，评估糖尿病患者空腹血糖控制是否达标。空腹血糖是诊断糖代谢紊乱的最常用和最重要指标。</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AF1F9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F9A4D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8923864">
            <w:pPr>
              <w:rPr>
                <w:rFonts w:hint="eastAsia" w:ascii="宋体" w:hAnsi="宋体" w:eastAsia="宋体" w:cs="宋体"/>
                <w:i w:val="0"/>
                <w:iCs w:val="0"/>
                <w:color w:val="000000"/>
                <w:sz w:val="20"/>
                <w:szCs w:val="20"/>
                <w:u w:val="none"/>
              </w:rPr>
            </w:pPr>
          </w:p>
        </w:tc>
      </w:tr>
      <w:tr w14:paraId="6849A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2DF4F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15" w:type="dxa"/>
            <w:gridSpan w:val="2"/>
            <w:tcBorders>
              <w:top w:val="single" w:color="000000" w:sz="4" w:space="0"/>
              <w:left w:val="single" w:color="000000" w:sz="4" w:space="0"/>
              <w:bottom w:val="single" w:color="000000" w:sz="4" w:space="0"/>
              <w:right w:val="single" w:color="000000" w:sz="4" w:space="0"/>
            </w:tcBorders>
            <w:noWrap w:val="0"/>
            <w:vAlign w:val="center"/>
          </w:tcPr>
          <w:p w14:paraId="1C693E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血脂四项</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618FF6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总胆固醇（CHOL）、甘油三脂（TG）、高密度胆固醇（HDL）、低密度胆固醇（LDL）</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7B72A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测定血清中血脂含量，用于评价受检者的脂肪代谢水平、血脂代谢紊乱情况，辅助检查糖尿病、肾病、肥胖、高脂血症、冠心病、高血压病、动脉粥样硬化及肝硬化等。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5180F7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CFEAD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1FFC997">
            <w:pPr>
              <w:rPr>
                <w:rFonts w:hint="eastAsia" w:ascii="宋体" w:hAnsi="宋体" w:eastAsia="宋体" w:cs="宋体"/>
                <w:i w:val="0"/>
                <w:iCs w:val="0"/>
                <w:color w:val="000000"/>
                <w:sz w:val="20"/>
                <w:szCs w:val="20"/>
                <w:u w:val="none"/>
              </w:rPr>
            </w:pPr>
          </w:p>
        </w:tc>
      </w:tr>
      <w:tr w14:paraId="3C5AD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B42C1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C0751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心电图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（同步12导）</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4DC87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判断和评估心脏情况、筛查心律失常、心肌肥厚、心肌缺血、心肌梗塞等疾病，为心脏疾病诊断、疗效评价、预后评估提供重要的依据。</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781F8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BC08B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6BA4F8A">
            <w:pPr>
              <w:rPr>
                <w:rFonts w:hint="eastAsia" w:ascii="宋体" w:hAnsi="宋体" w:eastAsia="宋体" w:cs="宋体"/>
                <w:i w:val="0"/>
                <w:iCs w:val="0"/>
                <w:color w:val="000000"/>
                <w:sz w:val="20"/>
                <w:szCs w:val="20"/>
                <w:u w:val="none"/>
              </w:rPr>
            </w:pPr>
          </w:p>
        </w:tc>
      </w:tr>
      <w:tr w14:paraId="356D5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14:paraId="1F2938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540" w:type="dxa"/>
            <w:vMerge w:val="restart"/>
            <w:tcBorders>
              <w:top w:val="single" w:color="000000" w:sz="4" w:space="0"/>
              <w:left w:val="single" w:color="000000" w:sz="4" w:space="0"/>
              <w:bottom w:val="single" w:color="000000" w:sz="4" w:space="0"/>
              <w:right w:val="single" w:color="000000" w:sz="4" w:space="0"/>
            </w:tcBorders>
            <w:noWrap w:val="0"/>
            <w:vAlign w:val="center"/>
          </w:tcPr>
          <w:p w14:paraId="0E001E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彩超</w:t>
            </w: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733F52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上腹部彩超：肝、胆、脾、胰、双肾</w:t>
            </w:r>
          </w:p>
        </w:tc>
        <w:tc>
          <w:tcPr>
            <w:tcW w:w="4245" w:type="dxa"/>
            <w:vMerge w:val="restart"/>
            <w:tcBorders>
              <w:top w:val="single" w:color="000000" w:sz="4" w:space="0"/>
              <w:left w:val="single" w:color="000000" w:sz="4" w:space="0"/>
              <w:bottom w:val="single" w:color="000000" w:sz="4" w:space="0"/>
              <w:right w:val="single" w:color="000000" w:sz="4" w:space="0"/>
            </w:tcBorders>
            <w:noWrap w:val="0"/>
            <w:vAlign w:val="center"/>
          </w:tcPr>
          <w:p w14:paraId="5EECEA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对人体腹部内脏器官的状况和各种病变（如肿瘤、结石、积水、脂肪肝等）及男性生殖器或者前列腺结构，筛查病变（注意事项：须空腹12小时以上）。</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C08F3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1917E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5B8F88D">
            <w:pPr>
              <w:rPr>
                <w:rFonts w:hint="eastAsia" w:ascii="宋体" w:hAnsi="宋体" w:eastAsia="宋体" w:cs="宋体"/>
                <w:i w:val="0"/>
                <w:iCs w:val="0"/>
                <w:color w:val="000000"/>
                <w:sz w:val="20"/>
                <w:szCs w:val="20"/>
                <w:u w:val="none"/>
              </w:rPr>
            </w:pPr>
          </w:p>
        </w:tc>
      </w:tr>
      <w:tr w14:paraId="7E554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ABCBF4">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B2CFF9">
            <w:pPr>
              <w:jc w:val="center"/>
              <w:rPr>
                <w:rFonts w:hint="eastAsia" w:ascii="宋体" w:hAnsi="宋体" w:eastAsia="宋体" w:cs="宋体"/>
                <w:i w:val="0"/>
                <w:iCs w:val="0"/>
                <w:color w:val="000000"/>
                <w:sz w:val="20"/>
                <w:szCs w:val="20"/>
                <w:u w:val="none"/>
              </w:rPr>
            </w:pP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51F3BC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男性:生殖器或前列腺</w:t>
            </w:r>
          </w:p>
        </w:tc>
        <w:tc>
          <w:tcPr>
            <w:tcW w:w="4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4B75A8">
            <w:pPr>
              <w:jc w:val="left"/>
              <w:rPr>
                <w:rFonts w:hint="eastAsia" w:ascii="宋体" w:hAnsi="宋体" w:eastAsia="宋体" w:cs="宋体"/>
                <w:i w:val="0"/>
                <w:iCs w:val="0"/>
                <w:color w:val="000000"/>
                <w:sz w:val="20"/>
                <w:szCs w:val="20"/>
                <w:u w:val="none"/>
              </w:rPr>
            </w:pP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38FC8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84DB620">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6B3A8A8E">
            <w:pPr>
              <w:jc w:val="left"/>
              <w:rPr>
                <w:rFonts w:hint="eastAsia" w:ascii="宋体" w:hAnsi="宋体" w:eastAsia="宋体" w:cs="宋体"/>
                <w:i w:val="0"/>
                <w:iCs w:val="0"/>
                <w:color w:val="000000"/>
                <w:sz w:val="20"/>
                <w:szCs w:val="20"/>
                <w:u w:val="none"/>
              </w:rPr>
            </w:pPr>
          </w:p>
        </w:tc>
      </w:tr>
      <w:tr w14:paraId="5AEF7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1ADB74">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0D83E0">
            <w:pPr>
              <w:jc w:val="center"/>
              <w:rPr>
                <w:rFonts w:hint="eastAsia" w:ascii="宋体" w:hAnsi="宋体" w:eastAsia="宋体" w:cs="宋体"/>
                <w:i w:val="0"/>
                <w:iCs w:val="0"/>
                <w:color w:val="000000"/>
                <w:sz w:val="20"/>
                <w:szCs w:val="20"/>
                <w:u w:val="none"/>
              </w:rPr>
            </w:pP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5FF3E5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甲状腺及颈部淋巴结彩超</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2FBB0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检查甲状腺结构及颈部淋巴结，筛查病变。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58728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6666C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EF02545">
            <w:pPr>
              <w:rPr>
                <w:rFonts w:hint="eastAsia" w:ascii="宋体" w:hAnsi="宋体" w:eastAsia="宋体" w:cs="宋体"/>
                <w:i w:val="0"/>
                <w:iCs w:val="0"/>
                <w:color w:val="000000"/>
                <w:sz w:val="20"/>
                <w:szCs w:val="20"/>
                <w:u w:val="none"/>
              </w:rPr>
            </w:pPr>
          </w:p>
        </w:tc>
      </w:tr>
      <w:tr w14:paraId="004BC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27A8E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42E24A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放射科</w:t>
            </w: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2305A0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肺部低剂量螺旋CT</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D9EDB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早期发现肺癌的“利器”，可以检出直径小于1cm的微小肺癌，早期检出率高达80%，低辐射，每年接受一次检查，对健康不会有影响。</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20595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BBD6B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5001ED6D">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备孕人群可更换等价项目</w:t>
            </w:r>
          </w:p>
        </w:tc>
      </w:tr>
      <w:tr w14:paraId="7D063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420" w:type="dxa"/>
            <w:gridSpan w:val="8"/>
            <w:tcBorders>
              <w:top w:val="single" w:color="000000" w:sz="4" w:space="0"/>
              <w:left w:val="single" w:color="000000" w:sz="4" w:space="0"/>
              <w:bottom w:val="single" w:color="000000" w:sz="4" w:space="0"/>
              <w:right w:val="single" w:color="000000" w:sz="4" w:space="0"/>
            </w:tcBorders>
            <w:noWrap w:val="0"/>
            <w:vAlign w:val="center"/>
          </w:tcPr>
          <w:p w14:paraId="41948832">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二、自选体检项目</w:t>
            </w:r>
            <w:r>
              <w:rPr>
                <w:rFonts w:hint="eastAsia" w:ascii="宋体" w:hAnsi="宋体" w:eastAsia="宋体" w:cs="宋体"/>
                <w:b/>
                <w:bCs/>
                <w:i w:val="0"/>
                <w:iCs w:val="0"/>
                <w:color w:val="auto"/>
                <w:kern w:val="0"/>
                <w:sz w:val="20"/>
                <w:szCs w:val="20"/>
                <w:u w:val="none"/>
                <w:lang w:val="en-US" w:eastAsia="zh-CN" w:bidi="ar"/>
              </w:rPr>
              <w:t>★</w:t>
            </w:r>
          </w:p>
        </w:tc>
      </w:tr>
      <w:tr w14:paraId="16A97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8A70B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4E271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C-反应蛋白测定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（CRP，免疫学方法）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2C5C0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炎症反应标志物，用于炎症反应和心血管疾病检测，对心血管疾病的风险预测有重要意义。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E3170F7">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6F20A1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47B63E7">
            <w:pPr>
              <w:rPr>
                <w:rFonts w:hint="eastAsia" w:ascii="宋体" w:hAnsi="宋体" w:eastAsia="宋体" w:cs="宋体"/>
                <w:i w:val="0"/>
                <w:iCs w:val="0"/>
                <w:color w:val="000000"/>
                <w:sz w:val="20"/>
                <w:szCs w:val="20"/>
                <w:u w:val="none"/>
              </w:rPr>
            </w:pPr>
          </w:p>
        </w:tc>
      </w:tr>
      <w:tr w14:paraId="70983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A5255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2DFD0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类风湿因子测定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RF，免疫学方法)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91824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可用于类风湿关节炎的诊断、分型和疗效观察，其他自身免疫性疾病和某些感染性疾病也可见阳性反应。</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0FF2192">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A588462">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A501786">
            <w:pPr>
              <w:rPr>
                <w:rFonts w:hint="eastAsia" w:ascii="宋体" w:hAnsi="宋体" w:eastAsia="宋体" w:cs="宋体"/>
                <w:i w:val="0"/>
                <w:iCs w:val="0"/>
                <w:color w:val="000000"/>
                <w:sz w:val="20"/>
                <w:szCs w:val="20"/>
                <w:u w:val="none"/>
              </w:rPr>
            </w:pPr>
          </w:p>
        </w:tc>
      </w:tr>
      <w:tr w14:paraId="30DDF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17316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5654B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血清胱抑素</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864E1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用于了解肾脏肾小球的功能，能够准确地反应人体肾小球功能的变化。</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9117D71">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56C4BF8">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0066F9B">
            <w:pPr>
              <w:rPr>
                <w:rFonts w:hint="eastAsia" w:ascii="宋体" w:hAnsi="宋体" w:eastAsia="宋体" w:cs="宋体"/>
                <w:i w:val="0"/>
                <w:iCs w:val="0"/>
                <w:color w:val="000000"/>
                <w:sz w:val="20"/>
                <w:szCs w:val="20"/>
                <w:u w:val="none"/>
              </w:rPr>
            </w:pPr>
          </w:p>
        </w:tc>
      </w:tr>
      <w:tr w14:paraId="0B0C6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16E11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78064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凝血常规检查（仪器法）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BA3F4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主要检测凝血时间及凝血酶活性，判断是否存在出血倾向、血液黏度增高、血液高凝状态等，对早期防控冠心病心肌梗塞、脑梗等血栓性疾病的发生具有重要意义。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FB1BBF0">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450F078">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7B02DD9">
            <w:pPr>
              <w:rPr>
                <w:rFonts w:hint="eastAsia" w:ascii="宋体" w:hAnsi="宋体" w:eastAsia="宋体" w:cs="宋体"/>
                <w:i w:val="0"/>
                <w:iCs w:val="0"/>
                <w:color w:val="000000"/>
                <w:sz w:val="20"/>
                <w:szCs w:val="20"/>
                <w:u w:val="none"/>
              </w:rPr>
            </w:pPr>
          </w:p>
        </w:tc>
      </w:tr>
      <w:tr w14:paraId="43B5B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4BDBC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053C3D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免疫球蛋白全套</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43D4A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免疫球蛋白A、免疫球蛋白G、免疫球蛋白M、补体C3、补体C4。免疫功能五项检测可帮助综合评价机体的免疫功能状态，辅助诊断免疫系统疾病。</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8429ED2">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7287D7D">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145E84E">
            <w:pPr>
              <w:rPr>
                <w:rFonts w:hint="eastAsia" w:ascii="宋体" w:hAnsi="宋体" w:eastAsia="宋体" w:cs="宋体"/>
                <w:i w:val="0"/>
                <w:iCs w:val="0"/>
                <w:color w:val="000000"/>
                <w:sz w:val="20"/>
                <w:szCs w:val="20"/>
                <w:u w:val="none"/>
              </w:rPr>
            </w:pPr>
          </w:p>
        </w:tc>
      </w:tr>
      <w:tr w14:paraId="5DD52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4BFA8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BBA52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TORCH十项定性（优生优育）</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F08AB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指导备孕，围孕期及围产期的医疗和护理；诊断和筛查病原菌感染情况，指导治疗选择与疗效监测</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51ABBCB">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BE8FE8B">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7D4DDC7">
            <w:pPr>
              <w:rPr>
                <w:rFonts w:hint="eastAsia" w:ascii="宋体" w:hAnsi="宋体" w:eastAsia="宋体" w:cs="宋体"/>
                <w:i w:val="0"/>
                <w:iCs w:val="0"/>
                <w:color w:val="000000"/>
                <w:sz w:val="20"/>
                <w:szCs w:val="20"/>
                <w:u w:val="none"/>
              </w:rPr>
            </w:pPr>
          </w:p>
        </w:tc>
      </w:tr>
      <w:tr w14:paraId="53611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1B553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1F7A5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支原体培养及药敏</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11872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取宫颈管表面物进行培养，诊断和筛查女性生殖道支原体感染，明确病因，指导用药。</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85BA14F">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2AB72A1">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CC5E8A4">
            <w:pPr>
              <w:rPr>
                <w:rFonts w:hint="eastAsia" w:ascii="宋体" w:hAnsi="宋体" w:eastAsia="宋体" w:cs="宋体"/>
                <w:i w:val="0"/>
                <w:iCs w:val="0"/>
                <w:color w:val="000000"/>
                <w:sz w:val="20"/>
                <w:szCs w:val="20"/>
                <w:u w:val="none"/>
              </w:rPr>
            </w:pPr>
          </w:p>
        </w:tc>
      </w:tr>
      <w:tr w14:paraId="6A6B7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66705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C550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衣原体培养及药敏</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45289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取宫颈管表面物进行培养，诊断和筛查女性生殖道衣原体感染，明确病因，指导用药。</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F2494D8">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AC3FC68">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33663B9">
            <w:pPr>
              <w:rPr>
                <w:rFonts w:hint="eastAsia" w:ascii="宋体" w:hAnsi="宋体" w:eastAsia="宋体" w:cs="宋体"/>
                <w:i w:val="0"/>
                <w:iCs w:val="0"/>
                <w:color w:val="000000"/>
                <w:sz w:val="20"/>
                <w:szCs w:val="20"/>
                <w:u w:val="none"/>
              </w:rPr>
            </w:pPr>
          </w:p>
        </w:tc>
      </w:tr>
      <w:tr w14:paraId="36BE9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11B5C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E4B27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肝纤维化四项</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8BF58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透明质酸HA、III型前胶原PC-III、IV型胶原 、层粘连蛋白，肝纤维化的重要检查项目。</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A72FEF0">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C89267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AD42850">
            <w:pPr>
              <w:rPr>
                <w:rFonts w:hint="eastAsia" w:ascii="宋体" w:hAnsi="宋体" w:eastAsia="宋体" w:cs="宋体"/>
                <w:i w:val="0"/>
                <w:iCs w:val="0"/>
                <w:color w:val="000000"/>
                <w:sz w:val="20"/>
                <w:szCs w:val="20"/>
                <w:u w:val="none"/>
              </w:rPr>
            </w:pPr>
          </w:p>
        </w:tc>
      </w:tr>
      <w:tr w14:paraId="035DC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91E89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DD060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乙型肝炎HBV-DNA病毒核酸定量检测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37E3A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对已感染乙型肝炎患者的病毒定量检测，能更准确地评价是否感染乙肝病毒和目前所处状态，对乙肝是否有免疫力、有无传染性、是否需要进一步深入检查及治疗。</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0120534">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55F7703">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7AA1BD1">
            <w:pPr>
              <w:rPr>
                <w:rFonts w:hint="eastAsia" w:ascii="宋体" w:hAnsi="宋体" w:eastAsia="宋体" w:cs="宋体"/>
                <w:i w:val="0"/>
                <w:iCs w:val="0"/>
                <w:color w:val="000000"/>
                <w:sz w:val="20"/>
                <w:szCs w:val="20"/>
                <w:u w:val="none"/>
              </w:rPr>
            </w:pPr>
          </w:p>
        </w:tc>
      </w:tr>
      <w:tr w14:paraId="320FD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8DA57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E8E7C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丙型肝炎病毒核心抗原检测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7DB80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对丙型病毒性肝炎的感染筛查和辅助诊断。</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52EE466">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1FABB08">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6A1F03B">
            <w:pPr>
              <w:rPr>
                <w:rFonts w:hint="eastAsia" w:ascii="宋体" w:hAnsi="宋体" w:eastAsia="宋体" w:cs="宋体"/>
                <w:i w:val="0"/>
                <w:iCs w:val="0"/>
                <w:color w:val="000000"/>
                <w:sz w:val="20"/>
                <w:szCs w:val="20"/>
                <w:u w:val="none"/>
              </w:rPr>
            </w:pPr>
          </w:p>
        </w:tc>
      </w:tr>
      <w:tr w14:paraId="405A4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8B189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9317A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丙型肝炎HCV-RNA病毒核酸定量检测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55F1D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对已感染丙型肝炎患者的病毒定量检测，明确体内丙肝病毒的数量，对明确患者病情和治疗提供科学依据。</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BDB70E3">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923841A">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176621A">
            <w:pPr>
              <w:rPr>
                <w:rFonts w:hint="eastAsia" w:ascii="宋体" w:hAnsi="宋体" w:eastAsia="宋体" w:cs="宋体"/>
                <w:i w:val="0"/>
                <w:iCs w:val="0"/>
                <w:color w:val="000000"/>
                <w:sz w:val="20"/>
                <w:szCs w:val="20"/>
                <w:u w:val="none"/>
              </w:rPr>
            </w:pPr>
          </w:p>
        </w:tc>
      </w:tr>
      <w:tr w14:paraId="38BED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95874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C58A2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餐后2小时血糖</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DBE82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早期筛查糖尿病及糖尿病前期，评价糖尿病治疗效果。</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ADAA925">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4B1A0B2">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CC5DBF6">
            <w:pPr>
              <w:rPr>
                <w:rFonts w:hint="eastAsia" w:ascii="宋体" w:hAnsi="宋体" w:eastAsia="宋体" w:cs="宋体"/>
                <w:i w:val="0"/>
                <w:iCs w:val="0"/>
                <w:color w:val="000000"/>
                <w:sz w:val="20"/>
                <w:szCs w:val="20"/>
                <w:u w:val="none"/>
              </w:rPr>
            </w:pPr>
          </w:p>
        </w:tc>
      </w:tr>
      <w:tr w14:paraId="7D651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B1D26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F86FB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高敏肌钙蛋白Ⅰ（化学发光法）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57106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在心肌梗塞早期，其诊断准确性与CPK相似，是心肌缺血损伤的指标。</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32A2BE9">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6D44B33">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26C377C">
            <w:pPr>
              <w:rPr>
                <w:rFonts w:hint="eastAsia" w:ascii="宋体" w:hAnsi="宋体" w:eastAsia="宋体" w:cs="宋体"/>
                <w:i w:val="0"/>
                <w:iCs w:val="0"/>
                <w:color w:val="000000"/>
                <w:sz w:val="20"/>
                <w:szCs w:val="20"/>
                <w:u w:val="none"/>
              </w:rPr>
            </w:pPr>
          </w:p>
        </w:tc>
      </w:tr>
      <w:tr w14:paraId="09D4A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02B74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F1F65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心肌酶三项</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FD4A6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测磷酸肌酸激酶（CK）、磷酸肌酸激酶同工酶（CK-MB）、乳酸脱氢酶（LDH），主要存在于心肌、脑、肝、组织及骨骼；在急性心肌梗死、心肌损害时肌酸激酶升高，另外，重症肺炎、心衰、尿毒症、急性颅脑损伤等均可升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10CD743">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C9D1F60">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3B56A280">
            <w:pPr>
              <w:jc w:val="center"/>
              <w:rPr>
                <w:rFonts w:hint="eastAsia" w:ascii="宋体" w:hAnsi="宋体" w:eastAsia="宋体" w:cs="宋体"/>
                <w:i w:val="0"/>
                <w:iCs w:val="0"/>
                <w:color w:val="000000"/>
                <w:sz w:val="20"/>
                <w:szCs w:val="20"/>
                <w:u w:val="none"/>
              </w:rPr>
            </w:pPr>
          </w:p>
        </w:tc>
      </w:tr>
      <w:tr w14:paraId="7EE54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CFDA6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2DC81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糖化血红蛋白（高效液相分析法)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7327E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糖化血红蛋白可反映近2～3个月的平均血糖水平，且不受是否空腹及降糖药物的影响，可用于糖尿病筛查、预测血管并发症、鉴别高血糖原因，评价糖尿病控制程度。</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124EA37">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CB6E97E">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0F8C05E">
            <w:pPr>
              <w:rPr>
                <w:rFonts w:hint="eastAsia" w:ascii="宋体" w:hAnsi="宋体" w:eastAsia="宋体" w:cs="宋体"/>
                <w:i w:val="0"/>
                <w:iCs w:val="0"/>
                <w:color w:val="000000"/>
                <w:sz w:val="20"/>
                <w:szCs w:val="20"/>
                <w:u w:val="none"/>
              </w:rPr>
            </w:pPr>
          </w:p>
        </w:tc>
      </w:tr>
      <w:tr w14:paraId="36DC8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F4338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3D98B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空腹胰岛素测定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8BE61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空腹胰岛素（INS）用于糖尿病分型诊断及低血糖的诊断和鉴别诊断。</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5E5E451">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F41A989">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F1EC65E">
            <w:pPr>
              <w:rPr>
                <w:rFonts w:hint="eastAsia" w:ascii="宋体" w:hAnsi="宋体" w:eastAsia="宋体" w:cs="宋体"/>
                <w:i w:val="0"/>
                <w:iCs w:val="0"/>
                <w:color w:val="000000"/>
                <w:sz w:val="20"/>
                <w:szCs w:val="20"/>
                <w:u w:val="none"/>
              </w:rPr>
            </w:pPr>
          </w:p>
        </w:tc>
      </w:tr>
      <w:tr w14:paraId="28C29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CCF91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1CDF4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胰岛素抗体(INS-Ab)</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21685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胰岛素抗体对糖尿病和低血糖的诊断、鉴别诊断及治疗具有非常重要的意义。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ECDFBD3">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35ADA97">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443F4C6">
            <w:pPr>
              <w:rPr>
                <w:rFonts w:hint="eastAsia" w:ascii="宋体" w:hAnsi="宋体" w:eastAsia="宋体" w:cs="宋体"/>
                <w:i w:val="0"/>
                <w:iCs w:val="0"/>
                <w:color w:val="000000"/>
                <w:sz w:val="20"/>
                <w:szCs w:val="20"/>
                <w:u w:val="none"/>
              </w:rPr>
            </w:pPr>
          </w:p>
        </w:tc>
      </w:tr>
      <w:tr w14:paraId="1645B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02D25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6690F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空腹C肽测定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C6E54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能很好地反映胰岛β细胞生成胰岛素的水平，了解胰岛β细胞功能状态。有助于对糖尿病分型、判断病情严重程度及指导治疗。</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AEC735C">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B0BD9D7">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94D97AD">
            <w:pPr>
              <w:rPr>
                <w:rFonts w:hint="eastAsia" w:ascii="宋体" w:hAnsi="宋体" w:eastAsia="宋体" w:cs="宋体"/>
                <w:i w:val="0"/>
                <w:iCs w:val="0"/>
                <w:color w:val="000000"/>
                <w:sz w:val="20"/>
                <w:szCs w:val="20"/>
                <w:u w:val="none"/>
              </w:rPr>
            </w:pPr>
          </w:p>
        </w:tc>
      </w:tr>
      <w:tr w14:paraId="71F9E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1DE36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1565E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同型半胱氨酸</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640AB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血液中同型半胱氨酸水平明显升高会大幅增加冠心病、外周血管疾病及脑血管疾病的发病风险，因此检测此项目可辅助评估心血管疾病及中风的风险。</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5F5BE850">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7D7E2CC">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E8231FA">
            <w:pPr>
              <w:rPr>
                <w:rFonts w:hint="eastAsia" w:ascii="宋体" w:hAnsi="宋体" w:eastAsia="宋体" w:cs="宋体"/>
                <w:i w:val="0"/>
                <w:iCs w:val="0"/>
                <w:color w:val="000000"/>
                <w:sz w:val="20"/>
                <w:szCs w:val="20"/>
                <w:u w:val="none"/>
              </w:rPr>
            </w:pPr>
          </w:p>
        </w:tc>
      </w:tr>
      <w:tr w14:paraId="1018E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E98EC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118BB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pp-1000动脉硬化及血管病监测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C06CB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通过仪器检测全身动脉硬化程度和阻塞指数，早期发现动脉疾病，提高动脉硬化性疾病的防治水平。</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0AC98FE">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EFACC16">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9FDFA91">
            <w:pPr>
              <w:rPr>
                <w:rFonts w:hint="eastAsia" w:ascii="宋体" w:hAnsi="宋体" w:eastAsia="宋体" w:cs="宋体"/>
                <w:i w:val="0"/>
                <w:iCs w:val="0"/>
                <w:color w:val="000000"/>
                <w:sz w:val="20"/>
                <w:szCs w:val="20"/>
                <w:u w:val="none"/>
              </w:rPr>
            </w:pPr>
          </w:p>
        </w:tc>
      </w:tr>
      <w:tr w14:paraId="2A7A9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CBD26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9E790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人体成分测定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D7539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分析人体主要成分含量，如脂肪比率、肌肉含量、矿物质含量等，评估整体营养状况、体质类型；为个性化运动处方和饮食计划制定提供依据。</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582F0097">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AC71D3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E25CE8F">
            <w:pPr>
              <w:rPr>
                <w:rFonts w:hint="eastAsia" w:ascii="宋体" w:hAnsi="宋体" w:eastAsia="宋体" w:cs="宋体"/>
                <w:i w:val="0"/>
                <w:iCs w:val="0"/>
                <w:color w:val="000000"/>
                <w:sz w:val="20"/>
                <w:szCs w:val="20"/>
                <w:u w:val="none"/>
              </w:rPr>
            </w:pPr>
          </w:p>
        </w:tc>
      </w:tr>
      <w:tr w14:paraId="5FF53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5692A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42D0B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经颅多普勒（TCD）</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D49D0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有效、无创脑血管检查方法，能反映脑血管器质性疾病，评估脑血管功能及供血情况，判断脑动脉硬化、脑供血不足、脑动脉狭窄、脑血管痉挛的部位及程度。</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A0AC9B9">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9DC0D20">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47D3A6C">
            <w:pPr>
              <w:rPr>
                <w:rFonts w:hint="eastAsia" w:ascii="宋体" w:hAnsi="宋体" w:eastAsia="宋体" w:cs="宋体"/>
                <w:i w:val="0"/>
                <w:iCs w:val="0"/>
                <w:color w:val="000000"/>
                <w:sz w:val="20"/>
                <w:szCs w:val="20"/>
                <w:u w:val="none"/>
              </w:rPr>
            </w:pPr>
          </w:p>
        </w:tc>
      </w:tr>
      <w:tr w14:paraId="5A90E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8BD20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C2C72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颈部动脉彩超（8根血管）</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C29C2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检查颈动脉结构、弹性、内膜厚度，有无斑块，官腔有无狭窄，预警和评估血管疾病，如高血压病、糖尿病、冠心病、脑卒中等风险和中风预报。  </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5B715282">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E2846C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898ED8F">
            <w:pPr>
              <w:rPr>
                <w:rFonts w:hint="eastAsia" w:ascii="宋体" w:hAnsi="宋体" w:eastAsia="宋体" w:cs="宋体"/>
                <w:i w:val="0"/>
                <w:iCs w:val="0"/>
                <w:color w:val="000000"/>
                <w:sz w:val="20"/>
                <w:szCs w:val="20"/>
                <w:u w:val="none"/>
              </w:rPr>
            </w:pPr>
          </w:p>
        </w:tc>
      </w:tr>
      <w:tr w14:paraId="5EF5D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3AC18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0B8CF2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心脏彩色多普勒超声</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060AC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各心腔及大血管血液显像、左心功能测定、彩色室壁动力（CK）、组织多普勒显像（TDI）心内膜自动边缘检测、室壁运动分析等。检查心腔内结构、搏动和血液流动，评价心脏功能，预警和评估心脑血管疾病和高血压病、糖尿病、冠心病等风险。</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100CC76">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2E9A15A">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79EC80D6">
            <w:pPr>
              <w:rPr>
                <w:rFonts w:hint="eastAsia" w:ascii="宋体" w:hAnsi="宋体" w:eastAsia="宋体" w:cs="宋体"/>
                <w:i w:val="0"/>
                <w:iCs w:val="0"/>
                <w:color w:val="000000"/>
                <w:sz w:val="20"/>
                <w:szCs w:val="20"/>
                <w:u w:val="none"/>
              </w:rPr>
            </w:pPr>
          </w:p>
        </w:tc>
      </w:tr>
      <w:tr w14:paraId="356C4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DF9D1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91BEE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CT螺旋平扫-部位检查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（第二个部位）(默认腰椎)</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28932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颅脑或颈椎、腰椎三选一；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低剂量、低辐射、针对特定人群的重症检查、提前1-1.5年发现病灶；</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6D31E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3E2BA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443F73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每加一个部位收费，可根据个人情况选择部位</w:t>
            </w:r>
          </w:p>
        </w:tc>
      </w:tr>
      <w:tr w14:paraId="79C2C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6E1EE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C7AB3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甲状腺功能初筛（化学发光法）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0A38F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含血清促甲状腺素测定和血清游离甲状腺素（FT4）测定。</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A3CE831">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F98B9EC">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45952E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甲状腺功能初筛</w:t>
            </w:r>
          </w:p>
        </w:tc>
      </w:tr>
      <w:tr w14:paraId="56C99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D40A1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12D0C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甲状腺功能检查（化学发光法）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C6F5F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甲状腺功能进一步检查，建议与初筛联合检查，项目含血清游离三碘甲状原氨酸（FT3）测定、抗甲状腺球蛋白抗体（TGAb)测定、抗甲状腺特异过氧化物酶抗体（Anti-TPo)测定。</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53D0F9A">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B710DDF">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08EA51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有既往史或自觉甲状腺异常者进一步检查</w:t>
            </w:r>
          </w:p>
        </w:tc>
      </w:tr>
      <w:tr w14:paraId="4A521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CC1E6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478EC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25羟维生素D测定（色谱法）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F1EBE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评估体内维生素D水平；结合骨密度测定数据，为科学补钙提供依据。</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D166CFF">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062F169">
            <w:pPr>
              <w:jc w:val="center"/>
              <w:rPr>
                <w:rFonts w:hint="eastAsia" w:ascii="宋体" w:hAnsi="宋体" w:eastAsia="宋体" w:cs="宋体"/>
                <w:i w:val="0"/>
                <w:iCs w:val="0"/>
                <w:color w:val="000000"/>
                <w:sz w:val="20"/>
                <w:szCs w:val="20"/>
                <w:u w:val="none"/>
              </w:rPr>
            </w:pP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4E1C25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联合筛查项</w:t>
            </w:r>
          </w:p>
        </w:tc>
      </w:tr>
      <w:tr w14:paraId="67079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1FBCF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DC4ED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骨密度测定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（单能，含图文报告）</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7B996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对于各种原因所致骨质疏松症，灵敏度高，诊断率高，监测和预测大关节（腰椎等）有无骨量减少、骨质疏松及其发生程度，预测骨折发生风险。</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2464E2D">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8493987">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7FECCB">
            <w:pPr>
              <w:jc w:val="center"/>
              <w:rPr>
                <w:rFonts w:hint="eastAsia" w:ascii="宋体" w:hAnsi="宋体" w:eastAsia="宋体" w:cs="宋体"/>
                <w:i w:val="0"/>
                <w:iCs w:val="0"/>
                <w:color w:val="000000"/>
                <w:sz w:val="20"/>
                <w:szCs w:val="20"/>
                <w:u w:val="none"/>
              </w:rPr>
            </w:pPr>
          </w:p>
        </w:tc>
      </w:tr>
      <w:tr w14:paraId="6005D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20AD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CB989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13碳尿素呼气试验</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83839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13碳-尿素呼气试验阳性示有幽门螺杆菌感染，它与胃部炎症、消化性溃疡、胃癌的发生密切关联。</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8896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46D94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12C2D5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连续两年阴性，可适当延长该项目的检查时间间隔</w:t>
            </w:r>
          </w:p>
        </w:tc>
      </w:tr>
      <w:tr w14:paraId="2F0FF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41DC1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2C851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胃泌素-17检测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451BF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诊断和筛查萎缩性胃炎和胃癌，有助于判断萎缩是否存在及其分布部位和程度，可作为胃窦萎缩性胃炎的界限值。结合胃幽门螺旋杆菌检测，初筛胃部肿瘤风险。</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B5F580B">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89C134F">
            <w:pPr>
              <w:jc w:val="center"/>
              <w:rPr>
                <w:rFonts w:hint="eastAsia" w:ascii="宋体" w:hAnsi="宋体" w:eastAsia="宋体" w:cs="宋体"/>
                <w:i w:val="0"/>
                <w:iCs w:val="0"/>
                <w:color w:val="000000"/>
                <w:sz w:val="20"/>
                <w:szCs w:val="20"/>
                <w:u w:val="none"/>
              </w:rPr>
            </w:pP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773180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联合筛查项</w:t>
            </w:r>
          </w:p>
        </w:tc>
      </w:tr>
      <w:tr w14:paraId="4F447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113EF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60043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胃蛋白酶原检测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40EEA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反映胃粘膜的变化，是诊断胃部病变的辅助依据。胃蛋白酶原Ⅰ/胃蛋白酶原Ⅱ比值低于正常值时，对慢性萎缩性胃炎特异性较高。结合胃幽门螺旋杆菌检测，初筛胃部肿瘤风险。</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BEBAC9E">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B31CDB0">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7CAFD4">
            <w:pPr>
              <w:jc w:val="center"/>
              <w:rPr>
                <w:rFonts w:hint="eastAsia" w:ascii="宋体" w:hAnsi="宋体" w:eastAsia="宋体" w:cs="宋体"/>
                <w:i w:val="0"/>
                <w:iCs w:val="0"/>
                <w:color w:val="000000"/>
                <w:sz w:val="20"/>
                <w:szCs w:val="20"/>
                <w:u w:val="none"/>
              </w:rPr>
            </w:pPr>
          </w:p>
        </w:tc>
      </w:tr>
      <w:tr w14:paraId="76D78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14:paraId="4CC4A8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540" w:type="dxa"/>
            <w:vMerge w:val="restart"/>
            <w:tcBorders>
              <w:top w:val="single" w:color="000000" w:sz="4" w:space="0"/>
              <w:left w:val="single" w:color="000000" w:sz="4" w:space="0"/>
              <w:bottom w:val="single" w:color="000000" w:sz="4" w:space="0"/>
              <w:right w:val="single" w:color="000000" w:sz="4" w:space="0"/>
            </w:tcBorders>
            <w:noWrap w:val="0"/>
            <w:vAlign w:val="center"/>
          </w:tcPr>
          <w:p w14:paraId="4FF84F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多肿瘤标志物12项联合检测</w:t>
            </w:r>
          </w:p>
        </w:tc>
        <w:tc>
          <w:tcPr>
            <w:tcW w:w="1485"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7DF9BB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男性检测CA19-9、CA125、CA72-4、AFP、NSE、CEA、Cyfra21-1、T-PSA、F-PSA、PGⅠ、PGⅡ、Pro-GRP。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女性检测CA19-9、CA125、CA72-4、AFP、NSE、CEA、Cyfra21-1、PGⅠ、PGⅡ、CA15-3、β-HCG、Pro-GRP。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C7216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癌抗原19-9（CA19-9）对胰腺癌、胆道肿癌、胃肠癌等筛查及疗效监测、评估预后有临床重要意义，在急性胰腺炎、胆管炎、胆石症、急性肝炎、肝硬化等也有一定程度增高。</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12EF536B">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5BAA698">
            <w:pPr>
              <w:jc w:val="center"/>
              <w:rPr>
                <w:rFonts w:hint="eastAsia" w:ascii="宋体" w:hAnsi="宋体" w:eastAsia="宋体" w:cs="宋体"/>
                <w:i w:val="0"/>
                <w:iCs w:val="0"/>
                <w:color w:val="000000"/>
                <w:sz w:val="20"/>
                <w:szCs w:val="20"/>
                <w:u w:val="none"/>
              </w:rPr>
            </w:pP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0E767C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联合筛查项，选择此项目，则不能选已含有的肿瘤标志物单项筛查项目。</w:t>
            </w:r>
          </w:p>
        </w:tc>
      </w:tr>
      <w:tr w14:paraId="7901E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C672A1">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4C211E">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4D488CA">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32CF9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癌抗原（CA125）增高见于妇科及消化道恶性肿瘤，如宫颈癌、乳腺癌、胰腺癌、肝癌、胃癌及肺癌等，也可见于肝硬化、肾衰、孕妇、良性卵巢癌等。</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2D94D605">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54A72CF">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FDBABC">
            <w:pPr>
              <w:jc w:val="center"/>
              <w:rPr>
                <w:rFonts w:hint="eastAsia" w:ascii="宋体" w:hAnsi="宋体" w:eastAsia="宋体" w:cs="宋体"/>
                <w:i w:val="0"/>
                <w:iCs w:val="0"/>
                <w:color w:val="000000"/>
                <w:sz w:val="20"/>
                <w:szCs w:val="20"/>
                <w:u w:val="none"/>
              </w:rPr>
            </w:pPr>
          </w:p>
        </w:tc>
      </w:tr>
      <w:tr w14:paraId="3C3BF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B0CC7C">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F59267">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0AD12DA">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D834F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癌抗原72-4（CA72-4）对胃癌、卵巢粘液性囊腺癌和非小细胞肺癌敏感度较高，对胆道系统肿瘤、结直肠癌、胰腺癌等亦有一定的敏感性。</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583BAE6B">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8A6411A">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C46E75">
            <w:pPr>
              <w:jc w:val="center"/>
              <w:rPr>
                <w:rFonts w:hint="eastAsia" w:ascii="宋体" w:hAnsi="宋体" w:eastAsia="宋体" w:cs="宋体"/>
                <w:i w:val="0"/>
                <w:iCs w:val="0"/>
                <w:color w:val="000000"/>
                <w:sz w:val="20"/>
                <w:szCs w:val="20"/>
                <w:u w:val="none"/>
              </w:rPr>
            </w:pPr>
          </w:p>
        </w:tc>
      </w:tr>
      <w:tr w14:paraId="602AB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E9DB2F">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98F5EE">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D86699F">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132A4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甲胎蛋白（AFP）对原发性肝癌的诊断、疗效观察和预后评估有重要的临床意义，在卵巢、胃、胰腺、睾丸等肿瘤及肝炎、肝硬化等疾病也有异常发现。</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1057E8A6">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B8D99BE">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7365D8">
            <w:pPr>
              <w:jc w:val="center"/>
              <w:rPr>
                <w:rFonts w:hint="eastAsia" w:ascii="宋体" w:hAnsi="宋体" w:eastAsia="宋体" w:cs="宋体"/>
                <w:i w:val="0"/>
                <w:iCs w:val="0"/>
                <w:color w:val="000000"/>
                <w:sz w:val="20"/>
                <w:szCs w:val="20"/>
                <w:u w:val="none"/>
              </w:rPr>
            </w:pPr>
          </w:p>
        </w:tc>
      </w:tr>
      <w:tr w14:paraId="08D59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B2B5BD">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B027D4">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1FC7DBF">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3B835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神经元特异性烯醇化酶（NSE）对小细胞肺癌、神经母细胞瘤的早期诊断及评估预后有临床重要意义。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9E2898E">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BEEE0C8">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3BD133">
            <w:pPr>
              <w:jc w:val="center"/>
              <w:rPr>
                <w:rFonts w:hint="eastAsia" w:ascii="宋体" w:hAnsi="宋体" w:eastAsia="宋体" w:cs="宋体"/>
                <w:i w:val="0"/>
                <w:iCs w:val="0"/>
                <w:color w:val="000000"/>
                <w:sz w:val="20"/>
                <w:szCs w:val="20"/>
                <w:u w:val="none"/>
              </w:rPr>
            </w:pPr>
          </w:p>
        </w:tc>
      </w:tr>
      <w:tr w14:paraId="21284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E92BA2">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E86F42">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E9851C4">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15E12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癌胚抗原（CEA）是广谱性肿瘤标志物，对大肠癌、胰腺癌的筛查、疗效观察和预后评估有重要的临床意义，在胃、乳腺、肺等肿瘤中也可见升高。</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06EC3693">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3854952">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84417D">
            <w:pPr>
              <w:jc w:val="center"/>
              <w:rPr>
                <w:rFonts w:hint="eastAsia" w:ascii="宋体" w:hAnsi="宋体" w:eastAsia="宋体" w:cs="宋体"/>
                <w:i w:val="0"/>
                <w:iCs w:val="0"/>
                <w:color w:val="000000"/>
                <w:sz w:val="20"/>
                <w:szCs w:val="20"/>
                <w:u w:val="none"/>
              </w:rPr>
            </w:pPr>
          </w:p>
        </w:tc>
      </w:tr>
      <w:tr w14:paraId="408BC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556074">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011FBD">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2B0C66F">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C6ED1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细胞角蛋白（Cyfra21-1）对肺癌的早期诊断及评估预后，乳腺、卵巢、食道、胃肠道癌的筛查有临床重要意义。</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1798B2CC">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3BA19B9">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9880D5">
            <w:pPr>
              <w:jc w:val="center"/>
              <w:rPr>
                <w:rFonts w:hint="eastAsia" w:ascii="宋体" w:hAnsi="宋体" w:eastAsia="宋体" w:cs="宋体"/>
                <w:i w:val="0"/>
                <w:iCs w:val="0"/>
                <w:color w:val="000000"/>
                <w:sz w:val="20"/>
                <w:szCs w:val="20"/>
                <w:u w:val="none"/>
              </w:rPr>
            </w:pPr>
          </w:p>
        </w:tc>
      </w:tr>
      <w:tr w14:paraId="3E9ED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0D204F">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0564AF">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93AC95A">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F6C8F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列腺肿瘤标志物组合(T-PSA、F-PSA)，前列腺特异性抗原PSA通常用于男性前列腺癌的辅助诊断和评价前列腺癌治疗和特定治疗后的健康情况，与游离前列腺特异性抗原FPSA结果相配合，可用于前列腺癌和前列腺的良性增生的辅助诊断。</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42C6C1A7">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542CE2E">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6F405E">
            <w:pPr>
              <w:jc w:val="center"/>
              <w:rPr>
                <w:rFonts w:hint="eastAsia" w:ascii="宋体" w:hAnsi="宋体" w:eastAsia="宋体" w:cs="宋体"/>
                <w:i w:val="0"/>
                <w:iCs w:val="0"/>
                <w:color w:val="000000"/>
                <w:sz w:val="20"/>
                <w:szCs w:val="20"/>
                <w:u w:val="none"/>
              </w:rPr>
            </w:pPr>
          </w:p>
        </w:tc>
      </w:tr>
      <w:tr w14:paraId="786E6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FD842F">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23249B">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6E503A7">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4CB1C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胃蛋白酶原二项(PGⅠ及Ⅱ)反映胃粘膜的变化，是诊断胃部病变的辅助依据。胃蛋白酶原I/胃蛋白酶原II比值低于正常值时，对慢性萎缩性胃炎特异性较高。</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7309D9A9">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3CFD132">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D24E84">
            <w:pPr>
              <w:jc w:val="center"/>
              <w:rPr>
                <w:rFonts w:hint="eastAsia" w:ascii="宋体" w:hAnsi="宋体" w:eastAsia="宋体" w:cs="宋体"/>
                <w:i w:val="0"/>
                <w:iCs w:val="0"/>
                <w:color w:val="000000"/>
                <w:sz w:val="20"/>
                <w:szCs w:val="20"/>
                <w:u w:val="none"/>
              </w:rPr>
            </w:pPr>
          </w:p>
        </w:tc>
      </w:tr>
      <w:tr w14:paraId="57851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FDF65D">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F45894">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D8E2C06">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62A64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癌抗原15-3（CA15-3）在乳腺癌时可明显升高，对于乳腺癌疗效监测、预后判断有重要意义，还可见于子宫、卵巢、肝、胰腺、结肠、肺癌等；有一些良性乳腺、肝、肺疾病中也可见增高。</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3B8CBB47">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9F40738">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8D73A7">
            <w:pPr>
              <w:jc w:val="center"/>
              <w:rPr>
                <w:rFonts w:hint="eastAsia" w:ascii="宋体" w:hAnsi="宋体" w:eastAsia="宋体" w:cs="宋体"/>
                <w:i w:val="0"/>
                <w:iCs w:val="0"/>
                <w:color w:val="000000"/>
                <w:sz w:val="20"/>
                <w:szCs w:val="20"/>
                <w:u w:val="none"/>
              </w:rPr>
            </w:pPr>
          </w:p>
        </w:tc>
      </w:tr>
      <w:tr w14:paraId="361F2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99272A">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B183EB">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41B4436">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8A49A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人绒毛膜促性腺激素（β-HCG）对早期妊娠诊断有重要意义，对与妊娠相关疾病、滋养细胞肿瘤等疾病的筛查等有一定价值。</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38DCFE3F">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CD7EEA5">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4C56E9">
            <w:pPr>
              <w:jc w:val="center"/>
              <w:rPr>
                <w:rFonts w:hint="eastAsia" w:ascii="宋体" w:hAnsi="宋体" w:eastAsia="宋体" w:cs="宋体"/>
                <w:i w:val="0"/>
                <w:iCs w:val="0"/>
                <w:color w:val="000000"/>
                <w:sz w:val="20"/>
                <w:szCs w:val="20"/>
                <w:u w:val="none"/>
              </w:rPr>
            </w:pPr>
          </w:p>
        </w:tc>
      </w:tr>
      <w:tr w14:paraId="33014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187A92">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D5CDC8">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00881CA">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B2BAC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胃泌素释放肽前体（Pro-GRP）对肺癌的鉴别诊断具有重要意义，是鉴别小细胞肺癌和非小细胞肺癌的主要指标。</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E5A8A03">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2236B21">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D0B998">
            <w:pPr>
              <w:jc w:val="center"/>
              <w:rPr>
                <w:rFonts w:hint="eastAsia" w:ascii="宋体" w:hAnsi="宋体" w:eastAsia="宋体" w:cs="宋体"/>
                <w:i w:val="0"/>
                <w:iCs w:val="0"/>
                <w:color w:val="000000"/>
                <w:sz w:val="20"/>
                <w:szCs w:val="20"/>
                <w:u w:val="none"/>
              </w:rPr>
            </w:pPr>
          </w:p>
        </w:tc>
      </w:tr>
      <w:tr w14:paraId="2B293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EEB4A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7A018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甲胎蛋白（AFP，化学发光法）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3399E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AFP对原发性肝癌的诊断、疗效观察和预后评估有重要的临床意义，在卵巢、胃、胰腺、睾丸等肿瘤及肝炎、肝硬化等疾病也有异常发现。</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8BEE4D1">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836E8F3">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B4600FF">
            <w:pPr>
              <w:jc w:val="center"/>
              <w:rPr>
                <w:rFonts w:hint="eastAsia" w:ascii="宋体" w:hAnsi="宋体" w:eastAsia="宋体" w:cs="宋体"/>
                <w:i w:val="0"/>
                <w:iCs w:val="0"/>
                <w:color w:val="000000"/>
                <w:sz w:val="20"/>
                <w:szCs w:val="20"/>
                <w:u w:val="none"/>
              </w:rPr>
            </w:pPr>
          </w:p>
        </w:tc>
      </w:tr>
      <w:tr w14:paraId="44D61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380AA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303C1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癌胚抗原CEA（CEA，化学发光法）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92B5F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CEA是广谱性肿瘤标志物，对大肠癌、胰腺癌的筛查、疗效观察和预后评估有重要的临床意义，在胃、乳腺、肺等肿瘤中也可见升高。</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5A296A96">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ign w:val="center"/>
          </w:tcPr>
          <w:p w14:paraId="59F24EE3">
            <w:pP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6E35A16C">
            <w:pPr>
              <w:rPr>
                <w:rFonts w:hint="eastAsia" w:ascii="宋体" w:hAnsi="宋体" w:eastAsia="宋体" w:cs="宋体"/>
                <w:i w:val="0"/>
                <w:iCs w:val="0"/>
                <w:color w:val="000000"/>
                <w:sz w:val="20"/>
                <w:szCs w:val="20"/>
                <w:u w:val="none"/>
              </w:rPr>
            </w:pPr>
          </w:p>
        </w:tc>
      </w:tr>
      <w:tr w14:paraId="62CE8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06AE7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699F3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糖类抗原199测定（CA19-9，化学发光法）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01AFF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癌抗原19-9（CA19-9）对胰腺癌、胆道肿癌、胃肠癌等筛查及疗效监测、评估预后有临床重要意义，在急性胰腺炎、胆管炎、胆石症、急性肝炎、肝硬化等也有一定程度增高。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9702D0B">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F50D6BE">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3696B4A5">
            <w:pPr>
              <w:rPr>
                <w:rFonts w:hint="eastAsia" w:ascii="宋体" w:hAnsi="宋体" w:eastAsia="宋体" w:cs="宋体"/>
                <w:i w:val="0"/>
                <w:iCs w:val="0"/>
                <w:color w:val="000000"/>
                <w:sz w:val="20"/>
                <w:szCs w:val="20"/>
                <w:u w:val="none"/>
              </w:rPr>
            </w:pPr>
          </w:p>
        </w:tc>
      </w:tr>
      <w:tr w14:paraId="0E60B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95AC3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B48B1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糖类抗原CA24-2</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7172D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是一种糖类抗原，主要用于胃癌、结直肠癌、食道癌、胰腺癌等消化道肿瘤辅助筛查。</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51EE3843">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ABA555E">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393AE5E6">
            <w:pPr>
              <w:rPr>
                <w:rFonts w:hint="eastAsia" w:ascii="宋体" w:hAnsi="宋体" w:eastAsia="宋体" w:cs="宋体"/>
                <w:i w:val="0"/>
                <w:iCs w:val="0"/>
                <w:color w:val="000000"/>
                <w:sz w:val="20"/>
                <w:szCs w:val="20"/>
                <w:u w:val="none"/>
              </w:rPr>
            </w:pPr>
          </w:p>
        </w:tc>
      </w:tr>
      <w:tr w14:paraId="105EB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B4706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11FFD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糖类抗原CA72-4测定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3B2BF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胃癌首选标志物。部分卵巢癌、结肠癌、乳腺癌以及胰腺癌亦有一定敏感性。</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50C36FC">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1AFF3F1">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3CDE38B1">
            <w:pPr>
              <w:rPr>
                <w:rFonts w:hint="eastAsia" w:ascii="宋体" w:hAnsi="宋体" w:eastAsia="宋体" w:cs="宋体"/>
                <w:i w:val="0"/>
                <w:iCs w:val="0"/>
                <w:color w:val="000000"/>
                <w:sz w:val="20"/>
                <w:szCs w:val="20"/>
                <w:u w:val="none"/>
              </w:rPr>
            </w:pPr>
          </w:p>
        </w:tc>
      </w:tr>
      <w:tr w14:paraId="50C7C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7B3FD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35591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糖类抗原CA50测定（化学发光法）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8CFB0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广谱肿瘤标志物；对胰腺、肝胆系、卵巢、结肠、乳腺、子宫癌的筛查及预后判断、疗效监测有重要意义；慢性肝病、胰腺炎、胆管疾病时可升高。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C933659">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B74A172">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60DCA7F6">
            <w:pPr>
              <w:rPr>
                <w:rFonts w:hint="eastAsia" w:ascii="宋体" w:hAnsi="宋体" w:eastAsia="宋体" w:cs="宋体"/>
                <w:i w:val="0"/>
                <w:iCs w:val="0"/>
                <w:color w:val="000000"/>
                <w:sz w:val="20"/>
                <w:szCs w:val="20"/>
                <w:u w:val="none"/>
              </w:rPr>
            </w:pPr>
          </w:p>
        </w:tc>
      </w:tr>
      <w:tr w14:paraId="13DD8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67676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90E44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细胞角蛋白19片段(CYFRA21-1)测定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5B3B1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肺癌标志物(总敏感性约为47%,非小细胞肺癌约50%,小细胞肺癌约34%,鳞癌达60%)。与CEA、SCC等其他标志物联合测定，可提高诊断的敏感性。</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463288D">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DDCF46F">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5B8798FB">
            <w:pPr>
              <w:rPr>
                <w:rFonts w:hint="eastAsia" w:ascii="宋体" w:hAnsi="宋体" w:eastAsia="宋体" w:cs="宋体"/>
                <w:i w:val="0"/>
                <w:iCs w:val="0"/>
                <w:color w:val="000000"/>
                <w:sz w:val="20"/>
                <w:szCs w:val="20"/>
                <w:u w:val="none"/>
              </w:rPr>
            </w:pPr>
          </w:p>
        </w:tc>
      </w:tr>
      <w:tr w14:paraId="76F77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5126D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5D2BF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人附睾分泌蛋白(HE4)测定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F919D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人附睾分泌蛋白(HE4)是卵巢癌检测敏感性较高的肿瘤标志物，特别是早期无症状的I期卵巢癌，敏感性可达49%</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8923F97">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082B2E8">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04695FFF">
            <w:pPr>
              <w:rPr>
                <w:rFonts w:hint="eastAsia" w:ascii="宋体" w:hAnsi="宋体" w:eastAsia="宋体" w:cs="宋体"/>
                <w:i w:val="0"/>
                <w:iCs w:val="0"/>
                <w:color w:val="000000"/>
                <w:sz w:val="20"/>
                <w:szCs w:val="20"/>
                <w:u w:val="none"/>
              </w:rPr>
            </w:pPr>
          </w:p>
        </w:tc>
      </w:tr>
      <w:tr w14:paraId="48E88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97AB6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00F277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神经元特异性烯醇化酶（ＮＳＥ）（肺）</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1DC2D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是监测小细胞肺癌的首选标志物。神经母细胞瘤、支气管癌、精原细胞瘤、良性肺病和中枢系统疾病，NSE也可升高。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4EECC38">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C42D43F">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7230E42E">
            <w:pPr>
              <w:rPr>
                <w:rFonts w:hint="eastAsia" w:ascii="宋体" w:hAnsi="宋体" w:eastAsia="宋体" w:cs="宋体"/>
                <w:i w:val="0"/>
                <w:iCs w:val="0"/>
                <w:color w:val="000000"/>
                <w:sz w:val="20"/>
                <w:szCs w:val="20"/>
                <w:u w:val="none"/>
              </w:rPr>
            </w:pPr>
          </w:p>
        </w:tc>
      </w:tr>
      <w:tr w14:paraId="1C637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FA7C7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DC198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胃泌素释放肽前体(ProGRP)测定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3D299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胃泌素释放肽前体(ProGRP)是小细胞肺癌的一个非常可靠的指标，具有很好的灵敏度和特异性，为判断肺部结节是否为肺癌提供早期信息。</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09065B0">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5DAE307">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1AF5C95E">
            <w:pPr>
              <w:rPr>
                <w:rFonts w:hint="eastAsia" w:ascii="宋体" w:hAnsi="宋体" w:eastAsia="宋体" w:cs="宋体"/>
                <w:i w:val="0"/>
                <w:iCs w:val="0"/>
                <w:color w:val="000000"/>
                <w:sz w:val="20"/>
                <w:szCs w:val="20"/>
                <w:u w:val="none"/>
              </w:rPr>
            </w:pPr>
          </w:p>
        </w:tc>
      </w:tr>
      <w:tr w14:paraId="12349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B828F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9DA89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恶性肿瘤特异生长因子(TSGF)测定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46E62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是恶性肿瘤及其周边毛细血管大量扩增的结果，并随着肿瘤的形成和增长逐渐释放到外周血液。</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1C67900">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84F5FE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75BD0EAF">
            <w:pPr>
              <w:rPr>
                <w:rFonts w:hint="eastAsia" w:ascii="宋体" w:hAnsi="宋体" w:eastAsia="宋体" w:cs="宋体"/>
                <w:i w:val="0"/>
                <w:iCs w:val="0"/>
                <w:color w:val="000000"/>
                <w:sz w:val="20"/>
                <w:szCs w:val="20"/>
                <w:u w:val="none"/>
              </w:rPr>
            </w:pPr>
          </w:p>
        </w:tc>
      </w:tr>
      <w:tr w14:paraId="49FE7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F5799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023066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前列腺小体外泄蛋检测(PSEP)</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C92F0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目前唯一通过尿液检测慢性非细菌性前列腺炎的指标，可用于前列腺炎的诊断、用药诊疗评价和预后评价。</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94FC9F9">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0427BD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2E148D9F">
            <w:pPr>
              <w:rPr>
                <w:rFonts w:hint="eastAsia" w:ascii="宋体" w:hAnsi="宋体" w:eastAsia="宋体" w:cs="宋体"/>
                <w:i w:val="0"/>
                <w:iCs w:val="0"/>
                <w:color w:val="000000"/>
                <w:sz w:val="20"/>
                <w:szCs w:val="20"/>
                <w:u w:val="none"/>
              </w:rPr>
            </w:pPr>
          </w:p>
        </w:tc>
      </w:tr>
      <w:tr w14:paraId="3B549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FBD1C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3300D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总前列腺特异性抗原检测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(TPSE，化学发光法P)</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17CB4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TPSA测定有助于前列腺癌早期诊断，监测治疗反应及判断预后，也可用于高危人群前列腺癌的普查</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9F87AA8">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43D0A77">
            <w:pPr>
              <w:jc w:val="center"/>
              <w:rPr>
                <w:rFonts w:hint="eastAsia" w:ascii="宋体" w:hAnsi="宋体" w:eastAsia="宋体" w:cs="宋体"/>
                <w:i w:val="0"/>
                <w:iCs w:val="0"/>
                <w:color w:val="000000"/>
                <w:sz w:val="20"/>
                <w:szCs w:val="20"/>
                <w:u w:val="none"/>
              </w:rPr>
            </w:pP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38F4D0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建议两项联合筛查</w:t>
            </w:r>
          </w:p>
        </w:tc>
      </w:tr>
      <w:tr w14:paraId="7D75F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5ADAA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2815D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游离前列腺特异性抗原(FPSA)测定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2E70B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前列腺癌的辅助标志物，用于前列腺癌的鉴别诊断。</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A4E3D20">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FB93832">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3D5223">
            <w:pPr>
              <w:jc w:val="center"/>
              <w:rPr>
                <w:rFonts w:hint="eastAsia" w:ascii="宋体" w:hAnsi="宋体" w:eastAsia="宋体" w:cs="宋体"/>
                <w:i w:val="0"/>
                <w:iCs w:val="0"/>
                <w:color w:val="000000"/>
                <w:sz w:val="20"/>
                <w:szCs w:val="20"/>
                <w:u w:val="none"/>
              </w:rPr>
            </w:pPr>
          </w:p>
        </w:tc>
      </w:tr>
      <w:tr w14:paraId="6B447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C794F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7AA4A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癌抗原125（CA125，化学发光法）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5D5F9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CA125增高见于妇科及消化道恶性肿瘤，如宫颈癌、乳腺癌、胰腺癌、肝癌、胃癌及肺癌等，也可见于肝硬化、肾衰、孕妇、良性卵巢癌等。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C138F77">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122F4B6">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62C55E8A">
            <w:pPr>
              <w:rPr>
                <w:rFonts w:hint="eastAsia" w:ascii="宋体" w:hAnsi="宋体" w:eastAsia="宋体" w:cs="宋体"/>
                <w:i w:val="0"/>
                <w:iCs w:val="0"/>
                <w:color w:val="000000"/>
                <w:sz w:val="20"/>
                <w:szCs w:val="20"/>
                <w:u w:val="none"/>
              </w:rPr>
            </w:pPr>
          </w:p>
        </w:tc>
      </w:tr>
      <w:tr w14:paraId="7E6D3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20739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2093E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鳞状细胞癌癌相关抗原测定（SCC，化学发光法）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BADD3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SCC测定对子宫颈癌有较高的诊断价值；还可以辅助诊断肺鳞癌、食管鳞癌、头颈癌、外阴癌、膀胱癌、肛管癌、皮肤癌等。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926735F">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E0483D6">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E48899B">
            <w:pPr>
              <w:rPr>
                <w:rFonts w:hint="eastAsia" w:ascii="宋体" w:hAnsi="宋体" w:eastAsia="宋体" w:cs="宋体"/>
                <w:i w:val="0"/>
                <w:iCs w:val="0"/>
                <w:color w:val="000000"/>
                <w:sz w:val="20"/>
                <w:szCs w:val="20"/>
                <w:u w:val="none"/>
              </w:rPr>
            </w:pPr>
          </w:p>
        </w:tc>
      </w:tr>
      <w:tr w14:paraId="5C742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0B910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41146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EB病毒抗体筛查试验</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A3E45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检查EB病毒三项：EVB-CA、EVB-EA、EB病毒Rta蛋白抗体检测，早期筛查传染性单核细胞增多症、鼻咽癌等。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2292AC0">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95E467C">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C51675A">
            <w:pPr>
              <w:rPr>
                <w:rFonts w:hint="eastAsia" w:ascii="宋体" w:hAnsi="宋体" w:eastAsia="宋体" w:cs="宋体"/>
                <w:i w:val="0"/>
                <w:iCs w:val="0"/>
                <w:color w:val="000000"/>
                <w:sz w:val="20"/>
                <w:szCs w:val="20"/>
                <w:u w:val="none"/>
              </w:rPr>
            </w:pPr>
          </w:p>
        </w:tc>
      </w:tr>
      <w:tr w14:paraId="06068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13114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B49C2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尿核基质蛋白22测定（NMP22）</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04A20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尿核基质蛋白22在膀胱癌诊断中的特异性和敏感性均较高，有助于检测膀胱病变，筛查膀胱癌。</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22D7161">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B7E48CD">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115CB1B">
            <w:pPr>
              <w:rPr>
                <w:rFonts w:hint="eastAsia" w:ascii="宋体" w:hAnsi="宋体" w:eastAsia="宋体" w:cs="宋体"/>
                <w:i w:val="0"/>
                <w:iCs w:val="0"/>
                <w:color w:val="000000"/>
                <w:sz w:val="20"/>
                <w:szCs w:val="20"/>
                <w:u w:val="none"/>
              </w:rPr>
            </w:pPr>
          </w:p>
        </w:tc>
      </w:tr>
      <w:tr w14:paraId="1398C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3A022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095016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血管內皮因子测定（VEGF）</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A5797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VEGF是肿瘤血管生成的最有效的刺激因子，通过对血清中血管内皮生长因子浓度的定量分析和动态变化的观察，对血管新生相关疾病、肿瘤早期筛查、病情监测、预后评估等方面具有创新性的辅助诊断价值。此项目适合35岁以上人群选择。</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897DFEF">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3392010">
            <w:pPr>
              <w:jc w:val="center"/>
              <w:rPr>
                <w:rFonts w:hint="eastAsia" w:ascii="宋体" w:hAnsi="宋体" w:eastAsia="宋体" w:cs="宋体"/>
                <w:i w:val="0"/>
                <w:iCs w:val="0"/>
                <w:color w:val="000000"/>
                <w:sz w:val="20"/>
                <w:szCs w:val="20"/>
                <w:u w:val="none"/>
              </w:rPr>
            </w:pP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1A10EE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VEGF和STK1两者建议二选一</w:t>
            </w:r>
          </w:p>
        </w:tc>
      </w:tr>
      <w:tr w14:paraId="77437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3693A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8B831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细胞周期分析（STK1）</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AFF57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TK1可作为恶性肿瘤细胞快速增值的“分子探照灯”，STK1升高或持续增高提示肿瘤细胞增生活跃，标志癌症即将形成。此外，STK1作为肿瘤增值指标可以评判肿瘤的恶性程度，评价恶性肿瘤治疗效果，与其他传统肿瘤标致物联合检测，可作为肿瘤复发与转移风险警示的有效手段，以及生存期预测。</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45F8276">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7186337">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BB945C">
            <w:pPr>
              <w:jc w:val="center"/>
              <w:rPr>
                <w:rFonts w:hint="eastAsia" w:ascii="宋体" w:hAnsi="宋体" w:eastAsia="宋体" w:cs="宋体"/>
                <w:i w:val="0"/>
                <w:iCs w:val="0"/>
                <w:color w:val="000000"/>
                <w:sz w:val="20"/>
                <w:szCs w:val="20"/>
                <w:u w:val="none"/>
              </w:rPr>
            </w:pPr>
          </w:p>
        </w:tc>
      </w:tr>
      <w:tr w14:paraId="5DD57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420" w:type="dxa"/>
            <w:gridSpan w:val="8"/>
            <w:tcBorders>
              <w:top w:val="single" w:color="000000" w:sz="4" w:space="0"/>
              <w:left w:val="single" w:color="000000" w:sz="4" w:space="0"/>
              <w:bottom w:val="single" w:color="000000" w:sz="4" w:space="0"/>
              <w:right w:val="single" w:color="000000" w:sz="4" w:space="0"/>
            </w:tcBorders>
            <w:noWrap w:val="0"/>
            <w:vAlign w:val="center"/>
          </w:tcPr>
          <w:p w14:paraId="7EEA62F8">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三、女员工专项检查★</w:t>
            </w:r>
          </w:p>
        </w:tc>
      </w:tr>
      <w:tr w14:paraId="0ABF8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14:paraId="05E8649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202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04B24CF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体检项目</w:t>
            </w:r>
          </w:p>
        </w:tc>
        <w:tc>
          <w:tcPr>
            <w:tcW w:w="4245" w:type="dxa"/>
            <w:vMerge w:val="restart"/>
            <w:tcBorders>
              <w:top w:val="single" w:color="000000" w:sz="4" w:space="0"/>
              <w:left w:val="single" w:color="000000" w:sz="4" w:space="0"/>
              <w:bottom w:val="single" w:color="000000" w:sz="4" w:space="0"/>
              <w:right w:val="single" w:color="000000" w:sz="4" w:space="0"/>
            </w:tcBorders>
            <w:noWrap w:val="0"/>
            <w:vAlign w:val="center"/>
          </w:tcPr>
          <w:p w14:paraId="70ACC8A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检查意义</w:t>
            </w:r>
          </w:p>
        </w:tc>
        <w:tc>
          <w:tcPr>
            <w:tcW w:w="1065" w:type="dxa"/>
            <w:gridSpan w:val="2"/>
            <w:tcBorders>
              <w:top w:val="single" w:color="000000" w:sz="4" w:space="0"/>
              <w:left w:val="single" w:color="000000" w:sz="4" w:space="0"/>
              <w:bottom w:val="single" w:color="000000" w:sz="4" w:space="0"/>
              <w:right w:val="single" w:color="000000" w:sz="4" w:space="0"/>
            </w:tcBorders>
            <w:noWrap w:val="0"/>
            <w:vAlign w:val="center"/>
          </w:tcPr>
          <w:p w14:paraId="32FD0FC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拟定方案</w:t>
            </w: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27648EA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32BA7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AA6678">
            <w:pPr>
              <w:jc w:val="center"/>
              <w:rPr>
                <w:rFonts w:hint="eastAsia" w:ascii="宋体" w:hAnsi="宋体" w:eastAsia="宋体" w:cs="宋体"/>
                <w:b/>
                <w:bCs/>
                <w:i w:val="0"/>
                <w:iCs w:val="0"/>
                <w:color w:val="000000"/>
                <w:sz w:val="20"/>
                <w:szCs w:val="20"/>
                <w:u w:val="none"/>
              </w:rPr>
            </w:pPr>
          </w:p>
        </w:tc>
        <w:tc>
          <w:tcPr>
            <w:tcW w:w="202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53A0F8BA">
            <w:pPr>
              <w:jc w:val="center"/>
              <w:rPr>
                <w:rFonts w:hint="eastAsia" w:ascii="宋体" w:hAnsi="宋体" w:eastAsia="宋体" w:cs="宋体"/>
                <w:b/>
                <w:bCs/>
                <w:i w:val="0"/>
                <w:iCs w:val="0"/>
                <w:color w:val="000000"/>
                <w:sz w:val="20"/>
                <w:szCs w:val="20"/>
                <w:u w:val="none"/>
              </w:rPr>
            </w:pPr>
          </w:p>
        </w:tc>
        <w:tc>
          <w:tcPr>
            <w:tcW w:w="4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DAD9B1">
            <w:pPr>
              <w:jc w:val="center"/>
              <w:rPr>
                <w:rFonts w:hint="eastAsia" w:ascii="宋体" w:hAnsi="宋体" w:eastAsia="宋体" w:cs="宋体"/>
                <w:b/>
                <w:bCs/>
                <w:i w:val="0"/>
                <w:iCs w:val="0"/>
                <w:color w:val="000000"/>
                <w:sz w:val="20"/>
                <w:szCs w:val="20"/>
                <w:u w:val="none"/>
              </w:rPr>
            </w:pP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ED559D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女已婚</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2925DD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女未婚</w:t>
            </w: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38176E">
            <w:pPr>
              <w:jc w:val="center"/>
              <w:rPr>
                <w:rFonts w:hint="eastAsia" w:ascii="宋体" w:hAnsi="宋体" w:eastAsia="宋体" w:cs="宋体"/>
                <w:b/>
                <w:bCs/>
                <w:i w:val="0"/>
                <w:iCs w:val="0"/>
                <w:color w:val="000000"/>
                <w:sz w:val="20"/>
                <w:szCs w:val="20"/>
                <w:u w:val="none"/>
              </w:rPr>
            </w:pPr>
          </w:p>
        </w:tc>
      </w:tr>
      <w:tr w14:paraId="396F6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6193D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67D7C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经腹/经阴妇科彩超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(含超声计算机图文报告）)</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1CAE1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通过彩色超声仪器观察盆腔子宫及附件、形态结构及内部回声的情况，了解病变的性质，判别有无纳囊，肌瘤及子宫癌等病变。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335C8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8A8E6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6ED18B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如员工有需求，可免费升级为经阴彩超</w:t>
            </w:r>
          </w:p>
        </w:tc>
      </w:tr>
      <w:tr w14:paraId="4CA3D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AADA5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907D4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乳腺彩超（含超声计算机图文报告）</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FB90A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通过彩色超声仪器检查乳腺，发现乳腺增生、肿物、结节、囊肿、腺瘤、乳腺癌等病变。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245AC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F0A3A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DA334E7">
            <w:pPr>
              <w:rPr>
                <w:rFonts w:hint="eastAsia" w:ascii="宋体" w:hAnsi="宋体" w:eastAsia="宋体" w:cs="宋体"/>
                <w:i w:val="0"/>
                <w:iCs w:val="0"/>
                <w:color w:val="000000"/>
                <w:sz w:val="22"/>
                <w:szCs w:val="22"/>
                <w:u w:val="none"/>
              </w:rPr>
            </w:pPr>
          </w:p>
        </w:tc>
      </w:tr>
      <w:tr w14:paraId="5F3E8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C539D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0DA06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妇科检查</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3E43C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主要判断外阴、阴道、宫颈等部位的病变情况。</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537AA8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E53D783">
            <w:pPr>
              <w:jc w:val="left"/>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A7D0338">
            <w:pPr>
              <w:rPr>
                <w:rFonts w:hint="eastAsia" w:ascii="宋体" w:hAnsi="宋体" w:eastAsia="宋体" w:cs="宋体"/>
                <w:i w:val="0"/>
                <w:iCs w:val="0"/>
                <w:color w:val="000000"/>
                <w:sz w:val="22"/>
                <w:szCs w:val="22"/>
                <w:u w:val="none"/>
              </w:rPr>
            </w:pPr>
          </w:p>
        </w:tc>
      </w:tr>
      <w:tr w14:paraId="6D33B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12C75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3FD61C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白带常规</w:t>
            </w: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59E450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白带清洁度、上皮细胞(白带)、白细胞(白带) 、红细胞(白带)、白带查霉菌、霉菌孢子（阴道）、白带查滴虫、线索细胞</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297FA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以确定阴道清洁度、PH值及检查阴道内有无滴虫、念珠菌等感染，是筛查阴道炎的有效方法。同时通过阴道炎联合检测，筛查、诊断需氧菌阴道炎、细菌性阴道病、混合感染和其他阴道炎症；有效监测阴道菌群平衡；以便及时治疗或调理阴道“亚健康”。</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EDA74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D4F6BA0">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B90AF82">
            <w:pPr>
              <w:rPr>
                <w:rFonts w:hint="eastAsia" w:ascii="宋体" w:hAnsi="宋体" w:eastAsia="宋体" w:cs="宋体"/>
                <w:i w:val="0"/>
                <w:iCs w:val="0"/>
                <w:color w:val="000000"/>
                <w:sz w:val="22"/>
                <w:szCs w:val="22"/>
                <w:u w:val="none"/>
              </w:rPr>
            </w:pPr>
          </w:p>
        </w:tc>
      </w:tr>
      <w:tr w14:paraId="228EC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6DC51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0BA71F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薄层液基细胞学检查(TCT)</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C6FA8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是子宫颈癌及其癌前病变较先进的筛查方法，比常规制片效果更清晰、阅片更容易，更清楚的检查生殖道脱落上皮细胞，协助诊断恶性肿瘤及观察其治疗效果。</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DF792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758B4C6">
            <w:pPr>
              <w:jc w:val="left"/>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4A30243">
            <w:pPr>
              <w:jc w:val="left"/>
              <w:rPr>
                <w:rFonts w:hint="eastAsia" w:ascii="宋体" w:hAnsi="宋体" w:eastAsia="宋体" w:cs="宋体"/>
                <w:i w:val="0"/>
                <w:iCs w:val="0"/>
                <w:color w:val="000000"/>
                <w:sz w:val="22"/>
                <w:szCs w:val="22"/>
                <w:u w:val="none"/>
              </w:rPr>
            </w:pPr>
          </w:p>
        </w:tc>
      </w:tr>
      <w:tr w14:paraId="4C8A6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21660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A13C5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人乳头瘤病毒(HPV23型)核酸检测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5E81D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高危型HPV持续感染是子宫颈癌发生的必备条件，其与液基细胞学联合检查对于早期发现子宫颈癌和癌前病变有重要意义。直接反映人体内乳头瘤病毒是否存在，可具体判断出感染型别，为临床诊断宫颈癌提供参考</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1586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ign w:val="center"/>
          </w:tcPr>
          <w:p w14:paraId="6D8CE5E2">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2C404C6">
            <w:pPr>
              <w:jc w:val="left"/>
              <w:rPr>
                <w:rFonts w:hint="eastAsia" w:ascii="宋体" w:hAnsi="宋体" w:eastAsia="宋体" w:cs="宋体"/>
                <w:i w:val="0"/>
                <w:iCs w:val="0"/>
                <w:color w:val="000000"/>
                <w:sz w:val="22"/>
                <w:szCs w:val="22"/>
                <w:u w:val="none"/>
              </w:rPr>
            </w:pPr>
          </w:p>
        </w:tc>
      </w:tr>
      <w:tr w14:paraId="7C077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5B2C0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226ED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糖类抗原CA15-3测定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50959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乳腺癌首选标志物，转移性卵巢癌、结肠癌、肝癌、胆管癌、胰腺癌、肺癌等也可见不同程度增高。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09191A0">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6E406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7FC64D5">
            <w:pPr>
              <w:rPr>
                <w:rFonts w:hint="eastAsia" w:ascii="宋体" w:hAnsi="宋体" w:eastAsia="宋体" w:cs="宋体"/>
                <w:i w:val="0"/>
                <w:iCs w:val="0"/>
                <w:color w:val="000000"/>
                <w:sz w:val="20"/>
                <w:szCs w:val="20"/>
                <w:u w:val="none"/>
              </w:rPr>
            </w:pPr>
          </w:p>
        </w:tc>
      </w:tr>
    </w:tbl>
    <w:p w14:paraId="1B9FA828">
      <w:pPr>
        <w:keepNext/>
        <w:keepLines/>
        <w:pageBreakBefore w:val="0"/>
        <w:widowControl w:val="0"/>
        <w:numPr>
          <w:ilvl w:val="0"/>
          <w:numId w:val="0"/>
        </w:numPr>
        <w:kinsoku/>
        <w:wordWrap/>
        <w:topLinePunct w:val="0"/>
        <w:bidi w:val="0"/>
        <w:adjustRightInd w:val="0"/>
        <w:snapToGrid w:val="0"/>
        <w:spacing w:before="0" w:after="0" w:line="360" w:lineRule="auto"/>
        <w:jc w:val="both"/>
        <w:textAlignment w:val="auto"/>
        <w:outlineLvl w:val="9"/>
        <w:rPr>
          <w:rFonts w:ascii="宋体" w:hAnsi="宋体" w:eastAsia="黑体" w:cs="Times New Roman"/>
          <w:b/>
          <w:bCs/>
          <w:snapToGrid w:val="0"/>
          <w:color w:val="000000"/>
          <w:kern w:val="0"/>
          <w:sz w:val="28"/>
          <w:szCs w:val="21"/>
          <w:lang w:val="en-US" w:eastAsia="zh-CN" w:bidi="ar-SA"/>
        </w:rPr>
      </w:pPr>
    </w:p>
    <w:p w14:paraId="7DDB99B7">
      <w:pPr>
        <w:outlineLvl w:val="1"/>
        <w:rPr>
          <w:rFonts w:hint="eastAsia" w:ascii="黑体" w:hAnsi="黑体" w:eastAsia="黑体" w:cs="Times New Roman"/>
          <w:b w:val="0"/>
          <w:snapToGrid w:val="0"/>
          <w:color w:val="000000"/>
          <w:kern w:val="0"/>
          <w:sz w:val="24"/>
          <w:szCs w:val="24"/>
          <w:lang w:val="en-US" w:eastAsia="zh-CN" w:bidi="ar-SA"/>
        </w:rPr>
      </w:pPr>
      <w:r>
        <w:rPr>
          <w:rFonts w:ascii="Times New Roman" w:hAnsi="Times New Roman" w:eastAsia="宋体" w:cs="Times New Roman"/>
          <w:szCs w:val="22"/>
        </w:rPr>
        <w:br w:type="page"/>
      </w:r>
      <w:r>
        <w:rPr>
          <w:rFonts w:hint="eastAsia" w:ascii="黑体" w:hAnsi="黑体" w:eastAsia="黑体" w:cs="Times New Roman"/>
          <w:b w:val="0"/>
          <w:snapToGrid w:val="0"/>
          <w:color w:val="000000"/>
          <w:kern w:val="0"/>
          <w:sz w:val="24"/>
          <w:szCs w:val="24"/>
          <w:lang w:val="en-US" w:eastAsia="zh-CN" w:bidi="ar-SA"/>
        </w:rPr>
        <w:t>附件二</w:t>
      </w:r>
    </w:p>
    <w:p w14:paraId="784B8C76">
      <w:pPr>
        <w:keepNext/>
        <w:keepLines/>
        <w:widowControl w:val="0"/>
        <w:numPr>
          <w:ilvl w:val="0"/>
          <w:numId w:val="0"/>
        </w:numPr>
        <w:adjustRightInd w:val="0"/>
        <w:snapToGrid w:val="0"/>
        <w:spacing w:before="0" w:after="0" w:line="360" w:lineRule="auto"/>
        <w:jc w:val="center"/>
        <w:outlineLvl w:val="2"/>
        <w:rPr>
          <w:rFonts w:hint="eastAsia" w:ascii="黑体" w:hAnsi="黑体" w:eastAsia="黑体" w:cs="Times New Roman"/>
          <w:b w:val="0"/>
          <w:snapToGrid w:val="0"/>
          <w:color w:val="000000"/>
          <w:kern w:val="0"/>
          <w:sz w:val="28"/>
          <w:szCs w:val="28"/>
          <w:lang w:val="en-US" w:eastAsia="zh-CN" w:bidi="ar-SA"/>
        </w:rPr>
      </w:pPr>
      <w:r>
        <w:rPr>
          <w:rFonts w:hint="eastAsia" w:ascii="黑体" w:hAnsi="黑体" w:eastAsia="黑体" w:cs="Times New Roman"/>
          <w:b w:val="0"/>
          <w:snapToGrid w:val="0"/>
          <w:color w:val="000000"/>
          <w:kern w:val="0"/>
          <w:sz w:val="28"/>
          <w:szCs w:val="28"/>
          <w:lang w:val="en-US" w:eastAsia="zh-CN" w:bidi="ar-SA"/>
        </w:rPr>
        <w:t>合同价款构成清单</w:t>
      </w:r>
    </w:p>
    <w:p w14:paraId="507E6F7E">
      <w:pPr>
        <w:rPr>
          <w:rFonts w:hint="eastAsia" w:ascii="Times New Roman" w:hAnsi="Times New Roman" w:eastAsia="宋体" w:cs="Times New Roman"/>
          <w:szCs w:val="22"/>
        </w:rPr>
      </w:pPr>
    </w:p>
    <w:tbl>
      <w:tblPr>
        <w:tblStyle w:val="64"/>
        <w:tblW w:w="4397" w:type="pct"/>
        <w:tblInd w:w="-13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78"/>
        <w:gridCol w:w="1301"/>
        <w:gridCol w:w="4030"/>
        <w:gridCol w:w="959"/>
        <w:gridCol w:w="1594"/>
      </w:tblGrid>
      <w:tr w14:paraId="62190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4AD46A2">
            <w:pPr>
              <w:keepNext w:val="0"/>
              <w:keepLines w:val="0"/>
              <w:widowControl/>
              <w:suppressLineNumbers w:val="0"/>
              <w:jc w:val="center"/>
              <w:textAlignment w:val="center"/>
              <w:rPr>
                <w:rFonts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序号</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DC1E690">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体检项目</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44E1273C">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单位</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06EA13CD">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含税价</w:t>
            </w:r>
          </w:p>
        </w:tc>
      </w:tr>
      <w:tr w14:paraId="18F01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5CBB20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FA0FD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一般项目</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B51C3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196A8969">
            <w:pPr>
              <w:rPr>
                <w:rFonts w:hint="eastAsia" w:ascii="宋体" w:hAnsi="宋体" w:eastAsia="宋体" w:cs="宋体"/>
                <w:i w:val="0"/>
                <w:iCs w:val="0"/>
                <w:color w:val="000000"/>
                <w:sz w:val="20"/>
                <w:szCs w:val="20"/>
                <w:u w:val="none"/>
              </w:rPr>
            </w:pPr>
          </w:p>
        </w:tc>
      </w:tr>
      <w:tr w14:paraId="45E97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14A095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71BAC9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内科</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6609C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72025067">
            <w:pPr>
              <w:rPr>
                <w:rFonts w:hint="eastAsia" w:ascii="宋体" w:hAnsi="宋体" w:eastAsia="宋体" w:cs="宋体"/>
                <w:i w:val="0"/>
                <w:iCs w:val="0"/>
                <w:color w:val="000000"/>
                <w:sz w:val="20"/>
                <w:szCs w:val="20"/>
                <w:u w:val="none"/>
              </w:rPr>
            </w:pPr>
          </w:p>
        </w:tc>
      </w:tr>
      <w:tr w14:paraId="00B02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2AACD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6B1469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外科</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73DE52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12BACDFE">
            <w:pPr>
              <w:rPr>
                <w:rFonts w:hint="eastAsia" w:ascii="宋体" w:hAnsi="宋体" w:eastAsia="宋体" w:cs="宋体"/>
                <w:i w:val="0"/>
                <w:iCs w:val="0"/>
                <w:color w:val="000000"/>
                <w:sz w:val="20"/>
                <w:szCs w:val="20"/>
                <w:u w:val="none"/>
              </w:rPr>
            </w:pPr>
          </w:p>
        </w:tc>
      </w:tr>
      <w:tr w14:paraId="5168E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B6E95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1395AB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耳鼻喉科</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D0B2F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2A5F20B9">
            <w:pPr>
              <w:rPr>
                <w:rFonts w:hint="eastAsia" w:ascii="宋体" w:hAnsi="宋体" w:eastAsia="宋体" w:cs="宋体"/>
                <w:i w:val="0"/>
                <w:iCs w:val="0"/>
                <w:color w:val="000000"/>
                <w:sz w:val="20"/>
                <w:szCs w:val="20"/>
                <w:u w:val="none"/>
              </w:rPr>
            </w:pPr>
          </w:p>
        </w:tc>
      </w:tr>
      <w:tr w14:paraId="0FF15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6C1831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3F6625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口腔科</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360CF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4E6EE837">
            <w:pPr>
              <w:rPr>
                <w:rFonts w:hint="eastAsia" w:ascii="宋体" w:hAnsi="宋体" w:eastAsia="宋体" w:cs="宋体"/>
                <w:i w:val="0"/>
                <w:iCs w:val="0"/>
                <w:color w:val="000000"/>
                <w:sz w:val="20"/>
                <w:szCs w:val="20"/>
                <w:u w:val="none"/>
              </w:rPr>
            </w:pPr>
          </w:p>
        </w:tc>
      </w:tr>
      <w:tr w14:paraId="6F308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6AF8C4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1FF2A0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眼科</w:t>
            </w:r>
          </w:p>
        </w:tc>
        <w:tc>
          <w:tcPr>
            <w:tcW w:w="2299" w:type="pct"/>
            <w:tcBorders>
              <w:top w:val="single" w:color="000000" w:sz="4" w:space="0"/>
              <w:left w:val="single" w:color="000000" w:sz="4" w:space="0"/>
              <w:bottom w:val="single" w:color="000000" w:sz="4" w:space="0"/>
              <w:right w:val="single" w:color="000000" w:sz="4" w:space="0"/>
            </w:tcBorders>
            <w:noWrap w:val="0"/>
            <w:vAlign w:val="center"/>
          </w:tcPr>
          <w:p w14:paraId="4D63E1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包括但不限于眼底检查（裂隙灯下）、视力、辨色力</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795B5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7029EFDF">
            <w:pPr>
              <w:jc w:val="center"/>
              <w:rPr>
                <w:rFonts w:hint="eastAsia" w:ascii="宋体" w:hAnsi="宋体" w:eastAsia="宋体" w:cs="宋体"/>
                <w:i w:val="0"/>
                <w:iCs w:val="0"/>
                <w:color w:val="000000"/>
                <w:sz w:val="20"/>
                <w:szCs w:val="20"/>
                <w:u w:val="none"/>
              </w:rPr>
            </w:pPr>
          </w:p>
        </w:tc>
      </w:tr>
      <w:tr w14:paraId="4AC7D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100DEE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31759C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血细胞分析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（全血细胞计数加五分类）</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4AFEE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52551D1D">
            <w:pPr>
              <w:rPr>
                <w:rFonts w:hint="eastAsia" w:ascii="宋体" w:hAnsi="宋体" w:eastAsia="宋体" w:cs="宋体"/>
                <w:i w:val="0"/>
                <w:iCs w:val="0"/>
                <w:color w:val="000000"/>
                <w:sz w:val="20"/>
                <w:szCs w:val="20"/>
                <w:u w:val="none"/>
              </w:rPr>
            </w:pPr>
          </w:p>
        </w:tc>
      </w:tr>
      <w:tr w14:paraId="2A82A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E3CBF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E1E48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尿液分析（含镜检）</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CB569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005559FB">
            <w:pPr>
              <w:rPr>
                <w:rFonts w:hint="eastAsia" w:ascii="宋体" w:hAnsi="宋体" w:eastAsia="宋体" w:cs="宋体"/>
                <w:i w:val="0"/>
                <w:iCs w:val="0"/>
                <w:color w:val="000000"/>
                <w:sz w:val="20"/>
                <w:szCs w:val="20"/>
                <w:u w:val="none"/>
              </w:rPr>
            </w:pPr>
          </w:p>
        </w:tc>
      </w:tr>
      <w:tr w14:paraId="752FA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21E4F2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29192F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粪便常规(机器法)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加隐血试验</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9ECE3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1A362A26">
            <w:pPr>
              <w:rPr>
                <w:rFonts w:hint="eastAsia" w:ascii="宋体" w:hAnsi="宋体" w:eastAsia="宋体" w:cs="宋体"/>
                <w:i w:val="0"/>
                <w:iCs w:val="0"/>
                <w:color w:val="FF0000"/>
                <w:sz w:val="20"/>
                <w:szCs w:val="20"/>
                <w:u w:val="none"/>
              </w:rPr>
            </w:pPr>
          </w:p>
        </w:tc>
      </w:tr>
      <w:tr w14:paraId="1F98E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26802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038778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肝功能十一项</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104141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bottom"/>
          </w:tcPr>
          <w:p w14:paraId="2A2C0D8C">
            <w:pPr>
              <w:jc w:val="left"/>
              <w:rPr>
                <w:rFonts w:hint="eastAsia" w:ascii="宋体" w:hAnsi="宋体" w:eastAsia="宋体" w:cs="宋体"/>
                <w:b/>
                <w:bCs/>
                <w:i w:val="0"/>
                <w:iCs w:val="0"/>
                <w:color w:val="000000"/>
                <w:sz w:val="20"/>
                <w:szCs w:val="20"/>
                <w:u w:val="none"/>
              </w:rPr>
            </w:pPr>
          </w:p>
        </w:tc>
      </w:tr>
      <w:tr w14:paraId="68D21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197F55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3421D7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乙型病毒性肝炎检测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（乙肝三对检查）</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1C258B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25DD9D1C">
            <w:pPr>
              <w:rPr>
                <w:rFonts w:hint="eastAsia" w:ascii="宋体" w:hAnsi="宋体" w:eastAsia="宋体" w:cs="宋体"/>
                <w:i w:val="0"/>
                <w:iCs w:val="0"/>
                <w:color w:val="000000"/>
                <w:sz w:val="20"/>
                <w:szCs w:val="20"/>
                <w:u w:val="none"/>
              </w:rPr>
            </w:pPr>
          </w:p>
        </w:tc>
      </w:tr>
      <w:tr w14:paraId="5D6E3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9C359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3386C6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肾功能三项</w:t>
            </w:r>
          </w:p>
        </w:tc>
        <w:tc>
          <w:tcPr>
            <w:tcW w:w="2299" w:type="pct"/>
            <w:tcBorders>
              <w:top w:val="single" w:color="000000" w:sz="4" w:space="0"/>
              <w:left w:val="single" w:color="000000" w:sz="4" w:space="0"/>
              <w:bottom w:val="single" w:color="000000" w:sz="4" w:space="0"/>
              <w:right w:val="single" w:color="000000" w:sz="4" w:space="0"/>
            </w:tcBorders>
            <w:noWrap w:val="0"/>
            <w:vAlign w:val="center"/>
          </w:tcPr>
          <w:p w14:paraId="1B9CE4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尿素氮（BUN）、尿酸（UA）、肌酐（Cr）</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9414F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bottom"/>
          </w:tcPr>
          <w:p w14:paraId="0F4C26E1">
            <w:pPr>
              <w:jc w:val="left"/>
              <w:rPr>
                <w:rFonts w:hint="eastAsia" w:ascii="宋体" w:hAnsi="宋体" w:eastAsia="宋体" w:cs="宋体"/>
                <w:b/>
                <w:bCs/>
                <w:i w:val="0"/>
                <w:iCs w:val="0"/>
                <w:color w:val="000000"/>
                <w:sz w:val="20"/>
                <w:szCs w:val="20"/>
                <w:u w:val="none"/>
              </w:rPr>
            </w:pPr>
          </w:p>
        </w:tc>
      </w:tr>
      <w:tr w14:paraId="24BB9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949F3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3D551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空腹血糖</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3D6D3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62EC6CDB">
            <w:pPr>
              <w:rPr>
                <w:rFonts w:hint="eastAsia" w:ascii="宋体" w:hAnsi="宋体" w:eastAsia="宋体" w:cs="宋体"/>
                <w:i w:val="0"/>
                <w:iCs w:val="0"/>
                <w:color w:val="000000"/>
                <w:sz w:val="20"/>
                <w:szCs w:val="20"/>
                <w:u w:val="none"/>
              </w:rPr>
            </w:pPr>
          </w:p>
        </w:tc>
      </w:tr>
      <w:tr w14:paraId="6E087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621417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03C5B4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血脂四项</w:t>
            </w:r>
          </w:p>
        </w:tc>
        <w:tc>
          <w:tcPr>
            <w:tcW w:w="2299" w:type="pct"/>
            <w:tcBorders>
              <w:top w:val="single" w:color="000000" w:sz="4" w:space="0"/>
              <w:left w:val="single" w:color="000000" w:sz="4" w:space="0"/>
              <w:bottom w:val="single" w:color="000000" w:sz="4" w:space="0"/>
              <w:right w:val="single" w:color="000000" w:sz="4" w:space="0"/>
            </w:tcBorders>
            <w:noWrap w:val="0"/>
            <w:vAlign w:val="center"/>
          </w:tcPr>
          <w:p w14:paraId="116035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总胆固醇（CHOL）、甘油三脂（TG）、高密度胆固醇（HDL）、低密度胆固醇（LDL）</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1691DE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1F56D364">
            <w:pPr>
              <w:rPr>
                <w:rFonts w:hint="eastAsia" w:ascii="宋体" w:hAnsi="宋体" w:eastAsia="宋体" w:cs="宋体"/>
                <w:i w:val="0"/>
                <w:iCs w:val="0"/>
                <w:color w:val="000000"/>
                <w:sz w:val="20"/>
                <w:szCs w:val="20"/>
                <w:u w:val="none"/>
              </w:rPr>
            </w:pPr>
          </w:p>
        </w:tc>
      </w:tr>
      <w:tr w14:paraId="59296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1D34D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77034A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心电图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（同步12导）</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4F28E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406AD231">
            <w:pPr>
              <w:rPr>
                <w:rFonts w:hint="eastAsia" w:ascii="宋体" w:hAnsi="宋体" w:eastAsia="宋体" w:cs="宋体"/>
                <w:i w:val="0"/>
                <w:iCs w:val="0"/>
                <w:color w:val="000000"/>
                <w:sz w:val="20"/>
                <w:szCs w:val="20"/>
                <w:u w:val="none"/>
              </w:rPr>
            </w:pPr>
          </w:p>
        </w:tc>
      </w:tr>
      <w:tr w14:paraId="78471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restart"/>
            <w:tcBorders>
              <w:top w:val="single" w:color="000000" w:sz="4" w:space="0"/>
              <w:left w:val="single" w:color="000000" w:sz="4" w:space="0"/>
              <w:bottom w:val="single" w:color="000000" w:sz="4" w:space="0"/>
              <w:right w:val="single" w:color="000000" w:sz="4" w:space="0"/>
            </w:tcBorders>
            <w:noWrap w:val="0"/>
            <w:vAlign w:val="center"/>
          </w:tcPr>
          <w:p w14:paraId="39A39B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742" w:type="pct"/>
            <w:vMerge w:val="restart"/>
            <w:tcBorders>
              <w:top w:val="single" w:color="000000" w:sz="4" w:space="0"/>
              <w:left w:val="single" w:color="000000" w:sz="4" w:space="0"/>
              <w:bottom w:val="single" w:color="000000" w:sz="4" w:space="0"/>
              <w:right w:val="single" w:color="000000" w:sz="4" w:space="0"/>
            </w:tcBorders>
            <w:noWrap w:val="0"/>
            <w:vAlign w:val="center"/>
          </w:tcPr>
          <w:p w14:paraId="0224A4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彩超</w:t>
            </w:r>
          </w:p>
        </w:tc>
        <w:tc>
          <w:tcPr>
            <w:tcW w:w="2299" w:type="pct"/>
            <w:tcBorders>
              <w:top w:val="single" w:color="000000" w:sz="4" w:space="0"/>
              <w:left w:val="single" w:color="000000" w:sz="4" w:space="0"/>
              <w:bottom w:val="single" w:color="000000" w:sz="4" w:space="0"/>
              <w:right w:val="single" w:color="000000" w:sz="4" w:space="0"/>
            </w:tcBorders>
            <w:noWrap w:val="0"/>
            <w:vAlign w:val="center"/>
          </w:tcPr>
          <w:p w14:paraId="29E9CA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上腹部彩超：肝、胆、脾、胰、双肾</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2B620C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175B7B56">
            <w:pPr>
              <w:rPr>
                <w:rFonts w:hint="eastAsia" w:ascii="宋体" w:hAnsi="宋体" w:eastAsia="宋体" w:cs="宋体"/>
                <w:i w:val="0"/>
                <w:iCs w:val="0"/>
                <w:color w:val="000000"/>
                <w:sz w:val="20"/>
                <w:szCs w:val="20"/>
                <w:u w:val="none"/>
              </w:rPr>
            </w:pPr>
          </w:p>
        </w:tc>
      </w:tr>
      <w:tr w14:paraId="14DFB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05083E">
            <w:pPr>
              <w:jc w:val="center"/>
              <w:rPr>
                <w:rFonts w:hint="eastAsia" w:ascii="宋体" w:hAnsi="宋体" w:eastAsia="宋体" w:cs="宋体"/>
                <w:i w:val="0"/>
                <w:iCs w:val="0"/>
                <w:color w:val="000000"/>
                <w:sz w:val="20"/>
                <w:szCs w:val="20"/>
                <w:u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A93649">
            <w:pPr>
              <w:jc w:val="left"/>
              <w:rPr>
                <w:rFonts w:hint="eastAsia" w:ascii="宋体" w:hAnsi="宋体" w:eastAsia="宋体" w:cs="宋体"/>
                <w:i w:val="0"/>
                <w:iCs w:val="0"/>
                <w:color w:val="000000"/>
                <w:sz w:val="20"/>
                <w:szCs w:val="20"/>
                <w:u w:val="none"/>
              </w:rPr>
            </w:pPr>
          </w:p>
        </w:tc>
        <w:tc>
          <w:tcPr>
            <w:tcW w:w="2299" w:type="pct"/>
            <w:tcBorders>
              <w:top w:val="single" w:color="000000" w:sz="4" w:space="0"/>
              <w:left w:val="single" w:color="000000" w:sz="4" w:space="0"/>
              <w:bottom w:val="single" w:color="000000" w:sz="4" w:space="0"/>
              <w:right w:val="single" w:color="000000" w:sz="4" w:space="0"/>
            </w:tcBorders>
            <w:noWrap w:val="0"/>
            <w:vAlign w:val="center"/>
          </w:tcPr>
          <w:p w14:paraId="1E471E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男性:生殖器或前列腺</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1F55F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308D9A94">
            <w:pPr>
              <w:jc w:val="left"/>
              <w:rPr>
                <w:rFonts w:hint="eastAsia" w:ascii="宋体" w:hAnsi="宋体" w:eastAsia="宋体" w:cs="宋体"/>
                <w:i w:val="0"/>
                <w:iCs w:val="0"/>
                <w:color w:val="000000"/>
                <w:sz w:val="20"/>
                <w:szCs w:val="20"/>
                <w:u w:val="none"/>
              </w:rPr>
            </w:pPr>
          </w:p>
        </w:tc>
      </w:tr>
      <w:tr w14:paraId="6CFD9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0035D6">
            <w:pPr>
              <w:jc w:val="center"/>
              <w:rPr>
                <w:rFonts w:hint="eastAsia" w:ascii="宋体" w:hAnsi="宋体" w:eastAsia="宋体" w:cs="宋体"/>
                <w:i w:val="0"/>
                <w:iCs w:val="0"/>
                <w:color w:val="000000"/>
                <w:sz w:val="20"/>
                <w:szCs w:val="20"/>
                <w:u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C2FDFD">
            <w:pPr>
              <w:jc w:val="left"/>
              <w:rPr>
                <w:rFonts w:hint="eastAsia" w:ascii="宋体" w:hAnsi="宋体" w:eastAsia="宋体" w:cs="宋体"/>
                <w:i w:val="0"/>
                <w:iCs w:val="0"/>
                <w:color w:val="000000"/>
                <w:sz w:val="20"/>
                <w:szCs w:val="20"/>
                <w:u w:val="none"/>
              </w:rPr>
            </w:pPr>
          </w:p>
        </w:tc>
        <w:tc>
          <w:tcPr>
            <w:tcW w:w="2299" w:type="pct"/>
            <w:tcBorders>
              <w:top w:val="single" w:color="000000" w:sz="4" w:space="0"/>
              <w:left w:val="single" w:color="000000" w:sz="4" w:space="0"/>
              <w:bottom w:val="single" w:color="000000" w:sz="4" w:space="0"/>
              <w:right w:val="single" w:color="000000" w:sz="4" w:space="0"/>
            </w:tcBorders>
            <w:noWrap w:val="0"/>
            <w:vAlign w:val="center"/>
          </w:tcPr>
          <w:p w14:paraId="0F7740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甲状腺及颈部淋巴结彩超</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2585C9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161DBB40">
            <w:pPr>
              <w:rPr>
                <w:rFonts w:hint="eastAsia" w:ascii="宋体" w:hAnsi="宋体" w:eastAsia="宋体" w:cs="宋体"/>
                <w:i w:val="0"/>
                <w:iCs w:val="0"/>
                <w:color w:val="000000"/>
                <w:sz w:val="20"/>
                <w:szCs w:val="20"/>
                <w:u w:val="none"/>
              </w:rPr>
            </w:pPr>
          </w:p>
        </w:tc>
      </w:tr>
      <w:tr w14:paraId="54340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0E070B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72DEC3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放射科</w:t>
            </w:r>
          </w:p>
        </w:tc>
        <w:tc>
          <w:tcPr>
            <w:tcW w:w="2299" w:type="pct"/>
            <w:tcBorders>
              <w:top w:val="single" w:color="000000" w:sz="4" w:space="0"/>
              <w:left w:val="single" w:color="000000" w:sz="4" w:space="0"/>
              <w:bottom w:val="single" w:color="000000" w:sz="4" w:space="0"/>
              <w:right w:val="single" w:color="000000" w:sz="4" w:space="0"/>
            </w:tcBorders>
            <w:noWrap w:val="0"/>
            <w:vAlign w:val="center"/>
          </w:tcPr>
          <w:p w14:paraId="142DC3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肺部低剂量螺旋CT</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879A2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4E4EB109">
            <w:pPr>
              <w:rPr>
                <w:rFonts w:hint="eastAsia" w:ascii="宋体" w:hAnsi="宋体" w:eastAsia="宋体" w:cs="宋体"/>
                <w:i w:val="0"/>
                <w:iCs w:val="0"/>
                <w:color w:val="FF0000"/>
                <w:sz w:val="20"/>
                <w:szCs w:val="20"/>
                <w:u w:val="none"/>
              </w:rPr>
            </w:pPr>
          </w:p>
        </w:tc>
      </w:tr>
      <w:tr w14:paraId="01EF5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F28D2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0598C1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C-反应蛋白测定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（CRP，免疫学方法）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323E1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7690D104">
            <w:pPr>
              <w:rPr>
                <w:rFonts w:hint="eastAsia" w:ascii="宋体" w:hAnsi="宋体" w:eastAsia="宋体" w:cs="宋体"/>
                <w:i w:val="0"/>
                <w:iCs w:val="0"/>
                <w:color w:val="000000"/>
                <w:sz w:val="20"/>
                <w:szCs w:val="20"/>
                <w:u w:val="none"/>
              </w:rPr>
            </w:pPr>
          </w:p>
        </w:tc>
      </w:tr>
      <w:tr w14:paraId="2AF0C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FE02D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21E5B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类风湿因子测定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RF，免疫学方法)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765ABB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78610ADF">
            <w:pPr>
              <w:rPr>
                <w:rFonts w:hint="eastAsia" w:ascii="宋体" w:hAnsi="宋体" w:eastAsia="宋体" w:cs="宋体"/>
                <w:i w:val="0"/>
                <w:iCs w:val="0"/>
                <w:color w:val="000000"/>
                <w:sz w:val="20"/>
                <w:szCs w:val="20"/>
                <w:u w:val="none"/>
              </w:rPr>
            </w:pPr>
          </w:p>
        </w:tc>
      </w:tr>
      <w:tr w14:paraId="42AEF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F159F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034DDF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血清胱抑素</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D9FE9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7DC55163">
            <w:pPr>
              <w:rPr>
                <w:rFonts w:hint="eastAsia" w:ascii="宋体" w:hAnsi="宋体" w:eastAsia="宋体" w:cs="宋体"/>
                <w:i w:val="0"/>
                <w:iCs w:val="0"/>
                <w:color w:val="000000"/>
                <w:sz w:val="20"/>
                <w:szCs w:val="20"/>
                <w:u w:val="none"/>
              </w:rPr>
            </w:pPr>
          </w:p>
        </w:tc>
      </w:tr>
      <w:tr w14:paraId="6626A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58E3B7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68A19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凝血常规检查（仪器法）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6A1644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1B97F957">
            <w:pPr>
              <w:rPr>
                <w:rFonts w:hint="eastAsia" w:ascii="宋体" w:hAnsi="宋体" w:eastAsia="宋体" w:cs="宋体"/>
                <w:i w:val="0"/>
                <w:iCs w:val="0"/>
                <w:color w:val="000000"/>
                <w:sz w:val="20"/>
                <w:szCs w:val="20"/>
                <w:u w:val="none"/>
              </w:rPr>
            </w:pPr>
          </w:p>
        </w:tc>
      </w:tr>
      <w:tr w14:paraId="155B0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6958D2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78D1D3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免疫球蛋白全套</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77DF84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234B07AA">
            <w:pPr>
              <w:rPr>
                <w:rFonts w:hint="eastAsia" w:ascii="宋体" w:hAnsi="宋体" w:eastAsia="宋体" w:cs="宋体"/>
                <w:i w:val="0"/>
                <w:iCs w:val="0"/>
                <w:color w:val="000000"/>
                <w:sz w:val="20"/>
                <w:szCs w:val="20"/>
                <w:u w:val="none"/>
              </w:rPr>
            </w:pPr>
          </w:p>
        </w:tc>
      </w:tr>
      <w:tr w14:paraId="055DB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6E4848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661FA6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TORCH十项定性（优生优育）</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7E2E2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142E852F">
            <w:pPr>
              <w:rPr>
                <w:rFonts w:hint="eastAsia" w:ascii="宋体" w:hAnsi="宋体" w:eastAsia="宋体" w:cs="宋体"/>
                <w:i w:val="0"/>
                <w:iCs w:val="0"/>
                <w:color w:val="000000"/>
                <w:sz w:val="20"/>
                <w:szCs w:val="20"/>
                <w:u w:val="none"/>
              </w:rPr>
            </w:pPr>
          </w:p>
        </w:tc>
      </w:tr>
      <w:tr w14:paraId="70433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58D1FD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6C92E7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支原体培养及药敏</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E4EF7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3AEAA01B">
            <w:pPr>
              <w:rPr>
                <w:rFonts w:hint="eastAsia" w:ascii="宋体" w:hAnsi="宋体" w:eastAsia="宋体" w:cs="宋体"/>
                <w:i w:val="0"/>
                <w:iCs w:val="0"/>
                <w:color w:val="000000"/>
                <w:sz w:val="20"/>
                <w:szCs w:val="20"/>
                <w:u w:val="none"/>
              </w:rPr>
            </w:pPr>
          </w:p>
        </w:tc>
      </w:tr>
      <w:tr w14:paraId="54129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F7E53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0CD7ED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衣原体培养及药敏</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6997D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64E96D3B">
            <w:pPr>
              <w:rPr>
                <w:rFonts w:hint="eastAsia" w:ascii="宋体" w:hAnsi="宋体" w:eastAsia="宋体" w:cs="宋体"/>
                <w:i w:val="0"/>
                <w:iCs w:val="0"/>
                <w:color w:val="000000"/>
                <w:sz w:val="20"/>
                <w:szCs w:val="20"/>
                <w:u w:val="none"/>
              </w:rPr>
            </w:pPr>
          </w:p>
        </w:tc>
      </w:tr>
      <w:tr w14:paraId="0A05A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2744DA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6FEFAF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肝纤维化四项</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C1E00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04175D40">
            <w:pPr>
              <w:rPr>
                <w:rFonts w:hint="eastAsia" w:ascii="宋体" w:hAnsi="宋体" w:eastAsia="宋体" w:cs="宋体"/>
                <w:i w:val="0"/>
                <w:iCs w:val="0"/>
                <w:color w:val="000000"/>
                <w:sz w:val="20"/>
                <w:szCs w:val="20"/>
                <w:u w:val="none"/>
              </w:rPr>
            </w:pPr>
          </w:p>
        </w:tc>
      </w:tr>
      <w:tr w14:paraId="39C86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C1D18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06D3ED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乙型肝炎HBV-DNA病毒核酸定量检测</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1D81E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19387F1C">
            <w:pPr>
              <w:rPr>
                <w:rFonts w:hint="eastAsia" w:ascii="宋体" w:hAnsi="宋体" w:eastAsia="宋体" w:cs="宋体"/>
                <w:i w:val="0"/>
                <w:iCs w:val="0"/>
                <w:color w:val="000000"/>
                <w:sz w:val="20"/>
                <w:szCs w:val="20"/>
                <w:u w:val="none"/>
              </w:rPr>
            </w:pPr>
          </w:p>
        </w:tc>
      </w:tr>
      <w:tr w14:paraId="2433F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08BFAC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09C941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丙型肝炎病毒核心抗原检测</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614261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4A9ADA4B">
            <w:pPr>
              <w:rPr>
                <w:rFonts w:hint="eastAsia" w:ascii="宋体" w:hAnsi="宋体" w:eastAsia="宋体" w:cs="宋体"/>
                <w:i w:val="0"/>
                <w:iCs w:val="0"/>
                <w:color w:val="000000"/>
                <w:sz w:val="20"/>
                <w:szCs w:val="20"/>
                <w:u w:val="none"/>
              </w:rPr>
            </w:pPr>
          </w:p>
        </w:tc>
      </w:tr>
      <w:tr w14:paraId="0DE90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45367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5A21B8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丙型肝炎HCV-RNA病毒核酸定量检测</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60D948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5E64AA62">
            <w:pPr>
              <w:rPr>
                <w:rFonts w:hint="eastAsia" w:ascii="宋体" w:hAnsi="宋体" w:eastAsia="宋体" w:cs="宋体"/>
                <w:i w:val="0"/>
                <w:iCs w:val="0"/>
                <w:color w:val="000000"/>
                <w:sz w:val="20"/>
                <w:szCs w:val="20"/>
                <w:u w:val="none"/>
              </w:rPr>
            </w:pPr>
          </w:p>
        </w:tc>
      </w:tr>
      <w:tr w14:paraId="66C93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E4E49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72736A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餐后2小时血糖</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C031A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77958E02">
            <w:pPr>
              <w:rPr>
                <w:rFonts w:hint="eastAsia" w:ascii="宋体" w:hAnsi="宋体" w:eastAsia="宋体" w:cs="宋体"/>
                <w:i w:val="0"/>
                <w:iCs w:val="0"/>
                <w:color w:val="000000"/>
                <w:sz w:val="20"/>
                <w:szCs w:val="20"/>
                <w:u w:val="none"/>
              </w:rPr>
            </w:pPr>
          </w:p>
        </w:tc>
      </w:tr>
      <w:tr w14:paraId="05E4E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FE846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141569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高敏肌钙蛋白Ⅰ（化学发光法）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6729A6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1ED4C6DA">
            <w:pPr>
              <w:rPr>
                <w:rFonts w:hint="eastAsia" w:ascii="宋体" w:hAnsi="宋体" w:eastAsia="宋体" w:cs="宋体"/>
                <w:i w:val="0"/>
                <w:iCs w:val="0"/>
                <w:color w:val="000000"/>
                <w:sz w:val="20"/>
                <w:szCs w:val="20"/>
                <w:u w:val="none"/>
              </w:rPr>
            </w:pPr>
          </w:p>
        </w:tc>
      </w:tr>
      <w:tr w14:paraId="3F8B4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B2D24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55DC72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心肌酶三项</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7E34C3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4FB719B0">
            <w:pPr>
              <w:jc w:val="center"/>
              <w:rPr>
                <w:rFonts w:hint="eastAsia" w:ascii="宋体" w:hAnsi="宋体" w:eastAsia="宋体" w:cs="宋体"/>
                <w:i w:val="0"/>
                <w:iCs w:val="0"/>
                <w:color w:val="000000"/>
                <w:sz w:val="20"/>
                <w:szCs w:val="20"/>
                <w:u w:val="none"/>
              </w:rPr>
            </w:pPr>
          </w:p>
        </w:tc>
      </w:tr>
      <w:tr w14:paraId="292A1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5B9EE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58F237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糖化血红蛋白（高效液相分析法)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5CBA3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6C13E1AE">
            <w:pPr>
              <w:rPr>
                <w:rFonts w:hint="eastAsia" w:ascii="宋体" w:hAnsi="宋体" w:eastAsia="宋体" w:cs="宋体"/>
                <w:i w:val="0"/>
                <w:iCs w:val="0"/>
                <w:color w:val="000000"/>
                <w:sz w:val="20"/>
                <w:szCs w:val="20"/>
                <w:u w:val="none"/>
              </w:rPr>
            </w:pPr>
          </w:p>
        </w:tc>
      </w:tr>
      <w:tr w14:paraId="1E33B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55F267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05D642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空腹胰岛素测定</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CBBEA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1C0450B2">
            <w:pPr>
              <w:rPr>
                <w:rFonts w:hint="eastAsia" w:ascii="宋体" w:hAnsi="宋体" w:eastAsia="宋体" w:cs="宋体"/>
                <w:i w:val="0"/>
                <w:iCs w:val="0"/>
                <w:color w:val="000000"/>
                <w:sz w:val="20"/>
                <w:szCs w:val="20"/>
                <w:u w:val="none"/>
              </w:rPr>
            </w:pPr>
          </w:p>
        </w:tc>
      </w:tr>
      <w:tr w14:paraId="16707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07BB5F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1EBDA8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胰岛素抗体(INS-Ab)</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57665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24997F12">
            <w:pPr>
              <w:rPr>
                <w:rFonts w:hint="eastAsia" w:ascii="宋体" w:hAnsi="宋体" w:eastAsia="宋体" w:cs="宋体"/>
                <w:i w:val="0"/>
                <w:iCs w:val="0"/>
                <w:color w:val="000000"/>
                <w:sz w:val="20"/>
                <w:szCs w:val="20"/>
                <w:u w:val="none"/>
              </w:rPr>
            </w:pPr>
          </w:p>
        </w:tc>
      </w:tr>
      <w:tr w14:paraId="34D91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44593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216C03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空腹C肽测定</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47A4CF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747EC55A">
            <w:pPr>
              <w:rPr>
                <w:rFonts w:hint="eastAsia" w:ascii="宋体" w:hAnsi="宋体" w:eastAsia="宋体" w:cs="宋体"/>
                <w:i w:val="0"/>
                <w:iCs w:val="0"/>
                <w:color w:val="000000"/>
                <w:sz w:val="20"/>
                <w:szCs w:val="20"/>
                <w:u w:val="none"/>
              </w:rPr>
            </w:pPr>
          </w:p>
        </w:tc>
      </w:tr>
      <w:tr w14:paraId="4EC92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68E07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5D888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同型半胱氨酸</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6AE671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1231C180">
            <w:pPr>
              <w:rPr>
                <w:rFonts w:hint="eastAsia" w:ascii="宋体" w:hAnsi="宋体" w:eastAsia="宋体" w:cs="宋体"/>
                <w:i w:val="0"/>
                <w:iCs w:val="0"/>
                <w:color w:val="000000"/>
                <w:sz w:val="20"/>
                <w:szCs w:val="20"/>
                <w:u w:val="none"/>
              </w:rPr>
            </w:pPr>
          </w:p>
        </w:tc>
      </w:tr>
      <w:tr w14:paraId="72777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456C2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13048F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pp-1000动脉硬化及血管病监测</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F045D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0062457C">
            <w:pPr>
              <w:rPr>
                <w:rFonts w:hint="eastAsia" w:ascii="宋体" w:hAnsi="宋体" w:eastAsia="宋体" w:cs="宋体"/>
                <w:i w:val="0"/>
                <w:iCs w:val="0"/>
                <w:color w:val="000000"/>
                <w:sz w:val="20"/>
                <w:szCs w:val="20"/>
                <w:u w:val="none"/>
              </w:rPr>
            </w:pPr>
          </w:p>
        </w:tc>
      </w:tr>
      <w:tr w14:paraId="5CDA8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BFE94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D91B6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人体成分测定</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57BAF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5AD647D7">
            <w:pPr>
              <w:rPr>
                <w:rFonts w:hint="eastAsia" w:ascii="宋体" w:hAnsi="宋体" w:eastAsia="宋体" w:cs="宋体"/>
                <w:i w:val="0"/>
                <w:iCs w:val="0"/>
                <w:color w:val="000000"/>
                <w:sz w:val="20"/>
                <w:szCs w:val="20"/>
                <w:u w:val="none"/>
              </w:rPr>
            </w:pPr>
          </w:p>
        </w:tc>
      </w:tr>
      <w:tr w14:paraId="3ACDB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BAFE6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570E16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经颅多普勒（TCD）</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4C0D54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5F535DAD">
            <w:pPr>
              <w:rPr>
                <w:rFonts w:hint="eastAsia" w:ascii="宋体" w:hAnsi="宋体" w:eastAsia="宋体" w:cs="宋体"/>
                <w:i w:val="0"/>
                <w:iCs w:val="0"/>
                <w:color w:val="000000"/>
                <w:sz w:val="20"/>
                <w:szCs w:val="20"/>
                <w:u w:val="none"/>
              </w:rPr>
            </w:pPr>
          </w:p>
        </w:tc>
      </w:tr>
      <w:tr w14:paraId="26B9F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4EAC4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0B0CBF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颈部动脉彩超（8根血管）</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69BFA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2C0E1CB0">
            <w:pPr>
              <w:rPr>
                <w:rFonts w:hint="eastAsia" w:ascii="宋体" w:hAnsi="宋体" w:eastAsia="宋体" w:cs="宋体"/>
                <w:i w:val="0"/>
                <w:iCs w:val="0"/>
                <w:color w:val="000000"/>
                <w:sz w:val="20"/>
                <w:szCs w:val="20"/>
                <w:u w:val="none"/>
              </w:rPr>
            </w:pPr>
          </w:p>
        </w:tc>
      </w:tr>
      <w:tr w14:paraId="71327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59EB4A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AE985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心脏彩色多普勒超声</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CE687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56D66890">
            <w:pPr>
              <w:rPr>
                <w:rFonts w:hint="eastAsia" w:ascii="宋体" w:hAnsi="宋体" w:eastAsia="宋体" w:cs="宋体"/>
                <w:i w:val="0"/>
                <w:iCs w:val="0"/>
                <w:color w:val="000000"/>
                <w:sz w:val="20"/>
                <w:szCs w:val="20"/>
                <w:u w:val="none"/>
              </w:rPr>
            </w:pPr>
          </w:p>
        </w:tc>
      </w:tr>
      <w:tr w14:paraId="153BD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12F24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1F7DF0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CT螺旋平扫-部位检查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（第二个部位）(默认腰椎)</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1C99B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40E9802B">
            <w:pPr>
              <w:rPr>
                <w:rFonts w:hint="eastAsia" w:ascii="宋体" w:hAnsi="宋体" w:eastAsia="宋体" w:cs="宋体"/>
                <w:i w:val="0"/>
                <w:iCs w:val="0"/>
                <w:color w:val="000000"/>
                <w:sz w:val="20"/>
                <w:szCs w:val="20"/>
                <w:u w:val="none"/>
              </w:rPr>
            </w:pPr>
          </w:p>
        </w:tc>
      </w:tr>
      <w:tr w14:paraId="60058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5D77E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277864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甲状腺功能初筛（化学发光法）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168FA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0AF1D5D1">
            <w:pPr>
              <w:rPr>
                <w:rFonts w:hint="eastAsia" w:ascii="宋体" w:hAnsi="宋体" w:eastAsia="宋体" w:cs="宋体"/>
                <w:i w:val="0"/>
                <w:iCs w:val="0"/>
                <w:color w:val="000000"/>
                <w:sz w:val="20"/>
                <w:szCs w:val="20"/>
                <w:u w:val="none"/>
              </w:rPr>
            </w:pPr>
          </w:p>
        </w:tc>
      </w:tr>
      <w:tr w14:paraId="295FF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F00FD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F050D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甲状腺功能检查（化学发光法）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6978F0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5A1FDC20">
            <w:pPr>
              <w:rPr>
                <w:rFonts w:hint="eastAsia" w:ascii="宋体" w:hAnsi="宋体" w:eastAsia="宋体" w:cs="宋体"/>
                <w:i w:val="0"/>
                <w:iCs w:val="0"/>
                <w:color w:val="000000"/>
                <w:sz w:val="20"/>
                <w:szCs w:val="20"/>
                <w:u w:val="none"/>
              </w:rPr>
            </w:pPr>
          </w:p>
        </w:tc>
      </w:tr>
      <w:tr w14:paraId="3CAC9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130757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645A66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25羟维生素D测定（色谱法）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D1F9F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222FB564">
            <w:pPr>
              <w:jc w:val="center"/>
              <w:rPr>
                <w:rFonts w:hint="eastAsia" w:ascii="宋体" w:hAnsi="宋体" w:eastAsia="宋体" w:cs="宋体"/>
                <w:i w:val="0"/>
                <w:iCs w:val="0"/>
                <w:color w:val="000000"/>
                <w:sz w:val="20"/>
                <w:szCs w:val="20"/>
                <w:u w:val="none"/>
              </w:rPr>
            </w:pPr>
          </w:p>
        </w:tc>
      </w:tr>
      <w:tr w14:paraId="7051B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0F314E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715997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骨密度测定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（单能，含图文报告）</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36D83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26142109">
            <w:pPr>
              <w:jc w:val="center"/>
              <w:rPr>
                <w:rFonts w:hint="eastAsia" w:ascii="宋体" w:hAnsi="宋体" w:eastAsia="宋体" w:cs="宋体"/>
                <w:i w:val="0"/>
                <w:iCs w:val="0"/>
                <w:color w:val="000000"/>
                <w:sz w:val="20"/>
                <w:szCs w:val="20"/>
                <w:u w:val="none"/>
              </w:rPr>
            </w:pPr>
          </w:p>
        </w:tc>
      </w:tr>
      <w:tr w14:paraId="314AB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5C145B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5E5FEC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13碳尿素呼气试验</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1429FD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6BC01A17">
            <w:pPr>
              <w:jc w:val="center"/>
              <w:rPr>
                <w:rFonts w:hint="eastAsia" w:ascii="宋体" w:hAnsi="宋体" w:eastAsia="宋体" w:cs="宋体"/>
                <w:i w:val="0"/>
                <w:iCs w:val="0"/>
                <w:color w:val="000000"/>
                <w:sz w:val="20"/>
                <w:szCs w:val="20"/>
                <w:u w:val="none"/>
              </w:rPr>
            </w:pPr>
          </w:p>
        </w:tc>
      </w:tr>
      <w:tr w14:paraId="07540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21E98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2B441E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胃泌素-17检测</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1C448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5AEAA6F1">
            <w:pPr>
              <w:jc w:val="center"/>
              <w:rPr>
                <w:rFonts w:hint="eastAsia" w:ascii="宋体" w:hAnsi="宋体" w:eastAsia="宋体" w:cs="宋体"/>
                <w:i w:val="0"/>
                <w:iCs w:val="0"/>
                <w:color w:val="000000"/>
                <w:sz w:val="20"/>
                <w:szCs w:val="20"/>
                <w:u w:val="none"/>
              </w:rPr>
            </w:pPr>
          </w:p>
        </w:tc>
      </w:tr>
      <w:tr w14:paraId="2ECAA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5C9D3D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325363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胃蛋白酶原检测</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43FACE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7073A6E9">
            <w:pPr>
              <w:jc w:val="center"/>
              <w:rPr>
                <w:rFonts w:hint="eastAsia" w:ascii="宋体" w:hAnsi="宋体" w:eastAsia="宋体" w:cs="宋体"/>
                <w:i w:val="0"/>
                <w:iCs w:val="0"/>
                <w:color w:val="000000"/>
                <w:sz w:val="20"/>
                <w:szCs w:val="20"/>
                <w:u w:val="none"/>
              </w:rPr>
            </w:pPr>
          </w:p>
        </w:tc>
      </w:tr>
      <w:tr w14:paraId="08F36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restart"/>
            <w:tcBorders>
              <w:top w:val="single" w:color="000000" w:sz="4" w:space="0"/>
              <w:left w:val="single" w:color="000000" w:sz="4" w:space="0"/>
              <w:bottom w:val="single" w:color="000000" w:sz="4" w:space="0"/>
              <w:right w:val="single" w:color="000000" w:sz="4" w:space="0"/>
            </w:tcBorders>
            <w:noWrap w:val="0"/>
            <w:vAlign w:val="center"/>
          </w:tcPr>
          <w:p w14:paraId="3F1D52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742" w:type="pct"/>
            <w:vMerge w:val="restart"/>
            <w:tcBorders>
              <w:top w:val="single" w:color="000000" w:sz="4" w:space="0"/>
              <w:left w:val="single" w:color="000000" w:sz="4" w:space="0"/>
              <w:bottom w:val="single" w:color="000000" w:sz="4" w:space="0"/>
              <w:right w:val="single" w:color="000000" w:sz="4" w:space="0"/>
            </w:tcBorders>
            <w:noWrap w:val="0"/>
            <w:vAlign w:val="center"/>
          </w:tcPr>
          <w:p w14:paraId="4CE46E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多肿瘤标志物12项联合检测</w:t>
            </w:r>
          </w:p>
        </w:tc>
        <w:tc>
          <w:tcPr>
            <w:tcW w:w="2299" w:type="pct"/>
            <w:vMerge w:val="restart"/>
            <w:tcBorders>
              <w:top w:val="single" w:color="000000" w:sz="4" w:space="0"/>
              <w:left w:val="single" w:color="000000" w:sz="4" w:space="0"/>
              <w:bottom w:val="single" w:color="000000" w:sz="4" w:space="0"/>
              <w:right w:val="single" w:color="000000" w:sz="4" w:space="0"/>
            </w:tcBorders>
            <w:noWrap w:val="0"/>
            <w:vAlign w:val="center"/>
          </w:tcPr>
          <w:p w14:paraId="28DD4C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男性检测CA19-9、CA125、CA72-4、AFP、NSE、CEA、Cyfra21-1、T-PSA、F-PSA、PGⅠ、PGⅡ、Pro-GRP。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女性检测CA19-9、CA125、CA72-4、AFP、NSE、CEA、Cyfra21-1、PGⅠ、PGⅡ、CA15-3、β-HCG、Pro-GRP。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（化学发光法）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2B7A11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27B0B111">
            <w:pPr>
              <w:jc w:val="center"/>
              <w:rPr>
                <w:rFonts w:hint="eastAsia" w:ascii="宋体" w:hAnsi="宋体" w:eastAsia="宋体" w:cs="宋体"/>
                <w:i w:val="0"/>
                <w:iCs w:val="0"/>
                <w:color w:val="000000"/>
                <w:sz w:val="20"/>
                <w:szCs w:val="20"/>
                <w:u w:val="none"/>
              </w:rPr>
            </w:pPr>
          </w:p>
        </w:tc>
      </w:tr>
      <w:tr w14:paraId="4FBED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564C95">
            <w:pPr>
              <w:jc w:val="center"/>
              <w:rPr>
                <w:rFonts w:hint="eastAsia" w:ascii="宋体" w:hAnsi="宋体" w:eastAsia="宋体" w:cs="宋体"/>
                <w:i w:val="0"/>
                <w:iCs w:val="0"/>
                <w:color w:val="000000"/>
                <w:sz w:val="20"/>
                <w:szCs w:val="20"/>
                <w:u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B68732">
            <w:pPr>
              <w:jc w:val="center"/>
              <w:rPr>
                <w:rFonts w:hint="eastAsia" w:ascii="宋体" w:hAnsi="宋体" w:eastAsia="宋体" w:cs="宋体"/>
                <w:i w:val="0"/>
                <w:iCs w:val="0"/>
                <w:color w:val="000000"/>
                <w:sz w:val="20"/>
                <w:szCs w:val="20"/>
                <w:u w:val="none"/>
              </w:rPr>
            </w:pPr>
          </w:p>
        </w:tc>
        <w:tc>
          <w:tcPr>
            <w:tcW w:w="229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727B79">
            <w:pPr>
              <w:jc w:val="center"/>
              <w:rPr>
                <w:rFonts w:hint="eastAsia" w:ascii="宋体" w:hAnsi="宋体" w:eastAsia="宋体" w:cs="宋体"/>
                <w:i w:val="0"/>
                <w:iCs w:val="0"/>
                <w:color w:val="000000"/>
                <w:sz w:val="20"/>
                <w:szCs w:val="20"/>
                <w:u w:val="none"/>
              </w:rPr>
            </w:pP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4558F8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47C27D9C">
            <w:pPr>
              <w:jc w:val="center"/>
              <w:rPr>
                <w:rFonts w:hint="eastAsia" w:ascii="宋体" w:hAnsi="宋体" w:eastAsia="宋体" w:cs="宋体"/>
                <w:i w:val="0"/>
                <w:iCs w:val="0"/>
                <w:color w:val="000000"/>
                <w:sz w:val="20"/>
                <w:szCs w:val="20"/>
                <w:u w:val="none"/>
              </w:rPr>
            </w:pPr>
          </w:p>
        </w:tc>
      </w:tr>
      <w:tr w14:paraId="05E02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82ADF5">
            <w:pPr>
              <w:jc w:val="center"/>
              <w:rPr>
                <w:rFonts w:hint="eastAsia" w:ascii="宋体" w:hAnsi="宋体" w:eastAsia="宋体" w:cs="宋体"/>
                <w:i w:val="0"/>
                <w:iCs w:val="0"/>
                <w:color w:val="000000"/>
                <w:sz w:val="20"/>
                <w:szCs w:val="20"/>
                <w:u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14036E">
            <w:pPr>
              <w:jc w:val="center"/>
              <w:rPr>
                <w:rFonts w:hint="eastAsia" w:ascii="宋体" w:hAnsi="宋体" w:eastAsia="宋体" w:cs="宋体"/>
                <w:i w:val="0"/>
                <w:iCs w:val="0"/>
                <w:color w:val="000000"/>
                <w:sz w:val="20"/>
                <w:szCs w:val="20"/>
                <w:u w:val="none"/>
              </w:rPr>
            </w:pPr>
          </w:p>
        </w:tc>
        <w:tc>
          <w:tcPr>
            <w:tcW w:w="229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8C3674">
            <w:pPr>
              <w:jc w:val="center"/>
              <w:rPr>
                <w:rFonts w:hint="eastAsia" w:ascii="宋体" w:hAnsi="宋体" w:eastAsia="宋体" w:cs="宋体"/>
                <w:i w:val="0"/>
                <w:iCs w:val="0"/>
                <w:color w:val="000000"/>
                <w:sz w:val="20"/>
                <w:szCs w:val="20"/>
                <w:u w:val="none"/>
              </w:rPr>
            </w:pP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69D9A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37A4EDC1">
            <w:pPr>
              <w:jc w:val="center"/>
              <w:rPr>
                <w:rFonts w:hint="eastAsia" w:ascii="宋体" w:hAnsi="宋体" w:eastAsia="宋体" w:cs="宋体"/>
                <w:i w:val="0"/>
                <w:iCs w:val="0"/>
                <w:color w:val="000000"/>
                <w:sz w:val="20"/>
                <w:szCs w:val="20"/>
                <w:u w:val="none"/>
              </w:rPr>
            </w:pPr>
          </w:p>
        </w:tc>
      </w:tr>
      <w:tr w14:paraId="3B1C8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4FE89E">
            <w:pPr>
              <w:jc w:val="center"/>
              <w:rPr>
                <w:rFonts w:hint="eastAsia" w:ascii="宋体" w:hAnsi="宋体" w:eastAsia="宋体" w:cs="宋体"/>
                <w:i w:val="0"/>
                <w:iCs w:val="0"/>
                <w:color w:val="000000"/>
                <w:sz w:val="20"/>
                <w:szCs w:val="20"/>
                <w:u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50B44D">
            <w:pPr>
              <w:jc w:val="center"/>
              <w:rPr>
                <w:rFonts w:hint="eastAsia" w:ascii="宋体" w:hAnsi="宋体" w:eastAsia="宋体" w:cs="宋体"/>
                <w:i w:val="0"/>
                <w:iCs w:val="0"/>
                <w:color w:val="000000"/>
                <w:sz w:val="20"/>
                <w:szCs w:val="20"/>
                <w:u w:val="none"/>
              </w:rPr>
            </w:pPr>
          </w:p>
        </w:tc>
        <w:tc>
          <w:tcPr>
            <w:tcW w:w="229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A980AB">
            <w:pPr>
              <w:jc w:val="center"/>
              <w:rPr>
                <w:rFonts w:hint="eastAsia" w:ascii="宋体" w:hAnsi="宋体" w:eastAsia="宋体" w:cs="宋体"/>
                <w:i w:val="0"/>
                <w:iCs w:val="0"/>
                <w:color w:val="000000"/>
                <w:sz w:val="20"/>
                <w:szCs w:val="20"/>
                <w:u w:val="none"/>
              </w:rPr>
            </w:pP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257CE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5727BE38">
            <w:pPr>
              <w:jc w:val="center"/>
              <w:rPr>
                <w:rFonts w:hint="eastAsia" w:ascii="宋体" w:hAnsi="宋体" w:eastAsia="宋体" w:cs="宋体"/>
                <w:i w:val="0"/>
                <w:iCs w:val="0"/>
                <w:color w:val="000000"/>
                <w:sz w:val="20"/>
                <w:szCs w:val="20"/>
                <w:u w:val="none"/>
              </w:rPr>
            </w:pPr>
          </w:p>
        </w:tc>
      </w:tr>
      <w:tr w14:paraId="56FC2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682C96">
            <w:pPr>
              <w:jc w:val="center"/>
              <w:rPr>
                <w:rFonts w:hint="eastAsia" w:ascii="宋体" w:hAnsi="宋体" w:eastAsia="宋体" w:cs="宋体"/>
                <w:i w:val="0"/>
                <w:iCs w:val="0"/>
                <w:color w:val="000000"/>
                <w:sz w:val="20"/>
                <w:szCs w:val="20"/>
                <w:u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9692B3">
            <w:pPr>
              <w:jc w:val="center"/>
              <w:rPr>
                <w:rFonts w:hint="eastAsia" w:ascii="宋体" w:hAnsi="宋体" w:eastAsia="宋体" w:cs="宋体"/>
                <w:i w:val="0"/>
                <w:iCs w:val="0"/>
                <w:color w:val="000000"/>
                <w:sz w:val="20"/>
                <w:szCs w:val="20"/>
                <w:u w:val="none"/>
              </w:rPr>
            </w:pPr>
          </w:p>
        </w:tc>
        <w:tc>
          <w:tcPr>
            <w:tcW w:w="229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7C0C6A">
            <w:pPr>
              <w:jc w:val="center"/>
              <w:rPr>
                <w:rFonts w:hint="eastAsia" w:ascii="宋体" w:hAnsi="宋体" w:eastAsia="宋体" w:cs="宋体"/>
                <w:i w:val="0"/>
                <w:iCs w:val="0"/>
                <w:color w:val="000000"/>
                <w:sz w:val="20"/>
                <w:szCs w:val="20"/>
                <w:u w:val="none"/>
              </w:rPr>
            </w:pP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4F25A3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6F1427E9">
            <w:pPr>
              <w:jc w:val="center"/>
              <w:rPr>
                <w:rFonts w:hint="eastAsia" w:ascii="宋体" w:hAnsi="宋体" w:eastAsia="宋体" w:cs="宋体"/>
                <w:i w:val="0"/>
                <w:iCs w:val="0"/>
                <w:color w:val="000000"/>
                <w:sz w:val="20"/>
                <w:szCs w:val="20"/>
                <w:u w:val="none"/>
              </w:rPr>
            </w:pPr>
          </w:p>
        </w:tc>
      </w:tr>
      <w:tr w14:paraId="11CB2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D1E89F">
            <w:pPr>
              <w:jc w:val="center"/>
              <w:rPr>
                <w:rFonts w:hint="eastAsia" w:ascii="宋体" w:hAnsi="宋体" w:eastAsia="宋体" w:cs="宋体"/>
                <w:i w:val="0"/>
                <w:iCs w:val="0"/>
                <w:color w:val="000000"/>
                <w:sz w:val="20"/>
                <w:szCs w:val="20"/>
                <w:u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CC66E9">
            <w:pPr>
              <w:jc w:val="center"/>
              <w:rPr>
                <w:rFonts w:hint="eastAsia" w:ascii="宋体" w:hAnsi="宋体" w:eastAsia="宋体" w:cs="宋体"/>
                <w:i w:val="0"/>
                <w:iCs w:val="0"/>
                <w:color w:val="000000"/>
                <w:sz w:val="20"/>
                <w:szCs w:val="20"/>
                <w:u w:val="none"/>
              </w:rPr>
            </w:pPr>
          </w:p>
        </w:tc>
        <w:tc>
          <w:tcPr>
            <w:tcW w:w="229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AB02BD">
            <w:pPr>
              <w:jc w:val="center"/>
              <w:rPr>
                <w:rFonts w:hint="eastAsia" w:ascii="宋体" w:hAnsi="宋体" w:eastAsia="宋体" w:cs="宋体"/>
                <w:i w:val="0"/>
                <w:iCs w:val="0"/>
                <w:color w:val="000000"/>
                <w:sz w:val="20"/>
                <w:szCs w:val="20"/>
                <w:u w:val="none"/>
              </w:rPr>
            </w:pP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7BEE75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4F3035DE">
            <w:pPr>
              <w:jc w:val="center"/>
              <w:rPr>
                <w:rFonts w:hint="eastAsia" w:ascii="宋体" w:hAnsi="宋体" w:eastAsia="宋体" w:cs="宋体"/>
                <w:i w:val="0"/>
                <w:iCs w:val="0"/>
                <w:color w:val="000000"/>
                <w:sz w:val="20"/>
                <w:szCs w:val="20"/>
                <w:u w:val="none"/>
              </w:rPr>
            </w:pPr>
          </w:p>
        </w:tc>
      </w:tr>
      <w:tr w14:paraId="19081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ACC977">
            <w:pPr>
              <w:jc w:val="center"/>
              <w:rPr>
                <w:rFonts w:hint="eastAsia" w:ascii="宋体" w:hAnsi="宋体" w:eastAsia="宋体" w:cs="宋体"/>
                <w:i w:val="0"/>
                <w:iCs w:val="0"/>
                <w:color w:val="000000"/>
                <w:sz w:val="20"/>
                <w:szCs w:val="20"/>
                <w:u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F6DEB6">
            <w:pPr>
              <w:jc w:val="center"/>
              <w:rPr>
                <w:rFonts w:hint="eastAsia" w:ascii="宋体" w:hAnsi="宋体" w:eastAsia="宋体" w:cs="宋体"/>
                <w:i w:val="0"/>
                <w:iCs w:val="0"/>
                <w:color w:val="000000"/>
                <w:sz w:val="20"/>
                <w:szCs w:val="20"/>
                <w:u w:val="none"/>
              </w:rPr>
            </w:pPr>
          </w:p>
        </w:tc>
        <w:tc>
          <w:tcPr>
            <w:tcW w:w="229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82E14D">
            <w:pPr>
              <w:jc w:val="center"/>
              <w:rPr>
                <w:rFonts w:hint="eastAsia" w:ascii="宋体" w:hAnsi="宋体" w:eastAsia="宋体" w:cs="宋体"/>
                <w:i w:val="0"/>
                <w:iCs w:val="0"/>
                <w:color w:val="000000"/>
                <w:sz w:val="20"/>
                <w:szCs w:val="20"/>
                <w:u w:val="none"/>
              </w:rPr>
            </w:pP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27D7A2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276587A3">
            <w:pPr>
              <w:jc w:val="center"/>
              <w:rPr>
                <w:rFonts w:hint="eastAsia" w:ascii="宋体" w:hAnsi="宋体" w:eastAsia="宋体" w:cs="宋体"/>
                <w:i w:val="0"/>
                <w:iCs w:val="0"/>
                <w:color w:val="000000"/>
                <w:sz w:val="20"/>
                <w:szCs w:val="20"/>
                <w:u w:val="none"/>
              </w:rPr>
            </w:pPr>
          </w:p>
        </w:tc>
      </w:tr>
      <w:tr w14:paraId="55FA5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C12BA7">
            <w:pPr>
              <w:jc w:val="center"/>
              <w:rPr>
                <w:rFonts w:hint="eastAsia" w:ascii="宋体" w:hAnsi="宋体" w:eastAsia="宋体" w:cs="宋体"/>
                <w:i w:val="0"/>
                <w:iCs w:val="0"/>
                <w:color w:val="000000"/>
                <w:sz w:val="20"/>
                <w:szCs w:val="20"/>
                <w:u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2A924F">
            <w:pPr>
              <w:jc w:val="center"/>
              <w:rPr>
                <w:rFonts w:hint="eastAsia" w:ascii="宋体" w:hAnsi="宋体" w:eastAsia="宋体" w:cs="宋体"/>
                <w:i w:val="0"/>
                <w:iCs w:val="0"/>
                <w:color w:val="000000"/>
                <w:sz w:val="20"/>
                <w:szCs w:val="20"/>
                <w:u w:val="none"/>
              </w:rPr>
            </w:pPr>
          </w:p>
        </w:tc>
        <w:tc>
          <w:tcPr>
            <w:tcW w:w="229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7CBB8C">
            <w:pPr>
              <w:jc w:val="center"/>
              <w:rPr>
                <w:rFonts w:hint="eastAsia" w:ascii="宋体" w:hAnsi="宋体" w:eastAsia="宋体" w:cs="宋体"/>
                <w:i w:val="0"/>
                <w:iCs w:val="0"/>
                <w:color w:val="000000"/>
                <w:sz w:val="20"/>
                <w:szCs w:val="20"/>
                <w:u w:val="none"/>
              </w:rPr>
            </w:pP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166114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79DC1E7A">
            <w:pPr>
              <w:jc w:val="center"/>
              <w:rPr>
                <w:rFonts w:hint="eastAsia" w:ascii="宋体" w:hAnsi="宋体" w:eastAsia="宋体" w:cs="宋体"/>
                <w:i w:val="0"/>
                <w:iCs w:val="0"/>
                <w:color w:val="000000"/>
                <w:sz w:val="20"/>
                <w:szCs w:val="20"/>
                <w:u w:val="none"/>
              </w:rPr>
            </w:pPr>
          </w:p>
        </w:tc>
      </w:tr>
      <w:tr w14:paraId="57DAC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BABCD9">
            <w:pPr>
              <w:jc w:val="center"/>
              <w:rPr>
                <w:rFonts w:hint="eastAsia" w:ascii="宋体" w:hAnsi="宋体" w:eastAsia="宋体" w:cs="宋体"/>
                <w:i w:val="0"/>
                <w:iCs w:val="0"/>
                <w:color w:val="000000"/>
                <w:sz w:val="20"/>
                <w:szCs w:val="20"/>
                <w:u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A4E2F3">
            <w:pPr>
              <w:jc w:val="center"/>
              <w:rPr>
                <w:rFonts w:hint="eastAsia" w:ascii="宋体" w:hAnsi="宋体" w:eastAsia="宋体" w:cs="宋体"/>
                <w:i w:val="0"/>
                <w:iCs w:val="0"/>
                <w:color w:val="000000"/>
                <w:sz w:val="20"/>
                <w:szCs w:val="20"/>
                <w:u w:val="none"/>
              </w:rPr>
            </w:pPr>
          </w:p>
        </w:tc>
        <w:tc>
          <w:tcPr>
            <w:tcW w:w="229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7994D7">
            <w:pPr>
              <w:jc w:val="center"/>
              <w:rPr>
                <w:rFonts w:hint="eastAsia" w:ascii="宋体" w:hAnsi="宋体" w:eastAsia="宋体" w:cs="宋体"/>
                <w:i w:val="0"/>
                <w:iCs w:val="0"/>
                <w:color w:val="000000"/>
                <w:sz w:val="20"/>
                <w:szCs w:val="20"/>
                <w:u w:val="none"/>
              </w:rPr>
            </w:pP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74764E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6429BF81">
            <w:pPr>
              <w:jc w:val="center"/>
              <w:rPr>
                <w:rFonts w:hint="eastAsia" w:ascii="宋体" w:hAnsi="宋体" w:eastAsia="宋体" w:cs="宋体"/>
                <w:i w:val="0"/>
                <w:iCs w:val="0"/>
                <w:color w:val="000000"/>
                <w:sz w:val="20"/>
                <w:szCs w:val="20"/>
                <w:u w:val="none"/>
              </w:rPr>
            </w:pPr>
          </w:p>
        </w:tc>
      </w:tr>
      <w:tr w14:paraId="463DC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1E5362">
            <w:pPr>
              <w:jc w:val="center"/>
              <w:rPr>
                <w:rFonts w:hint="eastAsia" w:ascii="宋体" w:hAnsi="宋体" w:eastAsia="宋体" w:cs="宋体"/>
                <w:i w:val="0"/>
                <w:iCs w:val="0"/>
                <w:color w:val="000000"/>
                <w:sz w:val="20"/>
                <w:szCs w:val="20"/>
                <w:u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6F90AF">
            <w:pPr>
              <w:jc w:val="center"/>
              <w:rPr>
                <w:rFonts w:hint="eastAsia" w:ascii="宋体" w:hAnsi="宋体" w:eastAsia="宋体" w:cs="宋体"/>
                <w:i w:val="0"/>
                <w:iCs w:val="0"/>
                <w:color w:val="000000"/>
                <w:sz w:val="20"/>
                <w:szCs w:val="20"/>
                <w:u w:val="none"/>
              </w:rPr>
            </w:pPr>
          </w:p>
        </w:tc>
        <w:tc>
          <w:tcPr>
            <w:tcW w:w="229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EE4DD6">
            <w:pPr>
              <w:jc w:val="center"/>
              <w:rPr>
                <w:rFonts w:hint="eastAsia" w:ascii="宋体" w:hAnsi="宋体" w:eastAsia="宋体" w:cs="宋体"/>
                <w:i w:val="0"/>
                <w:iCs w:val="0"/>
                <w:color w:val="000000"/>
                <w:sz w:val="20"/>
                <w:szCs w:val="20"/>
                <w:u w:val="none"/>
              </w:rPr>
            </w:pP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678842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17ADA47B">
            <w:pPr>
              <w:jc w:val="center"/>
              <w:rPr>
                <w:rFonts w:hint="eastAsia" w:ascii="宋体" w:hAnsi="宋体" w:eastAsia="宋体" w:cs="宋体"/>
                <w:i w:val="0"/>
                <w:iCs w:val="0"/>
                <w:color w:val="000000"/>
                <w:sz w:val="20"/>
                <w:szCs w:val="20"/>
                <w:u w:val="none"/>
              </w:rPr>
            </w:pPr>
          </w:p>
        </w:tc>
      </w:tr>
      <w:tr w14:paraId="153BD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9A0D62">
            <w:pPr>
              <w:jc w:val="center"/>
              <w:rPr>
                <w:rFonts w:hint="eastAsia" w:ascii="宋体" w:hAnsi="宋体" w:eastAsia="宋体" w:cs="宋体"/>
                <w:i w:val="0"/>
                <w:iCs w:val="0"/>
                <w:color w:val="000000"/>
                <w:sz w:val="20"/>
                <w:szCs w:val="20"/>
                <w:u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568353">
            <w:pPr>
              <w:jc w:val="center"/>
              <w:rPr>
                <w:rFonts w:hint="eastAsia" w:ascii="宋体" w:hAnsi="宋体" w:eastAsia="宋体" w:cs="宋体"/>
                <w:i w:val="0"/>
                <w:iCs w:val="0"/>
                <w:color w:val="000000"/>
                <w:sz w:val="20"/>
                <w:szCs w:val="20"/>
                <w:u w:val="none"/>
              </w:rPr>
            </w:pPr>
          </w:p>
        </w:tc>
        <w:tc>
          <w:tcPr>
            <w:tcW w:w="229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CAB995">
            <w:pPr>
              <w:jc w:val="center"/>
              <w:rPr>
                <w:rFonts w:hint="eastAsia" w:ascii="宋体" w:hAnsi="宋体" w:eastAsia="宋体" w:cs="宋体"/>
                <w:i w:val="0"/>
                <w:iCs w:val="0"/>
                <w:color w:val="000000"/>
                <w:sz w:val="20"/>
                <w:szCs w:val="20"/>
                <w:u w:val="none"/>
              </w:rPr>
            </w:pP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59556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0FD47D78">
            <w:pPr>
              <w:jc w:val="center"/>
              <w:rPr>
                <w:rFonts w:hint="eastAsia" w:ascii="宋体" w:hAnsi="宋体" w:eastAsia="宋体" w:cs="宋体"/>
                <w:i w:val="0"/>
                <w:iCs w:val="0"/>
                <w:color w:val="000000"/>
                <w:sz w:val="20"/>
                <w:szCs w:val="20"/>
                <w:u w:val="none"/>
              </w:rPr>
            </w:pPr>
          </w:p>
        </w:tc>
      </w:tr>
      <w:tr w14:paraId="62262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8AA2F2">
            <w:pPr>
              <w:jc w:val="center"/>
              <w:rPr>
                <w:rFonts w:hint="eastAsia" w:ascii="宋体" w:hAnsi="宋体" w:eastAsia="宋体" w:cs="宋体"/>
                <w:i w:val="0"/>
                <w:iCs w:val="0"/>
                <w:color w:val="000000"/>
                <w:sz w:val="20"/>
                <w:szCs w:val="20"/>
                <w:u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5F7E7C">
            <w:pPr>
              <w:jc w:val="center"/>
              <w:rPr>
                <w:rFonts w:hint="eastAsia" w:ascii="宋体" w:hAnsi="宋体" w:eastAsia="宋体" w:cs="宋体"/>
                <w:i w:val="0"/>
                <w:iCs w:val="0"/>
                <w:color w:val="000000"/>
                <w:sz w:val="20"/>
                <w:szCs w:val="20"/>
                <w:u w:val="none"/>
              </w:rPr>
            </w:pPr>
          </w:p>
        </w:tc>
        <w:tc>
          <w:tcPr>
            <w:tcW w:w="229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E8EC3A">
            <w:pPr>
              <w:jc w:val="center"/>
              <w:rPr>
                <w:rFonts w:hint="eastAsia" w:ascii="宋体" w:hAnsi="宋体" w:eastAsia="宋体" w:cs="宋体"/>
                <w:i w:val="0"/>
                <w:iCs w:val="0"/>
                <w:color w:val="000000"/>
                <w:sz w:val="20"/>
                <w:szCs w:val="20"/>
                <w:u w:val="none"/>
              </w:rPr>
            </w:pP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279C4B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0F84ED2C">
            <w:pPr>
              <w:jc w:val="center"/>
              <w:rPr>
                <w:rFonts w:hint="eastAsia" w:ascii="宋体" w:hAnsi="宋体" w:eastAsia="宋体" w:cs="宋体"/>
                <w:i w:val="0"/>
                <w:iCs w:val="0"/>
                <w:color w:val="000000"/>
                <w:sz w:val="20"/>
                <w:szCs w:val="20"/>
                <w:u w:val="none"/>
              </w:rPr>
            </w:pPr>
          </w:p>
        </w:tc>
      </w:tr>
      <w:tr w14:paraId="3BFD4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6D30A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2E4585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甲胎蛋白（AFP，化学发光法）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4C5090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705A287D">
            <w:pPr>
              <w:jc w:val="center"/>
              <w:rPr>
                <w:rFonts w:hint="eastAsia" w:ascii="宋体" w:hAnsi="宋体" w:eastAsia="宋体" w:cs="宋体"/>
                <w:i w:val="0"/>
                <w:iCs w:val="0"/>
                <w:color w:val="000000"/>
                <w:sz w:val="20"/>
                <w:szCs w:val="20"/>
                <w:u w:val="none"/>
              </w:rPr>
            </w:pPr>
          </w:p>
        </w:tc>
      </w:tr>
      <w:tr w14:paraId="640A4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139358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7E568B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癌胚抗原CEA（CEA，化学发光法）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28722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1D7531A1">
            <w:pPr>
              <w:rPr>
                <w:rFonts w:hint="eastAsia" w:ascii="宋体" w:hAnsi="宋体" w:eastAsia="宋体" w:cs="宋体"/>
                <w:i w:val="0"/>
                <w:iCs w:val="0"/>
                <w:color w:val="000000"/>
                <w:sz w:val="20"/>
                <w:szCs w:val="20"/>
                <w:u w:val="none"/>
              </w:rPr>
            </w:pPr>
          </w:p>
        </w:tc>
      </w:tr>
      <w:tr w14:paraId="609CE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95634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95E01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糖类抗原199测定（CA19-9，化学发光法）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430960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614E2E98">
            <w:pPr>
              <w:rPr>
                <w:rFonts w:hint="eastAsia" w:ascii="宋体" w:hAnsi="宋体" w:eastAsia="宋体" w:cs="宋体"/>
                <w:i w:val="0"/>
                <w:iCs w:val="0"/>
                <w:color w:val="000000"/>
                <w:sz w:val="20"/>
                <w:szCs w:val="20"/>
                <w:u w:val="none"/>
              </w:rPr>
            </w:pPr>
          </w:p>
        </w:tc>
      </w:tr>
      <w:tr w14:paraId="56560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95F5F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3D4DBD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糖类抗原CA24-2</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23C3B5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515F88BC">
            <w:pPr>
              <w:rPr>
                <w:rFonts w:hint="eastAsia" w:ascii="宋体" w:hAnsi="宋体" w:eastAsia="宋体" w:cs="宋体"/>
                <w:i w:val="0"/>
                <w:iCs w:val="0"/>
                <w:color w:val="000000"/>
                <w:sz w:val="20"/>
                <w:szCs w:val="20"/>
                <w:u w:val="none"/>
              </w:rPr>
            </w:pPr>
          </w:p>
        </w:tc>
      </w:tr>
      <w:tr w14:paraId="49B71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B7461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36AB1B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糖类抗原CA72-4测定</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7B27F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6A96F412">
            <w:pPr>
              <w:rPr>
                <w:rFonts w:hint="eastAsia" w:ascii="宋体" w:hAnsi="宋体" w:eastAsia="宋体" w:cs="宋体"/>
                <w:i w:val="0"/>
                <w:iCs w:val="0"/>
                <w:color w:val="000000"/>
                <w:sz w:val="20"/>
                <w:szCs w:val="20"/>
                <w:u w:val="none"/>
              </w:rPr>
            </w:pPr>
          </w:p>
        </w:tc>
      </w:tr>
      <w:tr w14:paraId="31688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6CBCA5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7248CB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糖类抗原CA50测定（化学发光法）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67F245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66BCE38C">
            <w:pPr>
              <w:rPr>
                <w:rFonts w:hint="eastAsia" w:ascii="宋体" w:hAnsi="宋体" w:eastAsia="宋体" w:cs="宋体"/>
                <w:i w:val="0"/>
                <w:iCs w:val="0"/>
                <w:color w:val="000000"/>
                <w:sz w:val="20"/>
                <w:szCs w:val="20"/>
                <w:u w:val="none"/>
              </w:rPr>
            </w:pPr>
          </w:p>
        </w:tc>
      </w:tr>
      <w:tr w14:paraId="7A1B4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A5107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1B3DF7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细胞角蛋白19片段(CYFRA21-1)测定</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423C85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253A3A4E">
            <w:pPr>
              <w:rPr>
                <w:rFonts w:hint="eastAsia" w:ascii="宋体" w:hAnsi="宋体" w:eastAsia="宋体" w:cs="宋体"/>
                <w:i w:val="0"/>
                <w:iCs w:val="0"/>
                <w:color w:val="000000"/>
                <w:sz w:val="20"/>
                <w:szCs w:val="20"/>
                <w:u w:val="none"/>
              </w:rPr>
            </w:pPr>
          </w:p>
        </w:tc>
      </w:tr>
      <w:tr w14:paraId="562A5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618CBA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2C89E7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人附睾分泌蛋白(HE4)测定</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8F8D4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321CB2AF">
            <w:pPr>
              <w:rPr>
                <w:rFonts w:hint="eastAsia" w:ascii="宋体" w:hAnsi="宋体" w:eastAsia="宋体" w:cs="宋体"/>
                <w:i w:val="0"/>
                <w:iCs w:val="0"/>
                <w:color w:val="000000"/>
                <w:sz w:val="20"/>
                <w:szCs w:val="20"/>
                <w:u w:val="none"/>
              </w:rPr>
            </w:pPr>
          </w:p>
        </w:tc>
      </w:tr>
      <w:tr w14:paraId="2A4D4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D4A1A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16D93B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神经元特异性烯醇化酶（ＮＳＥ）（肺）</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18C81C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4054EB4A">
            <w:pPr>
              <w:rPr>
                <w:rFonts w:hint="eastAsia" w:ascii="宋体" w:hAnsi="宋体" w:eastAsia="宋体" w:cs="宋体"/>
                <w:i w:val="0"/>
                <w:iCs w:val="0"/>
                <w:color w:val="000000"/>
                <w:sz w:val="20"/>
                <w:szCs w:val="20"/>
                <w:u w:val="none"/>
              </w:rPr>
            </w:pPr>
          </w:p>
        </w:tc>
      </w:tr>
      <w:tr w14:paraId="1ACB1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154F05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88730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胃泌素释放肽前体(ProGRP)测定</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1C5545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7441D902">
            <w:pPr>
              <w:rPr>
                <w:rFonts w:hint="eastAsia" w:ascii="宋体" w:hAnsi="宋体" w:eastAsia="宋体" w:cs="宋体"/>
                <w:i w:val="0"/>
                <w:iCs w:val="0"/>
                <w:color w:val="000000"/>
                <w:sz w:val="20"/>
                <w:szCs w:val="20"/>
                <w:u w:val="none"/>
              </w:rPr>
            </w:pPr>
          </w:p>
        </w:tc>
      </w:tr>
      <w:tr w14:paraId="5CE70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0C33C2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72AE90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恶性肿瘤特异生长因子(TSGF)测定</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62A8E1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706E96BA">
            <w:pPr>
              <w:rPr>
                <w:rFonts w:hint="eastAsia" w:ascii="宋体" w:hAnsi="宋体" w:eastAsia="宋体" w:cs="宋体"/>
                <w:i w:val="0"/>
                <w:iCs w:val="0"/>
                <w:color w:val="000000"/>
                <w:sz w:val="20"/>
                <w:szCs w:val="20"/>
                <w:u w:val="none"/>
              </w:rPr>
            </w:pPr>
          </w:p>
        </w:tc>
      </w:tr>
      <w:tr w14:paraId="16FEB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6B16B7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55A582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前列腺小体外泄蛋检测(PSEP)</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FF1D8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418370D0">
            <w:pPr>
              <w:rPr>
                <w:rFonts w:hint="eastAsia" w:ascii="宋体" w:hAnsi="宋体" w:eastAsia="宋体" w:cs="宋体"/>
                <w:i w:val="0"/>
                <w:iCs w:val="0"/>
                <w:color w:val="000000"/>
                <w:sz w:val="20"/>
                <w:szCs w:val="20"/>
                <w:u w:val="none"/>
              </w:rPr>
            </w:pPr>
          </w:p>
        </w:tc>
      </w:tr>
      <w:tr w14:paraId="7CA35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D1967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3F0C3B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总前列腺特异性抗原检测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(TPSE，化学发光法P)</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C5860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nil"/>
              <w:right w:val="single" w:color="000000" w:sz="4" w:space="0"/>
            </w:tcBorders>
            <w:noWrap w:val="0"/>
            <w:vAlign w:val="center"/>
          </w:tcPr>
          <w:p w14:paraId="15BC139C">
            <w:pPr>
              <w:jc w:val="center"/>
              <w:rPr>
                <w:rFonts w:hint="eastAsia" w:ascii="宋体" w:hAnsi="宋体" w:eastAsia="宋体" w:cs="宋体"/>
                <w:i w:val="0"/>
                <w:iCs w:val="0"/>
                <w:color w:val="000000"/>
                <w:sz w:val="20"/>
                <w:szCs w:val="20"/>
                <w:u w:val="none"/>
              </w:rPr>
            </w:pPr>
          </w:p>
        </w:tc>
      </w:tr>
      <w:tr w14:paraId="49E9B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A6942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1E1DAB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游离前列腺特异性抗原(FPSA)测定</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47B4B4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nil"/>
              <w:left w:val="single" w:color="000000" w:sz="4" w:space="0"/>
              <w:bottom w:val="single" w:color="000000" w:sz="4" w:space="0"/>
              <w:right w:val="single" w:color="000000" w:sz="4" w:space="0"/>
            </w:tcBorders>
            <w:noWrap w:val="0"/>
            <w:vAlign w:val="center"/>
          </w:tcPr>
          <w:p w14:paraId="7ACF5856">
            <w:pPr>
              <w:jc w:val="center"/>
              <w:rPr>
                <w:rFonts w:hint="eastAsia" w:ascii="宋体" w:hAnsi="宋体" w:eastAsia="宋体" w:cs="宋体"/>
                <w:i w:val="0"/>
                <w:iCs w:val="0"/>
                <w:color w:val="000000"/>
                <w:sz w:val="20"/>
                <w:szCs w:val="20"/>
                <w:u w:val="none"/>
              </w:rPr>
            </w:pPr>
          </w:p>
        </w:tc>
      </w:tr>
      <w:tr w14:paraId="58587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19493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718A65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癌抗原125（CA125，化学发光法）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3DC14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76FE9DCF">
            <w:pPr>
              <w:rPr>
                <w:rFonts w:hint="eastAsia" w:ascii="宋体" w:hAnsi="宋体" w:eastAsia="宋体" w:cs="宋体"/>
                <w:i w:val="0"/>
                <w:iCs w:val="0"/>
                <w:color w:val="000000"/>
                <w:sz w:val="20"/>
                <w:szCs w:val="20"/>
                <w:u w:val="none"/>
              </w:rPr>
            </w:pPr>
          </w:p>
        </w:tc>
      </w:tr>
      <w:tr w14:paraId="2B57B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6273E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BB41C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鳞状细胞癌癌相关抗原测定（SCC，化学发光法）</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470C2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4D1E7A6B">
            <w:pPr>
              <w:rPr>
                <w:rFonts w:hint="eastAsia" w:ascii="宋体" w:hAnsi="宋体" w:eastAsia="宋体" w:cs="宋体"/>
                <w:i w:val="0"/>
                <w:iCs w:val="0"/>
                <w:color w:val="000000"/>
                <w:sz w:val="20"/>
                <w:szCs w:val="20"/>
                <w:u w:val="none"/>
              </w:rPr>
            </w:pPr>
          </w:p>
        </w:tc>
      </w:tr>
      <w:tr w14:paraId="6BDD6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105DB0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5C347A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EB病毒抗体筛查试验</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680B8B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7E122950">
            <w:pPr>
              <w:rPr>
                <w:rFonts w:hint="eastAsia" w:ascii="宋体" w:hAnsi="宋体" w:eastAsia="宋体" w:cs="宋体"/>
                <w:i w:val="0"/>
                <w:iCs w:val="0"/>
                <w:color w:val="000000"/>
                <w:sz w:val="20"/>
                <w:szCs w:val="20"/>
                <w:u w:val="none"/>
              </w:rPr>
            </w:pPr>
          </w:p>
        </w:tc>
      </w:tr>
      <w:tr w14:paraId="390ED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2652D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1BB991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尿核基质蛋白22测定（NMP22）</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E7B57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30C3F088">
            <w:pPr>
              <w:rPr>
                <w:rFonts w:hint="eastAsia" w:ascii="宋体" w:hAnsi="宋体" w:eastAsia="宋体" w:cs="宋体"/>
                <w:i w:val="0"/>
                <w:iCs w:val="0"/>
                <w:color w:val="000000"/>
                <w:sz w:val="20"/>
                <w:szCs w:val="20"/>
                <w:u w:val="none"/>
              </w:rPr>
            </w:pPr>
          </w:p>
        </w:tc>
      </w:tr>
      <w:tr w14:paraId="39AF3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3EB1DF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4389B4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血管內皮因子测定（VEGF）</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F0929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08A8C493">
            <w:pPr>
              <w:jc w:val="center"/>
              <w:rPr>
                <w:rFonts w:hint="eastAsia" w:ascii="宋体" w:hAnsi="宋体" w:eastAsia="宋体" w:cs="宋体"/>
                <w:i w:val="0"/>
                <w:iCs w:val="0"/>
                <w:color w:val="000000"/>
                <w:sz w:val="20"/>
                <w:szCs w:val="20"/>
                <w:u w:val="none"/>
              </w:rPr>
            </w:pPr>
          </w:p>
        </w:tc>
      </w:tr>
      <w:tr w14:paraId="489A7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2D7F2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527024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细胞周期分析（STK1）</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CF8CB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0D379EA7">
            <w:pPr>
              <w:jc w:val="center"/>
              <w:rPr>
                <w:rFonts w:hint="eastAsia" w:ascii="宋体" w:hAnsi="宋体" w:eastAsia="宋体" w:cs="宋体"/>
                <w:i w:val="0"/>
                <w:iCs w:val="0"/>
                <w:color w:val="000000"/>
                <w:sz w:val="20"/>
                <w:szCs w:val="20"/>
                <w:u w:val="none"/>
              </w:rPr>
            </w:pPr>
          </w:p>
        </w:tc>
      </w:tr>
      <w:tr w14:paraId="26DF6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5D6216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10BDEA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经腹/经阴妇科彩超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(含超声计算机图文报告）)</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6F6087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0"/>
            <w:vAlign w:val="center"/>
          </w:tcPr>
          <w:p w14:paraId="50B96E17">
            <w:pPr>
              <w:rPr>
                <w:rFonts w:hint="eastAsia" w:ascii="宋体" w:hAnsi="宋体" w:eastAsia="宋体" w:cs="宋体"/>
                <w:i w:val="0"/>
                <w:iCs w:val="0"/>
                <w:color w:val="000000"/>
                <w:sz w:val="20"/>
                <w:szCs w:val="20"/>
                <w:u w:val="none"/>
              </w:rPr>
            </w:pPr>
          </w:p>
        </w:tc>
      </w:tr>
      <w:tr w14:paraId="24DD7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C7746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3B11C8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乳腺彩超（含超声计算机图文报告）</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36A60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430C89B7">
            <w:pPr>
              <w:rPr>
                <w:rFonts w:hint="eastAsia" w:ascii="宋体" w:hAnsi="宋体" w:eastAsia="宋体" w:cs="宋体"/>
                <w:i w:val="0"/>
                <w:iCs w:val="0"/>
                <w:color w:val="000000"/>
                <w:sz w:val="22"/>
                <w:szCs w:val="22"/>
                <w:u w:val="none"/>
              </w:rPr>
            </w:pPr>
          </w:p>
        </w:tc>
      </w:tr>
      <w:tr w14:paraId="7F5BA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7C2C4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3B670B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妇科检查</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2A63DE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3D3DEFD7">
            <w:pPr>
              <w:rPr>
                <w:rFonts w:hint="eastAsia" w:ascii="宋体" w:hAnsi="宋体" w:eastAsia="宋体" w:cs="宋体"/>
                <w:i w:val="0"/>
                <w:iCs w:val="0"/>
                <w:color w:val="000000"/>
                <w:sz w:val="22"/>
                <w:szCs w:val="22"/>
                <w:u w:val="none"/>
              </w:rPr>
            </w:pPr>
          </w:p>
        </w:tc>
      </w:tr>
      <w:tr w14:paraId="3ECA9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5CEA8F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57E54E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白带常规</w:t>
            </w:r>
          </w:p>
        </w:tc>
        <w:tc>
          <w:tcPr>
            <w:tcW w:w="2299" w:type="pct"/>
            <w:tcBorders>
              <w:top w:val="single" w:color="000000" w:sz="4" w:space="0"/>
              <w:left w:val="single" w:color="000000" w:sz="4" w:space="0"/>
              <w:bottom w:val="single" w:color="000000" w:sz="4" w:space="0"/>
              <w:right w:val="single" w:color="000000" w:sz="4" w:space="0"/>
            </w:tcBorders>
            <w:noWrap w:val="0"/>
            <w:vAlign w:val="center"/>
          </w:tcPr>
          <w:p w14:paraId="00C2AA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白带清洁度、上皮细胞(白带)、白细胞(白带) 、红细胞(白带)、白带查霉菌、霉菌孢子（阴道）、白带查滴虫、线索细胞</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55858D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5FD7EA3D">
            <w:pPr>
              <w:rPr>
                <w:rFonts w:hint="eastAsia" w:ascii="宋体" w:hAnsi="宋体" w:eastAsia="宋体" w:cs="宋体"/>
                <w:i w:val="0"/>
                <w:iCs w:val="0"/>
                <w:color w:val="000000"/>
                <w:sz w:val="22"/>
                <w:szCs w:val="22"/>
                <w:u w:val="none"/>
              </w:rPr>
            </w:pPr>
          </w:p>
        </w:tc>
      </w:tr>
      <w:tr w14:paraId="1CFD5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760F73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75DAD9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薄层液基细胞学检查(TCT)</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AA697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6C6A0F56">
            <w:pPr>
              <w:jc w:val="left"/>
              <w:rPr>
                <w:rFonts w:hint="eastAsia" w:ascii="宋体" w:hAnsi="宋体" w:eastAsia="宋体" w:cs="宋体"/>
                <w:i w:val="0"/>
                <w:iCs w:val="0"/>
                <w:color w:val="000000"/>
                <w:sz w:val="22"/>
                <w:szCs w:val="22"/>
                <w:u w:val="none"/>
              </w:rPr>
            </w:pPr>
          </w:p>
        </w:tc>
      </w:tr>
      <w:tr w14:paraId="2E34A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516EFF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11DAE9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人乳头瘤病毒(HPV23型)核酸检测</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4761BE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53129237">
            <w:pPr>
              <w:jc w:val="left"/>
              <w:rPr>
                <w:rFonts w:hint="eastAsia" w:ascii="宋体" w:hAnsi="宋体" w:eastAsia="宋体" w:cs="宋体"/>
                <w:i w:val="0"/>
                <w:iCs w:val="0"/>
                <w:color w:val="000000"/>
                <w:sz w:val="22"/>
                <w:szCs w:val="22"/>
                <w:u w:val="none"/>
              </w:rPr>
            </w:pPr>
          </w:p>
        </w:tc>
      </w:tr>
      <w:tr w14:paraId="4B9D2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01" w:type="pct"/>
            <w:tcBorders>
              <w:top w:val="single" w:color="000000" w:sz="4" w:space="0"/>
              <w:left w:val="single" w:color="000000" w:sz="4" w:space="0"/>
              <w:bottom w:val="single" w:color="000000" w:sz="4" w:space="0"/>
              <w:right w:val="single" w:color="000000" w:sz="4" w:space="0"/>
            </w:tcBorders>
            <w:noWrap w:val="0"/>
            <w:vAlign w:val="center"/>
          </w:tcPr>
          <w:p w14:paraId="4FB215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c>
          <w:tcPr>
            <w:tcW w:w="3042" w:type="pct"/>
            <w:gridSpan w:val="2"/>
            <w:tcBorders>
              <w:top w:val="single" w:color="000000" w:sz="4" w:space="0"/>
              <w:left w:val="single" w:color="000000" w:sz="4" w:space="0"/>
              <w:bottom w:val="single" w:color="000000" w:sz="4" w:space="0"/>
              <w:right w:val="single" w:color="000000" w:sz="4" w:space="0"/>
            </w:tcBorders>
            <w:noWrap w:val="0"/>
            <w:vAlign w:val="center"/>
          </w:tcPr>
          <w:p w14:paraId="71532B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糖类抗原CA15-3测定</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056C76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09" w:type="pct"/>
            <w:tcBorders>
              <w:top w:val="single" w:color="000000" w:sz="4" w:space="0"/>
              <w:left w:val="single" w:color="000000" w:sz="4" w:space="0"/>
              <w:bottom w:val="single" w:color="000000" w:sz="4" w:space="0"/>
              <w:right w:val="single" w:color="000000" w:sz="4" w:space="0"/>
            </w:tcBorders>
            <w:noWrap/>
            <w:vAlign w:val="center"/>
          </w:tcPr>
          <w:p w14:paraId="1B9F4007">
            <w:pPr>
              <w:rPr>
                <w:rFonts w:hint="eastAsia" w:ascii="宋体" w:hAnsi="宋体" w:eastAsia="宋体" w:cs="宋体"/>
                <w:i w:val="0"/>
                <w:iCs w:val="0"/>
                <w:color w:val="000000"/>
                <w:sz w:val="20"/>
                <w:szCs w:val="20"/>
                <w:u w:val="none"/>
              </w:rPr>
            </w:pPr>
          </w:p>
        </w:tc>
      </w:tr>
    </w:tbl>
    <w:p w14:paraId="20AB9A66">
      <w:pPr>
        <w:widowControl w:val="0"/>
        <w:spacing w:after="120"/>
        <w:jc w:val="both"/>
        <w:rPr>
          <w:rFonts w:ascii="Times New Roman" w:hAnsi="Times New Roman" w:eastAsia="宋体" w:cs="Times New Roman"/>
          <w:kern w:val="2"/>
          <w:sz w:val="21"/>
          <w:szCs w:val="24"/>
          <w:lang w:val="en-US" w:eastAsia="zh-CN" w:bidi="ar-SA"/>
        </w:rPr>
      </w:pPr>
    </w:p>
    <w:p w14:paraId="5C0603D0">
      <w:pPr>
        <w:keepNext/>
        <w:keepLines/>
        <w:widowControl w:val="0"/>
        <w:numPr>
          <w:ilvl w:val="0"/>
          <w:numId w:val="0"/>
        </w:numPr>
        <w:adjustRightInd w:val="0"/>
        <w:snapToGrid w:val="0"/>
        <w:spacing w:before="0" w:after="0" w:line="360" w:lineRule="auto"/>
        <w:jc w:val="both"/>
        <w:outlineLvl w:val="1"/>
        <w:rPr>
          <w:rFonts w:ascii="黑体" w:hAnsi="黑体" w:eastAsia="黑体" w:cs="Times New Roman"/>
          <w:b w:val="0"/>
          <w:snapToGrid w:val="0"/>
          <w:color w:val="000000"/>
          <w:kern w:val="0"/>
          <w:sz w:val="24"/>
          <w:szCs w:val="24"/>
          <w:lang w:val="en-US" w:eastAsia="zh-CN" w:bidi="ar-SA"/>
        </w:rPr>
      </w:pPr>
      <w:r>
        <w:rPr>
          <w:rFonts w:ascii="宋体" w:hAnsi="宋体" w:eastAsia="黑体" w:cs="Times New Roman"/>
          <w:b/>
          <w:bCs/>
          <w:snapToGrid w:val="0"/>
          <w:color w:val="000000"/>
          <w:kern w:val="0"/>
          <w:sz w:val="28"/>
          <w:szCs w:val="21"/>
          <w:lang w:val="en-US" w:eastAsia="zh-CN" w:bidi="ar-SA"/>
        </w:rPr>
        <w:br w:type="page"/>
      </w:r>
      <w:r>
        <w:rPr>
          <w:rFonts w:ascii="黑体" w:hAnsi="黑体" w:eastAsia="黑体" w:cs="Times New Roman"/>
          <w:b w:val="0"/>
          <w:snapToGrid w:val="0"/>
          <w:color w:val="000000"/>
          <w:kern w:val="0"/>
          <w:sz w:val="24"/>
          <w:szCs w:val="24"/>
          <w:lang w:val="en-US" w:eastAsia="zh-CN" w:bidi="ar-SA"/>
        </w:rPr>
        <w:t>附件三</w:t>
      </w:r>
    </w:p>
    <w:p w14:paraId="23A1A4BF">
      <w:pPr>
        <w:spacing w:line="360" w:lineRule="auto"/>
        <w:ind w:left="0" w:leftChars="0" w:firstLine="0" w:firstLineChars="0"/>
        <w:jc w:val="center"/>
        <w:outlineLvl w:val="2"/>
        <w:rPr>
          <w:rFonts w:hint="eastAsia" w:ascii="黑体" w:hAnsi="黑体" w:eastAsia="黑体" w:cs="黑体"/>
          <w:b/>
          <w:bCs/>
          <w:sz w:val="28"/>
          <w:szCs w:val="28"/>
        </w:rPr>
      </w:pPr>
      <w:r>
        <w:rPr>
          <w:rFonts w:hint="eastAsia" w:ascii="黑体" w:hAnsi="黑体" w:eastAsia="黑体" w:cs="黑体"/>
          <w:b/>
          <w:bCs/>
          <w:sz w:val="28"/>
          <w:szCs w:val="28"/>
        </w:rPr>
        <w:t>廉 洁 协 议</w:t>
      </w:r>
    </w:p>
    <w:p w14:paraId="66116FDD">
      <w:pPr>
        <w:spacing w:line="360" w:lineRule="auto"/>
        <w:ind w:firstLine="482" w:firstLineChars="200"/>
        <w:jc w:val="center"/>
        <w:rPr>
          <w:rFonts w:ascii="宋体" w:hAnsi="宋体" w:eastAsia="宋体" w:cs="Times New Roman"/>
          <w:b/>
          <w:bCs/>
          <w:sz w:val="24"/>
          <w:szCs w:val="24"/>
        </w:rPr>
      </w:pPr>
    </w:p>
    <w:p w14:paraId="5F528DC7">
      <w:pPr>
        <w:spacing w:line="360" w:lineRule="auto"/>
        <w:ind w:firstLine="472" w:firstLineChars="225"/>
        <w:jc w:val="left"/>
        <w:rPr>
          <w:rFonts w:ascii="Times New Roman" w:hAnsi="Times New Roman" w:eastAsia="宋体" w:cs="Times New Roman"/>
          <w:szCs w:val="22"/>
        </w:rPr>
      </w:pPr>
      <w:r>
        <w:rPr>
          <w:rFonts w:hint="eastAsia" w:ascii="Times New Roman" w:hAnsi="Times New Roman" w:eastAsia="宋体" w:cs="Times New Roman"/>
          <w:szCs w:val="22"/>
        </w:rPr>
        <w:t>甲方：长沙穗城轨道交通有限公司</w:t>
      </w:r>
    </w:p>
    <w:p w14:paraId="0464DB32">
      <w:pPr>
        <w:spacing w:line="360" w:lineRule="auto"/>
        <w:ind w:firstLine="472" w:firstLineChars="225"/>
        <w:jc w:val="left"/>
        <w:rPr>
          <w:rFonts w:ascii="Times New Roman" w:hAnsi="Times New Roman" w:eastAsia="宋体" w:cs="Times New Roman"/>
          <w:szCs w:val="22"/>
          <w:u w:val="single"/>
        </w:rPr>
      </w:pPr>
      <w:r>
        <w:rPr>
          <w:rFonts w:hint="eastAsia" w:ascii="Times New Roman" w:hAnsi="Times New Roman" w:eastAsia="宋体" w:cs="Times New Roman"/>
          <w:szCs w:val="22"/>
        </w:rPr>
        <w:t>乙方：</w:t>
      </w:r>
    </w:p>
    <w:p w14:paraId="46764860">
      <w:pPr>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根据国家法律、法规以及有关廉政建设的规定，为做好合同执行过程中党风廉政建设，保证建设及运营资金的安全和有效使用及投资效益，甲、乙双方特订立如下廉政协议：</w:t>
      </w:r>
    </w:p>
    <w:p w14:paraId="0A4E50EB">
      <w:pPr>
        <w:spacing w:line="360" w:lineRule="auto"/>
        <w:ind w:firstLine="422" w:firstLineChars="200"/>
        <w:rPr>
          <w:rFonts w:ascii="Times New Roman" w:hAnsi="Times New Roman" w:eastAsia="宋体" w:cs="Times New Roman"/>
          <w:szCs w:val="22"/>
        </w:rPr>
      </w:pPr>
      <w:r>
        <w:rPr>
          <w:rFonts w:hint="eastAsia" w:ascii="Times New Roman" w:hAnsi="Times New Roman" w:eastAsia="宋体" w:cs="Times New Roman"/>
          <w:b/>
          <w:bCs/>
          <w:szCs w:val="22"/>
        </w:rPr>
        <w:t>第一条 共同责任</w:t>
      </w:r>
    </w:p>
    <w:p w14:paraId="4417405E">
      <w:pPr>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（一）严格遵守党和国家有关法律法规及湖南省、长沙市的相关规定。</w:t>
      </w:r>
    </w:p>
    <w:p w14:paraId="643C3E92">
      <w:pPr>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（二）严格执行《2025年长沙穗城轨道交通有限公司员工体检</w:t>
      </w:r>
      <w:r>
        <w:rPr>
          <w:rFonts w:hint="eastAsia" w:ascii="Times New Roman" w:hAnsi="Times New Roman" w:eastAsia="宋体" w:cs="Times New Roman"/>
          <w:szCs w:val="22"/>
          <w:u w:val="none"/>
          <w:lang w:eastAsia="zh-CN"/>
        </w:rPr>
        <w:t>项目</w:t>
      </w:r>
      <w:r>
        <w:rPr>
          <w:rFonts w:hint="eastAsia" w:ascii="Times New Roman" w:hAnsi="Times New Roman" w:eastAsia="宋体" w:cs="Times New Roman"/>
          <w:szCs w:val="22"/>
        </w:rPr>
        <w:t>合同》（以下简称主合同）的合同文件，自觉履行合同约定的相关义务。</w:t>
      </w:r>
    </w:p>
    <w:p w14:paraId="0D78A6AB">
      <w:pPr>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（三）双方的业务活动坚持公开、公正、诚信、透明的原则（除法律认定的商业秘密和合同文件另有规定外），不得损害国家和集体利益，违反工程建设规章制度。</w:t>
      </w:r>
    </w:p>
    <w:p w14:paraId="5120E0E1">
      <w:pPr>
        <w:snapToGrid w:val="0"/>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（四）建立健全廉政制度，开展廉政教育，设立廉政告示牌，公布举报电话，监督并认真查处违法违纪行为。</w:t>
      </w:r>
    </w:p>
    <w:p w14:paraId="619A9A46">
      <w:pPr>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（五）发现对方在业务活动中有违反廉政规定的行为，有及时提醒对方纠正的权利和义务。</w:t>
      </w:r>
    </w:p>
    <w:p w14:paraId="4F6113B8">
      <w:pPr>
        <w:spacing w:line="360" w:lineRule="auto"/>
        <w:ind w:firstLine="422" w:firstLineChars="200"/>
        <w:rPr>
          <w:rFonts w:ascii="Times New Roman" w:hAnsi="Times New Roman" w:eastAsia="宋体" w:cs="Times New Roman"/>
          <w:szCs w:val="22"/>
        </w:rPr>
      </w:pPr>
      <w:r>
        <w:rPr>
          <w:rFonts w:hint="eastAsia" w:ascii="Times New Roman" w:hAnsi="Times New Roman" w:eastAsia="宋体" w:cs="Times New Roman"/>
          <w:b/>
          <w:bCs/>
          <w:szCs w:val="22"/>
        </w:rPr>
        <w:t>第二条 共同权利</w:t>
      </w:r>
    </w:p>
    <w:p w14:paraId="05163CE8">
      <w:pPr>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发现对方严重违反本协议义务条款的行为，有向其上级有关部门举报、建议给予处理并有权要求告知处理结果的权利。</w:t>
      </w:r>
    </w:p>
    <w:p w14:paraId="52008200">
      <w:pPr>
        <w:spacing w:line="360" w:lineRule="auto"/>
        <w:ind w:firstLine="422" w:firstLineChars="200"/>
        <w:rPr>
          <w:rFonts w:ascii="Times New Roman" w:hAnsi="Times New Roman" w:eastAsia="宋体" w:cs="Times New Roman"/>
          <w:szCs w:val="22"/>
        </w:rPr>
      </w:pPr>
      <w:r>
        <w:rPr>
          <w:rFonts w:hint="eastAsia" w:ascii="Times New Roman" w:hAnsi="Times New Roman" w:eastAsia="宋体" w:cs="Times New Roman"/>
          <w:b/>
          <w:bCs/>
          <w:szCs w:val="22"/>
        </w:rPr>
        <w:t>第三条 甲方的义务</w:t>
      </w:r>
    </w:p>
    <w:p w14:paraId="3B84EDB5">
      <w:pPr>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（一）甲方及其工作人员不得索要或接受乙方的礼金、有价证券和贵重物品。</w:t>
      </w:r>
    </w:p>
    <w:p w14:paraId="4925C0D3">
      <w:pPr>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（二）甲方及其工作人员不得在乙方报销任何应由甲方或个人支付的费用等。</w:t>
      </w:r>
    </w:p>
    <w:p w14:paraId="43A4BB95">
      <w:pPr>
        <w:spacing w:line="360" w:lineRule="auto"/>
        <w:ind w:left="15" w:leftChars="7" w:firstLine="420" w:firstLineChars="200"/>
        <w:rPr>
          <w:rFonts w:ascii="Times New Roman" w:hAnsi="Times New Roman" w:eastAsia="宋体" w:cs="Times New Roman"/>
          <w:szCs w:val="22"/>
        </w:rPr>
      </w:pPr>
      <w:r>
        <w:rPr>
          <w:rFonts w:hint="eastAsia" w:ascii="Times New Roman" w:hAnsi="Times New Roman" w:eastAsia="宋体" w:cs="Times New Roman"/>
          <w:szCs w:val="22"/>
        </w:rPr>
        <w:t>（三）甲方及其工作人员不得参加乙方安排的超标准宴请和娱乐活动。</w:t>
      </w:r>
    </w:p>
    <w:p w14:paraId="36A95F53">
      <w:pPr>
        <w:spacing w:line="360" w:lineRule="auto"/>
        <w:ind w:left="15" w:leftChars="7" w:firstLine="420" w:firstLineChars="200"/>
        <w:rPr>
          <w:rFonts w:ascii="Times New Roman" w:hAnsi="Times New Roman" w:eastAsia="宋体" w:cs="Times New Roman"/>
          <w:szCs w:val="22"/>
        </w:rPr>
      </w:pPr>
      <w:r>
        <w:rPr>
          <w:rFonts w:hint="eastAsia" w:ascii="Times New Roman" w:hAnsi="Times New Roman" w:eastAsia="宋体" w:cs="Times New Roman"/>
          <w:szCs w:val="22"/>
        </w:rPr>
        <w:t>（四）甲方及其工作人员不得接受乙方提供的通讯工具、交通工具和高档办公用品等。</w:t>
      </w:r>
    </w:p>
    <w:p w14:paraId="10F0DD18">
      <w:pPr>
        <w:spacing w:line="360" w:lineRule="auto"/>
        <w:ind w:left="15" w:leftChars="7" w:firstLine="420" w:firstLineChars="200"/>
        <w:rPr>
          <w:rFonts w:ascii="Times New Roman" w:hAnsi="Times New Roman" w:eastAsia="宋体" w:cs="Times New Roman"/>
          <w:szCs w:val="22"/>
        </w:rPr>
      </w:pPr>
      <w:r>
        <w:rPr>
          <w:rFonts w:hint="eastAsia" w:ascii="Times New Roman" w:hAnsi="Times New Roman" w:eastAsia="宋体" w:cs="Times New Roman"/>
          <w:szCs w:val="22"/>
        </w:rPr>
        <w:t>（五）甲方及其工作人员不得要求或者接受乙方为其住房装修、婚丧嫁娶活动、配偶子女的工作安排以及出国出境、旅游等提供方便等。</w:t>
      </w:r>
    </w:p>
    <w:p w14:paraId="6A8C8066">
      <w:pPr>
        <w:spacing w:line="360" w:lineRule="auto"/>
        <w:ind w:left="15" w:leftChars="7" w:firstLine="420" w:firstLineChars="200"/>
        <w:rPr>
          <w:rFonts w:ascii="Times New Roman" w:hAnsi="Times New Roman" w:eastAsia="宋体" w:cs="Times New Roman"/>
          <w:szCs w:val="22"/>
        </w:rPr>
      </w:pPr>
      <w:r>
        <w:rPr>
          <w:rFonts w:hint="eastAsia" w:ascii="Times New Roman" w:hAnsi="Times New Roman" w:eastAsia="宋体" w:cs="Times New Roman"/>
          <w:szCs w:val="22"/>
        </w:rPr>
        <w:t>（六）甲方及其工作人员不得有违反法律、法规、廉洁从业规定的其他行为。</w:t>
      </w:r>
    </w:p>
    <w:p w14:paraId="68A7A225">
      <w:pPr>
        <w:spacing w:line="360" w:lineRule="auto"/>
        <w:ind w:firstLine="422" w:firstLineChars="200"/>
        <w:rPr>
          <w:rFonts w:ascii="Times New Roman" w:hAnsi="Times New Roman" w:eastAsia="宋体" w:cs="Times New Roman"/>
          <w:szCs w:val="22"/>
        </w:rPr>
      </w:pPr>
      <w:r>
        <w:rPr>
          <w:rFonts w:hint="eastAsia" w:ascii="Times New Roman" w:hAnsi="Times New Roman" w:eastAsia="宋体" w:cs="Times New Roman"/>
          <w:b/>
          <w:bCs/>
          <w:szCs w:val="22"/>
        </w:rPr>
        <w:t>第四条 乙方的义务</w:t>
      </w:r>
    </w:p>
    <w:p w14:paraId="29BDF6D6">
      <w:pPr>
        <w:snapToGrid w:val="0"/>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（一）乙方不得以任何理由向甲方及其工作人员行贿或馈赠礼金、有价证券、贵重礼品。</w:t>
      </w:r>
    </w:p>
    <w:p w14:paraId="63225CE9">
      <w:pPr>
        <w:snapToGrid w:val="0"/>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（二）乙方不得以任何名义为甲方及其工作人员报销应由甲方单位或个人支付的任何费用。</w:t>
      </w:r>
    </w:p>
    <w:p w14:paraId="38B299E3">
      <w:pPr>
        <w:snapToGrid w:val="0"/>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（三）乙方不得以任何理由安排甲方工作人员参加超标准宴请、健身及娱乐活动。</w:t>
      </w:r>
    </w:p>
    <w:p w14:paraId="2D6A1114">
      <w:pPr>
        <w:snapToGrid w:val="0"/>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（四）</w:t>
      </w:r>
      <w:r>
        <w:rPr>
          <w:rFonts w:ascii="Times New Roman" w:hAnsi="Times New Roman" w:eastAsia="宋体" w:cs="Times New Roman"/>
          <w:szCs w:val="22"/>
        </w:rPr>
        <w:t>乙方不得为甲方及其工作人员购置或提供通讯工具</w:t>
      </w:r>
      <w:r>
        <w:rPr>
          <w:rFonts w:hint="eastAsia" w:ascii="Times New Roman" w:hAnsi="Times New Roman" w:eastAsia="宋体" w:cs="Times New Roman"/>
          <w:szCs w:val="22"/>
        </w:rPr>
        <w:t>、</w:t>
      </w:r>
      <w:r>
        <w:rPr>
          <w:rFonts w:ascii="Times New Roman" w:hAnsi="Times New Roman" w:eastAsia="宋体" w:cs="Times New Roman"/>
          <w:szCs w:val="22"/>
        </w:rPr>
        <w:t>交通工具和高档办公用品等</w:t>
      </w:r>
      <w:r>
        <w:rPr>
          <w:rFonts w:hint="eastAsia" w:ascii="Times New Roman" w:hAnsi="Times New Roman" w:eastAsia="宋体" w:cs="Times New Roman"/>
          <w:szCs w:val="22"/>
        </w:rPr>
        <w:t>。</w:t>
      </w:r>
    </w:p>
    <w:p w14:paraId="54D80542">
      <w:pPr>
        <w:snapToGrid w:val="0"/>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（五）乙方不得为甲方及其工作人员住房装修、婚丧嫁娶活动、配偶子女的工作安排以及出国出境、旅游等提供方便等。</w:t>
      </w:r>
    </w:p>
    <w:p w14:paraId="4514CC8F">
      <w:pPr>
        <w:snapToGrid w:val="0"/>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（六）乙方不得有违反法律、法规、廉洁从业规定的其他行为。</w:t>
      </w:r>
    </w:p>
    <w:p w14:paraId="68AF3F57">
      <w:pPr>
        <w:spacing w:line="360" w:lineRule="auto"/>
        <w:ind w:firstLine="422" w:firstLineChars="200"/>
        <w:rPr>
          <w:rFonts w:ascii="Times New Roman" w:hAnsi="Times New Roman" w:eastAsia="宋体" w:cs="Times New Roman"/>
          <w:szCs w:val="22"/>
        </w:rPr>
      </w:pPr>
      <w:r>
        <w:rPr>
          <w:rFonts w:hint="eastAsia" w:ascii="Times New Roman" w:hAnsi="Times New Roman" w:eastAsia="宋体" w:cs="Times New Roman"/>
          <w:b/>
          <w:bCs/>
          <w:szCs w:val="22"/>
        </w:rPr>
        <w:t>第五条 违约责任</w:t>
      </w:r>
    </w:p>
    <w:p w14:paraId="43071FF8">
      <w:pPr>
        <w:snapToGrid w:val="0"/>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（一）甲方及其工作人员违反本协议，视情节轻重按管理权限，依据有关规定给予党纪、政纪或组织处理，调离其工作岗位；涉嫌犯罪的，移交司法机关追究刑事责任；给乙方造成经济损失的，应予以赔偿。</w:t>
      </w:r>
    </w:p>
    <w:p w14:paraId="0351A7A5">
      <w:pPr>
        <w:snapToGrid w:val="0"/>
        <w:spacing w:line="360" w:lineRule="auto"/>
        <w:ind w:firstLine="420" w:firstLineChars="200"/>
        <w:rPr>
          <w:rFonts w:ascii="Times New Roman" w:hAnsi="Times New Roman" w:eastAsia="宋体" w:cs="Times New Roman"/>
          <w:szCs w:val="22"/>
        </w:rPr>
      </w:pPr>
      <w:r>
        <w:rPr>
          <w:rFonts w:hint="eastAsia" w:ascii="Times New Roman" w:hAnsi="Times New Roman" w:eastAsia="宋体" w:cs="Times New Roman"/>
          <w:szCs w:val="22"/>
        </w:rPr>
        <w:t>（二）乙方及其工作人员违反本协议，视情节轻重按管理权限，依据有关规定，给予党纪、政纪或组织处理；给甲方单位造成经济损失的，应予以赔偿；情节严重的，甲方可以单方面解除与乙方的合同，并给予乙方两年内不得对甲方组织的项目进行投标的处罚。</w:t>
      </w:r>
    </w:p>
    <w:p w14:paraId="15D51F71">
      <w:pPr>
        <w:spacing w:line="360" w:lineRule="auto"/>
        <w:ind w:firstLine="422" w:firstLineChars="200"/>
        <w:rPr>
          <w:rFonts w:ascii="Times New Roman" w:hAnsi="Times New Roman" w:eastAsia="宋体" w:cs="Times New Roman"/>
          <w:szCs w:val="22"/>
        </w:rPr>
      </w:pPr>
      <w:r>
        <w:rPr>
          <w:rFonts w:hint="eastAsia" w:ascii="Times New Roman" w:hAnsi="Times New Roman" w:eastAsia="宋体" w:cs="Times New Roman"/>
          <w:b/>
          <w:bCs/>
          <w:szCs w:val="22"/>
        </w:rPr>
        <w:t>第六条</w:t>
      </w:r>
      <w:r>
        <w:rPr>
          <w:rFonts w:ascii="Times New Roman" w:hAnsi="Times New Roman" w:eastAsia="宋体" w:cs="Times New Roman"/>
          <w:b/>
          <w:bCs/>
          <w:szCs w:val="22"/>
        </w:rPr>
        <w:t xml:space="preserve"> </w:t>
      </w:r>
      <w:r>
        <w:rPr>
          <w:rFonts w:hint="eastAsia" w:ascii="Times New Roman" w:hAnsi="Times New Roman" w:eastAsia="宋体" w:cs="Times New Roman"/>
          <w:szCs w:val="22"/>
        </w:rPr>
        <w:t>双方约定：本合同由双方或双方上级单位的纪检监察机关负责监督执行。由甲方或甲方上级单位的纪检监察机关约请乙方或乙方上级单位纪检监察机关对本合同执行情况进行检查；提出在本合同约定范围内的裁定意见。</w:t>
      </w:r>
    </w:p>
    <w:p w14:paraId="18A362D5">
      <w:pPr>
        <w:spacing w:line="360" w:lineRule="auto"/>
        <w:ind w:firstLine="413" w:firstLineChars="196"/>
        <w:rPr>
          <w:rFonts w:ascii="Times New Roman" w:hAnsi="Times New Roman" w:eastAsia="宋体" w:cs="Times New Roman"/>
          <w:szCs w:val="22"/>
        </w:rPr>
      </w:pPr>
      <w:r>
        <w:rPr>
          <w:rFonts w:hint="eastAsia" w:ascii="Times New Roman" w:hAnsi="Times New Roman" w:eastAsia="宋体" w:cs="Times New Roman"/>
          <w:b/>
          <w:bCs/>
          <w:szCs w:val="22"/>
        </w:rPr>
        <w:t>第七条</w:t>
      </w:r>
      <w:r>
        <w:rPr>
          <w:rFonts w:hint="eastAsia" w:ascii="Times New Roman" w:hAnsi="Times New Roman" w:eastAsia="宋体" w:cs="Times New Roman"/>
          <w:szCs w:val="22"/>
        </w:rPr>
        <w:t xml:space="preserve"> 本协议有效期为甲乙双方签署之日起至主合同完全履行完毕之日止。  </w:t>
      </w:r>
    </w:p>
    <w:p w14:paraId="7A736416">
      <w:pPr>
        <w:spacing w:line="360" w:lineRule="auto"/>
        <w:ind w:firstLine="413" w:firstLineChars="196"/>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b/>
          <w:bCs/>
          <w:szCs w:val="22"/>
        </w:rPr>
        <w:t>第八条</w:t>
      </w:r>
      <w:r>
        <w:rPr>
          <w:rFonts w:hint="eastAsia" w:ascii="Times New Roman" w:hAnsi="Times New Roman" w:eastAsia="宋体" w:cs="Times New Roman"/>
          <w:szCs w:val="22"/>
        </w:rPr>
        <w:t xml:space="preserve"> 本协议作为主合同的附件，与主合同具有同等的法律效力，经合同双方签署立即生效。</w:t>
      </w:r>
    </w:p>
    <w:p w14:paraId="5FAD7B6C">
      <w:pPr>
        <w:numPr>
          <w:ilvl w:val="0"/>
          <w:numId w:val="0"/>
        </w:numPr>
        <w:tabs>
          <w:tab w:val="left" w:pos="885"/>
        </w:tabs>
        <w:wordWrap w:val="0"/>
        <w:spacing w:line="360" w:lineRule="auto"/>
        <w:ind w:right="0" w:rightChars="0" w:firstLine="420" w:firstLineChars="200"/>
        <w:jc w:val="both"/>
        <w:outlineLvl w:val="9"/>
        <w:rPr>
          <w:rFonts w:hint="eastAsia" w:ascii="Calibri" w:hAnsi="Calibri" w:eastAsia="宋体" w:cs="Times New Roman"/>
          <w:color w:val="auto"/>
          <w:kern w:val="2"/>
          <w:sz w:val="21"/>
          <w:szCs w:val="22"/>
          <w:highlight w:val="none"/>
          <w:lang w:val="en-US" w:eastAsia="zh-CN" w:bidi="ar-SA"/>
        </w:rPr>
      </w:pPr>
    </w:p>
    <w:p w14:paraId="4FDE4C28">
      <w:pPr>
        <w:rPr>
          <w:rFonts w:hint="eastAsia" w:ascii="黑体" w:hAnsi="黑体" w:eastAsia="黑体" w:cs="Times New Roman"/>
          <w:color w:val="auto"/>
          <w:kern w:val="2"/>
          <w:sz w:val="44"/>
          <w:szCs w:val="44"/>
          <w:highlight w:val="none"/>
          <w:lang w:val="en-US" w:eastAsia="zh-CN" w:bidi="ar-SA"/>
        </w:rPr>
      </w:pPr>
      <w:r>
        <w:rPr>
          <w:rFonts w:hint="eastAsia" w:ascii="黑体" w:hAnsi="黑体" w:eastAsia="黑体" w:cs="Times New Roman"/>
          <w:color w:val="auto"/>
          <w:kern w:val="2"/>
          <w:sz w:val="44"/>
          <w:szCs w:val="44"/>
          <w:highlight w:val="none"/>
          <w:lang w:val="en-US" w:eastAsia="zh-CN" w:bidi="ar-SA"/>
        </w:rPr>
        <w:br w:type="page"/>
      </w:r>
    </w:p>
    <w:p w14:paraId="3F0EE278">
      <w:pPr>
        <w:pStyle w:val="2"/>
        <w:numPr>
          <w:ilvl w:val="0"/>
          <w:numId w:val="0"/>
        </w:numPr>
        <w:wordWrap w:val="0"/>
        <w:spacing w:line="360" w:lineRule="auto"/>
        <w:ind w:left="0" w:leftChars="0" w:right="0" w:rightChars="0" w:firstLine="0" w:firstLineChars="0"/>
        <w:jc w:val="center"/>
        <w:rPr>
          <w:rFonts w:hint="eastAsia" w:hAnsi="黑体"/>
          <w:color w:val="auto"/>
          <w:sz w:val="44"/>
          <w:szCs w:val="44"/>
          <w:highlight w:val="none"/>
        </w:rPr>
      </w:pPr>
      <w:bookmarkStart w:id="13" w:name="_Toc3228"/>
      <w:bookmarkStart w:id="14" w:name="_Toc2933"/>
      <w:r>
        <w:rPr>
          <w:rFonts w:hint="eastAsia" w:ascii="黑体" w:hAnsi="黑体" w:eastAsia="黑体" w:cs="Times New Roman"/>
          <w:color w:val="auto"/>
          <w:kern w:val="2"/>
          <w:sz w:val="44"/>
          <w:szCs w:val="44"/>
          <w:highlight w:val="none"/>
          <w:lang w:val="en-US" w:eastAsia="zh-CN" w:bidi="ar-SA"/>
        </w:rPr>
        <w:t>第五章</w:t>
      </w:r>
      <w:r>
        <w:rPr>
          <w:rFonts w:hint="eastAsia" w:hAnsi="黑体" w:cs="Times New Roman"/>
          <w:color w:val="auto"/>
          <w:kern w:val="2"/>
          <w:sz w:val="44"/>
          <w:szCs w:val="44"/>
          <w:highlight w:val="none"/>
          <w:lang w:val="en-US" w:eastAsia="zh-CN" w:bidi="ar-SA"/>
        </w:rPr>
        <w:t xml:space="preserve"> </w:t>
      </w:r>
      <w:r>
        <w:rPr>
          <w:rFonts w:hint="eastAsia" w:hAnsi="黑体"/>
          <w:color w:val="auto"/>
          <w:sz w:val="44"/>
          <w:szCs w:val="44"/>
          <w:highlight w:val="none"/>
        </w:rPr>
        <w:t>用户需求书</w:t>
      </w:r>
      <w:bookmarkEnd w:id="13"/>
      <w:bookmarkEnd w:id="14"/>
    </w:p>
    <w:p w14:paraId="410A8549">
      <w:pPr>
        <w:overflowPunct w:val="0"/>
        <w:autoSpaceDE w:val="0"/>
        <w:autoSpaceDN w:val="0"/>
        <w:adjustRightInd w:val="0"/>
        <w:snapToGrid w:val="0"/>
        <w:spacing w:line="560" w:lineRule="exact"/>
        <w:ind w:firstLine="422" w:firstLineChars="20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一、项目概况</w:t>
      </w:r>
    </w:p>
    <w:p w14:paraId="48C2D7BE">
      <w:pPr>
        <w:overflowPunct w:val="0"/>
        <w:autoSpaceDE w:val="0"/>
        <w:autoSpaceDN w:val="0"/>
        <w:adjustRightInd w:val="0"/>
        <w:snapToGrid w:val="0"/>
        <w:spacing w:line="560" w:lineRule="exact"/>
        <w:ind w:firstLine="420" w:firstLineChars="200"/>
        <w:rPr>
          <w:rFonts w:hint="eastAsia" w:ascii="宋体" w:hAnsi="宋体" w:eastAsia="宋体" w:cs="宋体"/>
          <w:b/>
          <w:color w:val="auto"/>
          <w:sz w:val="21"/>
          <w:szCs w:val="21"/>
          <w:highlight w:val="none"/>
          <w:lang w:eastAsia="zh-CN"/>
        </w:rPr>
      </w:pPr>
      <w:r>
        <w:rPr>
          <w:rFonts w:hint="eastAsia" w:ascii="宋体" w:hAnsi="宋体" w:eastAsia="宋体" w:cs="宋体"/>
          <w:bCs/>
          <w:color w:val="auto"/>
          <w:sz w:val="21"/>
          <w:szCs w:val="21"/>
          <w:highlight w:val="none"/>
        </w:rPr>
        <w:t>（一）项目名称：</w:t>
      </w:r>
      <w:r>
        <w:rPr>
          <w:rFonts w:hint="eastAsia" w:ascii="宋体" w:hAnsi="宋体" w:eastAsia="宋体" w:cs="宋体"/>
          <w:bCs/>
          <w:color w:val="auto"/>
          <w:sz w:val="21"/>
          <w:szCs w:val="21"/>
          <w:highlight w:val="none"/>
          <w:lang w:eastAsia="zh-CN"/>
        </w:rPr>
        <w:t>2025年长沙穗城轨道交通有限公司员工体检项目</w:t>
      </w:r>
    </w:p>
    <w:p w14:paraId="2492F56D">
      <w:pPr>
        <w:widowControl w:val="0"/>
        <w:overflowPunct w:val="0"/>
        <w:autoSpaceDE w:val="0"/>
        <w:autoSpaceDN w:val="0"/>
        <w:adjustRightInd w:val="0"/>
        <w:snapToGrid w:val="0"/>
        <w:spacing w:line="560" w:lineRule="exact"/>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（二）实施内容：</w:t>
      </w:r>
      <w:r>
        <w:rPr>
          <w:rFonts w:hint="eastAsia" w:ascii="宋体" w:hAnsi="宋体" w:eastAsia="宋体" w:cs="宋体"/>
          <w:color w:val="auto"/>
          <w:kern w:val="2"/>
          <w:sz w:val="21"/>
          <w:szCs w:val="21"/>
          <w:highlight w:val="none"/>
          <w:lang w:val="en-US" w:eastAsia="zh-CN" w:bidi="ar-SA"/>
        </w:rPr>
        <w:t>对长沙穗城轨道交通有限公司年度员工体检服务</w:t>
      </w:r>
      <w:r>
        <w:rPr>
          <w:rFonts w:hint="eastAsia" w:ascii="宋体" w:hAnsi="宋体" w:eastAsia="宋体" w:cs="宋体"/>
          <w:bCs/>
          <w:color w:val="auto"/>
          <w:kern w:val="2"/>
          <w:sz w:val="21"/>
          <w:szCs w:val="21"/>
          <w:highlight w:val="none"/>
          <w:lang w:val="en-US" w:eastAsia="zh-CN" w:bidi="ar-SA"/>
        </w:rPr>
        <w:t>单位</w:t>
      </w:r>
      <w:r>
        <w:rPr>
          <w:rFonts w:hint="eastAsia" w:ascii="宋体" w:hAnsi="宋体" w:eastAsia="宋体" w:cs="宋体"/>
          <w:color w:val="auto"/>
          <w:kern w:val="2"/>
          <w:sz w:val="21"/>
          <w:szCs w:val="21"/>
          <w:highlight w:val="none"/>
          <w:lang w:val="en-US" w:eastAsia="zh-CN" w:bidi="ar-SA"/>
        </w:rPr>
        <w:t>进行公开招标，</w:t>
      </w:r>
      <w:r>
        <w:rPr>
          <w:rFonts w:hint="eastAsia" w:ascii="宋体" w:hAnsi="宋体" w:eastAsia="宋体" w:cs="宋体"/>
          <w:bCs/>
          <w:color w:val="auto"/>
          <w:kern w:val="2"/>
          <w:sz w:val="21"/>
          <w:szCs w:val="21"/>
          <w:highlight w:val="none"/>
          <w:lang w:val="en-US" w:eastAsia="zh-CN" w:bidi="ar-SA"/>
        </w:rPr>
        <w:t>选择两家定点体检机构或医院。</w:t>
      </w:r>
    </w:p>
    <w:p w14:paraId="6C5DD1B3">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（三）服务期限：</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单位与</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人签订合同，承担</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人员工</w:t>
      </w:r>
      <w:r>
        <w:rPr>
          <w:rFonts w:hint="eastAsia" w:ascii="宋体" w:hAnsi="宋体" w:eastAsia="宋体" w:cs="宋体"/>
          <w:color w:val="auto"/>
          <w:sz w:val="21"/>
          <w:szCs w:val="21"/>
          <w:highlight w:val="none"/>
          <w:lang w:eastAsia="zh-CN"/>
        </w:rPr>
        <w:t>2025-2027年</w:t>
      </w:r>
      <w:r>
        <w:rPr>
          <w:rFonts w:hint="eastAsia" w:ascii="宋体" w:hAnsi="宋体" w:eastAsia="宋体" w:cs="宋体"/>
          <w:color w:val="auto"/>
          <w:sz w:val="21"/>
          <w:szCs w:val="21"/>
          <w:highlight w:val="none"/>
        </w:rPr>
        <w:t>体检项目服务工作。</w:t>
      </w:r>
    </w:p>
    <w:p w14:paraId="2997ADE7">
      <w:pPr>
        <w:overflowPunct w:val="0"/>
        <w:autoSpaceDE w:val="0"/>
        <w:autoSpaceDN w:val="0"/>
        <w:adjustRightInd w:val="0"/>
        <w:snapToGrid w:val="0"/>
        <w:spacing w:line="560" w:lineRule="exact"/>
        <w:ind w:firstLine="422" w:firstLineChars="20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二、体检项目</w:t>
      </w:r>
    </w:p>
    <w:p w14:paraId="1ECF2FBB">
      <w:pPr>
        <w:widowControl w:val="0"/>
        <w:overflowPunct w:val="0"/>
        <w:autoSpaceDE w:val="0"/>
        <w:autoSpaceDN w:val="0"/>
        <w:adjustRightInd w:val="0"/>
        <w:snapToGrid w:val="0"/>
        <w:spacing w:line="560" w:lineRule="exact"/>
        <w:ind w:firstLine="420" w:firstLineChars="200"/>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（一）体检需求项目</w:t>
      </w:r>
    </w:p>
    <w:p w14:paraId="721CF3B2">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体检基础项目套餐</w:t>
      </w:r>
      <w:r>
        <w:rPr>
          <w:rFonts w:hint="eastAsia" w:ascii="宋体" w:hAnsi="宋体" w:eastAsia="宋体" w:cs="宋体"/>
          <w:color w:val="auto"/>
          <w:sz w:val="21"/>
          <w:szCs w:val="21"/>
          <w:highlight w:val="none"/>
        </w:rPr>
        <w:t>采用“1+X”模式，其中“1”为员工基础体检项目；“X”为自选体检项目，为员工按照各自体检预算标准在项目</w:t>
      </w:r>
      <w:r>
        <w:rPr>
          <w:rFonts w:hint="eastAsia" w:ascii="宋体" w:hAnsi="宋体" w:eastAsia="宋体" w:cs="宋体"/>
          <w:color w:val="auto"/>
          <w:sz w:val="21"/>
          <w:szCs w:val="21"/>
          <w:highlight w:val="none"/>
          <w:lang w:eastAsia="zh-CN"/>
        </w:rPr>
        <w:t>中</w:t>
      </w:r>
      <w:r>
        <w:rPr>
          <w:rFonts w:hint="eastAsia" w:ascii="宋体" w:hAnsi="宋体" w:eastAsia="宋体" w:cs="宋体"/>
          <w:color w:val="auto"/>
          <w:sz w:val="21"/>
          <w:szCs w:val="21"/>
          <w:highlight w:val="none"/>
          <w:lang w:val="en-US" w:eastAsia="zh-CN"/>
        </w:rPr>
        <w:t>标</w:t>
      </w:r>
      <w:r>
        <w:rPr>
          <w:rFonts w:hint="eastAsia" w:ascii="宋体" w:hAnsi="宋体" w:eastAsia="宋体" w:cs="宋体"/>
          <w:color w:val="auto"/>
          <w:sz w:val="21"/>
          <w:szCs w:val="21"/>
          <w:highlight w:val="none"/>
        </w:rPr>
        <w:t>择的个性化体检项目，详见附件。</w:t>
      </w:r>
    </w:p>
    <w:p w14:paraId="0DCAA92B">
      <w:pPr>
        <w:widowControl w:val="0"/>
        <w:overflowPunct w:val="0"/>
        <w:autoSpaceDE w:val="0"/>
        <w:autoSpaceDN w:val="0"/>
        <w:adjustRightInd w:val="0"/>
        <w:snapToGrid w:val="0"/>
        <w:spacing w:line="560" w:lineRule="exact"/>
        <w:ind w:firstLine="420" w:firstLineChars="200"/>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（二）体检时间：每年9月启动，具体以合同签订后双方约定的体检时间为准。</w:t>
      </w:r>
    </w:p>
    <w:p w14:paraId="33272F1C">
      <w:pPr>
        <w:widowControl w:val="0"/>
        <w:overflowPunct w:val="0"/>
        <w:autoSpaceDE w:val="0"/>
        <w:autoSpaceDN w:val="0"/>
        <w:adjustRightInd w:val="0"/>
        <w:snapToGrid w:val="0"/>
        <w:spacing w:line="560" w:lineRule="exact"/>
        <w:ind w:firstLine="420" w:firstLineChars="200"/>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（三）体检人数：按3年预计参加体检的职工总人数为2685人（2025年853人，2026年886人，2027年946人）。参加体检人数具体以体检人员自行选择为准。</w:t>
      </w:r>
    </w:p>
    <w:p w14:paraId="2BA5398E">
      <w:pPr>
        <w:overflowPunct w:val="0"/>
        <w:autoSpaceDE w:val="0"/>
        <w:autoSpaceDN w:val="0"/>
        <w:adjustRightInd w:val="0"/>
        <w:snapToGrid w:val="0"/>
        <w:spacing w:line="56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（四）员工体检</w:t>
      </w:r>
      <w:r>
        <w:rPr>
          <w:rFonts w:hint="eastAsia" w:ascii="宋体" w:hAnsi="宋体" w:eastAsia="宋体" w:cs="宋体"/>
          <w:bCs/>
          <w:color w:val="auto"/>
          <w:sz w:val="21"/>
          <w:szCs w:val="21"/>
          <w:highlight w:val="none"/>
          <w:lang w:val="en-US" w:eastAsia="zh-CN"/>
        </w:rPr>
        <w:t>费用</w:t>
      </w:r>
      <w:r>
        <w:rPr>
          <w:rFonts w:hint="eastAsia" w:ascii="宋体" w:hAnsi="宋体" w:eastAsia="宋体" w:cs="宋体"/>
          <w:bCs/>
          <w:color w:val="auto"/>
          <w:sz w:val="21"/>
          <w:szCs w:val="21"/>
          <w:highlight w:val="none"/>
        </w:rPr>
        <w:t>标准</w:t>
      </w:r>
    </w:p>
    <w:p w14:paraId="669109A6">
      <w:pPr>
        <w:overflowPunct w:val="0"/>
        <w:autoSpaceDE w:val="0"/>
        <w:autoSpaceDN w:val="0"/>
        <w:adjustRightInd w:val="0"/>
        <w:snapToGrid w:val="0"/>
        <w:spacing w:line="560" w:lineRule="exact"/>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1.超过40岁的男员工</w:t>
      </w:r>
      <w:r>
        <w:rPr>
          <w:rFonts w:hint="eastAsia" w:ascii="宋体" w:hAnsi="宋体" w:eastAsia="宋体" w:cs="宋体"/>
          <w:color w:val="auto"/>
          <w:sz w:val="21"/>
          <w:szCs w:val="21"/>
          <w:highlight w:val="none"/>
          <w:lang w:val="en-US" w:eastAsia="zh-CN"/>
        </w:rPr>
        <w:t>为1308元/人</w:t>
      </w:r>
      <w:r>
        <w:rPr>
          <w:rFonts w:hint="eastAsia" w:ascii="宋体" w:hAnsi="宋体" w:eastAsia="宋体" w:cs="宋体"/>
          <w:color w:val="auto"/>
          <w:sz w:val="21"/>
          <w:szCs w:val="21"/>
          <w:highlight w:val="none"/>
        </w:rPr>
        <w:t>;</w:t>
      </w:r>
    </w:p>
    <w:p w14:paraId="7F2597A1">
      <w:pPr>
        <w:overflowPunct w:val="0"/>
        <w:autoSpaceDE w:val="0"/>
        <w:autoSpaceDN w:val="0"/>
        <w:adjustRightInd w:val="0"/>
        <w:snapToGrid w:val="0"/>
        <w:spacing w:line="560" w:lineRule="exact"/>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2.超过40岁的女员工</w:t>
      </w:r>
      <w:r>
        <w:rPr>
          <w:rFonts w:hint="eastAsia" w:ascii="宋体" w:hAnsi="宋体" w:eastAsia="宋体" w:cs="宋体"/>
          <w:color w:val="auto"/>
          <w:sz w:val="21"/>
          <w:szCs w:val="21"/>
          <w:highlight w:val="none"/>
          <w:lang w:val="en-US" w:eastAsia="zh-CN"/>
        </w:rPr>
        <w:t>为1179元/人</w:t>
      </w:r>
      <w:r>
        <w:rPr>
          <w:rFonts w:hint="eastAsia" w:ascii="宋体" w:hAnsi="宋体" w:eastAsia="宋体" w:cs="宋体"/>
          <w:color w:val="auto"/>
          <w:sz w:val="21"/>
          <w:szCs w:val="21"/>
          <w:highlight w:val="none"/>
        </w:rPr>
        <w:t>;</w:t>
      </w:r>
    </w:p>
    <w:p w14:paraId="12CDCD70">
      <w:pPr>
        <w:overflowPunct w:val="0"/>
        <w:autoSpaceDE w:val="0"/>
        <w:autoSpaceDN w:val="0"/>
        <w:adjustRightInd w:val="0"/>
        <w:snapToGrid w:val="0"/>
        <w:spacing w:line="560" w:lineRule="exact"/>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3.40岁及以下的男员工</w:t>
      </w:r>
      <w:r>
        <w:rPr>
          <w:rFonts w:hint="eastAsia" w:ascii="宋体" w:hAnsi="宋体" w:eastAsia="宋体" w:cs="宋体"/>
          <w:color w:val="auto"/>
          <w:sz w:val="21"/>
          <w:szCs w:val="21"/>
          <w:highlight w:val="none"/>
          <w:lang w:val="en-US" w:eastAsia="zh-CN"/>
        </w:rPr>
        <w:t>为884元/人</w:t>
      </w:r>
      <w:r>
        <w:rPr>
          <w:rFonts w:hint="eastAsia" w:ascii="宋体" w:hAnsi="宋体" w:eastAsia="宋体" w:cs="宋体"/>
          <w:color w:val="auto"/>
          <w:sz w:val="21"/>
          <w:szCs w:val="21"/>
          <w:highlight w:val="none"/>
        </w:rPr>
        <w:t>;</w:t>
      </w:r>
    </w:p>
    <w:p w14:paraId="37A5A75C">
      <w:pPr>
        <w:overflowPunct w:val="0"/>
        <w:autoSpaceDE w:val="0"/>
        <w:autoSpaceDN w:val="0"/>
        <w:adjustRightInd w:val="0"/>
        <w:snapToGrid w:val="0"/>
        <w:spacing w:line="560" w:lineRule="exact"/>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4.40岁及以下的女员工</w:t>
      </w:r>
      <w:r>
        <w:rPr>
          <w:rFonts w:hint="eastAsia" w:ascii="宋体" w:hAnsi="宋体" w:eastAsia="宋体" w:cs="宋体"/>
          <w:color w:val="auto"/>
          <w:sz w:val="21"/>
          <w:szCs w:val="21"/>
          <w:highlight w:val="none"/>
          <w:lang w:val="en-US" w:eastAsia="zh-CN"/>
        </w:rPr>
        <w:t>为954元/人</w:t>
      </w:r>
      <w:r>
        <w:rPr>
          <w:rFonts w:hint="eastAsia" w:ascii="宋体" w:hAnsi="宋体" w:eastAsia="宋体" w:cs="宋体"/>
          <w:color w:val="auto"/>
          <w:sz w:val="21"/>
          <w:szCs w:val="21"/>
          <w:highlight w:val="none"/>
        </w:rPr>
        <w:t>；</w:t>
      </w:r>
    </w:p>
    <w:p w14:paraId="13E47ECF">
      <w:pPr>
        <w:overflowPunct w:val="0"/>
        <w:autoSpaceDE w:val="0"/>
        <w:autoSpaceDN w:val="0"/>
        <w:adjustRightInd w:val="0"/>
        <w:snapToGrid w:val="0"/>
        <w:spacing w:line="560" w:lineRule="exact"/>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5.已婚女员工专项检查</w:t>
      </w:r>
      <w:r>
        <w:rPr>
          <w:rFonts w:hint="eastAsia" w:ascii="宋体" w:hAnsi="宋体" w:eastAsia="宋体" w:cs="宋体"/>
          <w:color w:val="auto"/>
          <w:sz w:val="21"/>
          <w:szCs w:val="21"/>
          <w:highlight w:val="none"/>
          <w:lang w:val="en-US" w:eastAsia="zh-CN"/>
        </w:rPr>
        <w:t>为650元/人</w:t>
      </w:r>
      <w:r>
        <w:rPr>
          <w:rFonts w:hint="eastAsia" w:ascii="宋体" w:hAnsi="宋体" w:eastAsia="宋体" w:cs="宋体"/>
          <w:color w:val="auto"/>
          <w:sz w:val="21"/>
          <w:szCs w:val="21"/>
          <w:highlight w:val="none"/>
        </w:rPr>
        <w:t>;</w:t>
      </w:r>
    </w:p>
    <w:p w14:paraId="686D08DF">
      <w:pPr>
        <w:overflowPunct w:val="0"/>
        <w:autoSpaceDE w:val="0"/>
        <w:autoSpaceDN w:val="0"/>
        <w:adjustRightInd w:val="0"/>
        <w:snapToGrid w:val="0"/>
        <w:spacing w:line="560" w:lineRule="exact"/>
        <w:ind w:firstLine="64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6.未婚女员工专项检查</w:t>
      </w:r>
      <w:r>
        <w:rPr>
          <w:rFonts w:hint="eastAsia" w:ascii="宋体" w:hAnsi="宋体" w:eastAsia="宋体" w:cs="宋体"/>
          <w:color w:val="auto"/>
          <w:sz w:val="21"/>
          <w:szCs w:val="21"/>
          <w:highlight w:val="none"/>
          <w:lang w:val="en-US" w:eastAsia="zh-CN"/>
        </w:rPr>
        <w:t>为300元/人</w:t>
      </w:r>
      <w:r>
        <w:rPr>
          <w:rFonts w:hint="eastAsia" w:ascii="宋体" w:hAnsi="宋体" w:eastAsia="宋体" w:cs="宋体"/>
          <w:color w:val="auto"/>
          <w:sz w:val="21"/>
          <w:szCs w:val="21"/>
          <w:highlight w:val="none"/>
        </w:rPr>
        <w:t>。</w:t>
      </w:r>
    </w:p>
    <w:p w14:paraId="3E3F2631">
      <w:pPr>
        <w:widowControl w:val="0"/>
        <w:overflowPunct w:val="0"/>
        <w:autoSpaceDE w:val="0"/>
        <w:autoSpaceDN w:val="0"/>
        <w:adjustRightInd w:val="0"/>
        <w:snapToGrid w:val="0"/>
        <w:spacing w:line="560" w:lineRule="exact"/>
        <w:ind w:firstLine="640" w:firstLineChars="0"/>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（五）预计体检人数</w:t>
      </w:r>
    </w:p>
    <w:tbl>
      <w:tblPr>
        <w:tblStyle w:val="64"/>
        <w:tblW w:w="77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0"/>
        <w:gridCol w:w="2532"/>
        <w:gridCol w:w="851"/>
        <w:gridCol w:w="1096"/>
        <w:gridCol w:w="1398"/>
        <w:gridCol w:w="1310"/>
      </w:tblGrid>
      <w:tr w14:paraId="2CA99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jc w:val="center"/>
        </w:trPr>
        <w:tc>
          <w:tcPr>
            <w:tcW w:w="610" w:type="dxa"/>
            <w:vMerge w:val="restart"/>
            <w:tcBorders>
              <w:top w:val="single" w:color="000000" w:sz="4" w:space="0"/>
              <w:left w:val="single" w:color="000000" w:sz="4" w:space="0"/>
              <w:right w:val="single" w:color="000000" w:sz="4" w:space="0"/>
            </w:tcBorders>
            <w:shd w:val="clear" w:color="auto" w:fill="auto"/>
            <w:noWrap/>
            <w:vAlign w:val="center"/>
          </w:tcPr>
          <w:p w14:paraId="2F8B1C5B">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532" w:type="dxa"/>
            <w:vMerge w:val="restart"/>
            <w:tcBorders>
              <w:top w:val="single" w:color="000000" w:sz="4" w:space="0"/>
              <w:left w:val="single" w:color="000000" w:sz="4" w:space="0"/>
              <w:right w:val="single" w:color="000000" w:sz="4" w:space="0"/>
            </w:tcBorders>
            <w:shd w:val="clear" w:color="auto" w:fill="auto"/>
            <w:noWrap/>
            <w:vAlign w:val="center"/>
          </w:tcPr>
          <w:p w14:paraId="1055B5D6">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年龄段</w:t>
            </w:r>
          </w:p>
        </w:tc>
        <w:tc>
          <w:tcPr>
            <w:tcW w:w="851" w:type="dxa"/>
            <w:vMerge w:val="restart"/>
            <w:tcBorders>
              <w:top w:val="single" w:color="000000" w:sz="4" w:space="0"/>
              <w:left w:val="single" w:color="000000" w:sz="4" w:space="0"/>
              <w:right w:val="single" w:color="000000" w:sz="4" w:space="0"/>
            </w:tcBorders>
            <w:shd w:val="clear" w:color="auto" w:fill="auto"/>
            <w:noWrap/>
            <w:vAlign w:val="center"/>
          </w:tcPr>
          <w:p w14:paraId="493B327B">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婚姻情况</w:t>
            </w:r>
          </w:p>
        </w:tc>
        <w:tc>
          <w:tcPr>
            <w:tcW w:w="38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C99E4">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体检人数（人）</w:t>
            </w:r>
          </w:p>
        </w:tc>
      </w:tr>
      <w:tr w14:paraId="42CAF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jc w:val="center"/>
        </w:trPr>
        <w:tc>
          <w:tcPr>
            <w:tcW w:w="610" w:type="dxa"/>
            <w:vMerge w:val="continue"/>
            <w:tcBorders>
              <w:left w:val="single" w:color="000000" w:sz="4" w:space="0"/>
              <w:bottom w:val="single" w:color="000000" w:sz="4" w:space="0"/>
              <w:right w:val="single" w:color="000000" w:sz="4" w:space="0"/>
            </w:tcBorders>
            <w:shd w:val="clear" w:color="auto" w:fill="auto"/>
            <w:noWrap/>
            <w:vAlign w:val="center"/>
          </w:tcPr>
          <w:p w14:paraId="414BC9A6">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2532" w:type="dxa"/>
            <w:vMerge w:val="continue"/>
            <w:tcBorders>
              <w:left w:val="single" w:color="000000" w:sz="4" w:space="0"/>
              <w:bottom w:val="single" w:color="000000" w:sz="4" w:space="0"/>
              <w:right w:val="single" w:color="000000" w:sz="4" w:space="0"/>
            </w:tcBorders>
            <w:shd w:val="clear" w:color="auto" w:fill="auto"/>
            <w:noWrap/>
            <w:vAlign w:val="center"/>
          </w:tcPr>
          <w:p w14:paraId="58976C9B">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51" w:type="dxa"/>
            <w:vMerge w:val="continue"/>
            <w:tcBorders>
              <w:left w:val="single" w:color="000000" w:sz="4" w:space="0"/>
              <w:bottom w:val="single" w:color="000000" w:sz="4" w:space="0"/>
              <w:right w:val="single" w:color="000000" w:sz="4" w:space="0"/>
            </w:tcBorders>
            <w:shd w:val="clear" w:color="auto" w:fill="auto"/>
            <w:noWrap/>
            <w:vAlign w:val="center"/>
          </w:tcPr>
          <w:p w14:paraId="713BE1A8">
            <w:pPr>
              <w:keepNext w:val="0"/>
              <w:keepLines w:val="0"/>
              <w:widowControl/>
              <w:suppressLineNumbers w:val="0"/>
              <w:kinsoku w:val="0"/>
              <w:overflowPunct w:val="0"/>
              <w:autoSpaceDE w:val="0"/>
              <w:autoSpaceDN w:val="0"/>
              <w:adjustRightInd w:val="0"/>
              <w:snapToGrid w:val="0"/>
              <w:spacing w:line="40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694A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2025年</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7272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2026年</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3D57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2027年</w:t>
            </w:r>
          </w:p>
        </w:tc>
      </w:tr>
      <w:tr w14:paraId="661AA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jc w:val="center"/>
        </w:trPr>
        <w:tc>
          <w:tcPr>
            <w:tcW w:w="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C80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C3D6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超过40岁的男员工</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4D980">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F125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28</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1DF8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35</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6A38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51</w:t>
            </w:r>
          </w:p>
        </w:tc>
      </w:tr>
      <w:tr w14:paraId="25C9A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jc w:val="center"/>
        </w:trPr>
        <w:tc>
          <w:tcPr>
            <w:tcW w:w="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CA4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5D1A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超过40岁的女员工</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041DA">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已婚</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3A83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22E8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7A3C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w:t>
            </w:r>
          </w:p>
        </w:tc>
      </w:tr>
      <w:tr w14:paraId="5E465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jc w:val="center"/>
        </w:trPr>
        <w:tc>
          <w:tcPr>
            <w:tcW w:w="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F075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8279E">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40岁及以下的男员工</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5221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4540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434</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EE56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439</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31C6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438</w:t>
            </w:r>
          </w:p>
        </w:tc>
      </w:tr>
      <w:tr w14:paraId="26029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jc w:val="center"/>
        </w:trPr>
        <w:tc>
          <w:tcPr>
            <w:tcW w:w="610" w:type="dxa"/>
            <w:vMerge w:val="restart"/>
            <w:tcBorders>
              <w:top w:val="single" w:color="000000" w:sz="4" w:space="0"/>
              <w:left w:val="single" w:color="000000" w:sz="4" w:space="0"/>
              <w:right w:val="single" w:color="000000" w:sz="4" w:space="0"/>
            </w:tcBorders>
            <w:shd w:val="clear" w:color="auto" w:fill="auto"/>
            <w:noWrap/>
            <w:vAlign w:val="center"/>
          </w:tcPr>
          <w:p w14:paraId="261247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2532" w:type="dxa"/>
            <w:vMerge w:val="restart"/>
            <w:tcBorders>
              <w:top w:val="single" w:color="000000" w:sz="4" w:space="0"/>
              <w:left w:val="single" w:color="000000" w:sz="4" w:space="0"/>
              <w:right w:val="single" w:color="000000" w:sz="4" w:space="0"/>
            </w:tcBorders>
            <w:shd w:val="clear" w:color="auto" w:fill="auto"/>
            <w:noWrap/>
            <w:vAlign w:val="center"/>
          </w:tcPr>
          <w:p w14:paraId="05FECBF8">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40岁及以下的女员工</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BE1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已婚</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3AE3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160</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216B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199</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28F6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259</w:t>
            </w:r>
          </w:p>
        </w:tc>
      </w:tr>
      <w:tr w14:paraId="51F57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jc w:val="center"/>
        </w:trPr>
        <w:tc>
          <w:tcPr>
            <w:tcW w:w="610" w:type="dxa"/>
            <w:vMerge w:val="continue"/>
            <w:tcBorders>
              <w:left w:val="single" w:color="000000" w:sz="4" w:space="0"/>
              <w:bottom w:val="single" w:color="000000" w:sz="4" w:space="0"/>
              <w:right w:val="single" w:color="000000" w:sz="4" w:space="0"/>
            </w:tcBorders>
            <w:shd w:val="clear" w:color="auto" w:fill="auto"/>
            <w:noWrap/>
            <w:vAlign w:val="center"/>
          </w:tcPr>
          <w:p w14:paraId="3F7A7652">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p>
        </w:tc>
        <w:tc>
          <w:tcPr>
            <w:tcW w:w="2532" w:type="dxa"/>
            <w:vMerge w:val="continue"/>
            <w:tcBorders>
              <w:left w:val="single" w:color="000000" w:sz="4" w:space="0"/>
              <w:bottom w:val="single" w:color="000000" w:sz="4" w:space="0"/>
              <w:right w:val="single" w:color="000000" w:sz="4" w:space="0"/>
            </w:tcBorders>
            <w:shd w:val="clear" w:color="auto" w:fill="auto"/>
            <w:noWrap/>
            <w:vAlign w:val="center"/>
          </w:tcPr>
          <w:p w14:paraId="2FB71274">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1ED7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未婚</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589D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227</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EA6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207</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B050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178</w:t>
            </w:r>
          </w:p>
        </w:tc>
      </w:tr>
      <w:tr w14:paraId="6BAAB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6" w:hRule="atLeast"/>
          <w:jc w:val="center"/>
        </w:trPr>
        <w:tc>
          <w:tcPr>
            <w:tcW w:w="399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825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77C7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853</w:t>
            </w:r>
          </w:p>
        </w:tc>
        <w:tc>
          <w:tcPr>
            <w:tcW w:w="1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F9F4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886</w:t>
            </w:r>
          </w:p>
        </w:tc>
        <w:tc>
          <w:tcPr>
            <w:tcW w:w="1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C1A5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946</w:t>
            </w:r>
          </w:p>
        </w:tc>
      </w:tr>
    </w:tbl>
    <w:p w14:paraId="12BA47DE">
      <w:pPr>
        <w:overflowPunct w:val="0"/>
        <w:autoSpaceDE w:val="0"/>
        <w:autoSpaceDN w:val="0"/>
        <w:adjustRightInd w:val="0"/>
        <w:snapToGrid w:val="0"/>
        <w:spacing w:line="560" w:lineRule="exact"/>
        <w:ind w:firstLine="422" w:firstLineChars="20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三、项目实施要求</w:t>
      </w:r>
    </w:p>
    <w:p w14:paraId="437788B6">
      <w:pPr>
        <w:overflowPunct w:val="0"/>
        <w:autoSpaceDE w:val="0"/>
        <w:autoSpaceDN w:val="0"/>
        <w:adjustRightInd w:val="0"/>
        <w:snapToGrid w:val="0"/>
        <w:spacing w:line="56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w:t>
      </w:r>
      <w:r>
        <w:rPr>
          <w:rFonts w:hint="eastAsia" w:ascii="宋体" w:hAnsi="宋体" w:eastAsia="宋体" w:cs="宋体"/>
          <w:bCs/>
          <w:color w:val="auto"/>
          <w:sz w:val="21"/>
          <w:szCs w:val="21"/>
          <w:highlight w:val="none"/>
          <w:lang w:eastAsia="zh-CN"/>
        </w:rPr>
        <w:t>投标人</w:t>
      </w:r>
      <w:r>
        <w:rPr>
          <w:rFonts w:hint="eastAsia" w:ascii="宋体" w:hAnsi="宋体" w:eastAsia="宋体" w:cs="宋体"/>
          <w:bCs/>
          <w:color w:val="auto"/>
          <w:sz w:val="21"/>
          <w:szCs w:val="21"/>
          <w:highlight w:val="none"/>
        </w:rPr>
        <w:t>在</w:t>
      </w:r>
      <w:r>
        <w:rPr>
          <w:rFonts w:hint="eastAsia" w:ascii="宋体" w:hAnsi="宋体" w:eastAsia="宋体" w:cs="宋体"/>
          <w:color w:val="auto"/>
          <w:sz w:val="21"/>
          <w:szCs w:val="21"/>
          <w:highlight w:val="none"/>
          <w:lang w:val="en-US" w:eastAsia="zh-CN"/>
        </w:rPr>
        <w:t>投标</w:t>
      </w:r>
      <w:r>
        <w:rPr>
          <w:rFonts w:hint="eastAsia" w:ascii="宋体" w:hAnsi="宋体" w:eastAsia="宋体" w:cs="宋体"/>
          <w:bCs/>
          <w:color w:val="auto"/>
          <w:sz w:val="21"/>
          <w:szCs w:val="21"/>
          <w:highlight w:val="none"/>
        </w:rPr>
        <w:t>过程中发生的一切费用，无论</w:t>
      </w:r>
      <w:r>
        <w:rPr>
          <w:rFonts w:hint="eastAsia" w:ascii="宋体" w:hAnsi="宋体" w:eastAsia="宋体" w:cs="宋体"/>
          <w:bCs/>
          <w:color w:val="auto"/>
          <w:sz w:val="21"/>
          <w:szCs w:val="21"/>
          <w:highlight w:val="none"/>
          <w:lang w:eastAsia="zh-CN"/>
        </w:rPr>
        <w:t>中标</w:t>
      </w:r>
      <w:r>
        <w:rPr>
          <w:rFonts w:hint="eastAsia" w:ascii="宋体" w:hAnsi="宋体" w:eastAsia="宋体" w:cs="宋体"/>
          <w:bCs/>
          <w:color w:val="auto"/>
          <w:sz w:val="21"/>
          <w:szCs w:val="21"/>
          <w:highlight w:val="none"/>
        </w:rPr>
        <w:t>与否，均由</w:t>
      </w:r>
      <w:r>
        <w:rPr>
          <w:rFonts w:hint="eastAsia" w:ascii="宋体" w:hAnsi="宋体" w:eastAsia="宋体" w:cs="宋体"/>
          <w:bCs/>
          <w:color w:val="auto"/>
          <w:sz w:val="21"/>
          <w:szCs w:val="21"/>
          <w:highlight w:val="none"/>
          <w:lang w:eastAsia="zh-CN"/>
        </w:rPr>
        <w:t>投标人</w:t>
      </w:r>
      <w:r>
        <w:rPr>
          <w:rFonts w:hint="eastAsia" w:ascii="宋体" w:hAnsi="宋体" w:eastAsia="宋体" w:cs="宋体"/>
          <w:bCs/>
          <w:color w:val="auto"/>
          <w:sz w:val="21"/>
          <w:szCs w:val="21"/>
          <w:highlight w:val="none"/>
        </w:rPr>
        <w:t>自负。</w:t>
      </w:r>
    </w:p>
    <w:p w14:paraId="204B8C94">
      <w:pPr>
        <w:overflowPunct w:val="0"/>
        <w:autoSpaceDE w:val="0"/>
        <w:autoSpaceDN w:val="0"/>
        <w:adjustRightInd w:val="0"/>
        <w:snapToGrid w:val="0"/>
        <w:spacing w:line="56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（二）体检结论：体检机构应在体检结束后30日内，向用户方提交体检报告，具体内容包括个人体检报告</w:t>
      </w:r>
      <w:r>
        <w:rPr>
          <w:rFonts w:hint="eastAsia" w:ascii="宋体" w:hAnsi="宋体" w:eastAsia="宋体" w:cs="宋体"/>
          <w:bCs/>
          <w:color w:val="auto"/>
          <w:sz w:val="21"/>
          <w:szCs w:val="21"/>
          <w:highlight w:val="none"/>
          <w:lang w:val="en-US" w:eastAsia="zh-CN"/>
        </w:rPr>
        <w:t>和团检报告</w:t>
      </w:r>
      <w:r>
        <w:rPr>
          <w:rFonts w:hint="eastAsia" w:ascii="宋体" w:hAnsi="宋体" w:eastAsia="宋体" w:cs="宋体"/>
          <w:bCs/>
          <w:color w:val="auto"/>
          <w:sz w:val="21"/>
          <w:szCs w:val="21"/>
          <w:highlight w:val="none"/>
        </w:rPr>
        <w:t>。</w:t>
      </w:r>
    </w:p>
    <w:p w14:paraId="12F55664">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（三）</w:t>
      </w:r>
      <w:r>
        <w:rPr>
          <w:rFonts w:hint="eastAsia" w:ascii="宋体" w:hAnsi="宋体" w:eastAsia="宋体" w:cs="宋体"/>
          <w:color w:val="auto"/>
          <w:sz w:val="21"/>
          <w:szCs w:val="21"/>
          <w:highlight w:val="none"/>
        </w:rPr>
        <w:t>其它需要说明问题：体检过程中所需要的设备和耗材，全部由</w:t>
      </w:r>
      <w:r>
        <w:rPr>
          <w:rFonts w:hint="eastAsia" w:ascii="宋体" w:hAnsi="宋体" w:eastAsia="宋体" w:cs="宋体"/>
          <w:bCs/>
          <w:color w:val="auto"/>
          <w:sz w:val="21"/>
          <w:szCs w:val="21"/>
          <w:highlight w:val="none"/>
          <w:lang w:eastAsia="zh-CN"/>
        </w:rPr>
        <w:t>投标人</w:t>
      </w:r>
      <w:r>
        <w:rPr>
          <w:rFonts w:hint="eastAsia" w:ascii="宋体" w:hAnsi="宋体" w:eastAsia="宋体" w:cs="宋体"/>
          <w:color w:val="auto"/>
          <w:sz w:val="21"/>
          <w:szCs w:val="21"/>
          <w:highlight w:val="none"/>
        </w:rPr>
        <w:t>提供；要求耗材采用一次性用品。</w:t>
      </w:r>
    </w:p>
    <w:p w14:paraId="0CF9CD7F">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（四）</w:t>
      </w:r>
      <w:r>
        <w:rPr>
          <w:rFonts w:hint="eastAsia" w:ascii="宋体" w:hAnsi="宋体" w:eastAsia="宋体" w:cs="宋体"/>
          <w:color w:val="auto"/>
          <w:sz w:val="21"/>
          <w:szCs w:val="21"/>
          <w:highlight w:val="none"/>
        </w:rPr>
        <w:t>本次</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具体条款内容，以</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人与</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人签订的合同内容为准。</w:t>
      </w:r>
    </w:p>
    <w:p w14:paraId="774FF641">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（五）</w:t>
      </w:r>
      <w:r>
        <w:rPr>
          <w:rFonts w:hint="eastAsia" w:ascii="宋体" w:hAnsi="宋体" w:eastAsia="宋体" w:cs="宋体"/>
          <w:bCs/>
          <w:color w:val="auto"/>
          <w:sz w:val="21"/>
          <w:szCs w:val="21"/>
          <w:highlight w:val="none"/>
          <w:lang w:val="en-US" w:eastAsia="zh-CN"/>
        </w:rPr>
        <w:t>投标</w:t>
      </w:r>
      <w:r>
        <w:rPr>
          <w:rFonts w:hint="eastAsia" w:ascii="宋体" w:hAnsi="宋体" w:eastAsia="宋体" w:cs="宋体"/>
          <w:bCs/>
          <w:color w:val="auto"/>
          <w:sz w:val="21"/>
          <w:szCs w:val="21"/>
          <w:highlight w:val="none"/>
        </w:rPr>
        <w:t>人</w:t>
      </w:r>
      <w:r>
        <w:rPr>
          <w:rFonts w:hint="eastAsia" w:ascii="宋体" w:hAnsi="宋体" w:eastAsia="宋体" w:cs="宋体"/>
          <w:color w:val="auto"/>
          <w:sz w:val="21"/>
          <w:szCs w:val="21"/>
          <w:highlight w:val="none"/>
        </w:rPr>
        <w:t>必须按照</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文件规定的格式和内容进行报价，综合考虑本项目的具体情况、</w:t>
      </w:r>
      <w:r>
        <w:rPr>
          <w:rFonts w:hint="eastAsia" w:ascii="宋体" w:hAnsi="宋体" w:eastAsia="宋体" w:cs="宋体"/>
          <w:bCs/>
          <w:color w:val="auto"/>
          <w:sz w:val="21"/>
          <w:szCs w:val="21"/>
          <w:highlight w:val="none"/>
          <w:lang w:val="en-US" w:eastAsia="zh-CN"/>
        </w:rPr>
        <w:t>投标</w:t>
      </w:r>
      <w:r>
        <w:rPr>
          <w:rFonts w:hint="eastAsia" w:ascii="宋体" w:hAnsi="宋体" w:eastAsia="宋体" w:cs="宋体"/>
          <w:bCs/>
          <w:color w:val="auto"/>
          <w:sz w:val="21"/>
          <w:szCs w:val="21"/>
          <w:highlight w:val="none"/>
        </w:rPr>
        <w:t>人</w:t>
      </w:r>
      <w:r>
        <w:rPr>
          <w:rFonts w:hint="eastAsia" w:ascii="宋体" w:hAnsi="宋体" w:eastAsia="宋体" w:cs="宋体"/>
          <w:color w:val="auto"/>
          <w:sz w:val="21"/>
          <w:szCs w:val="21"/>
          <w:highlight w:val="none"/>
        </w:rPr>
        <w:t>自身实力和考虑市场竞争因素。</w:t>
      </w:r>
    </w:p>
    <w:p w14:paraId="59EC64DB">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（六）</w:t>
      </w:r>
      <w:r>
        <w:rPr>
          <w:rFonts w:hint="eastAsia" w:ascii="宋体" w:hAnsi="宋体" w:eastAsia="宋体" w:cs="宋体"/>
          <w:color w:val="auto"/>
          <w:sz w:val="21"/>
          <w:szCs w:val="21"/>
          <w:highlight w:val="none"/>
        </w:rPr>
        <w:t>本项目响应报价为</w:t>
      </w:r>
      <w:r>
        <w:rPr>
          <w:rFonts w:hint="eastAsia" w:ascii="宋体" w:hAnsi="宋体" w:eastAsia="宋体" w:cs="宋体"/>
          <w:color w:val="auto"/>
          <w:sz w:val="21"/>
          <w:szCs w:val="21"/>
          <w:highlight w:val="none"/>
          <w:lang w:val="en-US" w:eastAsia="zh-CN"/>
        </w:rPr>
        <w:t>结算</w:t>
      </w:r>
      <w:r>
        <w:rPr>
          <w:rFonts w:hint="eastAsia" w:ascii="宋体" w:hAnsi="宋体" w:eastAsia="宋体" w:cs="宋体"/>
          <w:color w:val="auto"/>
          <w:sz w:val="21"/>
          <w:szCs w:val="21"/>
          <w:highlight w:val="none"/>
        </w:rPr>
        <w:t>价，合同实施过程中，具体结算</w:t>
      </w:r>
      <w:r>
        <w:rPr>
          <w:rFonts w:hint="eastAsia" w:ascii="宋体" w:hAnsi="宋体" w:eastAsia="宋体" w:cs="宋体"/>
          <w:color w:val="auto"/>
          <w:sz w:val="21"/>
          <w:szCs w:val="21"/>
          <w:highlight w:val="none"/>
          <w:lang w:val="en-US" w:eastAsia="zh-CN"/>
        </w:rPr>
        <w:t>方式</w:t>
      </w:r>
      <w:r>
        <w:rPr>
          <w:rFonts w:hint="eastAsia" w:ascii="宋体" w:hAnsi="宋体" w:eastAsia="宋体" w:cs="宋体"/>
          <w:color w:val="auto"/>
          <w:sz w:val="21"/>
          <w:szCs w:val="21"/>
          <w:highlight w:val="none"/>
        </w:rPr>
        <w:t>按</w:t>
      </w:r>
      <w:r>
        <w:rPr>
          <w:rFonts w:hint="eastAsia" w:ascii="宋体" w:hAnsi="宋体" w:eastAsia="宋体" w:cs="宋体"/>
          <w:color w:val="auto"/>
          <w:sz w:val="21"/>
          <w:szCs w:val="21"/>
          <w:highlight w:val="none"/>
          <w:lang w:val="en-US" w:eastAsia="zh-CN"/>
        </w:rPr>
        <w:t>参加体检人数据实结算</w:t>
      </w:r>
      <w:r>
        <w:rPr>
          <w:rFonts w:hint="eastAsia" w:ascii="宋体" w:hAnsi="宋体" w:eastAsia="宋体" w:cs="宋体"/>
          <w:color w:val="auto"/>
          <w:sz w:val="21"/>
          <w:szCs w:val="21"/>
          <w:highlight w:val="none"/>
        </w:rPr>
        <w:t>。</w:t>
      </w:r>
    </w:p>
    <w:p w14:paraId="4717F47C">
      <w:pPr>
        <w:overflowPunct w:val="0"/>
        <w:autoSpaceDE w:val="0"/>
        <w:autoSpaceDN w:val="0"/>
        <w:adjustRightInd w:val="0"/>
        <w:snapToGrid w:val="0"/>
        <w:spacing w:line="560" w:lineRule="exact"/>
        <w:ind w:firstLine="422" w:firstLineChars="20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四、基本服务</w:t>
      </w:r>
    </w:p>
    <w:p w14:paraId="74491361">
      <w:pPr>
        <w:overflowPunct w:val="0"/>
        <w:autoSpaceDE w:val="0"/>
        <w:autoSpaceDN w:val="0"/>
        <w:adjustRightInd w:val="0"/>
        <w:snapToGrid w:val="0"/>
        <w:spacing w:line="560" w:lineRule="exact"/>
        <w:ind w:firstLine="420" w:firstLineChars="200"/>
        <w:contextualSpacing w:val="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一）投标人须满足《</w:t>
      </w:r>
      <w:r>
        <w:rPr>
          <w:rFonts w:hint="eastAsia" w:ascii="宋体" w:hAnsi="宋体" w:eastAsia="宋体" w:cs="宋体"/>
          <w:color w:val="auto"/>
          <w:sz w:val="21"/>
          <w:szCs w:val="21"/>
          <w:highlight w:val="none"/>
          <w:lang w:eastAsia="zh-CN"/>
        </w:rPr>
        <w:t>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rPr>
        <w:t>长沙穗城轨道交通有限公司员工体检项目表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附件）所提需求</w:t>
      </w:r>
      <w:r>
        <w:rPr>
          <w:rFonts w:hint="eastAsia" w:ascii="宋体" w:hAnsi="宋体" w:eastAsia="宋体" w:cs="宋体"/>
          <w:color w:val="auto"/>
          <w:sz w:val="21"/>
          <w:szCs w:val="21"/>
          <w:highlight w:val="none"/>
          <w:lang w:eastAsia="zh-CN"/>
        </w:rPr>
        <w:t>；</w:t>
      </w:r>
    </w:p>
    <w:p w14:paraId="27240930">
      <w:pPr>
        <w:overflowPunct w:val="0"/>
        <w:autoSpaceDE w:val="0"/>
        <w:autoSpaceDN w:val="0"/>
        <w:adjustRightInd w:val="0"/>
        <w:snapToGrid w:val="0"/>
        <w:spacing w:line="560" w:lineRule="exact"/>
        <w:ind w:firstLine="420" w:firstLineChars="200"/>
        <w:contextualSpacing/>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二</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单位须为本项目安排1-2名有经验的专职工作人员，与</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人对接做好体检工作相关事宜。在体检前为</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人员</w:t>
      </w:r>
      <w:r>
        <w:rPr>
          <w:rFonts w:hint="eastAsia" w:ascii="宋体" w:hAnsi="宋体" w:eastAsia="宋体" w:cs="宋体"/>
          <w:color w:val="auto"/>
          <w:sz w:val="21"/>
          <w:szCs w:val="21"/>
          <w:highlight w:val="none"/>
          <w:lang w:val="en-US" w:eastAsia="zh-CN"/>
        </w:rPr>
        <w:t>工</w:t>
      </w:r>
      <w:r>
        <w:rPr>
          <w:rFonts w:hint="eastAsia" w:ascii="宋体" w:hAnsi="宋体" w:eastAsia="宋体" w:cs="宋体"/>
          <w:color w:val="auto"/>
          <w:sz w:val="21"/>
          <w:szCs w:val="21"/>
          <w:highlight w:val="none"/>
        </w:rPr>
        <w:t>提供体检注意事项及健康信息问卷调查表。</w:t>
      </w:r>
    </w:p>
    <w:p w14:paraId="404F6332">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三</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单位应按</w:t>
      </w:r>
      <w:r>
        <w:rPr>
          <w:rFonts w:hint="eastAsia" w:ascii="宋体" w:hAnsi="宋体" w:eastAsia="宋体" w:cs="宋体"/>
          <w:color w:val="auto"/>
          <w:sz w:val="21"/>
          <w:szCs w:val="21"/>
          <w:highlight w:val="none"/>
          <w:lang w:val="en-US" w:eastAsia="zh-CN"/>
        </w:rPr>
        <w:t>每年</w:t>
      </w:r>
      <w:r>
        <w:rPr>
          <w:rFonts w:hint="eastAsia" w:ascii="宋体" w:hAnsi="宋体" w:eastAsia="宋体" w:cs="宋体"/>
          <w:color w:val="auto"/>
          <w:sz w:val="21"/>
          <w:szCs w:val="21"/>
          <w:highlight w:val="none"/>
        </w:rPr>
        <w:t>照员工个人体检预算标准将自选体检项目合理搭配形成套餐，供</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员工选择。体检套餐要求包括常规体检套餐、专项体检套餐等，按照年龄段、性别等人员类别差异化配置，要求基础体检项目及体检套餐费用之和不得低于个人体检预算标准，超出部分由</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单位承担，公司结算的个人基础体检项目和自选体检项目费用之和不超过员工个人体检预算标准。</w:t>
      </w:r>
    </w:p>
    <w:p w14:paraId="6EC9F52F">
      <w:pPr>
        <w:overflowPunct w:val="0"/>
        <w:autoSpaceDE w:val="0"/>
        <w:autoSpaceDN w:val="0"/>
        <w:adjustRightInd w:val="0"/>
        <w:snapToGrid w:val="0"/>
        <w:spacing w:line="56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四</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单位</w:t>
      </w:r>
      <w:r>
        <w:rPr>
          <w:rFonts w:hint="eastAsia" w:ascii="宋体" w:hAnsi="宋体" w:eastAsia="宋体" w:cs="宋体"/>
          <w:bCs/>
          <w:color w:val="auto"/>
          <w:sz w:val="21"/>
          <w:szCs w:val="21"/>
          <w:highlight w:val="none"/>
        </w:rPr>
        <w:t>为员工提供自选体检项目的自主搭配服务</w:t>
      </w:r>
      <w:r>
        <w:rPr>
          <w:rFonts w:hint="eastAsia" w:ascii="宋体" w:hAnsi="宋体" w:eastAsia="宋体" w:cs="宋体"/>
          <w:color w:val="auto"/>
          <w:sz w:val="21"/>
          <w:szCs w:val="21"/>
          <w:highlight w:val="none"/>
        </w:rPr>
        <w:t>，该服务如导致基础体检项目和体检套餐费用之和超出员工个人体检预算标准，员工自行补足差价，</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人不再另行支付。</w:t>
      </w:r>
    </w:p>
    <w:p w14:paraId="6BF0A139">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五</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单位需针对我司参加体检人员，安排专属集中体检时间段，未能在集中体检时间段参加体检的人员，需为其提供自行预约体检。</w:t>
      </w:r>
    </w:p>
    <w:p w14:paraId="1E232CD3">
      <w:pPr>
        <w:overflowPunct w:val="0"/>
        <w:autoSpaceDE w:val="0"/>
        <w:autoSpaceDN w:val="0"/>
        <w:adjustRightInd w:val="0"/>
        <w:snapToGrid w:val="0"/>
        <w:spacing w:line="56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六</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单位应提供优质体检服务、优化体检流程、减少体检人员等候时间。</w:t>
      </w:r>
    </w:p>
    <w:p w14:paraId="4D8E9450">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七</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体检后10日内提供个人网上体检结果查询，健康报告在体检项目结束30日内派人送至</w:t>
      </w:r>
      <w:r>
        <w:rPr>
          <w:rFonts w:hint="eastAsia" w:ascii="宋体" w:hAnsi="宋体" w:eastAsia="宋体" w:cs="宋体"/>
          <w:color w:val="auto"/>
          <w:sz w:val="21"/>
          <w:szCs w:val="21"/>
          <w:highlight w:val="none"/>
          <w:lang w:val="en-US" w:eastAsia="zh-CN"/>
        </w:rPr>
        <w:t>招标人处</w:t>
      </w:r>
      <w:r>
        <w:rPr>
          <w:rFonts w:hint="eastAsia" w:ascii="宋体" w:hAnsi="宋体" w:eastAsia="宋体" w:cs="宋体"/>
          <w:color w:val="auto"/>
          <w:sz w:val="21"/>
          <w:szCs w:val="21"/>
          <w:highlight w:val="none"/>
        </w:rPr>
        <w:t>。</w:t>
      </w:r>
    </w:p>
    <w:p w14:paraId="477DB471">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八</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所有参检人员的检查结果必须进信息库保存，做到参检人本人随到随查，如体检人纸质体检报告不慎遗失，须提供重新打印服务。</w:t>
      </w:r>
    </w:p>
    <w:p w14:paraId="07A02471">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九</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体检后30日内由健康管理师进行电话回访服务，异常报告定期电话提醒复查，有体检结果重大异常者，</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单位必须当天通知就诊，并提出诊疗建议。</w:t>
      </w:r>
    </w:p>
    <w:p w14:paraId="24496506">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十</w:t>
      </w:r>
      <w:r>
        <w:rPr>
          <w:rFonts w:hint="eastAsia" w:ascii="宋体" w:hAnsi="宋体" w:eastAsia="宋体" w:cs="宋体"/>
          <w:bCs/>
          <w:color w:val="auto"/>
          <w:sz w:val="21"/>
          <w:szCs w:val="21"/>
          <w:highlight w:val="none"/>
        </w:rPr>
        <w:t>）合同期内提供</w:t>
      </w:r>
      <w:r>
        <w:rPr>
          <w:rFonts w:hint="eastAsia" w:ascii="宋体" w:hAnsi="宋体" w:eastAsia="宋体" w:cs="宋体"/>
          <w:color w:val="auto"/>
          <w:sz w:val="21"/>
          <w:szCs w:val="21"/>
          <w:highlight w:val="none"/>
        </w:rPr>
        <w:t>体检后健康咨询，并前往</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人单位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每年</w:t>
      </w:r>
      <w:r>
        <w:rPr>
          <w:rFonts w:hint="eastAsia" w:ascii="宋体" w:hAnsi="宋体" w:eastAsia="宋体" w:cs="宋体"/>
          <w:bCs/>
          <w:color w:val="auto"/>
          <w:sz w:val="21"/>
          <w:szCs w:val="21"/>
          <w:highlight w:val="none"/>
        </w:rPr>
        <w:t>至少</w:t>
      </w:r>
      <w:r>
        <w:rPr>
          <w:rFonts w:hint="eastAsia" w:ascii="宋体" w:hAnsi="宋体" w:eastAsia="宋体" w:cs="宋体"/>
          <w:color w:val="auto"/>
          <w:sz w:val="21"/>
          <w:szCs w:val="21"/>
          <w:highlight w:val="none"/>
        </w:rPr>
        <w:t>提供1次员工健康讲座。</w:t>
      </w:r>
    </w:p>
    <w:p w14:paraId="0E5F1086">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（十</w:t>
      </w:r>
      <w:r>
        <w:rPr>
          <w:rFonts w:hint="eastAsia" w:ascii="宋体" w:hAnsi="宋体" w:eastAsia="宋体" w:cs="宋体"/>
          <w:bCs/>
          <w:color w:val="auto"/>
          <w:sz w:val="21"/>
          <w:szCs w:val="21"/>
          <w:highlight w:val="none"/>
          <w:lang w:val="en-US" w:eastAsia="zh-CN"/>
        </w:rPr>
        <w:t>一</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单位应保证体检质量与结果的准确性，对体检结果承担相应的法律责任和经济责任，对体检结果承担保密责任。</w:t>
      </w:r>
    </w:p>
    <w:p w14:paraId="18FA30FD">
      <w:pPr>
        <w:overflowPunct w:val="0"/>
        <w:autoSpaceDE w:val="0"/>
        <w:autoSpaceDN w:val="0"/>
        <w:adjustRightInd w:val="0"/>
        <w:snapToGrid w:val="0"/>
        <w:spacing w:line="560" w:lineRule="exact"/>
        <w:ind w:firstLine="420" w:firstLineChars="200"/>
        <w:rPr>
          <w:rFonts w:hint="eastAsia" w:ascii="宋体" w:hAnsi="宋体" w:eastAsia="宋体" w:cs="宋体"/>
          <w:sz w:val="21"/>
          <w:szCs w:val="21"/>
        </w:rPr>
      </w:pPr>
      <w:r>
        <w:rPr>
          <w:rFonts w:hint="eastAsia" w:ascii="宋体" w:hAnsi="宋体" w:eastAsia="宋体" w:cs="宋体"/>
          <w:color w:val="auto"/>
          <w:sz w:val="21"/>
          <w:szCs w:val="21"/>
          <w:highlight w:val="none"/>
        </w:rPr>
        <w:t>（十</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w:t>
      </w:r>
      <w:r>
        <w:rPr>
          <w:rFonts w:hint="eastAsia" w:ascii="宋体" w:hAnsi="宋体" w:eastAsia="宋体" w:cs="宋体"/>
          <w:sz w:val="21"/>
          <w:szCs w:val="21"/>
          <w:lang w:eastAsia="zh-CN"/>
        </w:rPr>
        <w:t>中标</w:t>
      </w:r>
      <w:r>
        <w:rPr>
          <w:rFonts w:hint="eastAsia" w:ascii="宋体" w:hAnsi="宋体" w:eastAsia="宋体" w:cs="宋体"/>
          <w:sz w:val="21"/>
          <w:szCs w:val="21"/>
        </w:rPr>
        <w:t>单位需建立每位参检人员个人电子档案，对服务期限内的检查结果进行对照，实施健康管理。</w:t>
      </w:r>
    </w:p>
    <w:p w14:paraId="1C1438B6">
      <w:pPr>
        <w:overflowPunct w:val="0"/>
        <w:autoSpaceDE w:val="0"/>
        <w:autoSpaceDN w:val="0"/>
        <w:adjustRightInd w:val="0"/>
        <w:snapToGrid w:val="0"/>
        <w:spacing w:line="560" w:lineRule="exact"/>
        <w:ind w:firstLine="420" w:firstLineChars="20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（十</w:t>
      </w:r>
      <w:r>
        <w:rPr>
          <w:rFonts w:hint="eastAsia" w:ascii="宋体" w:hAnsi="宋体" w:eastAsia="宋体" w:cs="宋体"/>
          <w:color w:val="auto"/>
          <w:kern w:val="0"/>
          <w:sz w:val="21"/>
          <w:szCs w:val="21"/>
          <w:highlight w:val="none"/>
          <w:lang w:val="en-US" w:eastAsia="zh-CN" w:bidi="ar"/>
        </w:rPr>
        <w:t>三</w:t>
      </w:r>
      <w:r>
        <w:rPr>
          <w:rFonts w:hint="eastAsia" w:ascii="宋体" w:hAnsi="宋体" w:eastAsia="宋体" w:cs="宋体"/>
          <w:color w:val="auto"/>
          <w:kern w:val="0"/>
          <w:sz w:val="21"/>
          <w:szCs w:val="21"/>
          <w:highlight w:val="none"/>
          <w:lang w:bidi="ar"/>
        </w:rPr>
        <w:t>）为当天</w:t>
      </w:r>
      <w:r>
        <w:rPr>
          <w:rFonts w:hint="eastAsia" w:ascii="宋体" w:hAnsi="宋体" w:eastAsia="宋体" w:cs="宋体"/>
          <w:color w:val="auto"/>
          <w:sz w:val="21"/>
          <w:szCs w:val="21"/>
          <w:highlight w:val="none"/>
        </w:rPr>
        <w:t>参检人员提供免费营养早餐</w:t>
      </w:r>
      <w:r>
        <w:rPr>
          <w:rFonts w:hint="eastAsia" w:ascii="宋体" w:hAnsi="宋体" w:eastAsia="宋体" w:cs="宋体"/>
          <w:color w:val="auto"/>
          <w:kern w:val="0"/>
          <w:sz w:val="21"/>
          <w:szCs w:val="21"/>
          <w:highlight w:val="none"/>
          <w:lang w:bidi="ar"/>
        </w:rPr>
        <w:t>。</w:t>
      </w:r>
    </w:p>
    <w:p w14:paraId="169633BC">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（十</w:t>
      </w:r>
      <w:r>
        <w:rPr>
          <w:rFonts w:hint="eastAsia" w:ascii="宋体" w:hAnsi="宋体" w:eastAsia="宋体" w:cs="宋体"/>
          <w:color w:val="auto"/>
          <w:kern w:val="0"/>
          <w:sz w:val="21"/>
          <w:szCs w:val="21"/>
          <w:highlight w:val="none"/>
          <w:lang w:val="en-US" w:eastAsia="zh-CN" w:bidi="ar"/>
        </w:rPr>
        <w:t>三</w:t>
      </w:r>
      <w:r>
        <w:rPr>
          <w:rFonts w:hint="eastAsia" w:ascii="宋体" w:hAnsi="宋体" w:eastAsia="宋体" w:cs="宋体"/>
          <w:color w:val="auto"/>
          <w:kern w:val="0"/>
          <w:sz w:val="21"/>
          <w:szCs w:val="21"/>
          <w:highlight w:val="none"/>
          <w:lang w:bidi="ar"/>
        </w:rPr>
        <w:t>）</w:t>
      </w:r>
      <w:r>
        <w:rPr>
          <w:rFonts w:hint="eastAsia" w:ascii="宋体" w:hAnsi="宋体" w:eastAsia="宋体" w:cs="宋体"/>
          <w:bCs/>
          <w:color w:val="auto"/>
          <w:sz w:val="21"/>
          <w:szCs w:val="21"/>
          <w:highlight w:val="none"/>
        </w:rPr>
        <w:t>参检人员因特殊情况可以放弃基础体检项目中的项目，</w:t>
      </w:r>
      <w:r>
        <w:rPr>
          <w:rFonts w:hint="eastAsia" w:ascii="宋体" w:hAnsi="宋体" w:eastAsia="宋体" w:cs="宋体"/>
          <w:color w:val="auto"/>
          <w:sz w:val="21"/>
          <w:szCs w:val="21"/>
          <w:highlight w:val="none"/>
        </w:rPr>
        <w:t>根据实际参检</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结算。</w:t>
      </w:r>
    </w:p>
    <w:p w14:paraId="6123F569">
      <w:pPr>
        <w:overflowPunct w:val="0"/>
        <w:autoSpaceDE w:val="0"/>
        <w:autoSpaceDN w:val="0"/>
        <w:adjustRightInd w:val="0"/>
        <w:snapToGrid w:val="0"/>
        <w:spacing w:line="56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（十</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对</w:t>
      </w:r>
      <w:r>
        <w:rPr>
          <w:rFonts w:hint="eastAsia" w:ascii="宋体" w:hAnsi="宋体" w:eastAsia="宋体" w:cs="宋体"/>
          <w:bCs/>
          <w:color w:val="auto"/>
          <w:sz w:val="21"/>
          <w:szCs w:val="21"/>
          <w:highlight w:val="none"/>
          <w:lang w:val="en-US" w:eastAsia="zh-CN"/>
        </w:rPr>
        <w:t>招标</w:t>
      </w:r>
      <w:r>
        <w:rPr>
          <w:rFonts w:hint="eastAsia" w:ascii="宋体" w:hAnsi="宋体" w:eastAsia="宋体" w:cs="宋体"/>
          <w:bCs/>
          <w:color w:val="auto"/>
          <w:sz w:val="21"/>
          <w:szCs w:val="21"/>
          <w:highlight w:val="none"/>
        </w:rPr>
        <w:t>人员工在体检套餐项目外自费增加的所有项目均给予相同的优惠折扣。</w:t>
      </w:r>
    </w:p>
    <w:p w14:paraId="26B2DF84">
      <w:pPr>
        <w:overflowPunct w:val="0"/>
        <w:autoSpaceDE w:val="0"/>
        <w:autoSpaceDN w:val="0"/>
        <w:adjustRightInd w:val="0"/>
        <w:snapToGrid w:val="0"/>
        <w:spacing w:line="560" w:lineRule="exact"/>
        <w:ind w:firstLine="422" w:firstLineChars="20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五、</w:t>
      </w:r>
      <w:r>
        <w:rPr>
          <w:rFonts w:hint="eastAsia" w:ascii="宋体" w:hAnsi="宋体" w:eastAsia="宋体" w:cs="宋体"/>
          <w:b/>
          <w:bCs w:val="0"/>
          <w:color w:val="auto"/>
          <w:sz w:val="21"/>
          <w:szCs w:val="21"/>
          <w:highlight w:val="none"/>
          <w:lang w:val="en-US" w:eastAsia="zh-CN"/>
        </w:rPr>
        <w:t>其他</w:t>
      </w:r>
      <w:r>
        <w:rPr>
          <w:rFonts w:hint="eastAsia" w:ascii="宋体" w:hAnsi="宋体" w:eastAsia="宋体" w:cs="宋体"/>
          <w:b/>
          <w:bCs w:val="0"/>
          <w:color w:val="auto"/>
          <w:sz w:val="21"/>
          <w:szCs w:val="21"/>
          <w:highlight w:val="none"/>
        </w:rPr>
        <w:t>服务</w:t>
      </w:r>
    </w:p>
    <w:p w14:paraId="0810022A">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（一）</w:t>
      </w:r>
      <w:r>
        <w:rPr>
          <w:rFonts w:hint="eastAsia" w:ascii="宋体" w:hAnsi="宋体" w:eastAsia="宋体" w:cs="宋体"/>
          <w:color w:val="auto"/>
          <w:sz w:val="21"/>
          <w:szCs w:val="21"/>
          <w:highlight w:val="none"/>
        </w:rPr>
        <w:t>员工家属(仅限于其配偶、子女、父母)自费前往体检，可享受同等优惠折扣。</w:t>
      </w:r>
    </w:p>
    <w:p w14:paraId="7E8A97F0">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（二）本项目单价包含完成本项目所需的设备及材料购置，以及培训、人工、管理、财务、车辆接送、体检当日提供免费营养早餐以及检后健康讲座等所有费用，如一旦</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，在项目实施中出现任何遗漏，均由</w:t>
      </w:r>
      <w:r>
        <w:rPr>
          <w:rFonts w:hint="eastAsia" w:ascii="宋体" w:hAnsi="宋体" w:eastAsia="宋体" w:cs="宋体"/>
          <w:color w:val="auto"/>
          <w:sz w:val="21"/>
          <w:szCs w:val="21"/>
          <w:highlight w:val="none"/>
          <w:lang w:eastAsia="zh-CN"/>
        </w:rPr>
        <w:t>中标</w:t>
      </w:r>
      <w:r>
        <w:rPr>
          <w:rFonts w:hint="eastAsia" w:ascii="宋体" w:hAnsi="宋体" w:eastAsia="宋体" w:cs="宋体"/>
          <w:color w:val="auto"/>
          <w:sz w:val="21"/>
          <w:szCs w:val="21"/>
          <w:highlight w:val="none"/>
        </w:rPr>
        <w:t>人免费提供，</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人不再支付任何费用。</w:t>
      </w:r>
    </w:p>
    <w:p w14:paraId="38EBC18C">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rPr>
        <w:t>）体检疑难病例，中标单位需组织专家会诊，给出科学精准的体检结论。</w:t>
      </w:r>
    </w:p>
    <w:p w14:paraId="1E95551D">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）针对</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人所有员工提供就诊时免费咨询、开通急诊、入院绿色通道、衔接床位的服务。</w:t>
      </w:r>
    </w:p>
    <w:p w14:paraId="4425E3C4">
      <w:pPr>
        <w:overflowPunct w:val="0"/>
        <w:autoSpaceDE w:val="0"/>
        <w:autoSpaceDN w:val="0"/>
        <w:adjustRightInd w:val="0"/>
        <w:snapToGrid w:val="0"/>
        <w:spacing w:line="560" w:lineRule="exact"/>
        <w:ind w:firstLine="420" w:firstLineChars="200"/>
        <w:rPr>
          <w:rFonts w:hint="eastAsia" w:ascii="宋体" w:hAnsi="宋体" w:eastAsia="宋体" w:cs="宋体"/>
          <w:color w:val="auto"/>
          <w:sz w:val="21"/>
          <w:szCs w:val="21"/>
          <w:highlight w:val="none"/>
        </w:rPr>
      </w:pPr>
    </w:p>
    <w:p w14:paraId="5A33676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2BDE933E">
      <w:pPr>
        <w:overflowPunct w:val="0"/>
        <w:autoSpaceDE w:val="0"/>
        <w:autoSpaceDN w:val="0"/>
        <w:adjustRightInd w:val="0"/>
        <w:snapToGrid w:val="0"/>
        <w:spacing w:line="5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附件：</w:t>
      </w:r>
      <w:r>
        <w:rPr>
          <w:rFonts w:hint="eastAsia" w:ascii="宋体" w:hAnsi="宋体" w:eastAsia="宋体" w:cs="宋体"/>
          <w:color w:val="auto"/>
          <w:sz w:val="21"/>
          <w:szCs w:val="21"/>
          <w:highlight w:val="none"/>
          <w:lang w:eastAsia="zh-CN"/>
        </w:rPr>
        <w:t>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rPr>
        <w:t>长沙穗城轨道交通有限公司员工体检项</w:t>
      </w:r>
      <w:r>
        <w:rPr>
          <w:rFonts w:hint="eastAsia" w:ascii="宋体" w:hAnsi="宋体" w:eastAsia="宋体" w:cs="宋体"/>
          <w:color w:val="auto"/>
          <w:sz w:val="21"/>
          <w:szCs w:val="21"/>
          <w:highlight w:val="none"/>
          <w:lang w:val="en-US" w:eastAsia="zh-CN"/>
        </w:rPr>
        <w:t>目表</w:t>
      </w:r>
    </w:p>
    <w:tbl>
      <w:tblPr>
        <w:tblStyle w:val="64"/>
        <w:tblpPr w:leftFromText="180" w:rightFromText="180" w:vertAnchor="text" w:horzAnchor="page" w:tblpX="1356" w:tblpY="61"/>
        <w:tblOverlap w:val="never"/>
        <w:tblW w:w="94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5"/>
        <w:gridCol w:w="540"/>
        <w:gridCol w:w="75"/>
        <w:gridCol w:w="1410"/>
        <w:gridCol w:w="4245"/>
        <w:gridCol w:w="495"/>
        <w:gridCol w:w="570"/>
        <w:gridCol w:w="1440"/>
      </w:tblGrid>
      <w:tr w14:paraId="272D9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420" w:type="dxa"/>
            <w:gridSpan w:val="8"/>
            <w:tcBorders>
              <w:top w:val="nil"/>
              <w:left w:val="nil"/>
              <w:bottom w:val="nil"/>
              <w:right w:val="nil"/>
            </w:tcBorders>
            <w:noWrap w:val="0"/>
            <w:vAlign w:val="center"/>
          </w:tcPr>
          <w:p w14:paraId="56A8B4DC">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40"/>
                <w:szCs w:val="40"/>
                <w:u w:val="none"/>
              </w:rPr>
            </w:pPr>
            <w:r>
              <w:rPr>
                <w:rFonts w:hint="eastAsia" w:ascii="黑体" w:hAnsi="黑体" w:eastAsia="黑体" w:cs="Times New Roman"/>
                <w:snapToGrid w:val="0"/>
                <w:color w:val="000000"/>
                <w:kern w:val="0"/>
                <w:sz w:val="28"/>
                <w:szCs w:val="28"/>
                <w:highlight w:val="none"/>
                <w:lang w:val="en-US" w:eastAsia="zh-CN"/>
              </w:rPr>
              <w:t>2025年长沙穗城轨道交通有限公司员工年度体检项目表</w:t>
            </w:r>
          </w:p>
        </w:tc>
      </w:tr>
      <w:tr w14:paraId="1A5A3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14:paraId="5F7009AB">
            <w:pPr>
              <w:keepNext w:val="0"/>
              <w:keepLines w:val="0"/>
              <w:widowControl/>
              <w:suppressLineNumbers w:val="0"/>
              <w:jc w:val="center"/>
              <w:textAlignment w:val="center"/>
              <w:rPr>
                <w:rFonts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序号</w:t>
            </w:r>
          </w:p>
        </w:tc>
        <w:tc>
          <w:tcPr>
            <w:tcW w:w="202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31994D73">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体检项目</w:t>
            </w:r>
          </w:p>
        </w:tc>
        <w:tc>
          <w:tcPr>
            <w:tcW w:w="4245" w:type="dxa"/>
            <w:vMerge w:val="restart"/>
            <w:tcBorders>
              <w:top w:val="single" w:color="000000" w:sz="4" w:space="0"/>
              <w:left w:val="single" w:color="000000" w:sz="4" w:space="0"/>
              <w:bottom w:val="single" w:color="000000" w:sz="4" w:space="0"/>
              <w:right w:val="single" w:color="000000" w:sz="4" w:space="0"/>
            </w:tcBorders>
            <w:noWrap w:val="0"/>
            <w:vAlign w:val="center"/>
          </w:tcPr>
          <w:p w14:paraId="0CB43199">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检查意义</w:t>
            </w:r>
          </w:p>
        </w:tc>
        <w:tc>
          <w:tcPr>
            <w:tcW w:w="1065" w:type="dxa"/>
            <w:gridSpan w:val="2"/>
            <w:tcBorders>
              <w:top w:val="single" w:color="000000" w:sz="4" w:space="0"/>
              <w:left w:val="single" w:color="000000" w:sz="4" w:space="0"/>
              <w:bottom w:val="single" w:color="000000" w:sz="4" w:space="0"/>
              <w:right w:val="single" w:color="000000" w:sz="4" w:space="0"/>
            </w:tcBorders>
            <w:noWrap w:val="0"/>
            <w:vAlign w:val="center"/>
          </w:tcPr>
          <w:p w14:paraId="59974833">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计划方案</w:t>
            </w: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021EA69D">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备注</w:t>
            </w:r>
          </w:p>
        </w:tc>
      </w:tr>
      <w:tr w14:paraId="40E02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E26A19">
            <w:pPr>
              <w:jc w:val="center"/>
              <w:rPr>
                <w:rFonts w:hint="eastAsia" w:ascii="黑体" w:hAnsi="宋体" w:eastAsia="黑体" w:cs="黑体"/>
                <w:b/>
                <w:bCs/>
                <w:i w:val="0"/>
                <w:iCs w:val="0"/>
                <w:color w:val="000000"/>
                <w:sz w:val="20"/>
                <w:szCs w:val="20"/>
                <w:u w:val="none"/>
              </w:rPr>
            </w:pPr>
          </w:p>
        </w:tc>
        <w:tc>
          <w:tcPr>
            <w:tcW w:w="202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7AFA5708">
            <w:pPr>
              <w:jc w:val="center"/>
              <w:rPr>
                <w:rFonts w:hint="eastAsia" w:ascii="黑体" w:hAnsi="宋体" w:eastAsia="黑体" w:cs="黑体"/>
                <w:b/>
                <w:bCs/>
                <w:i w:val="0"/>
                <w:iCs w:val="0"/>
                <w:color w:val="000000"/>
                <w:sz w:val="20"/>
                <w:szCs w:val="20"/>
                <w:u w:val="none"/>
              </w:rPr>
            </w:pPr>
          </w:p>
        </w:tc>
        <w:tc>
          <w:tcPr>
            <w:tcW w:w="4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6C4ABC">
            <w:pPr>
              <w:jc w:val="center"/>
              <w:rPr>
                <w:rFonts w:hint="eastAsia" w:ascii="黑体" w:hAnsi="宋体" w:eastAsia="黑体" w:cs="黑体"/>
                <w:b/>
                <w:bCs/>
                <w:i w:val="0"/>
                <w:iCs w:val="0"/>
                <w:color w:val="000000"/>
                <w:sz w:val="20"/>
                <w:szCs w:val="20"/>
                <w:u w:val="none"/>
              </w:rPr>
            </w:pP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16F67AD">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男</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8A54B0E">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kern w:val="0"/>
                <w:sz w:val="20"/>
                <w:szCs w:val="20"/>
                <w:u w:val="none"/>
                <w:lang w:val="en-US" w:eastAsia="zh-CN" w:bidi="ar"/>
              </w:rPr>
              <w:t>女</w:t>
            </w: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099087">
            <w:pPr>
              <w:jc w:val="center"/>
              <w:rPr>
                <w:rFonts w:hint="eastAsia" w:ascii="黑体" w:hAnsi="宋体" w:eastAsia="黑体" w:cs="黑体"/>
                <w:b/>
                <w:bCs/>
                <w:i w:val="0"/>
                <w:iCs w:val="0"/>
                <w:color w:val="000000"/>
                <w:sz w:val="20"/>
                <w:szCs w:val="20"/>
                <w:u w:val="none"/>
              </w:rPr>
            </w:pPr>
          </w:p>
        </w:tc>
      </w:tr>
      <w:tr w14:paraId="03C05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420" w:type="dxa"/>
            <w:gridSpan w:val="8"/>
            <w:tcBorders>
              <w:top w:val="single" w:color="000000" w:sz="4" w:space="0"/>
              <w:left w:val="single" w:color="000000" w:sz="4" w:space="0"/>
              <w:bottom w:val="single" w:color="000000" w:sz="4" w:space="0"/>
              <w:right w:val="single" w:color="000000" w:sz="4" w:space="0"/>
            </w:tcBorders>
            <w:noWrap w:val="0"/>
            <w:vAlign w:val="center"/>
          </w:tcPr>
          <w:p w14:paraId="5BFA905B">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一、基础体检项目★</w:t>
            </w:r>
          </w:p>
        </w:tc>
      </w:tr>
      <w:tr w14:paraId="60819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B6627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46DA0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一般项目</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4F7CD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通过仪器测量人体身高、体重、血压、心率、腰围、臀围，科学判断体重是否标准、血压是否正常，评估心脑血管疾病危险因素，为健康评估和健康计划提供依据。</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FE966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6BF75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89391BC">
            <w:pPr>
              <w:rPr>
                <w:rFonts w:hint="eastAsia" w:ascii="宋体" w:hAnsi="宋体" w:eastAsia="宋体" w:cs="宋体"/>
                <w:i w:val="0"/>
                <w:iCs w:val="0"/>
                <w:color w:val="000000"/>
                <w:sz w:val="20"/>
                <w:szCs w:val="20"/>
                <w:u w:val="none"/>
              </w:rPr>
            </w:pPr>
          </w:p>
        </w:tc>
      </w:tr>
      <w:tr w14:paraId="5F7FA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E8405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FB310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内科</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AF649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视、触、叩、听等手段，检查心脏及血管杂音、心包摩擦音；检查胸部音响、呼吸频率快慢，有无干湿性罗音及胸膜摩擦音；检查腹部有无压痛，肝脾是否肿大、有无包块及移动性浊音、肠鸣音是否正常，肌力、肌张力、生理反射是否正常。</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FB9CD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EB4EE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FCD3D72">
            <w:pPr>
              <w:rPr>
                <w:rFonts w:hint="eastAsia" w:ascii="宋体" w:hAnsi="宋体" w:eastAsia="宋体" w:cs="宋体"/>
                <w:i w:val="0"/>
                <w:iCs w:val="0"/>
                <w:color w:val="000000"/>
                <w:sz w:val="20"/>
                <w:szCs w:val="20"/>
                <w:u w:val="none"/>
              </w:rPr>
            </w:pPr>
          </w:p>
        </w:tc>
      </w:tr>
      <w:tr w14:paraId="2FB11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5498D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71103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外科</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2F7EE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判断颈部、腋窝、腹股沟浅表淋巴结病变或肿瘤淋巴转移；检查四肢、关节、外生殖器，早期发现乳腺、甲状腺病症和肿瘤；肛门指诊判断痔疮、息肉、肛裂、肿瘤和前列腺（男性）病症。</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93834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8A431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241AA4F">
            <w:pPr>
              <w:rPr>
                <w:rFonts w:hint="eastAsia" w:ascii="宋体" w:hAnsi="宋体" w:eastAsia="宋体" w:cs="宋体"/>
                <w:i w:val="0"/>
                <w:iCs w:val="0"/>
                <w:color w:val="000000"/>
                <w:sz w:val="20"/>
                <w:szCs w:val="20"/>
                <w:u w:val="none"/>
              </w:rPr>
            </w:pPr>
          </w:p>
        </w:tc>
      </w:tr>
      <w:tr w14:paraId="1292F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57C3F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06DD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耳鼻喉科</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AFB32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通过对耳、鼻、咽、扁桃喉等器官的常规检查，筛查头颈部浅表部位的炎症、息肉及新生物，如鼻炎、中耳炎、咽炎等，早期发现无症状甲状腺疾病和淋巴疾病。</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79C51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F7938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88B1681">
            <w:pPr>
              <w:rPr>
                <w:rFonts w:hint="eastAsia" w:ascii="宋体" w:hAnsi="宋体" w:eastAsia="宋体" w:cs="宋体"/>
                <w:i w:val="0"/>
                <w:iCs w:val="0"/>
                <w:color w:val="000000"/>
                <w:sz w:val="20"/>
                <w:szCs w:val="20"/>
                <w:u w:val="none"/>
              </w:rPr>
            </w:pPr>
          </w:p>
        </w:tc>
      </w:tr>
      <w:tr w14:paraId="3B375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77E25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22F2D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口腔科</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A8513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全面了解口腔健康状况，及时发现和诊断口腔疾病，检查牙齿的完整性，防止引起或加重全身系统性疾病。</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1454A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FBAA9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1A77782">
            <w:pPr>
              <w:rPr>
                <w:rFonts w:hint="eastAsia" w:ascii="宋体" w:hAnsi="宋体" w:eastAsia="宋体" w:cs="宋体"/>
                <w:i w:val="0"/>
                <w:iCs w:val="0"/>
                <w:color w:val="000000"/>
                <w:sz w:val="20"/>
                <w:szCs w:val="20"/>
                <w:u w:val="none"/>
              </w:rPr>
            </w:pPr>
          </w:p>
        </w:tc>
      </w:tr>
      <w:tr w14:paraId="711DA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3AF85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552171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眼科</w:t>
            </w: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006725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包括但不限于眼底检查（裂隙灯下）、视力、辨色力</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9796A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检查眼睑、泪囊、结膜、眼球等是否存在异常情况，了解视力状况，判断视力及色觉功能，检查眼底动脉有无硬化、视网膜病变、青光眼、白内障等早期变化及病变程度，对高血压病、糖尿病等有辅助诊断作用。</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133B5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F29EA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1572244D">
            <w:pPr>
              <w:jc w:val="center"/>
              <w:rPr>
                <w:rFonts w:hint="eastAsia" w:ascii="宋体" w:hAnsi="宋体" w:eastAsia="宋体" w:cs="宋体"/>
                <w:i w:val="0"/>
                <w:iCs w:val="0"/>
                <w:color w:val="000000"/>
                <w:sz w:val="20"/>
                <w:szCs w:val="20"/>
                <w:u w:val="none"/>
              </w:rPr>
            </w:pPr>
          </w:p>
        </w:tc>
      </w:tr>
      <w:tr w14:paraId="0CA5E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DF05C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D9AFF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血细胞分析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（全血细胞计数加五分类）</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A7263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检查红细胞、血红蛋白、白细胞计数及其分类、血小板计数等，筛查血液系统疾病，评价骨髓功能，有助于临床急慢性感染、病毒性疾病的判断；有助于了解有无贫血及贫血分类；有助于出血性疾病的诊断等。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64040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F6584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5DF052C">
            <w:pPr>
              <w:rPr>
                <w:rFonts w:hint="eastAsia" w:ascii="宋体" w:hAnsi="宋体" w:eastAsia="宋体" w:cs="宋体"/>
                <w:i w:val="0"/>
                <w:iCs w:val="0"/>
                <w:color w:val="000000"/>
                <w:sz w:val="20"/>
                <w:szCs w:val="20"/>
                <w:u w:val="none"/>
              </w:rPr>
            </w:pPr>
          </w:p>
        </w:tc>
      </w:tr>
      <w:tr w14:paraId="6DA06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47B0E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0E6E10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尿液分析（含镜检）</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7DE15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检查尿比重、酸碱度、尿蛋白、尿糖、红血球、白血球，评估肾功能和泌尿疾病，如泌尿系统感染、肿瘤、结石，还可用于协助检查其他系统疾病，如糖尿病、高血压、肝炎等。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C319F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20E58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DEC3CF5">
            <w:pPr>
              <w:rPr>
                <w:rFonts w:hint="eastAsia" w:ascii="宋体" w:hAnsi="宋体" w:eastAsia="宋体" w:cs="宋体"/>
                <w:i w:val="0"/>
                <w:iCs w:val="0"/>
                <w:color w:val="000000"/>
                <w:sz w:val="20"/>
                <w:szCs w:val="20"/>
                <w:u w:val="none"/>
              </w:rPr>
            </w:pPr>
          </w:p>
        </w:tc>
      </w:tr>
      <w:tr w14:paraId="4BAE1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B8476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5FFBC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粪便常规(机器法)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加隐血试验</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E5399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早期筛查肠道肿瘤，了解消化道及肝胆、胰腺等器官有无病变，间接地判胃肠、胰腺、肝胆系统的功能状况；大便隐血试验是当今大肠癌普查中使用最广泛而且评估最多的一项试验，该试验快速简单且无痛。</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A2969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97632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05DBE390">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如员工要求，可更换同等价位项目</w:t>
            </w:r>
          </w:p>
        </w:tc>
      </w:tr>
      <w:tr w14:paraId="349CF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419E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F6C00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肝功能十一项</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DCAEF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color w:val="000000"/>
                <w:sz w:val="20"/>
                <w:szCs w:val="20"/>
                <w:u w:val="none"/>
                <w:lang w:val="en-US" w:eastAsia="zh-CN" w:bidi="ar"/>
              </w:rPr>
              <w:t>通过检测血清丙氨酸氨基转移酶测定(ALT)、血清天门冬氨酸氨基转移酶测定(AST)、血清γ-谷氨酰基转移酶测定（γ-GT)、血清碱性磷酸酶测定(ALP)、血清总胆红素测定(T-Bil)、血清间接胆红素(I-Bil)、血清直接胆红素测定(D-Bil)、血清总蛋白测定(TP)、血清球蛋白、血清白蛋白测定(Alb)、白蛋白/球蛋白，了解及评估肝脏功能，筛查肝脏疾病。</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92D71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0536F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bottom"/>
          </w:tcPr>
          <w:p w14:paraId="661150D3">
            <w:pPr>
              <w:jc w:val="left"/>
              <w:rPr>
                <w:rFonts w:hint="eastAsia" w:ascii="宋体" w:hAnsi="宋体" w:eastAsia="宋体" w:cs="宋体"/>
                <w:b/>
                <w:bCs/>
                <w:i w:val="0"/>
                <w:iCs w:val="0"/>
                <w:color w:val="000000"/>
                <w:sz w:val="20"/>
                <w:szCs w:val="20"/>
                <w:u w:val="none"/>
              </w:rPr>
            </w:pPr>
          </w:p>
        </w:tc>
      </w:tr>
      <w:tr w14:paraId="79664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C4417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FBF0E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乙型病毒性肝炎检测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（乙肝三对检查）</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438F1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用于评价是否感染乙肝病毒和目前所处状态，对乙肝是否有免疫力、有无传染性、是否需要进一步深入检查及治疗。</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7656B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140B7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11634B7">
            <w:pPr>
              <w:rPr>
                <w:rFonts w:hint="eastAsia" w:ascii="宋体" w:hAnsi="宋体" w:eastAsia="宋体" w:cs="宋体"/>
                <w:i w:val="0"/>
                <w:iCs w:val="0"/>
                <w:color w:val="000000"/>
                <w:sz w:val="20"/>
                <w:szCs w:val="20"/>
                <w:u w:val="none"/>
              </w:rPr>
            </w:pPr>
          </w:p>
        </w:tc>
      </w:tr>
      <w:tr w14:paraId="5C111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480E8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708B22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肾功能三项</w:t>
            </w: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28549E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尿素氮（BUN）、尿酸（UA）、肌酐（Cr）</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088CD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用于了解及评估肾脏功能，筛查肾脏疾病。</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6A9D7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62458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bottom"/>
          </w:tcPr>
          <w:p w14:paraId="0CD69032">
            <w:pPr>
              <w:jc w:val="left"/>
              <w:rPr>
                <w:rFonts w:hint="eastAsia" w:ascii="宋体" w:hAnsi="宋体" w:eastAsia="宋体" w:cs="宋体"/>
                <w:b/>
                <w:bCs/>
                <w:i w:val="0"/>
                <w:iCs w:val="0"/>
                <w:color w:val="000000"/>
                <w:sz w:val="20"/>
                <w:szCs w:val="20"/>
                <w:u w:val="none"/>
              </w:rPr>
            </w:pPr>
          </w:p>
        </w:tc>
      </w:tr>
      <w:tr w14:paraId="026E7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02E32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0D7D9E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空腹血糖</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B48B5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评价人体空腹状态下糖代谢是否正常，评估糖尿病患者空腹血糖控制是否达标。空腹血糖是诊断糖代谢紊乱的最常用和最重要指标。</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6DC83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86377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CBE51A3">
            <w:pPr>
              <w:rPr>
                <w:rFonts w:hint="eastAsia" w:ascii="宋体" w:hAnsi="宋体" w:eastAsia="宋体" w:cs="宋体"/>
                <w:i w:val="0"/>
                <w:iCs w:val="0"/>
                <w:color w:val="000000"/>
                <w:sz w:val="20"/>
                <w:szCs w:val="20"/>
                <w:u w:val="none"/>
              </w:rPr>
            </w:pPr>
          </w:p>
        </w:tc>
      </w:tr>
      <w:tr w14:paraId="5E1B6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2BC71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15" w:type="dxa"/>
            <w:gridSpan w:val="2"/>
            <w:tcBorders>
              <w:top w:val="single" w:color="000000" w:sz="4" w:space="0"/>
              <w:left w:val="single" w:color="000000" w:sz="4" w:space="0"/>
              <w:bottom w:val="single" w:color="000000" w:sz="4" w:space="0"/>
              <w:right w:val="single" w:color="000000" w:sz="4" w:space="0"/>
            </w:tcBorders>
            <w:noWrap w:val="0"/>
            <w:vAlign w:val="center"/>
          </w:tcPr>
          <w:p w14:paraId="63DEEC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血脂四项</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68A289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总胆固醇（CHOL）、甘油三脂（TG）、高密度胆固醇（HDL）、低密度胆固醇（LDL）</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EFC42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测定血清中血脂含量，用于评价受检者的脂肪代谢水平、血脂代谢紊乱情况，辅助检查糖尿病、肾病、肥胖、高脂血症、冠心病、高血压病、动脉粥样硬化及肝硬化等。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B7306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4120F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D4F4788">
            <w:pPr>
              <w:rPr>
                <w:rFonts w:hint="eastAsia" w:ascii="宋体" w:hAnsi="宋体" w:eastAsia="宋体" w:cs="宋体"/>
                <w:i w:val="0"/>
                <w:iCs w:val="0"/>
                <w:color w:val="000000"/>
                <w:sz w:val="20"/>
                <w:szCs w:val="20"/>
                <w:u w:val="none"/>
              </w:rPr>
            </w:pPr>
          </w:p>
        </w:tc>
      </w:tr>
      <w:tr w14:paraId="02371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865BC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08DAF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心电图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（同步12导）</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DD9A2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判断和评估心脏情况、筛查心律失常、心肌肥厚、心肌缺血、心肌梗塞等疾病，为心脏疾病诊断、疗效评价、预后评估提供重要的依据。</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B0E72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7E58D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D987D38">
            <w:pPr>
              <w:rPr>
                <w:rFonts w:hint="eastAsia" w:ascii="宋体" w:hAnsi="宋体" w:eastAsia="宋体" w:cs="宋体"/>
                <w:i w:val="0"/>
                <w:iCs w:val="0"/>
                <w:color w:val="000000"/>
                <w:sz w:val="20"/>
                <w:szCs w:val="20"/>
                <w:u w:val="none"/>
              </w:rPr>
            </w:pPr>
          </w:p>
        </w:tc>
      </w:tr>
      <w:tr w14:paraId="4BA01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14:paraId="4E15B0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540" w:type="dxa"/>
            <w:vMerge w:val="restart"/>
            <w:tcBorders>
              <w:top w:val="single" w:color="000000" w:sz="4" w:space="0"/>
              <w:left w:val="single" w:color="000000" w:sz="4" w:space="0"/>
              <w:bottom w:val="single" w:color="000000" w:sz="4" w:space="0"/>
              <w:right w:val="single" w:color="000000" w:sz="4" w:space="0"/>
            </w:tcBorders>
            <w:noWrap w:val="0"/>
            <w:vAlign w:val="center"/>
          </w:tcPr>
          <w:p w14:paraId="2BF912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彩超</w:t>
            </w: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041439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上腹部彩超：肝、胆、脾、胰、双肾</w:t>
            </w:r>
          </w:p>
        </w:tc>
        <w:tc>
          <w:tcPr>
            <w:tcW w:w="4245" w:type="dxa"/>
            <w:vMerge w:val="restart"/>
            <w:tcBorders>
              <w:top w:val="single" w:color="000000" w:sz="4" w:space="0"/>
              <w:left w:val="single" w:color="000000" w:sz="4" w:space="0"/>
              <w:bottom w:val="single" w:color="000000" w:sz="4" w:space="0"/>
              <w:right w:val="single" w:color="000000" w:sz="4" w:space="0"/>
            </w:tcBorders>
            <w:noWrap w:val="0"/>
            <w:vAlign w:val="center"/>
          </w:tcPr>
          <w:p w14:paraId="3FFF71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对人体腹部内脏器官的状况和各种病变（如肿瘤、结石、积水、脂肪肝等）及男性生殖器或者前列腺结构，筛查病变（注意事项：须空腹12小时以上）。</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158E0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8729F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2EAB6F0">
            <w:pPr>
              <w:rPr>
                <w:rFonts w:hint="eastAsia" w:ascii="宋体" w:hAnsi="宋体" w:eastAsia="宋体" w:cs="宋体"/>
                <w:i w:val="0"/>
                <w:iCs w:val="0"/>
                <w:color w:val="000000"/>
                <w:sz w:val="20"/>
                <w:szCs w:val="20"/>
                <w:u w:val="none"/>
              </w:rPr>
            </w:pPr>
          </w:p>
        </w:tc>
      </w:tr>
      <w:tr w14:paraId="46B7D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C5ACBA">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2B69A8">
            <w:pPr>
              <w:jc w:val="center"/>
              <w:rPr>
                <w:rFonts w:hint="eastAsia" w:ascii="宋体" w:hAnsi="宋体" w:eastAsia="宋体" w:cs="宋体"/>
                <w:i w:val="0"/>
                <w:iCs w:val="0"/>
                <w:color w:val="000000"/>
                <w:sz w:val="20"/>
                <w:szCs w:val="20"/>
                <w:u w:val="none"/>
              </w:rPr>
            </w:pP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3C1BEA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男性:生殖器或前列腺</w:t>
            </w:r>
          </w:p>
        </w:tc>
        <w:tc>
          <w:tcPr>
            <w:tcW w:w="4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962E32">
            <w:pPr>
              <w:jc w:val="left"/>
              <w:rPr>
                <w:rFonts w:hint="eastAsia" w:ascii="宋体" w:hAnsi="宋体" w:eastAsia="宋体" w:cs="宋体"/>
                <w:i w:val="0"/>
                <w:iCs w:val="0"/>
                <w:color w:val="000000"/>
                <w:sz w:val="20"/>
                <w:szCs w:val="20"/>
                <w:u w:val="none"/>
              </w:rPr>
            </w:pP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C81CA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30364A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2135534F">
            <w:pPr>
              <w:jc w:val="left"/>
              <w:rPr>
                <w:rFonts w:hint="eastAsia" w:ascii="宋体" w:hAnsi="宋体" w:eastAsia="宋体" w:cs="宋体"/>
                <w:i w:val="0"/>
                <w:iCs w:val="0"/>
                <w:color w:val="000000"/>
                <w:sz w:val="20"/>
                <w:szCs w:val="20"/>
                <w:u w:val="none"/>
              </w:rPr>
            </w:pPr>
          </w:p>
        </w:tc>
      </w:tr>
      <w:tr w14:paraId="13D7F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C85C2F">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3F603A">
            <w:pPr>
              <w:jc w:val="center"/>
              <w:rPr>
                <w:rFonts w:hint="eastAsia" w:ascii="宋体" w:hAnsi="宋体" w:eastAsia="宋体" w:cs="宋体"/>
                <w:i w:val="0"/>
                <w:iCs w:val="0"/>
                <w:color w:val="000000"/>
                <w:sz w:val="20"/>
                <w:szCs w:val="20"/>
                <w:u w:val="none"/>
              </w:rPr>
            </w:pP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41B6B4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甲状腺及颈部淋巴结彩超</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BD084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检查甲状腺结构及颈部淋巴结，筛查病变。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17D8F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3FB92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313BD7E">
            <w:pPr>
              <w:rPr>
                <w:rFonts w:hint="eastAsia" w:ascii="宋体" w:hAnsi="宋体" w:eastAsia="宋体" w:cs="宋体"/>
                <w:i w:val="0"/>
                <w:iCs w:val="0"/>
                <w:color w:val="000000"/>
                <w:sz w:val="20"/>
                <w:szCs w:val="20"/>
                <w:u w:val="none"/>
              </w:rPr>
            </w:pPr>
          </w:p>
        </w:tc>
      </w:tr>
      <w:tr w14:paraId="662BC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E0C58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0D5A04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放射科</w:t>
            </w: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174C6A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肺部低剂量螺旋CT</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94BC1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早期发现肺癌的“利器”，可以检出直径小于1cm的微小肺癌，早期检出率高达80%，低辐射，每年接受一次检查，对健康不会有影响。</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F990E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BDCEE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6B2404B5">
            <w:pPr>
              <w:keepNext w:val="0"/>
              <w:keepLines w:val="0"/>
              <w:widowControl/>
              <w:suppressLineNumbers w:val="0"/>
              <w:jc w:val="left"/>
              <w:textAlignment w:val="center"/>
              <w:rPr>
                <w:rFonts w:hint="eastAsia" w:ascii="宋体" w:hAnsi="宋体" w:eastAsia="宋体" w:cs="宋体"/>
                <w:i w:val="0"/>
                <w:iCs w:val="0"/>
                <w:color w:val="FF0000"/>
                <w:sz w:val="20"/>
                <w:szCs w:val="20"/>
                <w:u w:val="none"/>
              </w:rPr>
            </w:pPr>
            <w:r>
              <w:rPr>
                <w:rFonts w:hint="eastAsia" w:ascii="宋体" w:hAnsi="宋体" w:eastAsia="宋体" w:cs="宋体"/>
                <w:i w:val="0"/>
                <w:iCs w:val="0"/>
                <w:color w:val="FF0000"/>
                <w:kern w:val="0"/>
                <w:sz w:val="20"/>
                <w:szCs w:val="20"/>
                <w:u w:val="none"/>
                <w:lang w:val="en-US" w:eastAsia="zh-CN" w:bidi="ar"/>
              </w:rPr>
              <w:t>备孕人群可更换等价项目</w:t>
            </w:r>
          </w:p>
        </w:tc>
      </w:tr>
      <w:tr w14:paraId="35806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420" w:type="dxa"/>
            <w:gridSpan w:val="8"/>
            <w:tcBorders>
              <w:top w:val="single" w:color="000000" w:sz="4" w:space="0"/>
              <w:left w:val="single" w:color="000000" w:sz="4" w:space="0"/>
              <w:bottom w:val="single" w:color="000000" w:sz="4" w:space="0"/>
              <w:right w:val="single" w:color="000000" w:sz="4" w:space="0"/>
            </w:tcBorders>
            <w:noWrap w:val="0"/>
            <w:vAlign w:val="center"/>
          </w:tcPr>
          <w:p w14:paraId="5A6DFE8F">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二、自选体检项目</w:t>
            </w:r>
            <w:r>
              <w:rPr>
                <w:rFonts w:hint="eastAsia" w:ascii="宋体" w:hAnsi="宋体" w:eastAsia="宋体" w:cs="宋体"/>
                <w:b/>
                <w:bCs/>
                <w:i w:val="0"/>
                <w:iCs w:val="0"/>
                <w:color w:val="auto"/>
                <w:kern w:val="0"/>
                <w:sz w:val="20"/>
                <w:szCs w:val="20"/>
                <w:u w:val="none"/>
                <w:lang w:val="en-US" w:eastAsia="zh-CN" w:bidi="ar"/>
              </w:rPr>
              <w:t>★</w:t>
            </w:r>
          </w:p>
        </w:tc>
      </w:tr>
      <w:tr w14:paraId="5248F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4FCDB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B4C78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C-反应蛋白测定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（CRP，免疫学方法）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F5777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炎症反应标志物，用于炎症反应和心血管疾病检测，对心血管疾病的风险预测有重要意义。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606739C">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C744580">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92D8E0F">
            <w:pPr>
              <w:rPr>
                <w:rFonts w:hint="eastAsia" w:ascii="宋体" w:hAnsi="宋体" w:eastAsia="宋体" w:cs="宋体"/>
                <w:i w:val="0"/>
                <w:iCs w:val="0"/>
                <w:color w:val="000000"/>
                <w:sz w:val="20"/>
                <w:szCs w:val="20"/>
                <w:u w:val="none"/>
              </w:rPr>
            </w:pPr>
          </w:p>
        </w:tc>
      </w:tr>
      <w:tr w14:paraId="364E6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2E239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494D0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类风湿因子测定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RF，免疫学方法)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4E6B2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可用于类风湿关节炎的诊断、分型和疗效观察，其他自身免疫性疾病和某些感染性疾病也可见阳性反应。</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56BB9E6E">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2F238C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B5C117F">
            <w:pPr>
              <w:rPr>
                <w:rFonts w:hint="eastAsia" w:ascii="宋体" w:hAnsi="宋体" w:eastAsia="宋体" w:cs="宋体"/>
                <w:i w:val="0"/>
                <w:iCs w:val="0"/>
                <w:color w:val="000000"/>
                <w:sz w:val="20"/>
                <w:szCs w:val="20"/>
                <w:u w:val="none"/>
              </w:rPr>
            </w:pPr>
          </w:p>
        </w:tc>
      </w:tr>
      <w:tr w14:paraId="5079E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9C6C5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2863C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血清胱抑素</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77B77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用于了解肾脏肾小球的功能，能够准确地反应人体肾小球功能的变化。</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F699F29">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AF3BAE7">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4C3D7BF">
            <w:pPr>
              <w:rPr>
                <w:rFonts w:hint="eastAsia" w:ascii="宋体" w:hAnsi="宋体" w:eastAsia="宋体" w:cs="宋体"/>
                <w:i w:val="0"/>
                <w:iCs w:val="0"/>
                <w:color w:val="000000"/>
                <w:sz w:val="20"/>
                <w:szCs w:val="20"/>
                <w:u w:val="none"/>
              </w:rPr>
            </w:pPr>
          </w:p>
        </w:tc>
      </w:tr>
      <w:tr w14:paraId="600A5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03B26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0A7EA6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凝血常规检查（仪器法）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3CBD7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主要检测凝血时间及凝血酶活性，判断是否存在出血倾向、血液黏度增高、血液高凝状态等，对早期防控冠心病心肌梗塞、脑梗等血栓性疾病的发生具有重要意义。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6AD5A2F">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A7DFB2A">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F1A490B">
            <w:pPr>
              <w:rPr>
                <w:rFonts w:hint="eastAsia" w:ascii="宋体" w:hAnsi="宋体" w:eastAsia="宋体" w:cs="宋体"/>
                <w:i w:val="0"/>
                <w:iCs w:val="0"/>
                <w:color w:val="000000"/>
                <w:sz w:val="20"/>
                <w:szCs w:val="20"/>
                <w:u w:val="none"/>
              </w:rPr>
            </w:pPr>
          </w:p>
        </w:tc>
      </w:tr>
      <w:tr w14:paraId="0EA85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D2C71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D99B8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免疫球蛋白全套</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C5993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免疫球蛋白A、免疫球蛋白G、免疫球蛋白M、补体C3、补体C4。免疫功能五项检测可帮助综合评价机体的免疫功能状态，辅助诊断免疫系统疾病。</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98F8749">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E4B7183">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2A7AF7A">
            <w:pPr>
              <w:rPr>
                <w:rFonts w:hint="eastAsia" w:ascii="宋体" w:hAnsi="宋体" w:eastAsia="宋体" w:cs="宋体"/>
                <w:i w:val="0"/>
                <w:iCs w:val="0"/>
                <w:color w:val="000000"/>
                <w:sz w:val="20"/>
                <w:szCs w:val="20"/>
                <w:u w:val="none"/>
              </w:rPr>
            </w:pPr>
          </w:p>
        </w:tc>
      </w:tr>
      <w:tr w14:paraId="6FFBA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7D32A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10881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TORCH十项定性（优生优育）</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148A6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指导备孕，围孕期及围产期的医疗和护理；诊断和筛查病原菌感染情况，指导治疗选择与疗效监测</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9732A73">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2CCCFE1">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BD00D0C">
            <w:pPr>
              <w:rPr>
                <w:rFonts w:hint="eastAsia" w:ascii="宋体" w:hAnsi="宋体" w:eastAsia="宋体" w:cs="宋体"/>
                <w:i w:val="0"/>
                <w:iCs w:val="0"/>
                <w:color w:val="000000"/>
                <w:sz w:val="20"/>
                <w:szCs w:val="20"/>
                <w:u w:val="none"/>
              </w:rPr>
            </w:pPr>
          </w:p>
        </w:tc>
      </w:tr>
      <w:tr w14:paraId="28B44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22104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447E3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支原体培养及药敏</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C8A93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取宫颈管表面物进行培养，诊断和筛查女性生殖道支原体感染，明确病因，指导用药。</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B8A31E4">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50A1E63">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275BA74">
            <w:pPr>
              <w:rPr>
                <w:rFonts w:hint="eastAsia" w:ascii="宋体" w:hAnsi="宋体" w:eastAsia="宋体" w:cs="宋体"/>
                <w:i w:val="0"/>
                <w:iCs w:val="0"/>
                <w:color w:val="000000"/>
                <w:sz w:val="20"/>
                <w:szCs w:val="20"/>
                <w:u w:val="none"/>
              </w:rPr>
            </w:pPr>
          </w:p>
        </w:tc>
      </w:tr>
      <w:tr w14:paraId="2DF1F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FBB59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24E0C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衣原体培养及药敏</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1F869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取宫颈管表面物进行培养，诊断和筛查女性生殖道衣原体感染，明确病因，指导用药。</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FD25D18">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11B7D3B">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94FEC4F">
            <w:pPr>
              <w:rPr>
                <w:rFonts w:hint="eastAsia" w:ascii="宋体" w:hAnsi="宋体" w:eastAsia="宋体" w:cs="宋体"/>
                <w:i w:val="0"/>
                <w:iCs w:val="0"/>
                <w:color w:val="000000"/>
                <w:sz w:val="20"/>
                <w:szCs w:val="20"/>
                <w:u w:val="none"/>
              </w:rPr>
            </w:pPr>
          </w:p>
        </w:tc>
      </w:tr>
      <w:tr w14:paraId="2C79E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ED8C5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FCCBF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肝纤维化四项</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B9399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透明质酸HA、III型前胶原PC-III、IV型胶原 、层粘连蛋白，肝纤维化的重要检查项目。</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E23744C">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17AF388">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ABEB60C">
            <w:pPr>
              <w:rPr>
                <w:rFonts w:hint="eastAsia" w:ascii="宋体" w:hAnsi="宋体" w:eastAsia="宋体" w:cs="宋体"/>
                <w:i w:val="0"/>
                <w:iCs w:val="0"/>
                <w:color w:val="000000"/>
                <w:sz w:val="20"/>
                <w:szCs w:val="20"/>
                <w:u w:val="none"/>
              </w:rPr>
            </w:pPr>
          </w:p>
        </w:tc>
      </w:tr>
      <w:tr w14:paraId="0D1FF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9CC46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195A5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乙型肝炎HBV-DNA病毒核酸定量检测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50A16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对已感染乙型肝炎患者的病毒定量检测，能更准确地评价是否感染乙肝病毒和目前所处状态，对乙肝是否有免疫力、有无传染性、是否需要进一步深入检查及治疗。</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A45DD15">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D839DC1">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8C58A5E">
            <w:pPr>
              <w:rPr>
                <w:rFonts w:hint="eastAsia" w:ascii="宋体" w:hAnsi="宋体" w:eastAsia="宋体" w:cs="宋体"/>
                <w:i w:val="0"/>
                <w:iCs w:val="0"/>
                <w:color w:val="000000"/>
                <w:sz w:val="20"/>
                <w:szCs w:val="20"/>
                <w:u w:val="none"/>
              </w:rPr>
            </w:pPr>
          </w:p>
        </w:tc>
      </w:tr>
      <w:tr w14:paraId="270E9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BB299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06BA3F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丙型肝炎病毒核心抗原检测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39308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对丙型病毒性肝炎的感染筛查和辅助诊断。</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C146331">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27318D5">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7361D70">
            <w:pPr>
              <w:rPr>
                <w:rFonts w:hint="eastAsia" w:ascii="宋体" w:hAnsi="宋体" w:eastAsia="宋体" w:cs="宋体"/>
                <w:i w:val="0"/>
                <w:iCs w:val="0"/>
                <w:color w:val="000000"/>
                <w:sz w:val="20"/>
                <w:szCs w:val="20"/>
                <w:u w:val="none"/>
              </w:rPr>
            </w:pPr>
          </w:p>
        </w:tc>
      </w:tr>
      <w:tr w14:paraId="007CD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E2754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A90F3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丙型肝炎HCV-RNA病毒核酸定量检测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E0D09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对已感染丙型肝炎患者的病毒定量检测，明确体内丙肝病毒的数量，对明确患者病情和治疗提供科学依据。</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A91962A">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6ADB442">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9C7B760">
            <w:pPr>
              <w:rPr>
                <w:rFonts w:hint="eastAsia" w:ascii="宋体" w:hAnsi="宋体" w:eastAsia="宋体" w:cs="宋体"/>
                <w:i w:val="0"/>
                <w:iCs w:val="0"/>
                <w:color w:val="000000"/>
                <w:sz w:val="20"/>
                <w:szCs w:val="20"/>
                <w:u w:val="none"/>
              </w:rPr>
            </w:pPr>
          </w:p>
        </w:tc>
      </w:tr>
      <w:tr w14:paraId="013F6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63B2B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B4D14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餐后2小时血糖</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ED667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早期筛查糖尿病及糖尿病前期，评价糖尿病治疗效果。</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84332EA">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F298C7C">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F851A32">
            <w:pPr>
              <w:rPr>
                <w:rFonts w:hint="eastAsia" w:ascii="宋体" w:hAnsi="宋体" w:eastAsia="宋体" w:cs="宋体"/>
                <w:i w:val="0"/>
                <w:iCs w:val="0"/>
                <w:color w:val="000000"/>
                <w:sz w:val="20"/>
                <w:szCs w:val="20"/>
                <w:u w:val="none"/>
              </w:rPr>
            </w:pPr>
          </w:p>
        </w:tc>
      </w:tr>
      <w:tr w14:paraId="32ABF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B55D4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EE36D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高敏肌钙蛋白Ⅰ（化学发光法）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375EC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在心肌梗塞早期，其诊断准确性与CPK相似，是心肌缺血损伤的指标。</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D962CAD">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DD924AC">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3B26FB3">
            <w:pPr>
              <w:rPr>
                <w:rFonts w:hint="eastAsia" w:ascii="宋体" w:hAnsi="宋体" w:eastAsia="宋体" w:cs="宋体"/>
                <w:i w:val="0"/>
                <w:iCs w:val="0"/>
                <w:color w:val="000000"/>
                <w:sz w:val="20"/>
                <w:szCs w:val="20"/>
                <w:u w:val="none"/>
              </w:rPr>
            </w:pPr>
          </w:p>
        </w:tc>
      </w:tr>
      <w:tr w14:paraId="3D4A3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8648F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D4D1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心肌酶三项</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36BF4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测磷酸肌酸激酶（CK）、磷酸肌酸激酶同工酶（CK-MB）、乳酸脱氢酶（LDH），主要存在于心肌、脑、肝、组织及骨骼；在急性心肌梗死、心肌损害时肌酸激酶升高，另外，重症肺炎、心衰、尿毒症、急性颅脑损伤等均可升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3D6E1B6">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0BF8330">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3D806AE5">
            <w:pPr>
              <w:jc w:val="center"/>
              <w:rPr>
                <w:rFonts w:hint="eastAsia" w:ascii="宋体" w:hAnsi="宋体" w:eastAsia="宋体" w:cs="宋体"/>
                <w:i w:val="0"/>
                <w:iCs w:val="0"/>
                <w:color w:val="000000"/>
                <w:sz w:val="20"/>
                <w:szCs w:val="20"/>
                <w:u w:val="none"/>
              </w:rPr>
            </w:pPr>
          </w:p>
        </w:tc>
      </w:tr>
      <w:tr w14:paraId="5DE02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3E6C5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EE661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糖化血红蛋白（高效液相分析法)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1DB09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糖化血红蛋白可反映近2～3个月的平均血糖水平，且不受是否空腹及降糖药物的影响，可用于糖尿病筛查、预测血管并发症、鉴别高血糖原因，评价糖尿病控制程度。</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7AB2E78">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FFF5EEF">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F46FF84">
            <w:pPr>
              <w:rPr>
                <w:rFonts w:hint="eastAsia" w:ascii="宋体" w:hAnsi="宋体" w:eastAsia="宋体" w:cs="宋体"/>
                <w:i w:val="0"/>
                <w:iCs w:val="0"/>
                <w:color w:val="000000"/>
                <w:sz w:val="20"/>
                <w:szCs w:val="20"/>
                <w:u w:val="none"/>
              </w:rPr>
            </w:pPr>
          </w:p>
        </w:tc>
      </w:tr>
      <w:tr w14:paraId="53310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9DB48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FF308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空腹胰岛素测定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D1C8F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空腹胰岛素（INS）用于糖尿病分型诊断及低血糖的诊断和鉴别诊断。</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ECE53FA">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C07D90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F1ABA79">
            <w:pPr>
              <w:rPr>
                <w:rFonts w:hint="eastAsia" w:ascii="宋体" w:hAnsi="宋体" w:eastAsia="宋体" w:cs="宋体"/>
                <w:i w:val="0"/>
                <w:iCs w:val="0"/>
                <w:color w:val="000000"/>
                <w:sz w:val="20"/>
                <w:szCs w:val="20"/>
                <w:u w:val="none"/>
              </w:rPr>
            </w:pPr>
          </w:p>
        </w:tc>
      </w:tr>
      <w:tr w14:paraId="7E006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3BA63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A25E1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胰岛素抗体(INS-Ab)</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08949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胰岛素抗体对糖尿病和低血糖的诊断、鉴别诊断及治疗具有非常重要的意义。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6CC55C5">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2D16C1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78BF221">
            <w:pPr>
              <w:rPr>
                <w:rFonts w:hint="eastAsia" w:ascii="宋体" w:hAnsi="宋体" w:eastAsia="宋体" w:cs="宋体"/>
                <w:i w:val="0"/>
                <w:iCs w:val="0"/>
                <w:color w:val="000000"/>
                <w:sz w:val="20"/>
                <w:szCs w:val="20"/>
                <w:u w:val="none"/>
              </w:rPr>
            </w:pPr>
          </w:p>
        </w:tc>
      </w:tr>
      <w:tr w14:paraId="605CC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054CF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9EFA9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空腹C肽测定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0E620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能很好地反映胰岛β细胞生成胰岛素的水平，了解胰岛β细胞功能状态。有助于对糖尿病分型、判断病情严重程度及指导治疗。</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BBE8C16">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FD133FB">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5D78BE6">
            <w:pPr>
              <w:rPr>
                <w:rFonts w:hint="eastAsia" w:ascii="宋体" w:hAnsi="宋体" w:eastAsia="宋体" w:cs="宋体"/>
                <w:i w:val="0"/>
                <w:iCs w:val="0"/>
                <w:color w:val="000000"/>
                <w:sz w:val="20"/>
                <w:szCs w:val="20"/>
                <w:u w:val="none"/>
              </w:rPr>
            </w:pPr>
          </w:p>
        </w:tc>
      </w:tr>
      <w:tr w14:paraId="30552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0C201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03062F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同型半胱氨酸</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8C84E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血液中同型半胱氨酸水平明显升高会大幅增加冠心病、外周血管疾病及脑血管疾病的发病风险，因此检测此项目可辅助评估心血管疾病及中风的风险。</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5DB039B">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44BB5DD">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9E7636F">
            <w:pPr>
              <w:rPr>
                <w:rFonts w:hint="eastAsia" w:ascii="宋体" w:hAnsi="宋体" w:eastAsia="宋体" w:cs="宋体"/>
                <w:i w:val="0"/>
                <w:iCs w:val="0"/>
                <w:color w:val="000000"/>
                <w:sz w:val="20"/>
                <w:szCs w:val="20"/>
                <w:u w:val="none"/>
              </w:rPr>
            </w:pPr>
          </w:p>
        </w:tc>
      </w:tr>
      <w:tr w14:paraId="52E41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5DB00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31882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pp-1000动脉硬化及血管病监测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78127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通过仪器检测全身动脉硬化程度和阻塞指数，早期发现动脉疾病，提高动脉硬化性疾病的防治水平。</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F8B64B7">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F1F12C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DF8CEA0">
            <w:pPr>
              <w:rPr>
                <w:rFonts w:hint="eastAsia" w:ascii="宋体" w:hAnsi="宋体" w:eastAsia="宋体" w:cs="宋体"/>
                <w:i w:val="0"/>
                <w:iCs w:val="0"/>
                <w:color w:val="000000"/>
                <w:sz w:val="20"/>
                <w:szCs w:val="20"/>
                <w:u w:val="none"/>
              </w:rPr>
            </w:pPr>
          </w:p>
        </w:tc>
      </w:tr>
      <w:tr w14:paraId="0812F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AB248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04D46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人体成分测定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B118B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分析人体主要成分含量，如脂肪比率、肌肉含量、矿物质含量等，评估整体营养状况、体质类型；为个性化运动处方和饮食计划制定提供依据。</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54B354D">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E1074B8">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E43C6A0">
            <w:pPr>
              <w:rPr>
                <w:rFonts w:hint="eastAsia" w:ascii="宋体" w:hAnsi="宋体" w:eastAsia="宋体" w:cs="宋体"/>
                <w:i w:val="0"/>
                <w:iCs w:val="0"/>
                <w:color w:val="000000"/>
                <w:sz w:val="20"/>
                <w:szCs w:val="20"/>
                <w:u w:val="none"/>
              </w:rPr>
            </w:pPr>
          </w:p>
        </w:tc>
      </w:tr>
      <w:tr w14:paraId="00B0D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BD6EE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42695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经颅多普勒（TCD）</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9713C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有效、无创脑血管检查方法，能反映脑血管器质性疾病，评估脑血管功能及供血情况，判断脑动脉硬化、脑供血不足、脑动脉狭窄、脑血管痉挛的部位及程度。</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03A21ED">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E470A83">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0731ABB">
            <w:pPr>
              <w:rPr>
                <w:rFonts w:hint="eastAsia" w:ascii="宋体" w:hAnsi="宋体" w:eastAsia="宋体" w:cs="宋体"/>
                <w:i w:val="0"/>
                <w:iCs w:val="0"/>
                <w:color w:val="000000"/>
                <w:sz w:val="20"/>
                <w:szCs w:val="20"/>
                <w:u w:val="none"/>
              </w:rPr>
            </w:pPr>
          </w:p>
        </w:tc>
      </w:tr>
      <w:tr w14:paraId="7F9C1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01D04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A5995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颈部动脉彩超（8根血管）</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199A0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检查颈动脉结构、弹性、内膜厚度，有无斑块，官腔有无狭窄，预警和评估血管疾病，如高血压病、糖尿病、冠心病、脑卒中等风险和中风预报。  </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17F7F9E">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3AC5EB2">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5CFB465">
            <w:pPr>
              <w:rPr>
                <w:rFonts w:hint="eastAsia" w:ascii="宋体" w:hAnsi="宋体" w:eastAsia="宋体" w:cs="宋体"/>
                <w:i w:val="0"/>
                <w:iCs w:val="0"/>
                <w:color w:val="000000"/>
                <w:sz w:val="20"/>
                <w:szCs w:val="20"/>
                <w:u w:val="none"/>
              </w:rPr>
            </w:pPr>
          </w:p>
        </w:tc>
      </w:tr>
      <w:tr w14:paraId="0062E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F503B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27F28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心脏彩色多普勒超声</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70236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各心腔及大血管血液显像、左心功能测定、彩色室壁动力（CK）、组织多普勒显像（TDI）心内膜自动边缘检测、室壁运动分析等。检查心腔内结构、搏动和血液流动，评价心脏功能，预警和评估心脑血管疾病和高血压病、糖尿病、冠心病等风险。</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660844D">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D8A960D">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7E72273F">
            <w:pPr>
              <w:rPr>
                <w:rFonts w:hint="eastAsia" w:ascii="宋体" w:hAnsi="宋体" w:eastAsia="宋体" w:cs="宋体"/>
                <w:i w:val="0"/>
                <w:iCs w:val="0"/>
                <w:color w:val="000000"/>
                <w:sz w:val="20"/>
                <w:szCs w:val="20"/>
                <w:u w:val="none"/>
              </w:rPr>
            </w:pPr>
          </w:p>
        </w:tc>
      </w:tr>
      <w:tr w14:paraId="3729B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31B88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003B5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CT螺旋平扫-部位检查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（第二个部位）(默认腰椎)</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2CCBA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颅脑或颈椎、腰椎三选一；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低剂量、低辐射、针对特定人群的重症检查、提前1-1.5年发现病灶；</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B5EC4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BDB04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185034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每加一个部位收费，可根据个人情况选择部位</w:t>
            </w:r>
          </w:p>
        </w:tc>
      </w:tr>
      <w:tr w14:paraId="14E98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83AA3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295D7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甲状腺功能初筛（化学发光法）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4DEBA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含血清促甲状腺素测定和血清游离甲状腺素（FT4）测定。</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5A6F96E">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1514B7F">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438A04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甲状腺功能初筛</w:t>
            </w:r>
          </w:p>
        </w:tc>
      </w:tr>
      <w:tr w14:paraId="6530A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FA3EF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715AE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甲状腺功能检查（化学发光法）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8352B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甲状腺功能进一步检查，建议与初筛联合检查，项目含血清游离三碘甲状原氨酸（FT3）测定、抗甲状腺球蛋白抗体（TGAb)测定、抗甲状腺特异过氧化物酶抗体（Anti-TPo)测定。</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DAA93C8">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E65F214">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1C2123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有既往史或自觉甲状腺异常者进一步检查</w:t>
            </w:r>
          </w:p>
        </w:tc>
      </w:tr>
      <w:tr w14:paraId="2517D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E4F91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F8A8F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25羟维生素D测定（色谱法）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B03EA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评估体内维生素D水平；结合骨密度测定数据，为科学补钙提供依据。</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BF48CBB">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37CEDEE">
            <w:pPr>
              <w:jc w:val="center"/>
              <w:rPr>
                <w:rFonts w:hint="eastAsia" w:ascii="宋体" w:hAnsi="宋体" w:eastAsia="宋体" w:cs="宋体"/>
                <w:i w:val="0"/>
                <w:iCs w:val="0"/>
                <w:color w:val="000000"/>
                <w:sz w:val="20"/>
                <w:szCs w:val="20"/>
                <w:u w:val="none"/>
              </w:rPr>
            </w:pP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21DD9D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联合筛查项</w:t>
            </w:r>
          </w:p>
        </w:tc>
      </w:tr>
      <w:tr w14:paraId="41533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CCC4C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0477A9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骨密度测定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（单能，含图文报告）</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972CA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对于各种原因所致骨质疏松症，灵敏度高，诊断率高，监测和预测大关节（腰椎等）有无骨量减少、骨质疏松及其发生程度，预测骨折发生风险。</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79EAE5F">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D7AAB22">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36E240">
            <w:pPr>
              <w:jc w:val="center"/>
              <w:rPr>
                <w:rFonts w:hint="eastAsia" w:ascii="宋体" w:hAnsi="宋体" w:eastAsia="宋体" w:cs="宋体"/>
                <w:i w:val="0"/>
                <w:iCs w:val="0"/>
                <w:color w:val="000000"/>
                <w:sz w:val="20"/>
                <w:szCs w:val="20"/>
                <w:u w:val="none"/>
              </w:rPr>
            </w:pPr>
          </w:p>
        </w:tc>
      </w:tr>
      <w:tr w14:paraId="67B41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FC2D3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425B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13碳尿素呼气试验</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3EB42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13碳-尿素呼气试验阳性示有幽门螺杆菌感染，它与胃部炎症、消化性溃疡、胃癌的发生密切关联。</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3AA47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02EE7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06EE18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连续两年阴性，可适当延长该项目的检查时间间隔</w:t>
            </w:r>
          </w:p>
        </w:tc>
      </w:tr>
      <w:tr w14:paraId="7D89D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EF335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3A053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胃泌素-17检测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7B7CF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诊断和筛查萎缩性胃炎和胃癌，有助于判断萎缩是否存在及其分布部位和程度，可作为胃窦萎缩性胃炎的界限值。结合胃幽门螺旋杆菌检测，初筛胃部肿瘤风险。</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C07301D">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367AF69">
            <w:pPr>
              <w:jc w:val="center"/>
              <w:rPr>
                <w:rFonts w:hint="eastAsia" w:ascii="宋体" w:hAnsi="宋体" w:eastAsia="宋体" w:cs="宋体"/>
                <w:i w:val="0"/>
                <w:iCs w:val="0"/>
                <w:color w:val="000000"/>
                <w:sz w:val="20"/>
                <w:szCs w:val="20"/>
                <w:u w:val="none"/>
              </w:rPr>
            </w:pP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756ED7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联合筛查项</w:t>
            </w:r>
          </w:p>
        </w:tc>
      </w:tr>
      <w:tr w14:paraId="21781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6F648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72E9C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胃蛋白酶原检测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29694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反映胃粘膜的变化，是诊断胃部病变的辅助依据。胃蛋白酶原Ⅰ/胃蛋白酶原Ⅱ比值低于正常值时，对慢性萎缩性胃炎特异性较高。结合胃幽门螺旋杆菌检测，初筛胃部肿瘤风险。</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10DDEF4">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5EC90BC">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A99A71">
            <w:pPr>
              <w:jc w:val="center"/>
              <w:rPr>
                <w:rFonts w:hint="eastAsia" w:ascii="宋体" w:hAnsi="宋体" w:eastAsia="宋体" w:cs="宋体"/>
                <w:i w:val="0"/>
                <w:iCs w:val="0"/>
                <w:color w:val="000000"/>
                <w:sz w:val="20"/>
                <w:szCs w:val="20"/>
                <w:u w:val="none"/>
              </w:rPr>
            </w:pPr>
          </w:p>
        </w:tc>
      </w:tr>
      <w:tr w14:paraId="43CB8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14:paraId="362E56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540" w:type="dxa"/>
            <w:vMerge w:val="restart"/>
            <w:tcBorders>
              <w:top w:val="single" w:color="000000" w:sz="4" w:space="0"/>
              <w:left w:val="single" w:color="000000" w:sz="4" w:space="0"/>
              <w:bottom w:val="single" w:color="000000" w:sz="4" w:space="0"/>
              <w:right w:val="single" w:color="000000" w:sz="4" w:space="0"/>
            </w:tcBorders>
            <w:noWrap w:val="0"/>
            <w:vAlign w:val="center"/>
          </w:tcPr>
          <w:p w14:paraId="38F33A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多肿瘤标志物12项联合检测</w:t>
            </w:r>
          </w:p>
        </w:tc>
        <w:tc>
          <w:tcPr>
            <w:tcW w:w="1485"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5FB997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男性检测CA19-9、CA125、CA72-4、AFP、NSE、CEA、Cyfra21-1、T-PSA、F-PSA、PGⅠ、PGⅡ、Pro-GRP。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女性检测CA19-9、CA125、CA72-4、AFP、NSE、CEA、Cyfra21-1、PGⅠ、PGⅡ、CA15-3、β-HCG、Pro-GRP。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83B3A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癌抗原19-9（CA19-9）对胰腺癌、胆道肿癌、胃肠癌等筛查及疗效监测、评估预后有临床重要意义，在急性胰腺炎、胆管炎、胆石症、急性肝炎、肝硬化等也有一定程度增高。</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4B3862E3">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5796CC8">
            <w:pPr>
              <w:jc w:val="center"/>
              <w:rPr>
                <w:rFonts w:hint="eastAsia" w:ascii="宋体" w:hAnsi="宋体" w:eastAsia="宋体" w:cs="宋体"/>
                <w:i w:val="0"/>
                <w:iCs w:val="0"/>
                <w:color w:val="000000"/>
                <w:sz w:val="20"/>
                <w:szCs w:val="20"/>
                <w:u w:val="none"/>
              </w:rPr>
            </w:pP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74E3BA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联合筛查项，选择此项目，则不能选已含有的肿瘤标志物单项筛查项目。</w:t>
            </w:r>
          </w:p>
        </w:tc>
      </w:tr>
      <w:tr w14:paraId="49A51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88FC73">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E22735">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EDD82E0">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CF792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癌抗原（CA125）增高见于妇科及消化道恶性肿瘤，如宫颈癌、乳腺癌、胰腺癌、肝癌、胃癌及肺癌等，也可见于肝硬化、肾衰、孕妇、良性卵巢癌等。</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6204A7F2">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D6D6161">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8E5135">
            <w:pPr>
              <w:jc w:val="center"/>
              <w:rPr>
                <w:rFonts w:hint="eastAsia" w:ascii="宋体" w:hAnsi="宋体" w:eastAsia="宋体" w:cs="宋体"/>
                <w:i w:val="0"/>
                <w:iCs w:val="0"/>
                <w:color w:val="000000"/>
                <w:sz w:val="20"/>
                <w:szCs w:val="20"/>
                <w:u w:val="none"/>
              </w:rPr>
            </w:pPr>
          </w:p>
        </w:tc>
      </w:tr>
      <w:tr w14:paraId="65B32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B72E01">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99C098">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5C56AE5">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84CCA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癌抗原72-4（CA72-4）对胃癌、卵巢粘液性囊腺癌和非小细胞肺癌敏感度较高，对胆道系统肿瘤、结直肠癌、胰腺癌等亦有一定的敏感性。</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3A9DAC8C">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B7E252C">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92D738">
            <w:pPr>
              <w:jc w:val="center"/>
              <w:rPr>
                <w:rFonts w:hint="eastAsia" w:ascii="宋体" w:hAnsi="宋体" w:eastAsia="宋体" w:cs="宋体"/>
                <w:i w:val="0"/>
                <w:iCs w:val="0"/>
                <w:color w:val="000000"/>
                <w:sz w:val="20"/>
                <w:szCs w:val="20"/>
                <w:u w:val="none"/>
              </w:rPr>
            </w:pPr>
          </w:p>
        </w:tc>
      </w:tr>
      <w:tr w14:paraId="27425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8575D3">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2EF796">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79634AE">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31985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甲胎蛋白（AFP）对原发性肝癌的诊断、疗效观察和预后评估有重要的临床意义，在卵巢、胃、胰腺、睾丸等肿瘤及肝炎、肝硬化等疾病也有异常发现。</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67FF5FFF">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450F332">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F625DA">
            <w:pPr>
              <w:jc w:val="center"/>
              <w:rPr>
                <w:rFonts w:hint="eastAsia" w:ascii="宋体" w:hAnsi="宋体" w:eastAsia="宋体" w:cs="宋体"/>
                <w:i w:val="0"/>
                <w:iCs w:val="0"/>
                <w:color w:val="000000"/>
                <w:sz w:val="20"/>
                <w:szCs w:val="20"/>
                <w:u w:val="none"/>
              </w:rPr>
            </w:pPr>
          </w:p>
        </w:tc>
      </w:tr>
      <w:tr w14:paraId="45317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47AE44">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D311AD">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9C2EF88">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9858E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神经元特异性烯醇化酶（NSE）对小细胞肺癌、神经母细胞瘤的早期诊断及评估预后有临床重要意义。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4A74406">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36B0A3D">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DAA03E">
            <w:pPr>
              <w:jc w:val="center"/>
              <w:rPr>
                <w:rFonts w:hint="eastAsia" w:ascii="宋体" w:hAnsi="宋体" w:eastAsia="宋体" w:cs="宋体"/>
                <w:i w:val="0"/>
                <w:iCs w:val="0"/>
                <w:color w:val="000000"/>
                <w:sz w:val="20"/>
                <w:szCs w:val="20"/>
                <w:u w:val="none"/>
              </w:rPr>
            </w:pPr>
          </w:p>
        </w:tc>
      </w:tr>
      <w:tr w14:paraId="05ECF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99A1D1">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42F068">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96EAE29">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BC10A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癌胚抗原（CEA）是广谱性肿瘤标志物，对大肠癌、胰腺癌的筛查、疗效观察和预后评估有重要的临床意义，在胃、乳腺、肺等肿瘤中也可见升高。</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39ED269F">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3F92FF7">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3F9F55">
            <w:pPr>
              <w:jc w:val="center"/>
              <w:rPr>
                <w:rFonts w:hint="eastAsia" w:ascii="宋体" w:hAnsi="宋体" w:eastAsia="宋体" w:cs="宋体"/>
                <w:i w:val="0"/>
                <w:iCs w:val="0"/>
                <w:color w:val="000000"/>
                <w:sz w:val="20"/>
                <w:szCs w:val="20"/>
                <w:u w:val="none"/>
              </w:rPr>
            </w:pPr>
          </w:p>
        </w:tc>
      </w:tr>
      <w:tr w14:paraId="0D539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7FADBB">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1B0FD0">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04D94B8">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C3B1C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细胞角蛋白（Cyfra21-1）对肺癌的早期诊断及评估预后，乳腺、卵巢、食道、胃肠道癌的筛查有临床重要意义。</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52D28DB3">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FF79998">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5137F3">
            <w:pPr>
              <w:jc w:val="center"/>
              <w:rPr>
                <w:rFonts w:hint="eastAsia" w:ascii="宋体" w:hAnsi="宋体" w:eastAsia="宋体" w:cs="宋体"/>
                <w:i w:val="0"/>
                <w:iCs w:val="0"/>
                <w:color w:val="000000"/>
                <w:sz w:val="20"/>
                <w:szCs w:val="20"/>
                <w:u w:val="none"/>
              </w:rPr>
            </w:pPr>
          </w:p>
        </w:tc>
      </w:tr>
      <w:tr w14:paraId="7FFBD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5DA2F1">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87F827">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0E80BB5">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4968B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列腺肿瘤标志物组合(T-PSA、F-PSA)，前列腺特异性抗原PSA通常用于男性前列腺癌的辅助诊断和评价前列腺癌治疗和特定治疗后的健康情况，与游离前列腺特异性抗原FPSA结果相配合，可用于前列腺癌和前列腺的良性增生的辅助诊断。</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539F2A28">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A73A316">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89FB6F">
            <w:pPr>
              <w:jc w:val="center"/>
              <w:rPr>
                <w:rFonts w:hint="eastAsia" w:ascii="宋体" w:hAnsi="宋体" w:eastAsia="宋体" w:cs="宋体"/>
                <w:i w:val="0"/>
                <w:iCs w:val="0"/>
                <w:color w:val="000000"/>
                <w:sz w:val="20"/>
                <w:szCs w:val="20"/>
                <w:u w:val="none"/>
              </w:rPr>
            </w:pPr>
          </w:p>
        </w:tc>
      </w:tr>
      <w:tr w14:paraId="777FC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45410B">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0001EC">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EB72FCD">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2F254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胃蛋白酶原二项(PGⅠ及Ⅱ)反映胃粘膜的变化，是诊断胃部病变的辅助依据。胃蛋白酶原I/胃蛋白酶原II比值低于正常值时，对慢性萎缩性胃炎特异性较高。</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5D8EBBB8">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7A57231">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2B0533">
            <w:pPr>
              <w:jc w:val="center"/>
              <w:rPr>
                <w:rFonts w:hint="eastAsia" w:ascii="宋体" w:hAnsi="宋体" w:eastAsia="宋体" w:cs="宋体"/>
                <w:i w:val="0"/>
                <w:iCs w:val="0"/>
                <w:color w:val="000000"/>
                <w:sz w:val="20"/>
                <w:szCs w:val="20"/>
                <w:u w:val="none"/>
              </w:rPr>
            </w:pPr>
          </w:p>
        </w:tc>
      </w:tr>
      <w:tr w14:paraId="1E87E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8990EC">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C792F6">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461E0F3">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44327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癌抗原15-3（CA15-3）在乳腺癌时可明显升高，对于乳腺癌疗效监测、预后判断有重要意义，还可见于子宫、卵巢、肝、胰腺、结肠、肺癌等；有一些良性乳腺、肝、肺疾病中也可见增高。</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4E4EE1B7">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BD89AA0">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8743C0">
            <w:pPr>
              <w:jc w:val="center"/>
              <w:rPr>
                <w:rFonts w:hint="eastAsia" w:ascii="宋体" w:hAnsi="宋体" w:eastAsia="宋体" w:cs="宋体"/>
                <w:i w:val="0"/>
                <w:iCs w:val="0"/>
                <w:color w:val="000000"/>
                <w:sz w:val="20"/>
                <w:szCs w:val="20"/>
                <w:u w:val="none"/>
              </w:rPr>
            </w:pPr>
          </w:p>
        </w:tc>
      </w:tr>
      <w:tr w14:paraId="3F31F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47D89E">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297761">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F5322CB">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D7C91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人绒毛膜促性腺激素（β-HCG）对早期妊娠诊断有重要意义，对与妊娠相关疾病、滋养细胞肿瘤等疾病的筛查等有一定价值。</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5DC01061">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E35C887">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971369">
            <w:pPr>
              <w:jc w:val="center"/>
              <w:rPr>
                <w:rFonts w:hint="eastAsia" w:ascii="宋体" w:hAnsi="宋体" w:eastAsia="宋体" w:cs="宋体"/>
                <w:i w:val="0"/>
                <w:iCs w:val="0"/>
                <w:color w:val="000000"/>
                <w:sz w:val="20"/>
                <w:szCs w:val="20"/>
                <w:u w:val="none"/>
              </w:rPr>
            </w:pPr>
          </w:p>
        </w:tc>
      </w:tr>
      <w:tr w14:paraId="1DAE3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E1934B">
            <w:pPr>
              <w:jc w:val="center"/>
              <w:rPr>
                <w:rFonts w:hint="eastAsia" w:ascii="宋体" w:hAnsi="宋体" w:eastAsia="宋体" w:cs="宋体"/>
                <w:i w:val="0"/>
                <w:iCs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06F156">
            <w:pPr>
              <w:jc w:val="center"/>
              <w:rPr>
                <w:rFonts w:hint="eastAsia" w:ascii="宋体" w:hAnsi="宋体" w:eastAsia="宋体" w:cs="宋体"/>
                <w:i w:val="0"/>
                <w:iCs w:val="0"/>
                <w:color w:val="000000"/>
                <w:sz w:val="20"/>
                <w:szCs w:val="20"/>
                <w:u w:val="none"/>
              </w:rPr>
            </w:pPr>
          </w:p>
        </w:tc>
        <w:tc>
          <w:tcPr>
            <w:tcW w:w="1485"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ECB318B">
            <w:pPr>
              <w:jc w:val="center"/>
              <w:rPr>
                <w:rFonts w:hint="eastAsia" w:ascii="宋体" w:hAnsi="宋体" w:eastAsia="宋体" w:cs="宋体"/>
                <w:i w:val="0"/>
                <w:iCs w:val="0"/>
                <w:color w:val="000000"/>
                <w:sz w:val="20"/>
                <w:szCs w:val="20"/>
                <w:u w:val="none"/>
              </w:rPr>
            </w:pP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F915B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胃泌素释放肽前体（Pro-GRP）对肺癌的鉴别诊断具有重要意义，是鉴别小细胞肺癌和非小细胞肺癌的主要指标。</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075E1E3">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24827CC">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67A543">
            <w:pPr>
              <w:jc w:val="center"/>
              <w:rPr>
                <w:rFonts w:hint="eastAsia" w:ascii="宋体" w:hAnsi="宋体" w:eastAsia="宋体" w:cs="宋体"/>
                <w:i w:val="0"/>
                <w:iCs w:val="0"/>
                <w:color w:val="000000"/>
                <w:sz w:val="20"/>
                <w:szCs w:val="20"/>
                <w:u w:val="none"/>
              </w:rPr>
            </w:pPr>
          </w:p>
        </w:tc>
      </w:tr>
      <w:tr w14:paraId="3EA94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71957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2225D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甲胎蛋白（AFP，化学发光法）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4035D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AFP对原发性肝癌的诊断、疗效观察和预后评估有重要的临床意义，在卵巢、胃、胰腺、睾丸等肿瘤及肝炎、肝硬化等疾病也有异常发现。</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3F82775">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3FB4375">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D7BB64F">
            <w:pPr>
              <w:jc w:val="center"/>
              <w:rPr>
                <w:rFonts w:hint="eastAsia" w:ascii="宋体" w:hAnsi="宋体" w:eastAsia="宋体" w:cs="宋体"/>
                <w:i w:val="0"/>
                <w:iCs w:val="0"/>
                <w:color w:val="000000"/>
                <w:sz w:val="20"/>
                <w:szCs w:val="20"/>
                <w:u w:val="none"/>
              </w:rPr>
            </w:pPr>
          </w:p>
        </w:tc>
      </w:tr>
      <w:tr w14:paraId="314F1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343AB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90122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癌胚抗原CEA（CEA，化学发光法）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EB8CE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CEA是广谱性肿瘤标志物，对大肠癌、胰腺癌的筛查、疗效观察和预后评估有重要的临床意义，在胃、乳腺、肺等肿瘤中也可见升高。</w:t>
            </w:r>
          </w:p>
        </w:tc>
        <w:tc>
          <w:tcPr>
            <w:tcW w:w="495" w:type="dxa"/>
            <w:tcBorders>
              <w:top w:val="single" w:color="000000" w:sz="4" w:space="0"/>
              <w:left w:val="single" w:color="000000" w:sz="4" w:space="0"/>
              <w:bottom w:val="single" w:color="000000" w:sz="4" w:space="0"/>
              <w:right w:val="single" w:color="000000" w:sz="4" w:space="0"/>
            </w:tcBorders>
            <w:noWrap/>
            <w:vAlign w:val="center"/>
          </w:tcPr>
          <w:p w14:paraId="1FB76D30">
            <w:pP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ign w:val="center"/>
          </w:tcPr>
          <w:p w14:paraId="1AA900CF">
            <w:pP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352ECD6D">
            <w:pPr>
              <w:rPr>
                <w:rFonts w:hint="eastAsia" w:ascii="宋体" w:hAnsi="宋体" w:eastAsia="宋体" w:cs="宋体"/>
                <w:i w:val="0"/>
                <w:iCs w:val="0"/>
                <w:color w:val="000000"/>
                <w:sz w:val="20"/>
                <w:szCs w:val="20"/>
                <w:u w:val="none"/>
              </w:rPr>
            </w:pPr>
          </w:p>
        </w:tc>
      </w:tr>
      <w:tr w14:paraId="7229F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53650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7AF4A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糖类抗原199测定（CA19-9，化学发光法）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EF2CC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癌抗原19-9（CA19-9）对胰腺癌、胆道肿癌、胃肠癌等筛查及疗效监测、评估预后有临床重要意义，在急性胰腺炎、胆管炎、胆石症、急性肝炎、肝硬化等也有一定程度增高。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E90B1A0">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2F9AADD">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2FAA979D">
            <w:pPr>
              <w:rPr>
                <w:rFonts w:hint="eastAsia" w:ascii="宋体" w:hAnsi="宋体" w:eastAsia="宋体" w:cs="宋体"/>
                <w:i w:val="0"/>
                <w:iCs w:val="0"/>
                <w:color w:val="000000"/>
                <w:sz w:val="20"/>
                <w:szCs w:val="20"/>
                <w:u w:val="none"/>
              </w:rPr>
            </w:pPr>
          </w:p>
        </w:tc>
      </w:tr>
      <w:tr w14:paraId="26756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37559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7EEFC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糖类抗原CA24-2</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B1EBC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是一种糖类抗原，主要用于胃癌、结直肠癌、食道癌、胰腺癌等消化道肿瘤辅助筛查。</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36B5164">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1FA3303">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55A16D9A">
            <w:pPr>
              <w:rPr>
                <w:rFonts w:hint="eastAsia" w:ascii="宋体" w:hAnsi="宋体" w:eastAsia="宋体" w:cs="宋体"/>
                <w:i w:val="0"/>
                <w:iCs w:val="0"/>
                <w:color w:val="000000"/>
                <w:sz w:val="20"/>
                <w:szCs w:val="20"/>
                <w:u w:val="none"/>
              </w:rPr>
            </w:pPr>
          </w:p>
        </w:tc>
      </w:tr>
      <w:tr w14:paraId="1559B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8D543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8375F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糖类抗原CA72-4测定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8E891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胃癌首选标志物。部分卵巢癌、结肠癌、乳腺癌以及胰腺癌亦有一定敏感性。</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4FE05E4">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659B1A7">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44D279E7">
            <w:pPr>
              <w:rPr>
                <w:rFonts w:hint="eastAsia" w:ascii="宋体" w:hAnsi="宋体" w:eastAsia="宋体" w:cs="宋体"/>
                <w:i w:val="0"/>
                <w:iCs w:val="0"/>
                <w:color w:val="000000"/>
                <w:sz w:val="20"/>
                <w:szCs w:val="20"/>
                <w:u w:val="none"/>
              </w:rPr>
            </w:pPr>
          </w:p>
        </w:tc>
      </w:tr>
      <w:tr w14:paraId="03A2B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C793B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9B319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糖类抗原CA50测定（化学发光法）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AEA66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广谱肿瘤标志物；对胰腺、肝胆系、卵巢、结肠、乳腺、子宫癌的筛查及预后判断、疗效监测有重要意义；慢性肝病、胰腺炎、胆管疾病时可升高。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D099A29">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823BCA1">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4ADD48C5">
            <w:pPr>
              <w:rPr>
                <w:rFonts w:hint="eastAsia" w:ascii="宋体" w:hAnsi="宋体" w:eastAsia="宋体" w:cs="宋体"/>
                <w:i w:val="0"/>
                <w:iCs w:val="0"/>
                <w:color w:val="000000"/>
                <w:sz w:val="20"/>
                <w:szCs w:val="20"/>
                <w:u w:val="none"/>
              </w:rPr>
            </w:pPr>
          </w:p>
        </w:tc>
      </w:tr>
      <w:tr w14:paraId="792D0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B1CF3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DEA3F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细胞角蛋白19片段(CYFRA21-1)测定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D6B48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肺癌标志物(总敏感性约为47%,非小细胞肺癌约50%,小细胞肺癌约34%,鳞癌达60%)。与CEA、SCC等其他标志物联合测定，可提高诊断的敏感性。</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7AB6C95">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FABE660">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6CEA4966">
            <w:pPr>
              <w:rPr>
                <w:rFonts w:hint="eastAsia" w:ascii="宋体" w:hAnsi="宋体" w:eastAsia="宋体" w:cs="宋体"/>
                <w:i w:val="0"/>
                <w:iCs w:val="0"/>
                <w:color w:val="000000"/>
                <w:sz w:val="20"/>
                <w:szCs w:val="20"/>
                <w:u w:val="none"/>
              </w:rPr>
            </w:pPr>
          </w:p>
        </w:tc>
      </w:tr>
      <w:tr w14:paraId="163E3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26BCAB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AF25B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人附睾分泌蛋白(HE4)测定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1BC5A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人附睾分泌蛋白(HE4)是卵巢癌检测敏感性较高的肿瘤标志物，特别是早期无症状的I期卵巢癌，敏感性可达49%</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6FCF616">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A8B1E8B">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420D33FD">
            <w:pPr>
              <w:rPr>
                <w:rFonts w:hint="eastAsia" w:ascii="宋体" w:hAnsi="宋体" w:eastAsia="宋体" w:cs="宋体"/>
                <w:i w:val="0"/>
                <w:iCs w:val="0"/>
                <w:color w:val="000000"/>
                <w:sz w:val="20"/>
                <w:szCs w:val="20"/>
                <w:u w:val="none"/>
              </w:rPr>
            </w:pPr>
          </w:p>
        </w:tc>
      </w:tr>
      <w:tr w14:paraId="73E5B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F7001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ECEF6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神经元特异性烯醇化酶（ＮＳＥ）（肺）</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96BCD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是监测小细胞肺癌的首选标志物。神经母细胞瘤、支气管癌、精原细胞瘤、良性肺病和中枢系统疾病，NSE也可升高。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9B52705">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53CC5B2">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0197836E">
            <w:pPr>
              <w:rPr>
                <w:rFonts w:hint="eastAsia" w:ascii="宋体" w:hAnsi="宋体" w:eastAsia="宋体" w:cs="宋体"/>
                <w:i w:val="0"/>
                <w:iCs w:val="0"/>
                <w:color w:val="000000"/>
                <w:sz w:val="20"/>
                <w:szCs w:val="20"/>
                <w:u w:val="none"/>
              </w:rPr>
            </w:pPr>
          </w:p>
        </w:tc>
      </w:tr>
      <w:tr w14:paraId="1D147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9B21E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53128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胃泌素释放肽前体(ProGRP)测定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9725B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胃泌素释放肽前体(ProGRP)是小细胞肺癌的一个非常可靠的指标，具有很好的灵敏度和特异性，为判断肺部结节是否为肺癌提供早期信息。</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52EEAFFA">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2F32601">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3307F69D">
            <w:pPr>
              <w:rPr>
                <w:rFonts w:hint="eastAsia" w:ascii="宋体" w:hAnsi="宋体" w:eastAsia="宋体" w:cs="宋体"/>
                <w:i w:val="0"/>
                <w:iCs w:val="0"/>
                <w:color w:val="000000"/>
                <w:sz w:val="20"/>
                <w:szCs w:val="20"/>
                <w:u w:val="none"/>
              </w:rPr>
            </w:pPr>
          </w:p>
        </w:tc>
      </w:tr>
      <w:tr w14:paraId="5BB05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36B12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1514ED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恶性肿瘤特异生长因子(TSGF)测定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5BF2A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是恶性肿瘤及其周边毛细血管大量扩增的结果，并随着肿瘤的形成和增长逐渐释放到外周血液。</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DBF163D">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9738863">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5C48B798">
            <w:pPr>
              <w:rPr>
                <w:rFonts w:hint="eastAsia" w:ascii="宋体" w:hAnsi="宋体" w:eastAsia="宋体" w:cs="宋体"/>
                <w:i w:val="0"/>
                <w:iCs w:val="0"/>
                <w:color w:val="000000"/>
                <w:sz w:val="20"/>
                <w:szCs w:val="20"/>
                <w:u w:val="none"/>
              </w:rPr>
            </w:pPr>
          </w:p>
        </w:tc>
      </w:tr>
      <w:tr w14:paraId="4FE5C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A0CFC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C65CC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前列腺小体外泄蛋检测(PSEP)</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B963C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目前唯一通过尿液检测慢性非细菌性前列腺炎的指标，可用于前列腺炎的诊断、用药诊疗评价和预后评价。</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D7ED895">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FFEF575">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5D582E6D">
            <w:pPr>
              <w:rPr>
                <w:rFonts w:hint="eastAsia" w:ascii="宋体" w:hAnsi="宋体" w:eastAsia="宋体" w:cs="宋体"/>
                <w:i w:val="0"/>
                <w:iCs w:val="0"/>
                <w:color w:val="000000"/>
                <w:sz w:val="20"/>
                <w:szCs w:val="20"/>
                <w:u w:val="none"/>
              </w:rPr>
            </w:pPr>
          </w:p>
        </w:tc>
      </w:tr>
      <w:tr w14:paraId="524C7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F9720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270A0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总前列腺特异性抗原检测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(TPSE，化学发光法P)</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62DA5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TPSA测定有助于前列腺癌早期诊断，监测治疗反应及判断预后，也可用于高危人群前列腺癌的普查</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8370DFB">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8E10884">
            <w:pPr>
              <w:jc w:val="center"/>
              <w:rPr>
                <w:rFonts w:hint="eastAsia" w:ascii="宋体" w:hAnsi="宋体" w:eastAsia="宋体" w:cs="宋体"/>
                <w:i w:val="0"/>
                <w:iCs w:val="0"/>
                <w:color w:val="000000"/>
                <w:sz w:val="20"/>
                <w:szCs w:val="20"/>
                <w:u w:val="none"/>
              </w:rPr>
            </w:pP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5D67CB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建议两项联合筛查</w:t>
            </w:r>
          </w:p>
        </w:tc>
      </w:tr>
      <w:tr w14:paraId="1AA20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D7CEF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540CF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游离前列腺特异性抗原(FPSA)测定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6280B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前列腺癌的辅助标志物，用于前列腺癌的鉴别诊断。</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D70BAD3">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BF14746">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BD8465">
            <w:pPr>
              <w:jc w:val="center"/>
              <w:rPr>
                <w:rFonts w:hint="eastAsia" w:ascii="宋体" w:hAnsi="宋体" w:eastAsia="宋体" w:cs="宋体"/>
                <w:i w:val="0"/>
                <w:iCs w:val="0"/>
                <w:color w:val="000000"/>
                <w:sz w:val="20"/>
                <w:szCs w:val="20"/>
                <w:u w:val="none"/>
              </w:rPr>
            </w:pPr>
          </w:p>
        </w:tc>
      </w:tr>
      <w:tr w14:paraId="66B0C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7779D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843B1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癌抗原125（CA125，化学发光法）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453135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CA125增高见于妇科及消化道恶性肿瘤，如宫颈癌、乳腺癌、胰腺癌、肝癌、胃癌及肺癌等，也可见于肝硬化、肾衰、孕妇、良性卵巢癌等。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794B387">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B2A73EC">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62A4D996">
            <w:pPr>
              <w:rPr>
                <w:rFonts w:hint="eastAsia" w:ascii="宋体" w:hAnsi="宋体" w:eastAsia="宋体" w:cs="宋体"/>
                <w:i w:val="0"/>
                <w:iCs w:val="0"/>
                <w:color w:val="000000"/>
                <w:sz w:val="20"/>
                <w:szCs w:val="20"/>
                <w:u w:val="none"/>
              </w:rPr>
            </w:pPr>
          </w:p>
        </w:tc>
      </w:tr>
      <w:tr w14:paraId="7C289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41E7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7BA6E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鳞状细胞癌癌相关抗原测定（SCC，化学发光法）</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00F91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SCC测定对子宫颈癌有较高的诊断价值；还可以辅助诊断肺鳞癌、食管鳞癌、头颈癌、外阴癌、膀胱癌、肛管癌、皮肤癌等。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061E443">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2968C4C">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350482A">
            <w:pPr>
              <w:rPr>
                <w:rFonts w:hint="eastAsia" w:ascii="宋体" w:hAnsi="宋体" w:eastAsia="宋体" w:cs="宋体"/>
                <w:i w:val="0"/>
                <w:iCs w:val="0"/>
                <w:color w:val="000000"/>
                <w:sz w:val="20"/>
                <w:szCs w:val="20"/>
                <w:u w:val="none"/>
              </w:rPr>
            </w:pPr>
          </w:p>
        </w:tc>
      </w:tr>
      <w:tr w14:paraId="0AF5B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940B9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76A558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EB病毒抗体筛查试验</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92F4B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检查EB病毒三项：EVB-CA、EVB-EA、EB病毒Rta蛋白抗体检测，早期筛查传染性单核细胞增多症、鼻咽癌等。</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0EF222F8">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222B356">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F5ED0C4">
            <w:pPr>
              <w:rPr>
                <w:rFonts w:hint="eastAsia" w:ascii="宋体" w:hAnsi="宋体" w:eastAsia="宋体" w:cs="宋体"/>
                <w:i w:val="0"/>
                <w:iCs w:val="0"/>
                <w:color w:val="000000"/>
                <w:sz w:val="20"/>
                <w:szCs w:val="20"/>
                <w:u w:val="none"/>
              </w:rPr>
            </w:pPr>
          </w:p>
        </w:tc>
      </w:tr>
      <w:tr w14:paraId="1AA2F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38B7C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58EDC3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尿核基质蛋白22测定（NMP22）</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0FAD86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尿核基质蛋白22在膀胱癌诊断中的特异性和敏感性均较高，有助于检测膀胱病变，筛查膀胱癌。</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7E18FFD8">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D86361D">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99A95B5">
            <w:pPr>
              <w:rPr>
                <w:rFonts w:hint="eastAsia" w:ascii="宋体" w:hAnsi="宋体" w:eastAsia="宋体" w:cs="宋体"/>
                <w:i w:val="0"/>
                <w:iCs w:val="0"/>
                <w:color w:val="000000"/>
                <w:sz w:val="20"/>
                <w:szCs w:val="20"/>
                <w:u w:val="none"/>
              </w:rPr>
            </w:pPr>
          </w:p>
        </w:tc>
      </w:tr>
      <w:tr w14:paraId="22533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103060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08FE7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血管內皮因子测定（VEGF）</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6EF4A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VEGF是肿瘤血管生成的最有效的刺激因子，通过对血清中血管内皮生长因子浓度的定量分析和动态变化的观察，对血管新生相关疾病、肿瘤早期筛查、病情监测、预后评估等方面具有创新性的辅助诊断价值。此项目适合35岁以上人群选择。</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844AD9D">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01BDB74">
            <w:pPr>
              <w:jc w:val="center"/>
              <w:rPr>
                <w:rFonts w:hint="eastAsia" w:ascii="宋体" w:hAnsi="宋体" w:eastAsia="宋体" w:cs="宋体"/>
                <w:i w:val="0"/>
                <w:iCs w:val="0"/>
                <w:color w:val="000000"/>
                <w:sz w:val="20"/>
                <w:szCs w:val="20"/>
                <w:u w:val="none"/>
              </w:rPr>
            </w:pP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044133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VEGF和STK1两者建议二选一</w:t>
            </w:r>
          </w:p>
        </w:tc>
      </w:tr>
      <w:tr w14:paraId="2AAB5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49B073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F27E6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细胞周期分析（STK1）</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21BFC3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TK1可作为恶性肿瘤细胞快速增值的“分子探照灯”，STK1升高或持续增高提示肿瘤细胞增生活跃，标志癌症即将形成。此外，STK1作为肿瘤增值指标可以评判肿瘤的恶性程度，评价恶性肿瘤治疗效果，与其他传统肿瘤标致物联合检测，可作为肿瘤复发与转移风险警示的有效手段，以及生存期预测。</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84B8318">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16CDF71">
            <w:pPr>
              <w:jc w:val="center"/>
              <w:rPr>
                <w:rFonts w:hint="eastAsia" w:ascii="宋体" w:hAnsi="宋体" w:eastAsia="宋体" w:cs="宋体"/>
                <w:i w:val="0"/>
                <w:iCs w:val="0"/>
                <w:color w:val="000000"/>
                <w:sz w:val="20"/>
                <w:szCs w:val="20"/>
                <w:u w:val="none"/>
              </w:rPr>
            </w:pP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60915C">
            <w:pPr>
              <w:jc w:val="center"/>
              <w:rPr>
                <w:rFonts w:hint="eastAsia" w:ascii="宋体" w:hAnsi="宋体" w:eastAsia="宋体" w:cs="宋体"/>
                <w:i w:val="0"/>
                <w:iCs w:val="0"/>
                <w:color w:val="000000"/>
                <w:sz w:val="20"/>
                <w:szCs w:val="20"/>
                <w:u w:val="none"/>
              </w:rPr>
            </w:pPr>
          </w:p>
        </w:tc>
      </w:tr>
      <w:tr w14:paraId="2376F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420" w:type="dxa"/>
            <w:gridSpan w:val="8"/>
            <w:tcBorders>
              <w:top w:val="single" w:color="000000" w:sz="4" w:space="0"/>
              <w:left w:val="single" w:color="000000" w:sz="4" w:space="0"/>
              <w:bottom w:val="single" w:color="000000" w:sz="4" w:space="0"/>
              <w:right w:val="single" w:color="000000" w:sz="4" w:space="0"/>
            </w:tcBorders>
            <w:noWrap w:val="0"/>
            <w:vAlign w:val="center"/>
          </w:tcPr>
          <w:p w14:paraId="62FB83C3">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三、女员工专项检查★</w:t>
            </w:r>
          </w:p>
        </w:tc>
      </w:tr>
      <w:tr w14:paraId="11904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14:paraId="790E871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202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360F0C4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体检项目</w:t>
            </w:r>
          </w:p>
        </w:tc>
        <w:tc>
          <w:tcPr>
            <w:tcW w:w="4245" w:type="dxa"/>
            <w:vMerge w:val="restart"/>
            <w:tcBorders>
              <w:top w:val="single" w:color="000000" w:sz="4" w:space="0"/>
              <w:left w:val="single" w:color="000000" w:sz="4" w:space="0"/>
              <w:bottom w:val="single" w:color="000000" w:sz="4" w:space="0"/>
              <w:right w:val="single" w:color="000000" w:sz="4" w:space="0"/>
            </w:tcBorders>
            <w:noWrap w:val="0"/>
            <w:vAlign w:val="center"/>
          </w:tcPr>
          <w:p w14:paraId="31ED9C7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检查意义</w:t>
            </w:r>
          </w:p>
        </w:tc>
        <w:tc>
          <w:tcPr>
            <w:tcW w:w="1065" w:type="dxa"/>
            <w:gridSpan w:val="2"/>
            <w:tcBorders>
              <w:top w:val="single" w:color="000000" w:sz="4" w:space="0"/>
              <w:left w:val="single" w:color="000000" w:sz="4" w:space="0"/>
              <w:bottom w:val="single" w:color="000000" w:sz="4" w:space="0"/>
              <w:right w:val="single" w:color="000000" w:sz="4" w:space="0"/>
            </w:tcBorders>
            <w:noWrap w:val="0"/>
            <w:vAlign w:val="center"/>
          </w:tcPr>
          <w:p w14:paraId="66E5018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拟定方案</w:t>
            </w:r>
          </w:p>
        </w:tc>
        <w:tc>
          <w:tcPr>
            <w:tcW w:w="1440" w:type="dxa"/>
            <w:vMerge w:val="restart"/>
            <w:tcBorders>
              <w:top w:val="single" w:color="000000" w:sz="4" w:space="0"/>
              <w:left w:val="single" w:color="000000" w:sz="4" w:space="0"/>
              <w:bottom w:val="single" w:color="000000" w:sz="4" w:space="0"/>
              <w:right w:val="single" w:color="000000" w:sz="4" w:space="0"/>
            </w:tcBorders>
            <w:noWrap w:val="0"/>
            <w:vAlign w:val="center"/>
          </w:tcPr>
          <w:p w14:paraId="3036D04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6602C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8265CE">
            <w:pPr>
              <w:jc w:val="center"/>
              <w:rPr>
                <w:rFonts w:hint="eastAsia" w:ascii="宋体" w:hAnsi="宋体" w:eastAsia="宋体" w:cs="宋体"/>
                <w:b/>
                <w:bCs/>
                <w:i w:val="0"/>
                <w:iCs w:val="0"/>
                <w:color w:val="000000"/>
                <w:sz w:val="20"/>
                <w:szCs w:val="20"/>
                <w:u w:val="none"/>
              </w:rPr>
            </w:pPr>
          </w:p>
        </w:tc>
        <w:tc>
          <w:tcPr>
            <w:tcW w:w="202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278EA9A5">
            <w:pPr>
              <w:jc w:val="center"/>
              <w:rPr>
                <w:rFonts w:hint="eastAsia" w:ascii="宋体" w:hAnsi="宋体" w:eastAsia="宋体" w:cs="宋体"/>
                <w:b/>
                <w:bCs/>
                <w:i w:val="0"/>
                <w:iCs w:val="0"/>
                <w:color w:val="000000"/>
                <w:sz w:val="20"/>
                <w:szCs w:val="20"/>
                <w:u w:val="none"/>
              </w:rPr>
            </w:pPr>
          </w:p>
        </w:tc>
        <w:tc>
          <w:tcPr>
            <w:tcW w:w="4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F95D1B">
            <w:pPr>
              <w:jc w:val="center"/>
              <w:rPr>
                <w:rFonts w:hint="eastAsia" w:ascii="宋体" w:hAnsi="宋体" w:eastAsia="宋体" w:cs="宋体"/>
                <w:b/>
                <w:bCs/>
                <w:i w:val="0"/>
                <w:iCs w:val="0"/>
                <w:color w:val="000000"/>
                <w:sz w:val="20"/>
                <w:szCs w:val="20"/>
                <w:u w:val="none"/>
              </w:rPr>
            </w:pP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4D4DEB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女已婚</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936808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女未婚</w:t>
            </w:r>
          </w:p>
        </w:tc>
        <w:tc>
          <w:tcPr>
            <w:tcW w:w="14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A31E62">
            <w:pPr>
              <w:jc w:val="center"/>
              <w:rPr>
                <w:rFonts w:hint="eastAsia" w:ascii="宋体" w:hAnsi="宋体" w:eastAsia="宋体" w:cs="宋体"/>
                <w:b/>
                <w:bCs/>
                <w:i w:val="0"/>
                <w:iCs w:val="0"/>
                <w:color w:val="000000"/>
                <w:sz w:val="20"/>
                <w:szCs w:val="20"/>
                <w:u w:val="none"/>
              </w:rPr>
            </w:pPr>
          </w:p>
        </w:tc>
      </w:tr>
      <w:tr w14:paraId="292C6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7A8E9E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4574AE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经腹/经阴妇科彩超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(含超声计算机图文报告）)</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5D690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通过彩色超声仪器观察盆腔子宫及附件、形态结构及内部回声的情况，了解病变的性质，判别有无纳囊，肌瘤及子宫癌等病变。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338178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CEDB1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7BCEE8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如员工有需求，可免费升级为经阴彩超</w:t>
            </w:r>
          </w:p>
        </w:tc>
      </w:tr>
      <w:tr w14:paraId="401B6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3A621F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36EDFA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乳腺彩超（含超声计算机图文报告）</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5639A4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通过彩色超声仪器检查乳腺，发现乳腺增生、肿物、结节、囊肿、腺瘤、乳腺癌等病变。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B5472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18DED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8EABC46">
            <w:pPr>
              <w:rPr>
                <w:rFonts w:hint="eastAsia" w:ascii="宋体" w:hAnsi="宋体" w:eastAsia="宋体" w:cs="宋体"/>
                <w:i w:val="0"/>
                <w:iCs w:val="0"/>
                <w:color w:val="000000"/>
                <w:sz w:val="22"/>
                <w:szCs w:val="22"/>
                <w:u w:val="none"/>
              </w:rPr>
            </w:pPr>
          </w:p>
        </w:tc>
      </w:tr>
      <w:tr w14:paraId="39B5B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24211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FBE6A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妇科检查</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6527BE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主要判断外阴、阴道、宫颈等部位的病变情况。</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269958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9593A65">
            <w:pPr>
              <w:jc w:val="left"/>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6BD8A34">
            <w:pPr>
              <w:rPr>
                <w:rFonts w:hint="eastAsia" w:ascii="宋体" w:hAnsi="宋体" w:eastAsia="宋体" w:cs="宋体"/>
                <w:i w:val="0"/>
                <w:iCs w:val="0"/>
                <w:color w:val="000000"/>
                <w:sz w:val="22"/>
                <w:szCs w:val="22"/>
                <w:u w:val="none"/>
              </w:rPr>
            </w:pPr>
          </w:p>
        </w:tc>
      </w:tr>
      <w:tr w14:paraId="04123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7A449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5FA5EE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白带常规</w:t>
            </w:r>
          </w:p>
        </w:tc>
        <w:tc>
          <w:tcPr>
            <w:tcW w:w="1485" w:type="dxa"/>
            <w:gridSpan w:val="2"/>
            <w:tcBorders>
              <w:top w:val="single" w:color="000000" w:sz="4" w:space="0"/>
              <w:left w:val="single" w:color="000000" w:sz="4" w:space="0"/>
              <w:bottom w:val="single" w:color="000000" w:sz="4" w:space="0"/>
              <w:right w:val="single" w:color="000000" w:sz="4" w:space="0"/>
            </w:tcBorders>
            <w:noWrap w:val="0"/>
            <w:vAlign w:val="center"/>
          </w:tcPr>
          <w:p w14:paraId="679054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白带清洁度、上皮细胞(白带)、白细胞(白带) 、红细胞(白带)、白带查霉菌、霉菌孢子（阴道）、白带查滴虫、线索细胞</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8AE70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以确定阴道清洁度、PH值及检查阴道内有无滴虫、念珠菌等感染，是筛查阴道炎的有效方法。同时通过阴道炎联合检测，筛查、诊断需氧菌阴道炎、细菌性阴道病、混合感染和其他阴道炎症；有效监测阴道菌群平衡；以便及时治疗或调理阴道“亚健康”。</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41A41B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E697D7E">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8DCE403">
            <w:pPr>
              <w:rPr>
                <w:rFonts w:hint="eastAsia" w:ascii="宋体" w:hAnsi="宋体" w:eastAsia="宋体" w:cs="宋体"/>
                <w:i w:val="0"/>
                <w:iCs w:val="0"/>
                <w:color w:val="000000"/>
                <w:sz w:val="22"/>
                <w:szCs w:val="22"/>
                <w:u w:val="none"/>
              </w:rPr>
            </w:pPr>
          </w:p>
        </w:tc>
      </w:tr>
      <w:tr w14:paraId="3FEAD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5694A1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6E95BD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薄层液基细胞学检查(TCT)</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12B050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是子宫颈癌及其癌前病变较先进的筛查方法，比常规制片效果更清晰、阅片更容易，更清楚的检查生殖道脱落上皮细胞，协助诊断恶性肿瘤及观察其治疗效果。</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85486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10EA771">
            <w:pPr>
              <w:jc w:val="left"/>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FD95CDA">
            <w:pPr>
              <w:jc w:val="left"/>
              <w:rPr>
                <w:rFonts w:hint="eastAsia" w:ascii="宋体" w:hAnsi="宋体" w:eastAsia="宋体" w:cs="宋体"/>
                <w:i w:val="0"/>
                <w:iCs w:val="0"/>
                <w:color w:val="000000"/>
                <w:sz w:val="22"/>
                <w:szCs w:val="22"/>
                <w:u w:val="none"/>
              </w:rPr>
            </w:pPr>
          </w:p>
        </w:tc>
      </w:tr>
      <w:tr w14:paraId="57E6F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6A8417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69C84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人乳头瘤病毒(HPV23型)核酸检测</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3BEAF7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高危型HPV持续感染是子宫颈癌发生的必备条件，其与液基细胞学联合检查对于早期发现子宫颈癌和癌前病变有重要意义。直接反映人体内乳头瘤病毒是否存在，可具体判断出感染型别，为临床诊断宫颈癌提供参考</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1C193D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noWrap/>
            <w:vAlign w:val="center"/>
          </w:tcPr>
          <w:p w14:paraId="41BF4FF0">
            <w:pPr>
              <w:jc w:val="center"/>
              <w:rPr>
                <w:rFonts w:hint="eastAsia" w:ascii="宋体" w:hAnsi="宋体" w:eastAsia="宋体" w:cs="宋体"/>
                <w:i w:val="0"/>
                <w:iCs w:val="0"/>
                <w:color w:val="000000"/>
                <w:sz w:val="20"/>
                <w:szCs w:val="20"/>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02CEBBC">
            <w:pPr>
              <w:jc w:val="left"/>
              <w:rPr>
                <w:rFonts w:hint="eastAsia" w:ascii="宋体" w:hAnsi="宋体" w:eastAsia="宋体" w:cs="宋体"/>
                <w:i w:val="0"/>
                <w:iCs w:val="0"/>
                <w:color w:val="000000"/>
                <w:sz w:val="22"/>
                <w:szCs w:val="22"/>
                <w:u w:val="none"/>
              </w:rPr>
            </w:pPr>
          </w:p>
        </w:tc>
      </w:tr>
      <w:tr w14:paraId="4AA66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14:paraId="0865DC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25" w:type="dxa"/>
            <w:gridSpan w:val="3"/>
            <w:tcBorders>
              <w:top w:val="single" w:color="000000" w:sz="4" w:space="0"/>
              <w:left w:val="single" w:color="000000" w:sz="4" w:space="0"/>
              <w:bottom w:val="single" w:color="000000" w:sz="4" w:space="0"/>
              <w:right w:val="single" w:color="000000" w:sz="4" w:space="0"/>
            </w:tcBorders>
            <w:noWrap w:val="0"/>
            <w:vAlign w:val="center"/>
          </w:tcPr>
          <w:p w14:paraId="211C70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糖类抗原CA15-3测定</w:t>
            </w:r>
          </w:p>
        </w:tc>
        <w:tc>
          <w:tcPr>
            <w:tcW w:w="4245" w:type="dxa"/>
            <w:tcBorders>
              <w:top w:val="single" w:color="000000" w:sz="4" w:space="0"/>
              <w:left w:val="single" w:color="000000" w:sz="4" w:space="0"/>
              <w:bottom w:val="single" w:color="000000" w:sz="4" w:space="0"/>
              <w:right w:val="single" w:color="000000" w:sz="4" w:space="0"/>
            </w:tcBorders>
            <w:noWrap w:val="0"/>
            <w:vAlign w:val="center"/>
          </w:tcPr>
          <w:p w14:paraId="7C28EE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乳腺癌首选标志物，转移性卵巢癌、结肠癌、肝癌、胆管癌、胰腺癌、肺癌等也可见不同程度增高。</w:t>
            </w:r>
          </w:p>
        </w:tc>
        <w:tc>
          <w:tcPr>
            <w:tcW w:w="495" w:type="dxa"/>
            <w:tcBorders>
              <w:top w:val="single" w:color="000000" w:sz="4" w:space="0"/>
              <w:left w:val="single" w:color="000000" w:sz="4" w:space="0"/>
              <w:bottom w:val="single" w:color="000000" w:sz="4" w:space="0"/>
              <w:right w:val="single" w:color="000000" w:sz="4" w:space="0"/>
            </w:tcBorders>
            <w:noWrap w:val="0"/>
            <w:vAlign w:val="center"/>
          </w:tcPr>
          <w:p w14:paraId="60E93875">
            <w:pPr>
              <w:jc w:val="center"/>
              <w:rPr>
                <w:rFonts w:hint="eastAsia" w:ascii="宋体" w:hAnsi="宋体" w:eastAsia="宋体" w:cs="宋体"/>
                <w:i w:val="0"/>
                <w:iCs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0954A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B241EEF">
            <w:pPr>
              <w:rPr>
                <w:rFonts w:hint="eastAsia" w:ascii="宋体" w:hAnsi="宋体" w:eastAsia="宋体" w:cs="宋体"/>
                <w:i w:val="0"/>
                <w:iCs w:val="0"/>
                <w:color w:val="000000"/>
                <w:sz w:val="20"/>
                <w:szCs w:val="20"/>
                <w:u w:val="none"/>
              </w:rPr>
            </w:pPr>
          </w:p>
        </w:tc>
      </w:tr>
    </w:tbl>
    <w:p w14:paraId="43A83FE0">
      <w:pPr>
        <w:keepNext/>
        <w:keepLines/>
        <w:pageBreakBefore w:val="0"/>
        <w:widowControl w:val="0"/>
        <w:numPr>
          <w:ilvl w:val="0"/>
          <w:numId w:val="0"/>
        </w:numPr>
        <w:kinsoku/>
        <w:wordWrap/>
        <w:topLinePunct w:val="0"/>
        <w:bidi w:val="0"/>
        <w:adjustRightInd w:val="0"/>
        <w:snapToGrid w:val="0"/>
        <w:spacing w:before="0" w:after="0" w:line="360" w:lineRule="auto"/>
        <w:jc w:val="both"/>
        <w:textAlignment w:val="auto"/>
        <w:outlineLvl w:val="9"/>
        <w:rPr>
          <w:rFonts w:ascii="宋体" w:hAnsi="宋体" w:eastAsia="黑体" w:cs="Times New Roman"/>
          <w:b/>
          <w:bCs/>
          <w:snapToGrid w:val="0"/>
          <w:color w:val="000000"/>
          <w:kern w:val="0"/>
          <w:sz w:val="28"/>
          <w:szCs w:val="21"/>
          <w:lang w:val="en-US" w:eastAsia="zh-CN" w:bidi="ar-SA"/>
        </w:rPr>
      </w:pPr>
    </w:p>
    <w:p w14:paraId="07FC7A6F">
      <w:pPr>
        <w:overflowPunct w:val="0"/>
        <w:autoSpaceDE w:val="0"/>
        <w:autoSpaceDN w:val="0"/>
        <w:adjustRightInd w:val="0"/>
        <w:snapToGrid w:val="0"/>
        <w:spacing w:line="560" w:lineRule="exact"/>
        <w:ind w:firstLine="420" w:firstLineChars="200"/>
        <w:outlineLvl w:val="9"/>
        <w:rPr>
          <w:rFonts w:hint="default" w:ascii="宋体" w:hAnsi="宋体" w:eastAsia="宋体" w:cs="宋体"/>
          <w:color w:val="auto"/>
          <w:sz w:val="21"/>
          <w:szCs w:val="21"/>
          <w:highlight w:val="none"/>
          <w:lang w:val="en-US" w:eastAsia="zh-CN"/>
        </w:rPr>
      </w:pPr>
    </w:p>
    <w:p w14:paraId="4AA9283E">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20" w:firstLineChars="200"/>
        <w:jc w:val="left"/>
        <w:textAlignment w:val="auto"/>
        <w:outlineLvl w:val="9"/>
        <w:rPr>
          <w:rFonts w:hint="eastAsia" w:ascii="宋体" w:hAnsi="宋体" w:eastAsia="宋体" w:cs="宋体"/>
          <w:color w:val="auto"/>
          <w:sz w:val="21"/>
          <w:szCs w:val="21"/>
          <w:highlight w:val="none"/>
        </w:rPr>
      </w:pPr>
    </w:p>
    <w:p w14:paraId="5EA20A27">
      <w:pPr>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3FEB15F2">
      <w:pPr>
        <w:pStyle w:val="2"/>
        <w:wordWrap w:val="0"/>
        <w:spacing w:line="360" w:lineRule="auto"/>
        <w:ind w:left="0" w:leftChars="0" w:right="0" w:rightChars="0" w:firstLine="0" w:firstLineChars="0"/>
        <w:jc w:val="center"/>
        <w:rPr>
          <w:rFonts w:hAnsi="黑体"/>
          <w:color w:val="auto"/>
          <w:sz w:val="44"/>
          <w:szCs w:val="44"/>
          <w:highlight w:val="none"/>
        </w:rPr>
      </w:pPr>
      <w:bookmarkStart w:id="15" w:name="_Toc15516"/>
      <w:bookmarkStart w:id="16" w:name="_Toc32506"/>
      <w:r>
        <w:rPr>
          <w:rFonts w:hAnsi="黑体"/>
          <w:color w:val="auto"/>
          <w:sz w:val="44"/>
          <w:szCs w:val="44"/>
          <w:highlight w:val="none"/>
        </w:rPr>
        <w:t>第六章</w:t>
      </w:r>
      <w:r>
        <w:rPr>
          <w:rFonts w:hint="eastAsia" w:hAnsi="黑体"/>
          <w:color w:val="auto"/>
          <w:sz w:val="44"/>
          <w:szCs w:val="44"/>
          <w:highlight w:val="none"/>
        </w:rPr>
        <w:t xml:space="preserve"> </w:t>
      </w:r>
      <w:r>
        <w:rPr>
          <w:rFonts w:hAnsi="黑体"/>
          <w:color w:val="auto"/>
          <w:sz w:val="44"/>
          <w:szCs w:val="44"/>
          <w:highlight w:val="none"/>
        </w:rPr>
        <w:t>投标文件格式</w:t>
      </w:r>
      <w:bookmarkEnd w:id="15"/>
      <w:bookmarkEnd w:id="16"/>
    </w:p>
    <w:p w14:paraId="23902659">
      <w:pPr>
        <w:jc w:val="center"/>
        <w:rPr>
          <w:rFonts w:ascii="宋体" w:hAnsi="宋体" w:cs="宋体"/>
          <w:b/>
          <w:bCs/>
          <w:color w:val="auto"/>
          <w:sz w:val="84"/>
          <w:szCs w:val="84"/>
          <w:highlight w:val="none"/>
        </w:rPr>
      </w:pPr>
    </w:p>
    <w:p w14:paraId="4B0C4DFA">
      <w:pPr>
        <w:jc w:val="center"/>
        <w:rPr>
          <w:rFonts w:ascii="宋体" w:hAnsi="宋体" w:cs="宋体"/>
          <w:b/>
          <w:bCs/>
          <w:color w:val="auto"/>
          <w:sz w:val="84"/>
          <w:szCs w:val="84"/>
          <w:highlight w:val="none"/>
        </w:rPr>
      </w:pPr>
    </w:p>
    <w:p w14:paraId="3B7344C9">
      <w:pPr>
        <w:jc w:val="center"/>
        <w:rPr>
          <w:rFonts w:hAnsi="宋体"/>
          <w:color w:val="auto"/>
          <w:szCs w:val="24"/>
          <w:highlight w:val="none"/>
        </w:rPr>
      </w:pPr>
      <w:r>
        <w:rPr>
          <w:rFonts w:ascii="宋体" w:hAnsi="宋体" w:cs="宋体"/>
          <w:b/>
          <w:bCs/>
          <w:color w:val="auto"/>
          <w:sz w:val="84"/>
          <w:szCs w:val="84"/>
          <w:highlight w:val="none"/>
        </w:rPr>
        <w:t>公开招标投标文件</w:t>
      </w:r>
    </w:p>
    <w:p w14:paraId="3073E1AD">
      <w:pPr>
        <w:wordWrap w:val="0"/>
        <w:spacing w:line="360" w:lineRule="auto"/>
        <w:rPr>
          <w:color w:val="auto"/>
          <w:highlight w:val="none"/>
        </w:rPr>
      </w:pPr>
    </w:p>
    <w:p w14:paraId="3CDF6A37">
      <w:pPr>
        <w:wordWrap w:val="0"/>
        <w:spacing w:line="360" w:lineRule="auto"/>
        <w:rPr>
          <w:color w:val="auto"/>
          <w:highlight w:val="none"/>
        </w:rPr>
      </w:pPr>
    </w:p>
    <w:p w14:paraId="13CEE4C5">
      <w:pPr>
        <w:wordWrap w:val="0"/>
        <w:spacing w:line="360" w:lineRule="auto"/>
        <w:rPr>
          <w:color w:val="auto"/>
          <w:highlight w:val="none"/>
        </w:rPr>
      </w:pPr>
    </w:p>
    <w:p w14:paraId="5E26B17A">
      <w:pPr>
        <w:wordWrap w:val="0"/>
        <w:spacing w:line="360" w:lineRule="auto"/>
        <w:rPr>
          <w:color w:val="auto"/>
          <w:highlight w:val="none"/>
        </w:rPr>
      </w:pPr>
    </w:p>
    <w:p w14:paraId="26978154">
      <w:pPr>
        <w:wordWrap w:val="0"/>
        <w:spacing w:line="360" w:lineRule="auto"/>
        <w:rPr>
          <w:color w:val="auto"/>
          <w:highlight w:val="none"/>
        </w:rPr>
      </w:pPr>
    </w:p>
    <w:p w14:paraId="14C9A286">
      <w:pPr>
        <w:wordWrap w:val="0"/>
        <w:spacing w:line="360" w:lineRule="auto"/>
        <w:rPr>
          <w:color w:val="auto"/>
          <w:highlight w:val="none"/>
        </w:rPr>
      </w:pPr>
    </w:p>
    <w:p w14:paraId="422995D2">
      <w:pPr>
        <w:wordWrap w:val="0"/>
        <w:adjustRightInd w:val="0"/>
        <w:snapToGrid w:val="0"/>
        <w:spacing w:line="360" w:lineRule="auto"/>
        <w:ind w:firstLine="321" w:firstLineChars="100"/>
        <w:rPr>
          <w:rFonts w:hint="default" w:hAnsi="宋体" w:eastAsia="宋体" w:cs="宋体"/>
          <w:b/>
          <w:color w:val="auto"/>
          <w:sz w:val="32"/>
          <w:szCs w:val="32"/>
          <w:highlight w:val="none"/>
          <w:lang w:val="en-US" w:eastAsia="zh-CN"/>
        </w:rPr>
      </w:pPr>
      <w:r>
        <w:rPr>
          <w:rFonts w:hint="eastAsia" w:hAnsi="宋体" w:cs="宋体"/>
          <w:b/>
          <w:color w:val="auto"/>
          <w:sz w:val="32"/>
          <w:szCs w:val="32"/>
          <w:highlight w:val="none"/>
        </w:rPr>
        <w:t>项目名称：</w:t>
      </w:r>
      <w:r>
        <w:rPr>
          <w:rFonts w:hint="eastAsia" w:hAnsi="宋体" w:cs="宋体"/>
          <w:b w:val="0"/>
          <w:bCs/>
          <w:color w:val="auto"/>
          <w:sz w:val="32"/>
          <w:szCs w:val="32"/>
          <w:highlight w:val="none"/>
          <w:u w:val="single"/>
          <w:lang w:val="en-US" w:eastAsia="zh-CN"/>
        </w:rPr>
        <w:t xml:space="preserve">                                       </w:t>
      </w:r>
    </w:p>
    <w:p w14:paraId="3F3B5344">
      <w:pPr>
        <w:wordWrap w:val="0"/>
        <w:adjustRightInd w:val="0"/>
        <w:snapToGrid w:val="0"/>
        <w:spacing w:line="360" w:lineRule="auto"/>
        <w:ind w:firstLine="321" w:firstLineChars="100"/>
        <w:rPr>
          <w:rFonts w:hAnsi="宋体" w:cs="宋体"/>
          <w:color w:val="auto"/>
          <w:sz w:val="32"/>
          <w:szCs w:val="32"/>
          <w:highlight w:val="none"/>
        </w:rPr>
      </w:pPr>
      <w:r>
        <w:rPr>
          <w:rFonts w:hint="eastAsia" w:hAnsi="宋体" w:cs="宋体"/>
          <w:b/>
          <w:color w:val="auto"/>
          <w:sz w:val="32"/>
          <w:szCs w:val="32"/>
          <w:highlight w:val="none"/>
        </w:rPr>
        <w:t>招标编号：</w:t>
      </w:r>
      <w:r>
        <w:rPr>
          <w:rFonts w:hint="eastAsia" w:hAnsi="宋体" w:cs="宋体"/>
          <w:bCs/>
          <w:color w:val="auto"/>
          <w:sz w:val="32"/>
          <w:szCs w:val="32"/>
          <w:highlight w:val="none"/>
          <w:u w:val="single"/>
        </w:rPr>
        <w:t xml:space="preserve">                                       </w:t>
      </w:r>
      <w:r>
        <w:rPr>
          <w:rFonts w:hint="eastAsia" w:hAnsi="宋体" w:cs="宋体"/>
          <w:bCs/>
          <w:color w:val="auto"/>
          <w:sz w:val="32"/>
          <w:szCs w:val="32"/>
          <w:highlight w:val="none"/>
        </w:rPr>
        <w:t xml:space="preserve"> </w:t>
      </w:r>
    </w:p>
    <w:p w14:paraId="29CB7D48">
      <w:pPr>
        <w:wordWrap w:val="0"/>
        <w:adjustRightInd w:val="0"/>
        <w:snapToGrid w:val="0"/>
        <w:spacing w:line="360" w:lineRule="auto"/>
        <w:ind w:firstLine="321" w:firstLineChars="100"/>
        <w:rPr>
          <w:rFonts w:hAnsi="宋体" w:cs="宋体"/>
          <w:color w:val="auto"/>
          <w:sz w:val="32"/>
          <w:szCs w:val="32"/>
          <w:highlight w:val="none"/>
        </w:rPr>
      </w:pPr>
      <w:r>
        <w:rPr>
          <w:rFonts w:hint="eastAsia" w:hAnsi="宋体" w:cs="宋体"/>
          <w:b/>
          <w:color w:val="auto"/>
          <w:sz w:val="32"/>
          <w:szCs w:val="32"/>
          <w:highlight w:val="none"/>
        </w:rPr>
        <w:t>投 标 人（盖单位公章）：</w:t>
      </w:r>
      <w:r>
        <w:rPr>
          <w:rFonts w:hint="eastAsia" w:hAnsi="宋体" w:cs="宋体"/>
          <w:color w:val="auto"/>
          <w:sz w:val="32"/>
          <w:szCs w:val="32"/>
          <w:highlight w:val="none"/>
          <w:u w:val="single"/>
        </w:rPr>
        <w:t xml:space="preserve">          </w:t>
      </w:r>
      <w:r>
        <w:rPr>
          <w:rFonts w:hAnsi="宋体" w:cs="宋体"/>
          <w:color w:val="auto"/>
          <w:sz w:val="32"/>
          <w:szCs w:val="32"/>
          <w:highlight w:val="none"/>
          <w:u w:val="single"/>
        </w:rPr>
        <w:t xml:space="preserve">               </w:t>
      </w:r>
    </w:p>
    <w:p w14:paraId="71D433EC">
      <w:pPr>
        <w:wordWrap w:val="0"/>
        <w:spacing w:line="360" w:lineRule="auto"/>
        <w:ind w:firstLine="321" w:firstLineChars="100"/>
        <w:rPr>
          <w:rFonts w:hint="eastAsia"/>
          <w:b/>
          <w:color w:val="auto"/>
          <w:sz w:val="32"/>
          <w:szCs w:val="32"/>
          <w:highlight w:val="none"/>
        </w:rPr>
      </w:pPr>
      <w:r>
        <w:rPr>
          <w:rFonts w:hint="eastAsia"/>
          <w:b/>
          <w:color w:val="auto"/>
          <w:sz w:val="32"/>
          <w:szCs w:val="32"/>
          <w:highlight w:val="none"/>
        </w:rPr>
        <w:t xml:space="preserve">日    期： </w:t>
      </w:r>
      <w:r>
        <w:rPr>
          <w:rFonts w:hint="eastAsia"/>
          <w:color w:val="auto"/>
          <w:sz w:val="32"/>
          <w:szCs w:val="32"/>
          <w:highlight w:val="none"/>
          <w:u w:val="single"/>
        </w:rPr>
        <w:t xml:space="preserve">    </w:t>
      </w:r>
      <w:r>
        <w:rPr>
          <w:rFonts w:hint="eastAsia"/>
          <w:b/>
          <w:color w:val="auto"/>
          <w:sz w:val="32"/>
          <w:szCs w:val="32"/>
          <w:highlight w:val="none"/>
        </w:rPr>
        <w:t>年</w:t>
      </w:r>
      <w:r>
        <w:rPr>
          <w:rFonts w:hint="eastAsia"/>
          <w:color w:val="auto"/>
          <w:sz w:val="32"/>
          <w:szCs w:val="32"/>
          <w:highlight w:val="none"/>
          <w:u w:val="single"/>
        </w:rPr>
        <w:t xml:space="preserve">    </w:t>
      </w:r>
      <w:r>
        <w:rPr>
          <w:rFonts w:hint="eastAsia"/>
          <w:b/>
          <w:color w:val="auto"/>
          <w:sz w:val="32"/>
          <w:szCs w:val="32"/>
          <w:highlight w:val="none"/>
        </w:rPr>
        <w:t>月</w:t>
      </w:r>
      <w:r>
        <w:rPr>
          <w:rFonts w:hint="eastAsia"/>
          <w:color w:val="auto"/>
          <w:sz w:val="32"/>
          <w:szCs w:val="32"/>
          <w:highlight w:val="none"/>
          <w:u w:val="single"/>
        </w:rPr>
        <w:t xml:space="preserve">    </w:t>
      </w:r>
      <w:r>
        <w:rPr>
          <w:rFonts w:hint="eastAsia"/>
          <w:b/>
          <w:color w:val="auto"/>
          <w:sz w:val="32"/>
          <w:szCs w:val="32"/>
          <w:highlight w:val="none"/>
        </w:rPr>
        <w:t>日</w:t>
      </w:r>
    </w:p>
    <w:p w14:paraId="7AF89940">
      <w:pPr>
        <w:wordWrap w:val="0"/>
        <w:spacing w:line="360" w:lineRule="auto"/>
        <w:ind w:firstLine="321" w:firstLineChars="100"/>
        <w:rPr>
          <w:rFonts w:hint="eastAsia"/>
          <w:b/>
          <w:color w:val="auto"/>
          <w:sz w:val="32"/>
          <w:szCs w:val="32"/>
          <w:highlight w:val="none"/>
        </w:rPr>
      </w:pPr>
    </w:p>
    <w:p w14:paraId="3EDD11A2">
      <w:pPr>
        <w:wordWrap w:val="0"/>
        <w:spacing w:line="360" w:lineRule="auto"/>
        <w:ind w:firstLine="321" w:firstLineChars="100"/>
        <w:rPr>
          <w:rFonts w:hint="eastAsia"/>
          <w:b/>
          <w:color w:val="auto"/>
          <w:sz w:val="32"/>
          <w:szCs w:val="32"/>
          <w:highlight w:val="none"/>
        </w:rPr>
      </w:pPr>
    </w:p>
    <w:p w14:paraId="5BF235F6">
      <w:pPr>
        <w:wordWrap w:val="0"/>
        <w:spacing w:line="360" w:lineRule="auto"/>
        <w:ind w:firstLine="442" w:firstLineChars="100"/>
        <w:rPr>
          <w:rFonts w:hint="eastAsia"/>
          <w:b/>
          <w:bCs/>
          <w:color w:val="auto"/>
          <w:sz w:val="44"/>
          <w:szCs w:val="44"/>
          <w:highlight w:val="none"/>
        </w:rPr>
      </w:pPr>
    </w:p>
    <w:p w14:paraId="376E7535">
      <w:pPr>
        <w:widowControl/>
        <w:jc w:val="left"/>
        <w:rPr>
          <w:rFonts w:ascii="宋体" w:hAnsi="宋体"/>
          <w:b/>
          <w:color w:val="auto"/>
          <w:sz w:val="44"/>
          <w:szCs w:val="44"/>
          <w:highlight w:val="none"/>
        </w:rPr>
      </w:pPr>
      <w:r>
        <w:rPr>
          <w:rFonts w:ascii="宋体" w:hAnsi="宋体"/>
          <w:b/>
          <w:color w:val="auto"/>
          <w:sz w:val="44"/>
          <w:szCs w:val="44"/>
          <w:highlight w:val="none"/>
        </w:rPr>
        <w:br w:type="page"/>
      </w:r>
    </w:p>
    <w:p w14:paraId="5A3D5B44">
      <w:pPr>
        <w:widowControl/>
        <w:wordWrap w:val="0"/>
        <w:spacing w:line="360" w:lineRule="auto"/>
        <w:jc w:val="center"/>
        <w:rPr>
          <w:rFonts w:hAnsi="宋体" w:cs="宋体"/>
          <w:b/>
          <w:bCs/>
          <w:color w:val="auto"/>
          <w:sz w:val="32"/>
          <w:szCs w:val="32"/>
          <w:highlight w:val="none"/>
        </w:rPr>
      </w:pPr>
      <w:r>
        <w:rPr>
          <w:rFonts w:hint="eastAsia" w:ascii="宋体" w:hAnsi="宋体"/>
          <w:b/>
          <w:color w:val="auto"/>
          <w:sz w:val="44"/>
          <w:szCs w:val="44"/>
          <w:highlight w:val="none"/>
        </w:rPr>
        <w:t>目 录</w:t>
      </w:r>
    </w:p>
    <w:p w14:paraId="283D3640">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一、投标函</w:t>
      </w:r>
    </w:p>
    <w:p w14:paraId="207B3736">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二、开标一览表</w:t>
      </w:r>
    </w:p>
    <w:p w14:paraId="6353D0F5">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三、投标报价表</w:t>
      </w:r>
    </w:p>
    <w:p w14:paraId="11CB3477">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四、法定代表人身份证明</w:t>
      </w:r>
    </w:p>
    <w:p w14:paraId="3CCA1928">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五、授权委托书(如有）</w:t>
      </w:r>
    </w:p>
    <w:p w14:paraId="562C660F">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六、投标人具备投标资格的证明文件</w:t>
      </w:r>
    </w:p>
    <w:p w14:paraId="7B610446">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七、投标保证金</w:t>
      </w:r>
    </w:p>
    <w:p w14:paraId="14AAC61D">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八、投标人承诺函</w:t>
      </w:r>
    </w:p>
    <w:p w14:paraId="1FA2D565">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九、实质性条款（标注“★”符号）响应表</w:t>
      </w:r>
    </w:p>
    <w:p w14:paraId="3ADC2A39">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十、商务和技术偏差表</w:t>
      </w:r>
    </w:p>
    <w:p w14:paraId="152D9B0D">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十一、投标人类似业绩</w:t>
      </w:r>
    </w:p>
    <w:p w14:paraId="08A04483">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十二、投标人资质</w:t>
      </w:r>
    </w:p>
    <w:p w14:paraId="24446F04">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十三、健康管理平台</w:t>
      </w:r>
    </w:p>
    <w:p w14:paraId="65C299E9">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十四、体检场所面积</w:t>
      </w:r>
    </w:p>
    <w:p w14:paraId="4D36369C">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十五、体检服务整体性</w:t>
      </w:r>
    </w:p>
    <w:p w14:paraId="1E37721A">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十六、投标人认为需提供的其他商务评审资料</w:t>
      </w:r>
    </w:p>
    <w:p w14:paraId="7B5CFCA0">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十七、体检场地交通便利性</w:t>
      </w:r>
    </w:p>
    <w:p w14:paraId="40CA4350">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十八、增值服务</w:t>
      </w:r>
    </w:p>
    <w:p w14:paraId="633CE741">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十九、体检服务方案</w:t>
      </w:r>
    </w:p>
    <w:p w14:paraId="41534DDF">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二十、应急预案方案</w:t>
      </w:r>
    </w:p>
    <w:p w14:paraId="5A3ECA6C">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二十一、就诊服务方案</w:t>
      </w:r>
    </w:p>
    <w:p w14:paraId="7CDC5495">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hAnsi="宋体" w:cs="宋体"/>
          <w:b/>
          <w:color w:val="auto"/>
          <w:sz w:val="32"/>
          <w:szCs w:val="32"/>
          <w:highlight w:val="none"/>
        </w:rPr>
      </w:pPr>
      <w:r>
        <w:rPr>
          <w:rFonts w:hint="eastAsia" w:cs="Times New Roman"/>
          <w:color w:val="auto"/>
          <w:kern w:val="2"/>
          <w:sz w:val="24"/>
          <w:szCs w:val="22"/>
          <w:highlight w:val="none"/>
          <w:lang w:val="en-US" w:eastAsia="zh-CN" w:bidi="ar-SA"/>
        </w:rPr>
        <w:t>二十二、投标人认为需提供的其他技术评审资料</w:t>
      </w:r>
    </w:p>
    <w:p w14:paraId="1BB4837A">
      <w:pPr>
        <w:spacing w:line="360" w:lineRule="auto"/>
        <w:jc w:val="center"/>
        <w:outlineLvl w:val="1"/>
        <w:rPr>
          <w:rFonts w:ascii="Calibri" w:cs="宋体"/>
          <w:b/>
          <w:color w:val="auto"/>
          <w:sz w:val="28"/>
          <w:szCs w:val="28"/>
          <w:highlight w:val="none"/>
        </w:rPr>
      </w:pPr>
      <w:r>
        <w:rPr>
          <w:rFonts w:ascii="Calibri" w:cs="宋体"/>
          <w:color w:val="auto"/>
          <w:szCs w:val="28"/>
          <w:highlight w:val="none"/>
        </w:rPr>
        <w:br w:type="page"/>
      </w:r>
      <w:r>
        <w:rPr>
          <w:rFonts w:ascii="Calibri" w:cs="宋体"/>
          <w:b/>
          <w:color w:val="auto"/>
          <w:sz w:val="28"/>
          <w:szCs w:val="28"/>
          <w:highlight w:val="none"/>
        </w:rPr>
        <w:t>一、投标函</w:t>
      </w:r>
    </w:p>
    <w:p w14:paraId="00B1906F">
      <w:pPr>
        <w:pStyle w:val="24"/>
        <w:wordWrap w:val="0"/>
        <w:spacing w:line="360" w:lineRule="auto"/>
        <w:rPr>
          <w:rFonts w:ascii="宋体" w:hAnsi="宋体"/>
          <w:b/>
          <w:color w:val="auto"/>
          <w:szCs w:val="21"/>
          <w:highlight w:val="none"/>
        </w:rPr>
      </w:pPr>
    </w:p>
    <w:p w14:paraId="23DAC067">
      <w:pPr>
        <w:pStyle w:val="24"/>
        <w:tabs>
          <w:tab w:val="left" w:pos="1991"/>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（招标人名称）：</w:t>
      </w:r>
    </w:p>
    <w:p w14:paraId="22FA32B8">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1、我方已仔细研究了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（项目名称）招标文件的全部内容，愿意以人民币（大写）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）的投标总报价提供本项目招标文件要求的所有内容及要求，并按合同约定履行义务。</w:t>
      </w:r>
    </w:p>
    <w:p w14:paraId="67D46B17">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2、我方的投标文件包括下列内容：</w:t>
      </w:r>
    </w:p>
    <w:p w14:paraId="24992927">
      <w:pPr>
        <w:ind w:left="840" w:leftChars="400" w:firstLine="52" w:firstLineChars="25"/>
        <w:rPr>
          <w:rFonts w:hint="eastAsia" w:hAnsi="宋体"/>
          <w:color w:val="auto"/>
          <w:szCs w:val="24"/>
          <w:highlight w:val="none"/>
        </w:rPr>
      </w:pPr>
      <w:r>
        <w:rPr>
          <w:rFonts w:hint="eastAsia" w:hAnsi="宋体"/>
          <w:color w:val="auto"/>
          <w:szCs w:val="24"/>
          <w:highlight w:val="none"/>
        </w:rPr>
        <w:t>一、投标函</w:t>
      </w:r>
    </w:p>
    <w:p w14:paraId="7ECE24FC">
      <w:pPr>
        <w:ind w:left="840" w:leftChars="400" w:firstLine="52" w:firstLineChars="25"/>
        <w:rPr>
          <w:rFonts w:hint="eastAsia" w:hAnsi="宋体"/>
          <w:color w:val="auto"/>
          <w:szCs w:val="24"/>
          <w:highlight w:val="none"/>
        </w:rPr>
      </w:pPr>
      <w:r>
        <w:rPr>
          <w:rFonts w:hint="eastAsia" w:hAnsi="宋体"/>
          <w:color w:val="auto"/>
          <w:szCs w:val="24"/>
          <w:highlight w:val="none"/>
        </w:rPr>
        <w:t>二、开标一览表</w:t>
      </w:r>
    </w:p>
    <w:p w14:paraId="51B9433B">
      <w:pPr>
        <w:ind w:left="840" w:leftChars="400" w:firstLine="52" w:firstLineChars="25"/>
        <w:rPr>
          <w:rFonts w:hint="eastAsia" w:hAnsi="宋体"/>
          <w:color w:val="auto"/>
          <w:szCs w:val="24"/>
          <w:highlight w:val="none"/>
        </w:rPr>
      </w:pPr>
      <w:r>
        <w:rPr>
          <w:rFonts w:hint="eastAsia" w:hAnsi="宋体"/>
          <w:color w:val="auto"/>
          <w:szCs w:val="24"/>
          <w:highlight w:val="none"/>
        </w:rPr>
        <w:t>三、投标报价表</w:t>
      </w:r>
    </w:p>
    <w:p w14:paraId="50C8A6CB">
      <w:pPr>
        <w:ind w:left="840" w:leftChars="400" w:firstLine="52" w:firstLineChars="25"/>
        <w:rPr>
          <w:rFonts w:hint="eastAsia" w:hAnsi="宋体"/>
          <w:color w:val="auto"/>
          <w:szCs w:val="24"/>
          <w:highlight w:val="none"/>
        </w:rPr>
      </w:pPr>
      <w:r>
        <w:rPr>
          <w:rFonts w:hint="eastAsia" w:hAnsi="宋体"/>
          <w:color w:val="auto"/>
          <w:szCs w:val="24"/>
          <w:highlight w:val="none"/>
        </w:rPr>
        <w:t>四、法定代表人身份证明</w:t>
      </w:r>
    </w:p>
    <w:p w14:paraId="7075970A">
      <w:pPr>
        <w:ind w:left="840" w:leftChars="400" w:firstLine="52" w:firstLineChars="25"/>
        <w:rPr>
          <w:rFonts w:hint="eastAsia" w:hAnsi="宋体"/>
          <w:color w:val="auto"/>
          <w:szCs w:val="24"/>
          <w:highlight w:val="none"/>
        </w:rPr>
      </w:pPr>
      <w:r>
        <w:rPr>
          <w:rFonts w:hint="eastAsia" w:hAnsi="宋体"/>
          <w:color w:val="auto"/>
          <w:szCs w:val="24"/>
          <w:highlight w:val="none"/>
        </w:rPr>
        <w:t>五、授权委托书(如有）</w:t>
      </w:r>
    </w:p>
    <w:p w14:paraId="23E96708">
      <w:pPr>
        <w:ind w:left="840" w:leftChars="400" w:firstLine="52" w:firstLineChars="25"/>
        <w:rPr>
          <w:rFonts w:hint="eastAsia" w:hAnsi="宋体"/>
          <w:color w:val="auto"/>
          <w:szCs w:val="24"/>
          <w:highlight w:val="none"/>
        </w:rPr>
      </w:pPr>
      <w:r>
        <w:rPr>
          <w:rFonts w:hint="eastAsia" w:hAnsi="宋体"/>
          <w:color w:val="auto"/>
          <w:szCs w:val="24"/>
          <w:highlight w:val="none"/>
        </w:rPr>
        <w:t>六、投标人具备投标资格的证明文件</w:t>
      </w:r>
    </w:p>
    <w:p w14:paraId="799E0311">
      <w:pPr>
        <w:ind w:left="840" w:leftChars="400" w:firstLine="52" w:firstLineChars="25"/>
        <w:rPr>
          <w:rFonts w:hint="eastAsia" w:hAnsi="宋体"/>
          <w:color w:val="auto"/>
          <w:szCs w:val="24"/>
          <w:highlight w:val="none"/>
        </w:rPr>
      </w:pPr>
      <w:r>
        <w:rPr>
          <w:rFonts w:hint="eastAsia" w:hAnsi="宋体"/>
          <w:color w:val="auto"/>
          <w:szCs w:val="24"/>
          <w:highlight w:val="none"/>
        </w:rPr>
        <w:t>七、投标保证金</w:t>
      </w:r>
    </w:p>
    <w:p w14:paraId="43847E5B">
      <w:pPr>
        <w:ind w:left="840" w:leftChars="400" w:firstLine="52" w:firstLineChars="25"/>
        <w:rPr>
          <w:rFonts w:hint="eastAsia" w:hAnsi="宋体"/>
          <w:color w:val="auto"/>
          <w:szCs w:val="24"/>
          <w:highlight w:val="none"/>
        </w:rPr>
      </w:pPr>
      <w:r>
        <w:rPr>
          <w:rFonts w:hint="eastAsia" w:hAnsi="宋体"/>
          <w:color w:val="auto"/>
          <w:szCs w:val="24"/>
          <w:highlight w:val="none"/>
        </w:rPr>
        <w:t>八、投标人承诺函</w:t>
      </w:r>
    </w:p>
    <w:p w14:paraId="612EF63C">
      <w:pPr>
        <w:ind w:left="840" w:leftChars="400" w:firstLine="52" w:firstLineChars="25"/>
        <w:rPr>
          <w:rFonts w:hint="eastAsia" w:hAnsi="宋体"/>
          <w:color w:val="auto"/>
          <w:szCs w:val="24"/>
          <w:highlight w:val="none"/>
        </w:rPr>
      </w:pPr>
      <w:r>
        <w:rPr>
          <w:rFonts w:hint="eastAsia" w:hAnsi="宋体"/>
          <w:color w:val="auto"/>
          <w:szCs w:val="24"/>
          <w:highlight w:val="none"/>
        </w:rPr>
        <w:t>九、实质性条款（标注“★”符号）响应表</w:t>
      </w:r>
    </w:p>
    <w:p w14:paraId="3ACD19FA">
      <w:pPr>
        <w:ind w:left="840" w:leftChars="400" w:firstLine="52" w:firstLineChars="25"/>
        <w:rPr>
          <w:rFonts w:hint="eastAsia" w:hAnsi="宋体"/>
          <w:color w:val="auto"/>
          <w:szCs w:val="24"/>
          <w:highlight w:val="none"/>
        </w:rPr>
      </w:pPr>
      <w:r>
        <w:rPr>
          <w:rFonts w:hint="eastAsia" w:hAnsi="宋体"/>
          <w:color w:val="auto"/>
          <w:szCs w:val="24"/>
          <w:highlight w:val="none"/>
        </w:rPr>
        <w:t>十、商务和技术偏差表</w:t>
      </w:r>
    </w:p>
    <w:p w14:paraId="63E667AC">
      <w:pPr>
        <w:ind w:left="840" w:leftChars="400" w:firstLine="52" w:firstLineChars="25"/>
        <w:rPr>
          <w:rFonts w:hint="eastAsia" w:hAnsi="宋体"/>
          <w:color w:val="auto"/>
          <w:szCs w:val="24"/>
          <w:highlight w:val="none"/>
        </w:rPr>
      </w:pPr>
      <w:r>
        <w:rPr>
          <w:rFonts w:hint="eastAsia" w:hAnsi="宋体"/>
          <w:color w:val="auto"/>
          <w:szCs w:val="24"/>
          <w:highlight w:val="none"/>
        </w:rPr>
        <w:t>十一、投标人类似业绩</w:t>
      </w:r>
    </w:p>
    <w:p w14:paraId="69AFFE49">
      <w:pPr>
        <w:ind w:left="840" w:leftChars="400" w:firstLine="52" w:firstLineChars="25"/>
        <w:rPr>
          <w:rFonts w:hint="eastAsia" w:hAnsi="宋体"/>
          <w:color w:val="auto"/>
          <w:szCs w:val="24"/>
          <w:highlight w:val="none"/>
        </w:rPr>
      </w:pPr>
      <w:r>
        <w:rPr>
          <w:rFonts w:hint="eastAsia" w:hAnsi="宋体"/>
          <w:color w:val="auto"/>
          <w:szCs w:val="24"/>
          <w:highlight w:val="none"/>
        </w:rPr>
        <w:t>十二、投标人资质</w:t>
      </w:r>
    </w:p>
    <w:p w14:paraId="0303E137">
      <w:pPr>
        <w:ind w:left="840" w:leftChars="400" w:firstLine="52" w:firstLineChars="25"/>
        <w:rPr>
          <w:rFonts w:hint="eastAsia" w:hAnsi="宋体"/>
          <w:color w:val="auto"/>
          <w:szCs w:val="24"/>
          <w:highlight w:val="none"/>
        </w:rPr>
      </w:pPr>
      <w:r>
        <w:rPr>
          <w:rFonts w:hint="eastAsia" w:hAnsi="宋体"/>
          <w:color w:val="auto"/>
          <w:szCs w:val="24"/>
          <w:highlight w:val="none"/>
        </w:rPr>
        <w:t>十三、健康管理平台</w:t>
      </w:r>
    </w:p>
    <w:p w14:paraId="44FF4195">
      <w:pPr>
        <w:ind w:left="840" w:leftChars="400" w:firstLine="52" w:firstLineChars="25"/>
        <w:rPr>
          <w:rFonts w:hint="eastAsia" w:hAnsi="宋体"/>
          <w:color w:val="auto"/>
          <w:szCs w:val="24"/>
          <w:highlight w:val="none"/>
        </w:rPr>
      </w:pPr>
      <w:r>
        <w:rPr>
          <w:rFonts w:hint="eastAsia" w:hAnsi="宋体"/>
          <w:color w:val="auto"/>
          <w:szCs w:val="24"/>
          <w:highlight w:val="none"/>
        </w:rPr>
        <w:t>十四、体检场所面积</w:t>
      </w:r>
    </w:p>
    <w:p w14:paraId="42B2232F">
      <w:pPr>
        <w:ind w:left="840" w:leftChars="400" w:firstLine="52" w:firstLineChars="25"/>
        <w:rPr>
          <w:rFonts w:hint="eastAsia" w:hAnsi="宋体"/>
          <w:color w:val="auto"/>
          <w:szCs w:val="24"/>
          <w:highlight w:val="none"/>
        </w:rPr>
      </w:pPr>
      <w:r>
        <w:rPr>
          <w:rFonts w:hint="eastAsia" w:hAnsi="宋体"/>
          <w:color w:val="auto"/>
          <w:szCs w:val="24"/>
          <w:highlight w:val="none"/>
        </w:rPr>
        <w:t>十五、体检服务整体性</w:t>
      </w:r>
    </w:p>
    <w:p w14:paraId="5244110C">
      <w:pPr>
        <w:ind w:left="840" w:leftChars="400" w:firstLine="52" w:firstLineChars="25"/>
        <w:rPr>
          <w:rFonts w:hint="eastAsia" w:hAnsi="宋体"/>
          <w:color w:val="auto"/>
          <w:szCs w:val="24"/>
          <w:highlight w:val="none"/>
        </w:rPr>
      </w:pPr>
      <w:r>
        <w:rPr>
          <w:rFonts w:hint="eastAsia" w:hAnsi="宋体"/>
          <w:color w:val="auto"/>
          <w:szCs w:val="24"/>
          <w:highlight w:val="none"/>
        </w:rPr>
        <w:t>十六、投标人认为需提供的其他商务评审资料</w:t>
      </w:r>
    </w:p>
    <w:p w14:paraId="3D2566C3">
      <w:pPr>
        <w:ind w:left="840" w:leftChars="400" w:firstLine="52" w:firstLineChars="25"/>
        <w:rPr>
          <w:rFonts w:hint="eastAsia" w:hAnsi="宋体"/>
          <w:color w:val="auto"/>
          <w:szCs w:val="24"/>
          <w:highlight w:val="none"/>
        </w:rPr>
      </w:pPr>
      <w:r>
        <w:rPr>
          <w:rFonts w:hint="eastAsia" w:hAnsi="宋体"/>
          <w:color w:val="auto"/>
          <w:szCs w:val="24"/>
          <w:highlight w:val="none"/>
        </w:rPr>
        <w:t>十七、体检场地交通便利性</w:t>
      </w:r>
    </w:p>
    <w:p w14:paraId="4C4A0933">
      <w:pPr>
        <w:ind w:left="840" w:leftChars="400" w:firstLine="52" w:firstLineChars="25"/>
        <w:rPr>
          <w:rFonts w:hint="eastAsia" w:hAnsi="宋体"/>
          <w:color w:val="auto"/>
          <w:szCs w:val="24"/>
          <w:highlight w:val="none"/>
        </w:rPr>
      </w:pPr>
      <w:r>
        <w:rPr>
          <w:rFonts w:hint="eastAsia" w:hAnsi="宋体"/>
          <w:color w:val="auto"/>
          <w:szCs w:val="24"/>
          <w:highlight w:val="none"/>
        </w:rPr>
        <w:t>十八、增值服务</w:t>
      </w:r>
    </w:p>
    <w:p w14:paraId="55ABA005">
      <w:pPr>
        <w:ind w:left="840" w:leftChars="400" w:firstLine="52" w:firstLineChars="25"/>
        <w:rPr>
          <w:rFonts w:hint="eastAsia" w:hAnsi="宋体"/>
          <w:color w:val="auto"/>
          <w:szCs w:val="24"/>
          <w:highlight w:val="none"/>
        </w:rPr>
      </w:pPr>
      <w:r>
        <w:rPr>
          <w:rFonts w:hint="eastAsia" w:hAnsi="宋体"/>
          <w:color w:val="auto"/>
          <w:szCs w:val="24"/>
          <w:highlight w:val="none"/>
        </w:rPr>
        <w:t>十九、体检服务方案</w:t>
      </w:r>
    </w:p>
    <w:p w14:paraId="563A5144">
      <w:pPr>
        <w:ind w:left="840" w:leftChars="400" w:firstLine="52" w:firstLineChars="25"/>
        <w:rPr>
          <w:rFonts w:hint="eastAsia" w:hAnsi="宋体"/>
          <w:color w:val="auto"/>
          <w:szCs w:val="24"/>
          <w:highlight w:val="none"/>
        </w:rPr>
      </w:pPr>
      <w:r>
        <w:rPr>
          <w:rFonts w:hint="eastAsia" w:hAnsi="宋体"/>
          <w:color w:val="auto"/>
          <w:szCs w:val="24"/>
          <w:highlight w:val="none"/>
        </w:rPr>
        <w:t>二十、应急预案方案</w:t>
      </w:r>
    </w:p>
    <w:p w14:paraId="1F523873">
      <w:pPr>
        <w:ind w:left="840" w:leftChars="400" w:firstLine="52" w:firstLineChars="25"/>
        <w:rPr>
          <w:rFonts w:hint="eastAsia" w:hAnsi="宋体"/>
          <w:color w:val="auto"/>
          <w:szCs w:val="24"/>
          <w:highlight w:val="none"/>
        </w:rPr>
      </w:pPr>
      <w:r>
        <w:rPr>
          <w:rFonts w:hint="eastAsia" w:hAnsi="宋体"/>
          <w:color w:val="auto"/>
          <w:szCs w:val="24"/>
          <w:highlight w:val="none"/>
        </w:rPr>
        <w:t>二十一、就诊服务方案</w:t>
      </w:r>
    </w:p>
    <w:p w14:paraId="36294218">
      <w:pPr>
        <w:ind w:left="840" w:leftChars="400" w:firstLine="52" w:firstLineChars="25"/>
        <w:rPr>
          <w:color w:val="auto"/>
          <w:highlight w:val="none"/>
        </w:rPr>
      </w:pPr>
      <w:r>
        <w:rPr>
          <w:rFonts w:hint="eastAsia" w:hAnsi="宋体"/>
          <w:color w:val="auto"/>
          <w:szCs w:val="24"/>
          <w:highlight w:val="none"/>
        </w:rPr>
        <w:t>二十二、投标人认为需提供的其他技术评审资料</w:t>
      </w:r>
    </w:p>
    <w:p w14:paraId="21663A48">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3、按本项目招标公告规定交纳投标保证金，其金额为（大写）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，交纳方式为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E22B7E2">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4、除《商务和技术偏差表》中列出的偏差外，我方承诺完全响应或优于招标文件的全部要求。</w:t>
      </w:r>
    </w:p>
    <w:p w14:paraId="2ABACA55">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5、本投标有效期为自招标文件规定的提交投标文件截止之日起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个日历天，我方承诺在招标文件规定的投标有效期内不撤销投标文件。</w:t>
      </w:r>
    </w:p>
    <w:p w14:paraId="705A1CCA">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6、如我方中标，我方承诺：</w:t>
      </w:r>
    </w:p>
    <w:p w14:paraId="38C80994">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（1）在收到中标通知书后，在中标通知书规定的期限内与贵方签订合同；</w:t>
      </w:r>
    </w:p>
    <w:p w14:paraId="656339AB">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（2）在签订合同时不向贵方提出附加条件；</w:t>
      </w:r>
    </w:p>
    <w:p w14:paraId="3EE75208">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（3）按照招标文件要求提交履约保证金；</w:t>
      </w:r>
    </w:p>
    <w:p w14:paraId="4BAA9C67">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（4）在合同约定的期限内完成合同规定的全部义务。</w:t>
      </w:r>
    </w:p>
    <w:p w14:paraId="47DBA093">
      <w:pPr>
        <w:wordWrap w:val="0"/>
        <w:spacing w:line="360" w:lineRule="auto"/>
        <w:ind w:firstLine="420" w:firstLineChars="200"/>
        <w:rPr>
          <w:rFonts w:hint="eastAsia" w:ascii="宋体" w:hAnsi="宋体" w:cs="宋体"/>
          <w:bCs/>
          <w:color w:val="auto"/>
          <w:szCs w:val="21"/>
          <w:highlight w:val="none"/>
        </w:rPr>
      </w:pPr>
      <w:r>
        <w:rPr>
          <w:rFonts w:hint="eastAsia" w:ascii="宋体" w:hAnsi="宋体" w:cs="宋体"/>
          <w:color w:val="auto"/>
          <w:szCs w:val="21"/>
          <w:highlight w:val="none"/>
        </w:rPr>
        <w:t>7、我方在此声明，所递交的投标文件及有关资料内容完整、真实和准确，且</w:t>
      </w:r>
      <w:r>
        <w:rPr>
          <w:rFonts w:hint="eastAsia" w:ascii="宋体" w:hAnsi="宋体" w:cs="宋体"/>
          <w:bCs/>
          <w:color w:val="auto"/>
          <w:szCs w:val="21"/>
          <w:highlight w:val="none"/>
        </w:rPr>
        <w:t>不存在第二章“投标人须知”第1.4.</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项规定的任何一种情形；且没有发生“</w:t>
      </w:r>
      <w:r>
        <w:rPr>
          <w:rFonts w:hint="eastAsia" w:ascii="宋体" w:hAnsi="宋体" w:cs="宋体"/>
          <w:bCs/>
          <w:color w:val="auto"/>
          <w:szCs w:val="21"/>
          <w:highlight w:val="none"/>
          <w:lang w:eastAsia="zh-CN"/>
        </w:rPr>
        <w:t>被长沙市轨道交通集团有限公司或长沙穗城轨道交通有限公司函告禁止在一定期限内参与轨道项目投标的单位按函告内容执行</w:t>
      </w:r>
      <w:r>
        <w:rPr>
          <w:rFonts w:hint="eastAsia" w:ascii="宋体" w:hAnsi="宋体" w:cs="宋体"/>
          <w:bCs/>
          <w:color w:val="auto"/>
          <w:szCs w:val="21"/>
          <w:highlight w:val="none"/>
        </w:rPr>
        <w:t>”此规定的情形。</w:t>
      </w:r>
    </w:p>
    <w:p w14:paraId="2C928D00">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8、我方已详细审核了全部招标文件，包括招标文件的修改、补充通知（如果有的话）。我方知道必须放弃对上述文件中所有条款提出存有含糊不清或不理解之问题的权利。</w:t>
      </w:r>
    </w:p>
    <w:p w14:paraId="5F82FCD9">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9、投标总报价已包含了招标文件要求的所有内容及要求。投标报价表中未具体列明的，但在合同执行阶段可能发生的一切费用已经包含在投标报价中。</w:t>
      </w:r>
    </w:p>
    <w:p w14:paraId="29D13E12">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10、如果我方在开标后规定的投标有效期内撤回投标，我方的投标保证金可被贵方没收。如果贵方有要求，我方愿意进一步提供与本投标有关的任何证据或资料。</w:t>
      </w:r>
    </w:p>
    <w:p w14:paraId="0B57EB01">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11、我方自愿承诺和遵守长沙穗城轨道交通有限公司的相关规定和要求，如有违反，我司自愿承担因我方违反相关规定所引起的一切后果。</w:t>
      </w:r>
    </w:p>
    <w:p w14:paraId="5C9EBA15">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（其他补充说明）。</w:t>
      </w:r>
    </w:p>
    <w:p w14:paraId="0BAF03DD">
      <w:pPr>
        <w:pStyle w:val="24"/>
        <w:tabs>
          <w:tab w:val="left" w:pos="3880"/>
        </w:tabs>
        <w:wordWrap w:val="0"/>
        <w:spacing w:after="0" w:line="360" w:lineRule="auto"/>
        <w:rPr>
          <w:rFonts w:ascii="宋体" w:hAnsi="宋体" w:cs="宋体"/>
          <w:color w:val="auto"/>
          <w:szCs w:val="21"/>
          <w:highlight w:val="none"/>
        </w:rPr>
      </w:pPr>
    </w:p>
    <w:p w14:paraId="063517D8">
      <w:pPr>
        <w:pStyle w:val="24"/>
        <w:tabs>
          <w:tab w:val="left" w:pos="3880"/>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投 标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（盖单位公章）</w:t>
      </w:r>
    </w:p>
    <w:p w14:paraId="30C1D38C">
      <w:pPr>
        <w:pStyle w:val="24"/>
        <w:tabs>
          <w:tab w:val="left" w:pos="3232"/>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p>
    <w:p w14:paraId="578C8744">
      <w:pPr>
        <w:pStyle w:val="24"/>
        <w:tabs>
          <w:tab w:val="left" w:pos="3232"/>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网    址：</w:t>
      </w:r>
      <w:r>
        <w:rPr>
          <w:rFonts w:hint="eastAsia" w:ascii="宋体" w:hAnsi="宋体" w:cs="宋体"/>
          <w:color w:val="auto"/>
          <w:szCs w:val="21"/>
          <w:highlight w:val="none"/>
          <w:u w:val="single"/>
        </w:rPr>
        <w:t xml:space="preserve">                                              </w:t>
      </w:r>
    </w:p>
    <w:p w14:paraId="52844F24">
      <w:pPr>
        <w:pStyle w:val="24"/>
        <w:tabs>
          <w:tab w:val="left" w:pos="3232"/>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w:t>
      </w:r>
    </w:p>
    <w:p w14:paraId="01CE576A">
      <w:pPr>
        <w:pStyle w:val="24"/>
        <w:tabs>
          <w:tab w:val="left" w:pos="3232"/>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w:t>
      </w:r>
    </w:p>
    <w:p w14:paraId="0DB40A76">
      <w:pPr>
        <w:pStyle w:val="24"/>
        <w:tabs>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w:t>
      </w:r>
    </w:p>
    <w:p w14:paraId="49B27EA6">
      <w:pPr>
        <w:pStyle w:val="24"/>
        <w:tabs>
          <w:tab w:val="left" w:pos="631"/>
          <w:tab w:val="left" w:pos="1471"/>
          <w:tab w:val="left" w:pos="2311"/>
        </w:tabs>
        <w:wordWrap w:val="0"/>
        <w:spacing w:line="360" w:lineRule="auto"/>
        <w:jc w:val="right"/>
        <w:rPr>
          <w:rFonts w:ascii="宋体" w:hAnsi="宋体"/>
          <w:color w:val="auto"/>
          <w:szCs w:val="21"/>
          <w:highlight w:val="none"/>
        </w:rPr>
      </w:pP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日</w:t>
      </w:r>
    </w:p>
    <w:p w14:paraId="0C46A974">
      <w:pPr>
        <w:wordWrap w:val="0"/>
        <w:spacing w:after="240"/>
        <w:ind w:left="220" w:right="339"/>
        <w:jc w:val="center"/>
        <w:rPr>
          <w:rFonts w:hint="eastAsia" w:ascii="Calibri" w:cs="宋体"/>
          <w:color w:val="auto"/>
          <w:szCs w:val="28"/>
          <w:highlight w:val="none"/>
        </w:rPr>
      </w:pPr>
      <w:r>
        <w:rPr>
          <w:rFonts w:hint="eastAsia" w:ascii="Calibri" w:cs="宋体"/>
          <w:color w:val="auto"/>
          <w:szCs w:val="28"/>
          <w:highlight w:val="none"/>
        </w:rPr>
        <w:br w:type="page"/>
      </w:r>
    </w:p>
    <w:p w14:paraId="57D44ACD">
      <w:pPr>
        <w:pStyle w:val="137"/>
        <w:tabs>
          <w:tab w:val="left" w:pos="4538"/>
          <w:tab w:val="left" w:pos="5484"/>
          <w:tab w:val="left" w:pos="6427"/>
        </w:tabs>
        <w:wordWrap w:val="0"/>
        <w:spacing w:after="240" w:line="360" w:lineRule="auto"/>
        <w:ind w:left="220" w:right="339"/>
        <w:jc w:val="center"/>
        <w:rPr>
          <w:rFonts w:ascii="Calibri" w:cs="宋体"/>
          <w:color w:val="auto"/>
          <w:szCs w:val="28"/>
          <w:highlight w:val="none"/>
        </w:rPr>
      </w:pPr>
      <w:r>
        <w:rPr>
          <w:rFonts w:hint="eastAsia" w:ascii="Calibri" w:cs="宋体"/>
          <w:color w:val="auto"/>
          <w:szCs w:val="28"/>
          <w:highlight w:val="none"/>
        </w:rPr>
        <w:t>二、</w:t>
      </w:r>
      <w:r>
        <w:rPr>
          <w:rFonts w:ascii="Calibri" w:cs="宋体"/>
          <w:color w:val="auto"/>
          <w:szCs w:val="28"/>
          <w:highlight w:val="none"/>
        </w:rPr>
        <w:t>开标一览</w:t>
      </w:r>
      <w:r>
        <w:rPr>
          <w:rFonts w:hint="eastAsia" w:ascii="Calibri" w:cs="宋体"/>
          <w:color w:val="auto"/>
          <w:szCs w:val="28"/>
          <w:highlight w:val="none"/>
        </w:rPr>
        <w:t>表</w:t>
      </w:r>
    </w:p>
    <w:p w14:paraId="56C2D304">
      <w:pPr>
        <w:tabs>
          <w:tab w:val="left" w:pos="8364"/>
        </w:tabs>
        <w:wordWrap w:val="0"/>
        <w:snapToGrid w:val="0"/>
        <w:spacing w:before="156" w:beforeLines="50" w:line="360" w:lineRule="auto"/>
        <w:jc w:val="right"/>
        <w:rPr>
          <w:rFonts w:hAnsi="宋体" w:cs="宋体"/>
          <w:bCs/>
          <w:color w:val="auto"/>
          <w:szCs w:val="21"/>
          <w:highlight w:val="none"/>
        </w:rPr>
      </w:pPr>
      <w:r>
        <w:rPr>
          <w:rFonts w:hint="eastAsia" w:hAnsi="宋体" w:cs="宋体"/>
          <w:bCs/>
          <w:color w:val="auto"/>
          <w:szCs w:val="21"/>
          <w:highlight w:val="none"/>
        </w:rPr>
        <w:t>（单位：人民币元）</w:t>
      </w:r>
    </w:p>
    <w:tbl>
      <w:tblPr>
        <w:tblStyle w:val="64"/>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703"/>
        <w:gridCol w:w="2837"/>
        <w:gridCol w:w="6422"/>
      </w:tblGrid>
      <w:tr w14:paraId="3F2192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5" w:hRule="atLeast"/>
          <w:jc w:val="center"/>
        </w:trPr>
        <w:tc>
          <w:tcPr>
            <w:tcW w:w="5000" w:type="pct"/>
            <w:gridSpan w:val="3"/>
            <w:tcBorders>
              <w:tl2br w:val="nil"/>
              <w:tr2bl w:val="nil"/>
            </w:tcBorders>
            <w:vAlign w:val="center"/>
          </w:tcPr>
          <w:p w14:paraId="42A735E9">
            <w:pPr>
              <w:wordWrap w:val="0"/>
              <w:jc w:val="center"/>
              <w:rPr>
                <w:rFonts w:hint="default" w:hAnsi="宋体" w:eastAsia="宋体" w:cs="宋体"/>
                <w:color w:val="auto"/>
                <w:szCs w:val="21"/>
                <w:highlight w:val="none"/>
                <w:u w:val="single"/>
                <w:lang w:val="en-US" w:eastAsia="zh-CN"/>
              </w:rPr>
            </w:pPr>
            <w:r>
              <w:rPr>
                <w:rFonts w:hint="eastAsia" w:ascii="宋体" w:hAnsi="宋体" w:cs="宋体"/>
                <w:snapToGrid w:val="0"/>
                <w:color w:val="auto"/>
                <w:kern w:val="0"/>
                <w:szCs w:val="21"/>
                <w:highlight w:val="none"/>
                <w:lang w:val="en-US" w:eastAsia="zh-CN"/>
              </w:rPr>
              <w:t>2025年长沙穗城轨道交通有限公司年度员工体检项目</w:t>
            </w:r>
          </w:p>
        </w:tc>
      </w:tr>
      <w:tr w14:paraId="119B52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3" w:type="pct"/>
            <w:tcBorders>
              <w:tl2br w:val="nil"/>
              <w:tr2bl w:val="nil"/>
            </w:tcBorders>
            <w:vAlign w:val="center"/>
          </w:tcPr>
          <w:p w14:paraId="17E9FC89">
            <w:pPr>
              <w:widowControl/>
              <w:wordWrap w:val="0"/>
              <w:jc w:val="center"/>
              <w:rPr>
                <w:rFonts w:hAnsi="宋体" w:cs="宋体"/>
                <w:color w:val="auto"/>
                <w:szCs w:val="21"/>
                <w:highlight w:val="none"/>
              </w:rPr>
            </w:pPr>
            <w:r>
              <w:rPr>
                <w:rFonts w:hint="eastAsia" w:hAnsi="宋体" w:cs="宋体"/>
                <w:color w:val="auto"/>
                <w:szCs w:val="21"/>
                <w:highlight w:val="none"/>
              </w:rPr>
              <w:t>1</w:t>
            </w:r>
          </w:p>
        </w:tc>
        <w:tc>
          <w:tcPr>
            <w:tcW w:w="1424" w:type="pct"/>
            <w:tcBorders>
              <w:tl2br w:val="nil"/>
              <w:tr2bl w:val="nil"/>
            </w:tcBorders>
            <w:vAlign w:val="center"/>
          </w:tcPr>
          <w:p w14:paraId="12E916F4">
            <w:pPr>
              <w:wordWrap w:val="0"/>
              <w:jc w:val="center"/>
              <w:rPr>
                <w:rFonts w:hAnsi="宋体" w:cs="宋体"/>
                <w:color w:val="auto"/>
                <w:szCs w:val="21"/>
                <w:highlight w:val="none"/>
              </w:rPr>
            </w:pPr>
            <w:r>
              <w:rPr>
                <w:rFonts w:hint="eastAsia" w:hAnsi="宋体" w:cs="宋体"/>
                <w:color w:val="auto"/>
                <w:szCs w:val="21"/>
                <w:highlight w:val="none"/>
              </w:rPr>
              <w:t>投标</w:t>
            </w:r>
            <w:r>
              <w:rPr>
                <w:rFonts w:hint="eastAsia" w:hAnsi="宋体" w:cs="宋体"/>
                <w:color w:val="auto"/>
                <w:szCs w:val="21"/>
                <w:highlight w:val="none"/>
                <w:lang w:val="en-US" w:eastAsia="zh-CN"/>
              </w:rPr>
              <w:t>单价合计</w:t>
            </w:r>
            <w:r>
              <w:rPr>
                <w:rFonts w:hint="eastAsia" w:hAnsi="宋体" w:cs="宋体"/>
                <w:color w:val="auto"/>
                <w:szCs w:val="21"/>
                <w:highlight w:val="none"/>
              </w:rPr>
              <w:t>报价</w:t>
            </w:r>
          </w:p>
          <w:p w14:paraId="536FC7E5">
            <w:pPr>
              <w:wordWrap w:val="0"/>
              <w:jc w:val="center"/>
              <w:rPr>
                <w:rFonts w:hAnsi="宋体" w:cs="宋体"/>
                <w:color w:val="auto"/>
                <w:szCs w:val="21"/>
                <w:highlight w:val="none"/>
              </w:rPr>
            </w:pPr>
            <w:r>
              <w:rPr>
                <w:rFonts w:hint="eastAsia" w:hAnsi="宋体" w:cs="宋体"/>
                <w:b/>
                <w:color w:val="auto"/>
                <w:szCs w:val="21"/>
                <w:highlight w:val="none"/>
              </w:rPr>
              <w:t>（含税）</w:t>
            </w:r>
          </w:p>
        </w:tc>
        <w:tc>
          <w:tcPr>
            <w:tcW w:w="3223" w:type="pct"/>
            <w:tcBorders>
              <w:tl2br w:val="nil"/>
              <w:tr2bl w:val="nil"/>
            </w:tcBorders>
            <w:vAlign w:val="center"/>
          </w:tcPr>
          <w:p w14:paraId="63106E43">
            <w:pPr>
              <w:widowControl/>
              <w:ind w:firstLine="316" w:firstLineChars="150"/>
              <w:jc w:val="left"/>
              <w:rPr>
                <w:rFonts w:hAnsi="宋体" w:cs="宋体"/>
                <w:b/>
                <w:color w:val="auto"/>
                <w:szCs w:val="21"/>
                <w:highlight w:val="none"/>
              </w:rPr>
            </w:pPr>
            <w:r>
              <w:rPr>
                <w:rFonts w:hint="eastAsia" w:ascii="宋体" w:hAnsi="宋体" w:cs="宋体"/>
                <w:b/>
                <w:color w:val="auto"/>
                <w:szCs w:val="21"/>
                <w:highlight w:val="none"/>
                <w:lang w:val="en-US" w:eastAsia="zh-CN"/>
              </w:rPr>
              <w:t>大写：           ；</w:t>
            </w:r>
            <w:r>
              <w:rPr>
                <w:rFonts w:hint="eastAsia" w:ascii="宋体" w:hAnsi="宋体" w:cs="宋体"/>
                <w:b/>
                <w:color w:val="auto"/>
                <w:szCs w:val="21"/>
                <w:highlight w:val="none"/>
              </w:rPr>
              <w:t>小写：</w:t>
            </w:r>
          </w:p>
        </w:tc>
      </w:tr>
      <w:tr w14:paraId="2DDF04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3" w:type="pct"/>
            <w:tcBorders>
              <w:tl2br w:val="nil"/>
              <w:tr2bl w:val="nil"/>
            </w:tcBorders>
            <w:vAlign w:val="center"/>
          </w:tcPr>
          <w:p w14:paraId="09DA1203">
            <w:pPr>
              <w:widowControl/>
              <w:wordWrap w:val="0"/>
              <w:jc w:val="center"/>
              <w:rPr>
                <w:rFonts w:hAnsi="宋体" w:cs="宋体"/>
                <w:color w:val="auto"/>
                <w:szCs w:val="21"/>
                <w:highlight w:val="none"/>
              </w:rPr>
            </w:pPr>
            <w:r>
              <w:rPr>
                <w:rFonts w:hAnsi="宋体" w:cs="宋体"/>
                <w:color w:val="auto"/>
                <w:szCs w:val="21"/>
                <w:highlight w:val="none"/>
              </w:rPr>
              <w:t>1.1</w:t>
            </w:r>
          </w:p>
        </w:tc>
        <w:tc>
          <w:tcPr>
            <w:tcW w:w="1424" w:type="pct"/>
            <w:tcBorders>
              <w:tl2br w:val="nil"/>
              <w:tr2bl w:val="nil"/>
            </w:tcBorders>
            <w:vAlign w:val="center"/>
          </w:tcPr>
          <w:p w14:paraId="0BFBF4C7">
            <w:pPr>
              <w:wordWrap w:val="0"/>
              <w:jc w:val="center"/>
              <w:rPr>
                <w:rFonts w:hAnsi="宋体" w:cs="宋体"/>
                <w:color w:val="auto"/>
                <w:szCs w:val="21"/>
                <w:highlight w:val="none"/>
              </w:rPr>
            </w:pPr>
            <w:r>
              <w:rPr>
                <w:rFonts w:hint="eastAsia" w:hAnsi="宋体" w:cs="宋体"/>
                <w:color w:val="auto"/>
                <w:szCs w:val="21"/>
                <w:highlight w:val="none"/>
              </w:rPr>
              <w:t>增值税税金</w:t>
            </w:r>
          </w:p>
        </w:tc>
        <w:tc>
          <w:tcPr>
            <w:tcW w:w="3223" w:type="pct"/>
            <w:tcBorders>
              <w:tl2br w:val="nil"/>
              <w:tr2bl w:val="nil"/>
            </w:tcBorders>
            <w:vAlign w:val="center"/>
          </w:tcPr>
          <w:p w14:paraId="25A2F551">
            <w:pPr>
              <w:widowControl/>
              <w:wordWrap w:val="0"/>
              <w:ind w:firstLine="316" w:firstLineChars="150"/>
              <w:jc w:val="left"/>
              <w:rPr>
                <w:rFonts w:hAnsi="宋体" w:cs="宋体"/>
                <w:b/>
                <w:color w:val="auto"/>
                <w:szCs w:val="21"/>
                <w:highlight w:val="none"/>
              </w:rPr>
            </w:pPr>
            <w:r>
              <w:rPr>
                <w:rFonts w:hint="eastAsia" w:hAnsi="宋体" w:cs="宋体"/>
                <w:b/>
                <w:color w:val="auto"/>
                <w:szCs w:val="21"/>
                <w:highlight w:val="none"/>
              </w:rPr>
              <w:t>大写：           ；</w:t>
            </w:r>
            <w:r>
              <w:rPr>
                <w:rFonts w:hAnsi="宋体" w:cs="宋体"/>
                <w:b/>
                <w:color w:val="auto"/>
                <w:szCs w:val="21"/>
                <w:highlight w:val="none"/>
              </w:rPr>
              <w:t>小写</w:t>
            </w:r>
            <w:r>
              <w:rPr>
                <w:rFonts w:hint="eastAsia" w:hAnsi="宋体" w:cs="宋体"/>
                <w:b/>
                <w:color w:val="auto"/>
                <w:szCs w:val="21"/>
                <w:highlight w:val="none"/>
              </w:rPr>
              <w:t>：</w:t>
            </w:r>
          </w:p>
        </w:tc>
      </w:tr>
      <w:tr w14:paraId="4E6D46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3" w:type="pct"/>
            <w:tcBorders>
              <w:tl2br w:val="nil"/>
              <w:tr2bl w:val="nil"/>
            </w:tcBorders>
            <w:vAlign w:val="center"/>
          </w:tcPr>
          <w:p w14:paraId="46D21F5D">
            <w:pPr>
              <w:widowControl/>
              <w:wordWrap w:val="0"/>
              <w:jc w:val="center"/>
              <w:rPr>
                <w:rFonts w:hAnsi="宋体" w:cs="宋体"/>
                <w:color w:val="auto"/>
                <w:szCs w:val="21"/>
                <w:highlight w:val="none"/>
              </w:rPr>
            </w:pPr>
            <w:r>
              <w:rPr>
                <w:rFonts w:hAnsi="宋体" w:cs="宋体"/>
                <w:color w:val="auto"/>
                <w:szCs w:val="21"/>
                <w:highlight w:val="none"/>
              </w:rPr>
              <w:t>1.2</w:t>
            </w:r>
          </w:p>
        </w:tc>
        <w:tc>
          <w:tcPr>
            <w:tcW w:w="1424" w:type="pct"/>
            <w:tcBorders>
              <w:tl2br w:val="nil"/>
              <w:tr2bl w:val="nil"/>
            </w:tcBorders>
            <w:vAlign w:val="center"/>
          </w:tcPr>
          <w:p w14:paraId="7A1A48B9">
            <w:pPr>
              <w:wordWrap w:val="0"/>
              <w:jc w:val="center"/>
              <w:rPr>
                <w:rFonts w:hAnsi="宋体" w:cs="宋体"/>
                <w:color w:val="auto"/>
                <w:szCs w:val="21"/>
                <w:highlight w:val="none"/>
              </w:rPr>
            </w:pPr>
            <w:r>
              <w:rPr>
                <w:rFonts w:hint="eastAsia" w:hAnsi="宋体" w:cs="宋体"/>
                <w:color w:val="auto"/>
                <w:szCs w:val="21"/>
                <w:highlight w:val="none"/>
              </w:rPr>
              <w:t>投标</w:t>
            </w:r>
            <w:r>
              <w:rPr>
                <w:rFonts w:hint="eastAsia" w:hAnsi="宋体" w:cs="宋体"/>
                <w:color w:val="auto"/>
                <w:szCs w:val="21"/>
                <w:highlight w:val="none"/>
                <w:lang w:val="en-US" w:eastAsia="zh-CN"/>
              </w:rPr>
              <w:t>单价合计</w:t>
            </w:r>
            <w:r>
              <w:rPr>
                <w:rFonts w:hint="eastAsia" w:hAnsi="宋体" w:cs="宋体"/>
                <w:color w:val="auto"/>
                <w:szCs w:val="21"/>
                <w:highlight w:val="none"/>
              </w:rPr>
              <w:t>报价</w:t>
            </w:r>
          </w:p>
          <w:p w14:paraId="6429976A">
            <w:pPr>
              <w:wordWrap w:val="0"/>
              <w:jc w:val="center"/>
              <w:rPr>
                <w:rFonts w:hAnsi="宋体" w:cs="宋体"/>
                <w:b/>
                <w:color w:val="auto"/>
                <w:szCs w:val="21"/>
                <w:highlight w:val="none"/>
              </w:rPr>
            </w:pPr>
            <w:r>
              <w:rPr>
                <w:rFonts w:hint="eastAsia" w:hAnsi="宋体" w:cs="宋体"/>
                <w:b/>
                <w:color w:val="auto"/>
                <w:szCs w:val="21"/>
                <w:highlight w:val="none"/>
              </w:rPr>
              <w:t>（不含税）</w:t>
            </w:r>
          </w:p>
        </w:tc>
        <w:tc>
          <w:tcPr>
            <w:tcW w:w="3223" w:type="pct"/>
            <w:tcBorders>
              <w:tl2br w:val="nil"/>
              <w:tr2bl w:val="nil"/>
            </w:tcBorders>
            <w:vAlign w:val="center"/>
          </w:tcPr>
          <w:p w14:paraId="2AA5ACDC">
            <w:pPr>
              <w:widowControl/>
              <w:wordWrap w:val="0"/>
              <w:ind w:firstLine="316" w:firstLineChars="150"/>
              <w:jc w:val="left"/>
              <w:rPr>
                <w:rFonts w:hAnsi="宋体" w:cs="宋体"/>
                <w:b/>
                <w:color w:val="auto"/>
                <w:szCs w:val="21"/>
                <w:highlight w:val="none"/>
              </w:rPr>
            </w:pPr>
            <w:r>
              <w:rPr>
                <w:rFonts w:hint="eastAsia" w:ascii="宋体" w:hAnsi="宋体" w:cs="宋体"/>
                <w:b/>
                <w:color w:val="auto"/>
                <w:szCs w:val="21"/>
                <w:highlight w:val="none"/>
                <w:lang w:val="en-US" w:eastAsia="zh-CN"/>
              </w:rPr>
              <w:t>大写：           ；</w:t>
            </w:r>
            <w:r>
              <w:rPr>
                <w:rFonts w:hint="eastAsia" w:ascii="宋体" w:hAnsi="宋体" w:cs="宋体"/>
                <w:b/>
                <w:color w:val="auto"/>
                <w:szCs w:val="21"/>
                <w:highlight w:val="none"/>
              </w:rPr>
              <w:t>小写：</w:t>
            </w:r>
          </w:p>
        </w:tc>
      </w:tr>
      <w:tr w14:paraId="75B0A1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3" w:type="pct"/>
            <w:tcBorders>
              <w:tl2br w:val="nil"/>
              <w:tr2bl w:val="nil"/>
            </w:tcBorders>
            <w:vAlign w:val="center"/>
          </w:tcPr>
          <w:p w14:paraId="71379698">
            <w:pPr>
              <w:wordWrap w:val="0"/>
              <w:jc w:val="center"/>
              <w:rPr>
                <w:rFonts w:hAnsi="宋体" w:cs="宋体"/>
                <w:color w:val="auto"/>
                <w:szCs w:val="21"/>
                <w:highlight w:val="none"/>
              </w:rPr>
            </w:pPr>
            <w:r>
              <w:rPr>
                <w:rFonts w:hAnsi="宋体" w:cs="宋体"/>
                <w:color w:val="auto"/>
                <w:szCs w:val="21"/>
                <w:highlight w:val="none"/>
              </w:rPr>
              <w:t>2</w:t>
            </w:r>
          </w:p>
        </w:tc>
        <w:tc>
          <w:tcPr>
            <w:tcW w:w="1424" w:type="pct"/>
            <w:tcBorders>
              <w:tl2br w:val="nil"/>
              <w:tr2bl w:val="nil"/>
            </w:tcBorders>
            <w:vAlign w:val="center"/>
          </w:tcPr>
          <w:p w14:paraId="2951F832">
            <w:pPr>
              <w:wordWrap w:val="0"/>
              <w:jc w:val="center"/>
              <w:rPr>
                <w:rFonts w:hint="default" w:hAnsi="宋体" w:eastAsia="宋体" w:cs="宋体"/>
                <w:color w:val="auto"/>
                <w:szCs w:val="21"/>
                <w:highlight w:val="none"/>
                <w:lang w:val="en-US" w:eastAsia="zh-CN"/>
              </w:rPr>
            </w:pPr>
            <w:r>
              <w:rPr>
                <w:rFonts w:hint="eastAsia" w:ascii="宋体" w:hAnsi="宋体" w:cs="宋体"/>
                <w:color w:val="auto"/>
                <w:szCs w:val="21"/>
                <w:highlight w:val="none"/>
                <w:u w:val="none"/>
              </w:rPr>
              <w:t>服务期限</w:t>
            </w:r>
            <w:r>
              <w:rPr>
                <w:rFonts w:hint="eastAsia" w:ascii="宋体" w:hAnsi="宋体" w:cs="宋体"/>
                <w:color w:val="auto"/>
                <w:szCs w:val="21"/>
                <w:highlight w:val="none"/>
                <w:u w:val="none"/>
                <w:lang w:val="en-US" w:eastAsia="zh-CN"/>
              </w:rPr>
              <w:t>/交货期限</w:t>
            </w:r>
          </w:p>
        </w:tc>
        <w:tc>
          <w:tcPr>
            <w:tcW w:w="3223" w:type="pct"/>
            <w:tcBorders>
              <w:tl2br w:val="nil"/>
              <w:tr2bl w:val="nil"/>
            </w:tcBorders>
            <w:vAlign w:val="center"/>
          </w:tcPr>
          <w:p w14:paraId="00072930">
            <w:pPr>
              <w:wordWrap w:val="0"/>
              <w:jc w:val="center"/>
              <w:rPr>
                <w:rFonts w:hint="default" w:hAnsi="宋体" w:eastAsia="宋体" w:cs="宋体"/>
                <w:color w:val="auto"/>
                <w:szCs w:val="21"/>
                <w:highlight w:val="none"/>
                <w:lang w:val="en-US" w:eastAsia="zh-CN"/>
              </w:rPr>
            </w:pPr>
            <w:r>
              <w:rPr>
                <w:rFonts w:hint="eastAsia" w:ascii="宋体" w:hAnsi="宋体" w:cs="宋体"/>
                <w:color w:val="auto"/>
                <w:szCs w:val="21"/>
                <w:highlight w:val="none"/>
                <w:u w:val="none"/>
                <w:lang w:val="en-US" w:eastAsia="zh-CN"/>
              </w:rPr>
              <w:t>3年</w:t>
            </w:r>
          </w:p>
        </w:tc>
      </w:tr>
    </w:tbl>
    <w:p w14:paraId="4F2C0DC9">
      <w:pPr>
        <w:wordWrap w:val="0"/>
        <w:spacing w:line="360" w:lineRule="auto"/>
        <w:rPr>
          <w:rFonts w:hAnsi="宋体" w:cs="宋体"/>
          <w:b/>
          <w:color w:val="auto"/>
          <w:szCs w:val="21"/>
          <w:highlight w:val="none"/>
        </w:rPr>
      </w:pPr>
      <w:r>
        <w:rPr>
          <w:rFonts w:hint="eastAsia" w:hAnsi="宋体" w:cs="宋体"/>
          <w:b/>
          <w:color w:val="auto"/>
          <w:szCs w:val="21"/>
          <w:highlight w:val="none"/>
        </w:rPr>
        <w:t>备注：</w:t>
      </w:r>
    </w:p>
    <w:p w14:paraId="4F6F82D3">
      <w:pPr>
        <w:wordWrap w:val="0"/>
        <w:spacing w:line="360" w:lineRule="auto"/>
        <w:rPr>
          <w:rFonts w:hAnsi="宋体" w:cs="宋体"/>
          <w:b/>
          <w:color w:val="auto"/>
          <w:szCs w:val="21"/>
          <w:highlight w:val="none"/>
        </w:rPr>
      </w:pPr>
      <w:r>
        <w:rPr>
          <w:rFonts w:hint="eastAsia" w:hAnsi="宋体" w:cs="宋体"/>
          <w:b/>
          <w:color w:val="auto"/>
          <w:szCs w:val="21"/>
          <w:highlight w:val="none"/>
        </w:rPr>
        <w:t>1、本表中“投标</w:t>
      </w:r>
      <w:r>
        <w:rPr>
          <w:rFonts w:hint="eastAsia" w:hAnsi="宋体" w:cs="宋体"/>
          <w:color w:val="auto"/>
          <w:szCs w:val="21"/>
          <w:highlight w:val="none"/>
          <w:lang w:val="en-US" w:eastAsia="zh-CN"/>
        </w:rPr>
        <w:t>单价合计</w:t>
      </w:r>
      <w:r>
        <w:rPr>
          <w:rFonts w:hint="eastAsia" w:hAnsi="宋体" w:cs="宋体"/>
          <w:b/>
          <w:color w:val="auto"/>
          <w:szCs w:val="21"/>
          <w:highlight w:val="none"/>
        </w:rPr>
        <w:t>报价”为含税</w:t>
      </w:r>
      <w:r>
        <w:rPr>
          <w:rFonts w:hint="eastAsia" w:hAnsi="宋体" w:cs="宋体"/>
          <w:color w:val="auto"/>
          <w:szCs w:val="21"/>
          <w:highlight w:val="none"/>
          <w:lang w:val="en-US" w:eastAsia="zh-CN"/>
        </w:rPr>
        <w:t>单价合计</w:t>
      </w:r>
      <w:r>
        <w:rPr>
          <w:rFonts w:hint="eastAsia" w:hAnsi="宋体" w:cs="宋体"/>
          <w:b/>
          <w:color w:val="auto"/>
          <w:szCs w:val="21"/>
          <w:highlight w:val="none"/>
        </w:rPr>
        <w:t>价（即不含税投标</w:t>
      </w:r>
      <w:r>
        <w:rPr>
          <w:rFonts w:hint="eastAsia" w:hAnsi="宋体" w:cs="宋体"/>
          <w:color w:val="auto"/>
          <w:szCs w:val="21"/>
          <w:highlight w:val="none"/>
          <w:lang w:val="en-US" w:eastAsia="zh-CN"/>
        </w:rPr>
        <w:t>单价合计</w:t>
      </w:r>
      <w:r>
        <w:rPr>
          <w:rFonts w:hint="eastAsia" w:hAnsi="宋体" w:cs="宋体"/>
          <w:b/>
          <w:color w:val="auto"/>
          <w:szCs w:val="21"/>
          <w:highlight w:val="none"/>
        </w:rPr>
        <w:t>报价与增值税之和）。投标人在填写投标报价时应当注意区分“投标</w:t>
      </w:r>
      <w:r>
        <w:rPr>
          <w:rFonts w:hint="eastAsia" w:hAnsi="宋体" w:cs="宋体"/>
          <w:color w:val="auto"/>
          <w:szCs w:val="21"/>
          <w:highlight w:val="none"/>
          <w:lang w:val="en-US" w:eastAsia="zh-CN"/>
        </w:rPr>
        <w:t>单价合计</w:t>
      </w:r>
      <w:r>
        <w:rPr>
          <w:rFonts w:hint="eastAsia" w:hAnsi="宋体" w:cs="宋体"/>
          <w:b/>
          <w:color w:val="auto"/>
          <w:szCs w:val="21"/>
          <w:highlight w:val="none"/>
        </w:rPr>
        <w:t>报价（不含税）”、“增值税”、“投标</w:t>
      </w:r>
      <w:r>
        <w:rPr>
          <w:rFonts w:hint="eastAsia" w:hAnsi="宋体" w:cs="宋体"/>
          <w:color w:val="auto"/>
          <w:szCs w:val="21"/>
          <w:highlight w:val="none"/>
          <w:lang w:val="en-US" w:eastAsia="zh-CN"/>
        </w:rPr>
        <w:t>单价合计</w:t>
      </w:r>
      <w:r>
        <w:rPr>
          <w:rFonts w:hint="eastAsia" w:hAnsi="宋体" w:cs="宋体"/>
          <w:b/>
          <w:color w:val="auto"/>
          <w:szCs w:val="21"/>
          <w:highlight w:val="none"/>
        </w:rPr>
        <w:t>报价（含税）”。</w:t>
      </w:r>
    </w:p>
    <w:p w14:paraId="056673E0">
      <w:pPr>
        <w:wordWrap w:val="0"/>
        <w:spacing w:line="360" w:lineRule="auto"/>
        <w:ind w:left="-424" w:leftChars="-202" w:firstLine="420" w:firstLineChars="200"/>
        <w:rPr>
          <w:rFonts w:hAnsi="宋体" w:cs="宋体"/>
          <w:b/>
          <w:color w:val="auto"/>
          <w:szCs w:val="21"/>
          <w:highlight w:val="none"/>
        </w:rPr>
      </w:pPr>
      <w:r>
        <w:rPr>
          <w:rFonts w:hint="eastAsia" w:hAnsi="宋体" w:cs="宋体"/>
          <w:color w:val="auto"/>
          <w:szCs w:val="21"/>
          <w:highlight w:val="none"/>
        </w:rPr>
        <w:t>2、所有投标报价相关表格保留小数点后两位，小数点后第三位“四舍五入”。</w:t>
      </w:r>
    </w:p>
    <w:p w14:paraId="31389D8E">
      <w:pPr>
        <w:wordWrap w:val="0"/>
        <w:spacing w:line="360" w:lineRule="auto"/>
        <w:rPr>
          <w:rFonts w:hAnsi="宋体" w:cs="宋体"/>
          <w:color w:val="auto"/>
          <w:szCs w:val="21"/>
          <w:highlight w:val="none"/>
        </w:rPr>
      </w:pPr>
      <w:r>
        <w:rPr>
          <w:rFonts w:hint="eastAsia" w:hAnsi="宋体" w:cs="宋体"/>
          <w:color w:val="auto"/>
          <w:szCs w:val="21"/>
          <w:highlight w:val="none"/>
        </w:rPr>
        <w:t>3、投标</w:t>
      </w:r>
      <w:r>
        <w:rPr>
          <w:rFonts w:hint="eastAsia" w:hAnsi="宋体" w:cs="宋体"/>
          <w:color w:val="auto"/>
          <w:szCs w:val="21"/>
          <w:highlight w:val="none"/>
          <w:lang w:val="en-US" w:eastAsia="zh-CN"/>
        </w:rPr>
        <w:t>单价合计</w:t>
      </w:r>
      <w:r>
        <w:rPr>
          <w:rFonts w:hint="eastAsia" w:hAnsi="宋体" w:cs="宋体"/>
          <w:color w:val="auto"/>
          <w:szCs w:val="21"/>
          <w:highlight w:val="none"/>
        </w:rPr>
        <w:t>报价已包含了招标文件要求的所有内容及要求；任何投标报价相关表格中未具体列明的，但在合同执行阶段可能发生的一切税费及费用等均已包含在投标</w:t>
      </w:r>
      <w:r>
        <w:rPr>
          <w:rFonts w:hint="eastAsia" w:hAnsi="宋体" w:cs="宋体"/>
          <w:color w:val="auto"/>
          <w:szCs w:val="21"/>
          <w:highlight w:val="none"/>
          <w:lang w:val="en-US" w:eastAsia="zh-CN"/>
        </w:rPr>
        <w:t>单价合计</w:t>
      </w:r>
      <w:r>
        <w:rPr>
          <w:rFonts w:hint="eastAsia" w:hAnsi="宋体" w:cs="宋体"/>
          <w:color w:val="auto"/>
          <w:szCs w:val="21"/>
          <w:highlight w:val="none"/>
        </w:rPr>
        <w:t>报价中。投标</w:t>
      </w:r>
      <w:r>
        <w:rPr>
          <w:rFonts w:hint="eastAsia" w:hAnsi="宋体" w:cs="宋体"/>
          <w:color w:val="auto"/>
          <w:szCs w:val="21"/>
          <w:highlight w:val="none"/>
          <w:lang w:val="en-US" w:eastAsia="zh-CN"/>
        </w:rPr>
        <w:t>单价合计</w:t>
      </w:r>
      <w:r>
        <w:rPr>
          <w:rFonts w:hint="eastAsia" w:hAnsi="宋体" w:cs="宋体"/>
          <w:color w:val="auto"/>
          <w:szCs w:val="21"/>
          <w:highlight w:val="none"/>
        </w:rPr>
        <w:t>报价视为已充分考虑本项目实施过程中有可能出现的所有市场风险，包括但不限于人力成本的增加、物价上涨、国家宏观调控、经济环境变化等因素。</w:t>
      </w:r>
    </w:p>
    <w:p w14:paraId="29C5AC5A">
      <w:pPr>
        <w:wordWrap w:val="0"/>
        <w:spacing w:line="360" w:lineRule="auto"/>
        <w:ind w:left="-424" w:leftChars="-202" w:firstLine="420" w:firstLineChars="200"/>
        <w:rPr>
          <w:rFonts w:hAnsi="宋体" w:cs="宋体"/>
          <w:b/>
          <w:color w:val="auto"/>
          <w:szCs w:val="21"/>
          <w:highlight w:val="none"/>
        </w:rPr>
      </w:pPr>
      <w:r>
        <w:rPr>
          <w:rFonts w:hint="eastAsia" w:hAnsi="宋体" w:cs="宋体"/>
          <w:color w:val="auto"/>
          <w:szCs w:val="21"/>
          <w:highlight w:val="none"/>
        </w:rPr>
        <w:t>4、如果不提供详细投标报价清单将视为没有实质性响应招标文件。</w:t>
      </w:r>
    </w:p>
    <w:p w14:paraId="7CA7773C">
      <w:pPr>
        <w:wordWrap w:val="0"/>
        <w:spacing w:line="360" w:lineRule="auto"/>
        <w:ind w:left="-424" w:leftChars="-202" w:firstLine="420" w:firstLineChars="200"/>
        <w:rPr>
          <w:rFonts w:hAnsi="宋体" w:cs="宋体"/>
          <w:b/>
          <w:color w:val="auto"/>
          <w:szCs w:val="21"/>
          <w:highlight w:val="none"/>
        </w:rPr>
      </w:pPr>
      <w:r>
        <w:rPr>
          <w:rFonts w:hint="eastAsia" w:hAnsi="宋体" w:cs="宋体"/>
          <w:color w:val="auto"/>
          <w:szCs w:val="21"/>
          <w:highlight w:val="none"/>
        </w:rPr>
        <w:t>5、本表中的“投标</w:t>
      </w:r>
      <w:r>
        <w:rPr>
          <w:rFonts w:hint="eastAsia" w:hAnsi="宋体" w:cs="宋体"/>
          <w:color w:val="auto"/>
          <w:szCs w:val="21"/>
          <w:highlight w:val="none"/>
          <w:lang w:val="en-US" w:eastAsia="zh-CN"/>
        </w:rPr>
        <w:t>单价合计</w:t>
      </w:r>
      <w:r>
        <w:rPr>
          <w:rFonts w:hint="eastAsia" w:hAnsi="宋体" w:cs="宋体"/>
          <w:color w:val="auto"/>
          <w:szCs w:val="21"/>
          <w:highlight w:val="none"/>
        </w:rPr>
        <w:t>报价（含税）”的金额应与《投标报价表》中的相应金额一致。</w:t>
      </w:r>
    </w:p>
    <w:p w14:paraId="0774717C">
      <w:pPr>
        <w:wordWrap w:val="0"/>
        <w:spacing w:line="360" w:lineRule="auto"/>
        <w:rPr>
          <w:rFonts w:hAnsi="宋体" w:cs="宋体"/>
          <w:b/>
          <w:color w:val="auto"/>
          <w:szCs w:val="21"/>
          <w:highlight w:val="none"/>
        </w:rPr>
      </w:pPr>
      <w:r>
        <w:rPr>
          <w:rFonts w:hint="eastAsia" w:hAnsi="宋体" w:cs="宋体"/>
          <w:b/>
          <w:color w:val="auto"/>
          <w:szCs w:val="21"/>
          <w:highlight w:val="none"/>
        </w:rPr>
        <w:t>6、除招标文件另有规定外，本表的投标</w:t>
      </w:r>
      <w:r>
        <w:rPr>
          <w:rFonts w:hint="eastAsia" w:hAnsi="宋体" w:cs="宋体"/>
          <w:color w:val="auto"/>
          <w:szCs w:val="21"/>
          <w:highlight w:val="none"/>
          <w:lang w:val="en-US" w:eastAsia="zh-CN"/>
        </w:rPr>
        <w:t>单价合计</w:t>
      </w:r>
      <w:r>
        <w:rPr>
          <w:rFonts w:hint="eastAsia" w:hAnsi="宋体" w:cs="宋体"/>
          <w:b/>
          <w:color w:val="auto"/>
          <w:szCs w:val="21"/>
          <w:highlight w:val="none"/>
        </w:rPr>
        <w:t>报价（含税）为投标人的正式报价，任何关于报价不一致的情形，均以本表的投标</w:t>
      </w:r>
      <w:r>
        <w:rPr>
          <w:rFonts w:hint="eastAsia" w:hAnsi="宋体" w:cs="宋体"/>
          <w:color w:val="auto"/>
          <w:szCs w:val="21"/>
          <w:highlight w:val="none"/>
          <w:lang w:val="en-US" w:eastAsia="zh-CN"/>
        </w:rPr>
        <w:t>单价合计</w:t>
      </w:r>
      <w:r>
        <w:rPr>
          <w:rFonts w:hint="eastAsia" w:hAnsi="宋体" w:cs="宋体"/>
          <w:b/>
          <w:color w:val="auto"/>
          <w:szCs w:val="21"/>
          <w:highlight w:val="none"/>
        </w:rPr>
        <w:t>报价（含税）为准。</w:t>
      </w:r>
    </w:p>
    <w:p w14:paraId="43209810">
      <w:pPr>
        <w:wordWrap w:val="0"/>
        <w:spacing w:line="360" w:lineRule="auto"/>
        <w:ind w:firstLine="630" w:firstLineChars="300"/>
        <w:rPr>
          <w:rFonts w:hAnsi="宋体" w:cs="宋体"/>
          <w:color w:val="auto"/>
          <w:szCs w:val="21"/>
          <w:highlight w:val="none"/>
        </w:rPr>
      </w:pPr>
    </w:p>
    <w:p w14:paraId="6D20B780">
      <w:pPr>
        <w:wordWrap w:val="0"/>
        <w:spacing w:line="360" w:lineRule="auto"/>
        <w:rPr>
          <w:rFonts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02D94B30">
      <w:pPr>
        <w:wordWrap w:val="0"/>
        <w:adjustRightInd w:val="0"/>
        <w:snapToGrid w:val="0"/>
        <w:spacing w:line="360" w:lineRule="auto"/>
        <w:rPr>
          <w:rFonts w:hAnsi="宋体" w:cs="宋体"/>
          <w:color w:val="auto"/>
          <w:szCs w:val="21"/>
          <w:highlight w:val="none"/>
        </w:rPr>
      </w:pPr>
      <w:r>
        <w:rPr>
          <w:rFonts w:hint="eastAsia" w:ascii="宋体" w:hAnsi="宋体" w:cs="宋体"/>
          <w:color w:val="auto"/>
          <w:szCs w:val="21"/>
          <w:highlight w:val="none"/>
        </w:rPr>
        <w:t>法定代表人或其委托代理人(签字或盖章)：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_</w:t>
      </w:r>
    </w:p>
    <w:p w14:paraId="103ECE7E">
      <w:pPr>
        <w:wordWrap w:val="0"/>
        <w:spacing w:line="360" w:lineRule="auto"/>
        <w:rPr>
          <w:rFonts w:hint="eastAsia" w:hAnsi="宋体" w:cs="宋体"/>
          <w:color w:val="auto"/>
          <w:szCs w:val="21"/>
          <w:highlight w:val="none"/>
        </w:rPr>
      </w:pPr>
      <w:r>
        <w:rPr>
          <w:rFonts w:hint="eastAsia" w:hAnsi="宋体" w:cs="宋体"/>
          <w:color w:val="auto"/>
          <w:szCs w:val="21"/>
          <w:highlight w:val="none"/>
          <w:u w:val="single"/>
        </w:rPr>
        <w:t xml:space="preserve">       </w:t>
      </w:r>
      <w:r>
        <w:rPr>
          <w:rFonts w:hint="eastAsia" w:hAnsi="宋体" w:cs="宋体"/>
          <w:color w:val="auto"/>
          <w:szCs w:val="21"/>
          <w:highlight w:val="none"/>
        </w:rPr>
        <w:t>年</w:t>
      </w:r>
      <w:r>
        <w:rPr>
          <w:rFonts w:hint="eastAsia" w:hAnsi="宋体" w:cs="宋体"/>
          <w:color w:val="auto"/>
          <w:szCs w:val="21"/>
          <w:highlight w:val="none"/>
          <w:u w:val="single"/>
        </w:rPr>
        <w:t xml:space="preserve">    </w:t>
      </w:r>
      <w:r>
        <w:rPr>
          <w:rFonts w:hint="eastAsia" w:hAnsi="宋体" w:cs="宋体"/>
          <w:color w:val="auto"/>
          <w:szCs w:val="21"/>
          <w:highlight w:val="none"/>
        </w:rPr>
        <w:t>月</w:t>
      </w:r>
      <w:r>
        <w:rPr>
          <w:rFonts w:hint="eastAsia" w:hAnsi="宋体" w:cs="宋体"/>
          <w:color w:val="auto"/>
          <w:szCs w:val="21"/>
          <w:highlight w:val="none"/>
          <w:u w:val="single"/>
        </w:rPr>
        <w:t xml:space="preserve">     </w:t>
      </w:r>
      <w:r>
        <w:rPr>
          <w:rFonts w:hint="eastAsia" w:hAnsi="宋体" w:cs="宋体"/>
          <w:color w:val="auto"/>
          <w:szCs w:val="21"/>
          <w:highlight w:val="none"/>
        </w:rPr>
        <w:t>日</w:t>
      </w:r>
    </w:p>
    <w:p w14:paraId="6EBB51E2">
      <w:pPr>
        <w:wordWrap w:val="0"/>
        <w:spacing w:line="360" w:lineRule="auto"/>
        <w:rPr>
          <w:rFonts w:hint="eastAsia" w:hAnsi="宋体" w:cs="宋体"/>
          <w:color w:val="auto"/>
          <w:szCs w:val="21"/>
          <w:highlight w:val="none"/>
        </w:rPr>
      </w:pPr>
    </w:p>
    <w:p w14:paraId="6E29CD5F">
      <w:pPr>
        <w:wordWrap w:val="0"/>
        <w:spacing w:line="360" w:lineRule="auto"/>
        <w:rPr>
          <w:rFonts w:hint="eastAsia" w:hAnsi="宋体" w:cs="宋体"/>
          <w:color w:val="auto"/>
          <w:szCs w:val="21"/>
          <w:highlight w:val="none"/>
        </w:rPr>
      </w:pPr>
    </w:p>
    <w:p w14:paraId="00EE1B4A">
      <w:pPr>
        <w:rPr>
          <w:rFonts w:ascii="Calibri" w:cs="宋体"/>
          <w:color w:val="auto"/>
          <w:szCs w:val="28"/>
          <w:highlight w:val="none"/>
        </w:rPr>
      </w:pPr>
      <w:r>
        <w:rPr>
          <w:rFonts w:ascii="Calibri" w:cs="宋体"/>
          <w:color w:val="auto"/>
          <w:szCs w:val="28"/>
          <w:highlight w:val="none"/>
        </w:rPr>
        <w:br w:type="page"/>
      </w:r>
    </w:p>
    <w:p w14:paraId="42AFDAAF">
      <w:pPr>
        <w:pStyle w:val="137"/>
        <w:tabs>
          <w:tab w:val="left" w:pos="4538"/>
          <w:tab w:val="left" w:pos="5484"/>
          <w:tab w:val="left" w:pos="6427"/>
        </w:tabs>
        <w:wordWrap w:val="0"/>
        <w:spacing w:after="240" w:line="360" w:lineRule="auto"/>
        <w:ind w:left="220" w:right="339"/>
        <w:jc w:val="center"/>
        <w:rPr>
          <w:rFonts w:hint="default" w:ascii="Calibri" w:hAnsi="宋体" w:cs="宋体"/>
          <w:color w:val="auto"/>
          <w:szCs w:val="28"/>
          <w:highlight w:val="none"/>
        </w:rPr>
      </w:pPr>
      <w:r>
        <w:rPr>
          <w:rFonts w:ascii="Calibri" w:cs="宋体"/>
          <w:color w:val="auto"/>
          <w:szCs w:val="28"/>
          <w:highlight w:val="none"/>
        </w:rPr>
        <w:t>三</w:t>
      </w:r>
      <w:r>
        <w:rPr>
          <w:rFonts w:hint="eastAsia" w:ascii="Calibri" w:cs="宋体"/>
          <w:color w:val="auto"/>
          <w:szCs w:val="28"/>
          <w:highlight w:val="none"/>
        </w:rPr>
        <w:t>、投标报价表</w:t>
      </w:r>
    </w:p>
    <w:p w14:paraId="3A5472E3">
      <w:pPr>
        <w:wordWrap w:val="0"/>
        <w:adjustRightInd w:val="0"/>
        <w:snapToGrid w:val="0"/>
        <w:spacing w:after="157" w:afterLines="50" w:line="240" w:lineRule="auto"/>
        <w:rPr>
          <w:rFonts w:hint="eastAsia" w:ascii="宋体" w:hAnsi="宋体" w:eastAsia="宋体" w:cs="宋体"/>
          <w:bCs/>
          <w:color w:val="auto"/>
          <w:szCs w:val="21"/>
          <w:highlight w:val="none"/>
          <w:lang w:val="en-US" w:eastAsia="zh-CN"/>
        </w:rPr>
      </w:pPr>
      <w:r>
        <w:rPr>
          <w:rFonts w:hAnsi="宋体" w:cs="宋体"/>
          <w:b/>
          <w:bCs/>
          <w:color w:val="auto"/>
          <w:szCs w:val="21"/>
          <w:highlight w:val="none"/>
        </w:rPr>
        <w:t>项目名称</w:t>
      </w:r>
      <w:r>
        <w:rPr>
          <w:rFonts w:hint="eastAsia" w:hAnsi="宋体" w:cs="宋体"/>
          <w:b/>
          <w:bCs/>
          <w:color w:val="auto"/>
          <w:szCs w:val="21"/>
          <w:highlight w:val="none"/>
        </w:rPr>
        <w:t>：</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eastAsia="zh-CN"/>
        </w:rPr>
        <w:t>2025年长沙穗城轨道交通有限公司年度员工体检项目</w:t>
      </w:r>
    </w:p>
    <w:tbl>
      <w:tblPr>
        <w:tblStyle w:val="64"/>
        <w:tblW w:w="47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627"/>
        <w:gridCol w:w="4"/>
        <w:gridCol w:w="1723"/>
        <w:gridCol w:w="521"/>
        <w:gridCol w:w="627"/>
        <w:gridCol w:w="1021"/>
        <w:gridCol w:w="983"/>
        <w:gridCol w:w="962"/>
        <w:gridCol w:w="1148"/>
        <w:gridCol w:w="871"/>
        <w:gridCol w:w="401"/>
      </w:tblGrid>
      <w:tr w14:paraId="2BB63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329" w:type="pct"/>
            <w:vMerge w:val="restart"/>
            <w:noWrap w:val="0"/>
            <w:vAlign w:val="center"/>
          </w:tcPr>
          <w:p w14:paraId="47FAFE54">
            <w:pPr>
              <w:adjustRightInd w:val="0"/>
              <w:snapToGrid w:val="0"/>
              <w:jc w:val="center"/>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序号</w:t>
            </w:r>
          </w:p>
        </w:tc>
        <w:tc>
          <w:tcPr>
            <w:tcW w:w="1236" w:type="pct"/>
            <w:gridSpan w:val="3"/>
            <w:vMerge w:val="restart"/>
            <w:noWrap w:val="0"/>
            <w:vAlign w:val="center"/>
          </w:tcPr>
          <w:p w14:paraId="12A25B17">
            <w:pPr>
              <w:adjustRightInd w:val="0"/>
              <w:snapToGrid w:val="0"/>
              <w:jc w:val="center"/>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项目内容</w:t>
            </w:r>
          </w:p>
        </w:tc>
        <w:tc>
          <w:tcPr>
            <w:tcW w:w="273" w:type="pct"/>
            <w:vMerge w:val="restart"/>
            <w:noWrap w:val="0"/>
            <w:vAlign w:val="center"/>
          </w:tcPr>
          <w:p w14:paraId="329A7362">
            <w:pPr>
              <w:adjustRightInd w:val="0"/>
              <w:snapToGrid w:val="0"/>
              <w:jc w:val="center"/>
              <w:rPr>
                <w:rFonts w:hint="eastAsia" w:ascii="宋体" w:hAnsi="宋体" w:eastAsia="宋体" w:cs="Times New Roman"/>
                <w:bCs/>
                <w:color w:val="auto"/>
                <w:szCs w:val="21"/>
                <w:highlight w:val="none"/>
              </w:rPr>
            </w:pPr>
            <w:r>
              <w:rPr>
                <w:rFonts w:hint="eastAsia" w:ascii="宋体" w:hAnsi="宋体"/>
                <w:bCs/>
                <w:color w:val="0D0D0D"/>
                <w:szCs w:val="21"/>
                <w:highlight w:val="none"/>
              </w:rPr>
              <w:t>单位</w:t>
            </w:r>
          </w:p>
        </w:tc>
        <w:tc>
          <w:tcPr>
            <w:tcW w:w="329" w:type="pct"/>
            <w:vMerge w:val="restart"/>
            <w:noWrap w:val="0"/>
            <w:vAlign w:val="center"/>
          </w:tcPr>
          <w:p w14:paraId="09F91F20">
            <w:pPr>
              <w:adjustRightInd w:val="0"/>
              <w:snapToGrid w:val="0"/>
              <w:jc w:val="center"/>
              <w:rPr>
                <w:rFonts w:hint="eastAsia" w:ascii="宋体" w:hAnsi="宋体" w:eastAsia="宋体" w:cs="Times New Roman"/>
                <w:bCs/>
                <w:color w:val="auto"/>
                <w:szCs w:val="21"/>
                <w:highlight w:val="none"/>
              </w:rPr>
            </w:pPr>
            <w:r>
              <w:rPr>
                <w:rFonts w:hint="eastAsia" w:ascii="宋体" w:hAnsi="宋体"/>
                <w:bCs/>
                <w:color w:val="0D0D0D"/>
                <w:szCs w:val="21"/>
                <w:highlight w:val="none"/>
              </w:rPr>
              <w:t>数量</w:t>
            </w:r>
          </w:p>
        </w:tc>
        <w:tc>
          <w:tcPr>
            <w:tcW w:w="2161" w:type="pct"/>
            <w:gridSpan w:val="4"/>
            <w:noWrap w:val="0"/>
            <w:vAlign w:val="center"/>
          </w:tcPr>
          <w:p w14:paraId="426214C8">
            <w:pPr>
              <w:adjustRightInd w:val="0"/>
              <w:snapToGrid w:val="0"/>
              <w:jc w:val="center"/>
              <w:rPr>
                <w:rFonts w:hint="eastAsia" w:ascii="宋体" w:hAnsi="宋体" w:eastAsia="宋体" w:cs="Times New Roman"/>
                <w:bCs/>
                <w:color w:val="auto"/>
                <w:szCs w:val="21"/>
                <w:highlight w:val="none"/>
              </w:rPr>
            </w:pPr>
            <w:r>
              <w:rPr>
                <w:rFonts w:hint="eastAsia" w:ascii="宋体" w:hAnsi="宋体" w:cs="Times New Roman"/>
                <w:bCs/>
                <w:color w:val="auto"/>
                <w:szCs w:val="21"/>
                <w:highlight w:val="none"/>
                <w:lang w:val="en-US" w:eastAsia="zh-CN"/>
              </w:rPr>
              <w:t>功能点</w:t>
            </w:r>
            <w:r>
              <w:rPr>
                <w:rFonts w:hint="eastAsia" w:ascii="宋体" w:hAnsi="宋体" w:eastAsia="宋体" w:cs="Times New Roman"/>
                <w:bCs/>
                <w:color w:val="auto"/>
                <w:szCs w:val="21"/>
                <w:highlight w:val="none"/>
              </w:rPr>
              <w:t>单价</w:t>
            </w:r>
          </w:p>
        </w:tc>
        <w:tc>
          <w:tcPr>
            <w:tcW w:w="457" w:type="pct"/>
            <w:vMerge w:val="restart"/>
            <w:noWrap w:val="0"/>
            <w:vAlign w:val="center"/>
          </w:tcPr>
          <w:p w14:paraId="74C99EC8">
            <w:pPr>
              <w:adjustRightInd w:val="0"/>
              <w:snapToGrid w:val="0"/>
              <w:jc w:val="center"/>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rPr>
              <w:t>含税</w:t>
            </w:r>
            <w:r>
              <w:rPr>
                <w:rFonts w:hint="eastAsia" w:ascii="宋体" w:hAnsi="宋体" w:cs="Times New Roman"/>
                <w:bCs/>
                <w:color w:val="auto"/>
                <w:szCs w:val="21"/>
                <w:highlight w:val="none"/>
                <w:lang w:val="en-US" w:eastAsia="zh-CN"/>
              </w:rPr>
              <w:t>合价</w:t>
            </w:r>
          </w:p>
        </w:tc>
        <w:tc>
          <w:tcPr>
            <w:tcW w:w="210" w:type="pct"/>
            <w:vMerge w:val="restart"/>
            <w:noWrap w:val="0"/>
            <w:vAlign w:val="center"/>
          </w:tcPr>
          <w:p w14:paraId="2AD9CAC0">
            <w:pPr>
              <w:adjustRightInd w:val="0"/>
              <w:snapToGrid w:val="0"/>
              <w:jc w:val="center"/>
              <w:rPr>
                <w:rFonts w:hint="default"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备注</w:t>
            </w:r>
          </w:p>
        </w:tc>
      </w:tr>
      <w:tr w14:paraId="4399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329" w:type="pct"/>
            <w:vMerge w:val="continue"/>
            <w:noWrap w:val="0"/>
            <w:vAlign w:val="center"/>
          </w:tcPr>
          <w:p w14:paraId="055B47B6">
            <w:pPr>
              <w:adjustRightInd w:val="0"/>
              <w:snapToGrid w:val="0"/>
              <w:jc w:val="center"/>
              <w:rPr>
                <w:rFonts w:hint="eastAsia" w:ascii="宋体" w:hAnsi="宋体" w:eastAsia="宋体" w:cs="Times New Roman"/>
                <w:bCs/>
                <w:color w:val="auto"/>
                <w:szCs w:val="21"/>
                <w:highlight w:val="none"/>
              </w:rPr>
            </w:pPr>
          </w:p>
        </w:tc>
        <w:tc>
          <w:tcPr>
            <w:tcW w:w="1236" w:type="pct"/>
            <w:gridSpan w:val="3"/>
            <w:vMerge w:val="continue"/>
            <w:noWrap w:val="0"/>
            <w:vAlign w:val="center"/>
          </w:tcPr>
          <w:p w14:paraId="54A8EE79">
            <w:pPr>
              <w:adjustRightInd w:val="0"/>
              <w:snapToGrid w:val="0"/>
              <w:jc w:val="center"/>
              <w:rPr>
                <w:rFonts w:hint="eastAsia" w:ascii="宋体" w:hAnsi="宋体" w:eastAsia="宋体" w:cs="Times New Roman"/>
                <w:bCs/>
                <w:color w:val="auto"/>
                <w:szCs w:val="21"/>
                <w:highlight w:val="none"/>
              </w:rPr>
            </w:pPr>
          </w:p>
        </w:tc>
        <w:tc>
          <w:tcPr>
            <w:tcW w:w="273" w:type="pct"/>
            <w:vMerge w:val="continue"/>
            <w:noWrap w:val="0"/>
            <w:vAlign w:val="center"/>
          </w:tcPr>
          <w:p w14:paraId="713C68AF">
            <w:pPr>
              <w:adjustRightInd w:val="0"/>
              <w:snapToGrid w:val="0"/>
              <w:jc w:val="center"/>
              <w:rPr>
                <w:rFonts w:hint="eastAsia" w:ascii="宋体" w:hAnsi="宋体" w:eastAsia="宋体" w:cs="Times New Roman"/>
                <w:bCs/>
                <w:color w:val="auto"/>
                <w:szCs w:val="21"/>
                <w:highlight w:val="none"/>
              </w:rPr>
            </w:pPr>
          </w:p>
        </w:tc>
        <w:tc>
          <w:tcPr>
            <w:tcW w:w="329" w:type="pct"/>
            <w:vMerge w:val="continue"/>
            <w:noWrap w:val="0"/>
            <w:vAlign w:val="center"/>
          </w:tcPr>
          <w:p w14:paraId="3B43F7F6">
            <w:pPr>
              <w:adjustRightInd w:val="0"/>
              <w:snapToGrid w:val="0"/>
              <w:jc w:val="center"/>
              <w:rPr>
                <w:rFonts w:hint="eastAsia" w:ascii="宋体" w:hAnsi="宋体" w:eastAsia="宋体" w:cs="Times New Roman"/>
                <w:bCs/>
                <w:color w:val="auto"/>
                <w:szCs w:val="21"/>
                <w:highlight w:val="none"/>
              </w:rPr>
            </w:pPr>
          </w:p>
        </w:tc>
        <w:tc>
          <w:tcPr>
            <w:tcW w:w="536" w:type="pct"/>
            <w:noWrap w:val="0"/>
            <w:vAlign w:val="center"/>
          </w:tcPr>
          <w:p w14:paraId="373BCAF5">
            <w:pPr>
              <w:adjustRightInd w:val="0"/>
              <w:snapToGrid w:val="0"/>
              <w:jc w:val="center"/>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不含税报价</w:t>
            </w:r>
          </w:p>
        </w:tc>
        <w:tc>
          <w:tcPr>
            <w:tcW w:w="516" w:type="pct"/>
            <w:noWrap w:val="0"/>
            <w:vAlign w:val="center"/>
          </w:tcPr>
          <w:p w14:paraId="6218A058">
            <w:pPr>
              <w:adjustRightInd w:val="0"/>
              <w:snapToGrid w:val="0"/>
              <w:jc w:val="center"/>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税率</w:t>
            </w:r>
          </w:p>
        </w:tc>
        <w:tc>
          <w:tcPr>
            <w:tcW w:w="505" w:type="pct"/>
            <w:noWrap w:val="0"/>
            <w:vAlign w:val="center"/>
          </w:tcPr>
          <w:p w14:paraId="6418B24F">
            <w:pPr>
              <w:adjustRightInd w:val="0"/>
              <w:snapToGrid w:val="0"/>
              <w:jc w:val="center"/>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增值税税金</w:t>
            </w:r>
          </w:p>
        </w:tc>
        <w:tc>
          <w:tcPr>
            <w:tcW w:w="603" w:type="pct"/>
            <w:noWrap w:val="0"/>
            <w:vAlign w:val="center"/>
          </w:tcPr>
          <w:p w14:paraId="381ED9D0">
            <w:pPr>
              <w:adjustRightInd w:val="0"/>
              <w:snapToGrid w:val="0"/>
              <w:jc w:val="center"/>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含税报价</w:t>
            </w:r>
          </w:p>
        </w:tc>
        <w:tc>
          <w:tcPr>
            <w:tcW w:w="457" w:type="pct"/>
            <w:vMerge w:val="continue"/>
            <w:noWrap w:val="0"/>
            <w:vAlign w:val="center"/>
          </w:tcPr>
          <w:p w14:paraId="176319FD">
            <w:pPr>
              <w:adjustRightInd w:val="0"/>
              <w:snapToGrid w:val="0"/>
              <w:jc w:val="center"/>
              <w:rPr>
                <w:rFonts w:hint="eastAsia" w:ascii="宋体" w:hAnsi="宋体" w:eastAsia="宋体" w:cs="Times New Roman"/>
                <w:bCs/>
                <w:color w:val="auto"/>
                <w:szCs w:val="21"/>
                <w:highlight w:val="none"/>
              </w:rPr>
            </w:pPr>
          </w:p>
        </w:tc>
        <w:tc>
          <w:tcPr>
            <w:tcW w:w="210" w:type="pct"/>
            <w:vMerge w:val="continue"/>
            <w:noWrap w:val="0"/>
            <w:vAlign w:val="center"/>
          </w:tcPr>
          <w:p w14:paraId="4C6485A7">
            <w:pPr>
              <w:adjustRightInd w:val="0"/>
              <w:snapToGrid w:val="0"/>
              <w:jc w:val="center"/>
              <w:rPr>
                <w:rFonts w:hint="eastAsia" w:ascii="宋体" w:hAnsi="宋体" w:eastAsia="宋体" w:cs="Times New Roman"/>
                <w:bCs/>
                <w:color w:val="auto"/>
                <w:szCs w:val="21"/>
                <w:highlight w:val="none"/>
              </w:rPr>
            </w:pPr>
          </w:p>
        </w:tc>
      </w:tr>
      <w:tr w14:paraId="5A60F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000" w:type="pct"/>
            <w:gridSpan w:val="12"/>
            <w:noWrap w:val="0"/>
            <w:vAlign w:val="center"/>
          </w:tcPr>
          <w:p w14:paraId="3FF0AE9B">
            <w:pPr>
              <w:adjustRightInd w:val="0"/>
              <w:snapToGrid w:val="0"/>
              <w:jc w:val="left"/>
              <w:rPr>
                <w:rFonts w:ascii="宋体" w:hAnsi="宋体" w:eastAsia="宋体" w:cs="Times New Roman"/>
                <w:bCs/>
                <w:color w:val="auto"/>
                <w:szCs w:val="21"/>
                <w:highlight w:val="none"/>
              </w:rPr>
            </w:pPr>
            <w:r>
              <w:rPr>
                <w:rFonts w:hint="eastAsia" w:ascii="宋体" w:hAnsi="宋体" w:eastAsia="宋体" w:cs="宋体"/>
                <w:b/>
                <w:bCs/>
                <w:i w:val="0"/>
                <w:iCs w:val="0"/>
                <w:color w:val="000000"/>
                <w:kern w:val="0"/>
                <w:sz w:val="20"/>
                <w:szCs w:val="20"/>
                <w:u w:val="none"/>
                <w:lang w:val="en-US" w:eastAsia="zh-CN" w:bidi="ar"/>
              </w:rPr>
              <w:t>一、基础体检项目</w:t>
            </w:r>
          </w:p>
        </w:tc>
      </w:tr>
      <w:tr w14:paraId="6F0E8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64563FF0">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1</w:t>
            </w:r>
          </w:p>
        </w:tc>
        <w:tc>
          <w:tcPr>
            <w:tcW w:w="1236" w:type="pct"/>
            <w:gridSpan w:val="3"/>
            <w:noWrap w:val="0"/>
            <w:vAlign w:val="center"/>
          </w:tcPr>
          <w:p w14:paraId="7241D119">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一般项目</w:t>
            </w:r>
          </w:p>
        </w:tc>
        <w:tc>
          <w:tcPr>
            <w:tcW w:w="273" w:type="pct"/>
            <w:noWrap w:val="0"/>
            <w:vAlign w:val="center"/>
          </w:tcPr>
          <w:p w14:paraId="0FBDEC9F">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2974B496">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59768DC">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05E6A872">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1C438805">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0201D6BE">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839124A">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57389D02">
            <w:pPr>
              <w:adjustRightInd w:val="0"/>
              <w:snapToGrid w:val="0"/>
              <w:jc w:val="center"/>
              <w:rPr>
                <w:rFonts w:ascii="宋体" w:hAnsi="宋体" w:eastAsia="宋体" w:cs="Times New Roman"/>
                <w:bCs/>
                <w:color w:val="auto"/>
                <w:szCs w:val="21"/>
                <w:highlight w:val="none"/>
              </w:rPr>
            </w:pPr>
          </w:p>
        </w:tc>
      </w:tr>
      <w:tr w14:paraId="6D576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2" w:hRule="atLeast"/>
          <w:jc w:val="center"/>
        </w:trPr>
        <w:tc>
          <w:tcPr>
            <w:tcW w:w="329" w:type="pct"/>
            <w:noWrap w:val="0"/>
            <w:vAlign w:val="center"/>
          </w:tcPr>
          <w:p w14:paraId="518E40D5">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2</w:t>
            </w:r>
          </w:p>
        </w:tc>
        <w:tc>
          <w:tcPr>
            <w:tcW w:w="1236" w:type="pct"/>
            <w:gridSpan w:val="3"/>
            <w:noWrap w:val="0"/>
            <w:vAlign w:val="center"/>
          </w:tcPr>
          <w:p w14:paraId="07EEF99C">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内科</w:t>
            </w:r>
          </w:p>
        </w:tc>
        <w:tc>
          <w:tcPr>
            <w:tcW w:w="273" w:type="pct"/>
            <w:noWrap w:val="0"/>
            <w:vAlign w:val="center"/>
          </w:tcPr>
          <w:p w14:paraId="7E0200B0">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395DEADE">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72F1BC17">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1DED0FEC">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147B0374">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28A98F86">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777246D0">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4CC34F4A">
            <w:pPr>
              <w:adjustRightInd w:val="0"/>
              <w:snapToGrid w:val="0"/>
              <w:jc w:val="center"/>
              <w:rPr>
                <w:rFonts w:ascii="宋体" w:hAnsi="宋体" w:eastAsia="宋体" w:cs="Times New Roman"/>
                <w:bCs/>
                <w:color w:val="auto"/>
                <w:szCs w:val="21"/>
                <w:highlight w:val="none"/>
              </w:rPr>
            </w:pPr>
          </w:p>
        </w:tc>
      </w:tr>
      <w:tr w14:paraId="6D5B1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795248B6">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3</w:t>
            </w:r>
          </w:p>
        </w:tc>
        <w:tc>
          <w:tcPr>
            <w:tcW w:w="1236" w:type="pct"/>
            <w:gridSpan w:val="3"/>
            <w:noWrap w:val="0"/>
            <w:vAlign w:val="center"/>
          </w:tcPr>
          <w:p w14:paraId="27EC643D">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外科</w:t>
            </w:r>
          </w:p>
        </w:tc>
        <w:tc>
          <w:tcPr>
            <w:tcW w:w="273" w:type="pct"/>
            <w:noWrap w:val="0"/>
            <w:vAlign w:val="center"/>
          </w:tcPr>
          <w:p w14:paraId="6386E610">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04AC7DF6">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677206A0">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212944C0">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4BBB8EE">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3C91D937">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029152E5">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22F9B11F">
            <w:pPr>
              <w:adjustRightInd w:val="0"/>
              <w:snapToGrid w:val="0"/>
              <w:jc w:val="center"/>
              <w:rPr>
                <w:rFonts w:ascii="宋体" w:hAnsi="宋体" w:eastAsia="宋体" w:cs="Times New Roman"/>
                <w:bCs/>
                <w:color w:val="auto"/>
                <w:szCs w:val="21"/>
                <w:highlight w:val="none"/>
              </w:rPr>
            </w:pPr>
          </w:p>
        </w:tc>
      </w:tr>
      <w:tr w14:paraId="53427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5D1F8C8F">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4</w:t>
            </w:r>
          </w:p>
        </w:tc>
        <w:tc>
          <w:tcPr>
            <w:tcW w:w="1236" w:type="pct"/>
            <w:gridSpan w:val="3"/>
            <w:noWrap w:val="0"/>
            <w:vAlign w:val="center"/>
          </w:tcPr>
          <w:p w14:paraId="47F97EC7">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耳鼻喉科</w:t>
            </w:r>
          </w:p>
        </w:tc>
        <w:tc>
          <w:tcPr>
            <w:tcW w:w="273" w:type="pct"/>
            <w:noWrap w:val="0"/>
            <w:vAlign w:val="center"/>
          </w:tcPr>
          <w:p w14:paraId="5438B2C7">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6B47AE8E">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1EB5DE13">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1C1A3F51">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78490C2A">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69A7563">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2E2FE6DB">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21DA2F53">
            <w:pPr>
              <w:adjustRightInd w:val="0"/>
              <w:snapToGrid w:val="0"/>
              <w:jc w:val="center"/>
              <w:rPr>
                <w:rFonts w:ascii="宋体" w:hAnsi="宋体" w:eastAsia="宋体" w:cs="Times New Roman"/>
                <w:bCs/>
                <w:color w:val="auto"/>
                <w:szCs w:val="21"/>
                <w:highlight w:val="none"/>
              </w:rPr>
            </w:pPr>
          </w:p>
        </w:tc>
      </w:tr>
      <w:tr w14:paraId="594F2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255A78F4">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5</w:t>
            </w:r>
          </w:p>
        </w:tc>
        <w:tc>
          <w:tcPr>
            <w:tcW w:w="1236" w:type="pct"/>
            <w:gridSpan w:val="3"/>
            <w:noWrap w:val="0"/>
            <w:vAlign w:val="center"/>
          </w:tcPr>
          <w:p w14:paraId="39E9E465">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口腔科</w:t>
            </w:r>
          </w:p>
        </w:tc>
        <w:tc>
          <w:tcPr>
            <w:tcW w:w="273" w:type="pct"/>
            <w:noWrap w:val="0"/>
            <w:vAlign w:val="center"/>
          </w:tcPr>
          <w:p w14:paraId="509B1796">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099EFB1A">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7276B762">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301B02CD">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5934B333">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5078BD2B">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73EB3D9D">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44B5D8E9">
            <w:pPr>
              <w:adjustRightInd w:val="0"/>
              <w:snapToGrid w:val="0"/>
              <w:jc w:val="center"/>
              <w:rPr>
                <w:rFonts w:ascii="宋体" w:hAnsi="宋体" w:eastAsia="宋体" w:cs="Times New Roman"/>
                <w:bCs/>
                <w:color w:val="auto"/>
                <w:szCs w:val="21"/>
                <w:highlight w:val="none"/>
              </w:rPr>
            </w:pPr>
          </w:p>
        </w:tc>
      </w:tr>
      <w:tr w14:paraId="1E71C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0BAAA596">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6</w:t>
            </w:r>
          </w:p>
        </w:tc>
        <w:tc>
          <w:tcPr>
            <w:tcW w:w="331" w:type="pct"/>
            <w:gridSpan w:val="2"/>
            <w:noWrap w:val="0"/>
            <w:vAlign w:val="center"/>
          </w:tcPr>
          <w:p w14:paraId="646B6D7F">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眼科</w:t>
            </w:r>
          </w:p>
        </w:tc>
        <w:tc>
          <w:tcPr>
            <w:tcW w:w="905" w:type="pct"/>
            <w:noWrap w:val="0"/>
            <w:vAlign w:val="center"/>
          </w:tcPr>
          <w:p w14:paraId="65685529">
            <w:pPr>
              <w:keepNext w:val="0"/>
              <w:keepLines w:val="0"/>
              <w:widowControl/>
              <w:suppressLineNumbers w:val="0"/>
              <w:jc w:val="left"/>
              <w:textAlignment w:val="center"/>
            </w:pPr>
            <w:r>
              <w:rPr>
                <w:rFonts w:hint="eastAsia" w:ascii="宋体" w:hAnsi="宋体" w:eastAsia="宋体" w:cs="宋体"/>
                <w:i w:val="0"/>
                <w:iCs w:val="0"/>
                <w:color w:val="auto"/>
                <w:kern w:val="0"/>
                <w:sz w:val="20"/>
                <w:szCs w:val="20"/>
                <w:u w:val="none"/>
                <w:lang w:val="en-US" w:eastAsia="zh-CN" w:bidi="ar"/>
              </w:rPr>
              <w:t>包括但不限于眼底检查（裂隙灯下）、视力、辨色力</w:t>
            </w:r>
          </w:p>
        </w:tc>
        <w:tc>
          <w:tcPr>
            <w:tcW w:w="273" w:type="pct"/>
            <w:noWrap w:val="0"/>
            <w:vAlign w:val="center"/>
          </w:tcPr>
          <w:p w14:paraId="797887E0">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8170274">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118798B">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7E06711F">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73815451">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3AD12EF7">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58E055BB">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B4EC497">
            <w:pPr>
              <w:adjustRightInd w:val="0"/>
              <w:snapToGrid w:val="0"/>
              <w:jc w:val="center"/>
              <w:rPr>
                <w:rFonts w:ascii="宋体" w:hAnsi="宋体" w:eastAsia="宋体" w:cs="Times New Roman"/>
                <w:bCs/>
                <w:color w:val="auto"/>
                <w:szCs w:val="21"/>
                <w:highlight w:val="none"/>
              </w:rPr>
            </w:pPr>
          </w:p>
        </w:tc>
      </w:tr>
      <w:tr w14:paraId="024E2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239CEAC2">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7</w:t>
            </w:r>
          </w:p>
        </w:tc>
        <w:tc>
          <w:tcPr>
            <w:tcW w:w="1236" w:type="pct"/>
            <w:gridSpan w:val="3"/>
            <w:noWrap w:val="0"/>
            <w:vAlign w:val="center"/>
          </w:tcPr>
          <w:p w14:paraId="5A6F8690">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血细胞分析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（全血细胞计数加五分类）</w:t>
            </w:r>
          </w:p>
        </w:tc>
        <w:tc>
          <w:tcPr>
            <w:tcW w:w="273" w:type="pct"/>
            <w:noWrap w:val="0"/>
            <w:vAlign w:val="center"/>
          </w:tcPr>
          <w:p w14:paraId="59D9DEDE">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6E98E0F2">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636AD41E">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64471123">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10372970">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24F4A67C">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03A19BD2">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1140E0FB">
            <w:pPr>
              <w:adjustRightInd w:val="0"/>
              <w:snapToGrid w:val="0"/>
              <w:jc w:val="center"/>
              <w:rPr>
                <w:rFonts w:ascii="宋体" w:hAnsi="宋体" w:eastAsia="宋体" w:cs="Times New Roman"/>
                <w:bCs/>
                <w:color w:val="auto"/>
                <w:szCs w:val="21"/>
                <w:highlight w:val="none"/>
              </w:rPr>
            </w:pPr>
          </w:p>
        </w:tc>
      </w:tr>
      <w:tr w14:paraId="4C9C3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3574FEB1">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8</w:t>
            </w:r>
          </w:p>
        </w:tc>
        <w:tc>
          <w:tcPr>
            <w:tcW w:w="1236" w:type="pct"/>
            <w:gridSpan w:val="3"/>
            <w:noWrap w:val="0"/>
            <w:vAlign w:val="center"/>
          </w:tcPr>
          <w:p w14:paraId="0377E6B8">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尿液分析（含镜检）</w:t>
            </w:r>
          </w:p>
        </w:tc>
        <w:tc>
          <w:tcPr>
            <w:tcW w:w="273" w:type="pct"/>
            <w:noWrap w:val="0"/>
            <w:vAlign w:val="center"/>
          </w:tcPr>
          <w:p w14:paraId="43BDEF06">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3F731879">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98EBB2A">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51DE8E94">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5113103F">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9491BDD">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7EC694DE">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70336595">
            <w:pPr>
              <w:adjustRightInd w:val="0"/>
              <w:snapToGrid w:val="0"/>
              <w:jc w:val="center"/>
              <w:rPr>
                <w:rFonts w:ascii="宋体" w:hAnsi="宋体" w:eastAsia="宋体" w:cs="Times New Roman"/>
                <w:bCs/>
                <w:color w:val="auto"/>
                <w:szCs w:val="21"/>
                <w:highlight w:val="none"/>
              </w:rPr>
            </w:pPr>
          </w:p>
        </w:tc>
      </w:tr>
      <w:tr w14:paraId="05C11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1AC82D23">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9</w:t>
            </w:r>
          </w:p>
        </w:tc>
        <w:tc>
          <w:tcPr>
            <w:tcW w:w="1236" w:type="pct"/>
            <w:gridSpan w:val="3"/>
            <w:noWrap w:val="0"/>
            <w:vAlign w:val="center"/>
          </w:tcPr>
          <w:p w14:paraId="631DC993">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粪便常规(机器法)</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加隐血试验</w:t>
            </w:r>
          </w:p>
        </w:tc>
        <w:tc>
          <w:tcPr>
            <w:tcW w:w="273" w:type="pct"/>
            <w:noWrap w:val="0"/>
            <w:vAlign w:val="center"/>
          </w:tcPr>
          <w:p w14:paraId="7B1C159A">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6F92A480">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1F4F6654">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1C138576">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7569B59">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0F30A18F">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7816FF90">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6986E92A">
            <w:pPr>
              <w:adjustRightInd w:val="0"/>
              <w:snapToGrid w:val="0"/>
              <w:jc w:val="center"/>
              <w:rPr>
                <w:rFonts w:ascii="宋体" w:hAnsi="宋体" w:eastAsia="宋体" w:cs="Times New Roman"/>
                <w:bCs/>
                <w:color w:val="auto"/>
                <w:szCs w:val="21"/>
                <w:highlight w:val="none"/>
              </w:rPr>
            </w:pPr>
          </w:p>
        </w:tc>
      </w:tr>
      <w:tr w14:paraId="11873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0CA77C2D">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10</w:t>
            </w:r>
          </w:p>
        </w:tc>
        <w:tc>
          <w:tcPr>
            <w:tcW w:w="1236" w:type="pct"/>
            <w:gridSpan w:val="3"/>
            <w:noWrap w:val="0"/>
            <w:vAlign w:val="center"/>
          </w:tcPr>
          <w:p w14:paraId="600AB341">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肝功能十一项</w:t>
            </w:r>
          </w:p>
        </w:tc>
        <w:tc>
          <w:tcPr>
            <w:tcW w:w="273" w:type="pct"/>
            <w:noWrap w:val="0"/>
            <w:vAlign w:val="center"/>
          </w:tcPr>
          <w:p w14:paraId="6645A68A">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5786C7FA">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3EFD46EF">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2F56AE83">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114ACA85">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18FC7F4D">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FE25B3A">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12D28B8F">
            <w:pPr>
              <w:adjustRightInd w:val="0"/>
              <w:snapToGrid w:val="0"/>
              <w:jc w:val="center"/>
              <w:rPr>
                <w:rFonts w:ascii="宋体" w:hAnsi="宋体" w:eastAsia="宋体" w:cs="Times New Roman"/>
                <w:bCs/>
                <w:color w:val="auto"/>
                <w:szCs w:val="21"/>
                <w:highlight w:val="none"/>
              </w:rPr>
            </w:pPr>
          </w:p>
        </w:tc>
      </w:tr>
      <w:tr w14:paraId="2DD41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11E64C98">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11</w:t>
            </w:r>
          </w:p>
        </w:tc>
        <w:tc>
          <w:tcPr>
            <w:tcW w:w="1236" w:type="pct"/>
            <w:gridSpan w:val="3"/>
            <w:noWrap w:val="0"/>
            <w:vAlign w:val="center"/>
          </w:tcPr>
          <w:p w14:paraId="5566D896">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乙型病毒性肝炎检测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（乙肝三对检查）</w:t>
            </w:r>
          </w:p>
        </w:tc>
        <w:tc>
          <w:tcPr>
            <w:tcW w:w="273" w:type="pct"/>
            <w:noWrap w:val="0"/>
            <w:vAlign w:val="center"/>
          </w:tcPr>
          <w:p w14:paraId="19CD0BB1">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3CF7E36C">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4FDE6243">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70CD100B">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30D6ED33">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531E0381">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2EB63DDA">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687F96BB">
            <w:pPr>
              <w:adjustRightInd w:val="0"/>
              <w:snapToGrid w:val="0"/>
              <w:jc w:val="center"/>
              <w:rPr>
                <w:rFonts w:ascii="宋体" w:hAnsi="宋体" w:eastAsia="宋体" w:cs="Times New Roman"/>
                <w:bCs/>
                <w:color w:val="auto"/>
                <w:szCs w:val="21"/>
                <w:highlight w:val="none"/>
              </w:rPr>
            </w:pPr>
          </w:p>
        </w:tc>
      </w:tr>
      <w:tr w14:paraId="3F7DA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3E5566B2">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12</w:t>
            </w:r>
          </w:p>
        </w:tc>
        <w:tc>
          <w:tcPr>
            <w:tcW w:w="331" w:type="pct"/>
            <w:gridSpan w:val="2"/>
            <w:noWrap w:val="0"/>
            <w:vAlign w:val="center"/>
          </w:tcPr>
          <w:p w14:paraId="5F4A3104">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肾功能三项</w:t>
            </w:r>
          </w:p>
        </w:tc>
        <w:tc>
          <w:tcPr>
            <w:tcW w:w="905" w:type="pct"/>
            <w:noWrap w:val="0"/>
            <w:vAlign w:val="center"/>
          </w:tcPr>
          <w:p w14:paraId="3B8A11DD">
            <w:pPr>
              <w:keepNext w:val="0"/>
              <w:keepLines w:val="0"/>
              <w:widowControl/>
              <w:suppressLineNumbers w:val="0"/>
              <w:jc w:val="center"/>
              <w:textAlignment w:val="center"/>
            </w:pPr>
            <w:r>
              <w:rPr>
                <w:rFonts w:hint="eastAsia" w:ascii="宋体" w:hAnsi="宋体" w:eastAsia="宋体" w:cs="宋体"/>
                <w:i w:val="0"/>
                <w:iCs w:val="0"/>
                <w:color w:val="auto"/>
                <w:kern w:val="0"/>
                <w:sz w:val="20"/>
                <w:szCs w:val="20"/>
                <w:u w:val="none"/>
                <w:lang w:val="en-US" w:eastAsia="zh-CN" w:bidi="ar"/>
              </w:rPr>
              <w:t>尿素氮（BUN）、尿酸（UA）、肌酐（Cr）</w:t>
            </w:r>
          </w:p>
        </w:tc>
        <w:tc>
          <w:tcPr>
            <w:tcW w:w="273" w:type="pct"/>
            <w:noWrap w:val="0"/>
            <w:vAlign w:val="center"/>
          </w:tcPr>
          <w:p w14:paraId="0D09A652">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559A630">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CD310F1">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0B8C1DA4">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5F86246">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6887B766">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1578DFC">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0CB5CFA">
            <w:pPr>
              <w:adjustRightInd w:val="0"/>
              <w:snapToGrid w:val="0"/>
              <w:jc w:val="center"/>
              <w:rPr>
                <w:rFonts w:ascii="宋体" w:hAnsi="宋体" w:eastAsia="宋体" w:cs="Times New Roman"/>
                <w:bCs/>
                <w:color w:val="auto"/>
                <w:szCs w:val="21"/>
                <w:highlight w:val="none"/>
              </w:rPr>
            </w:pPr>
          </w:p>
        </w:tc>
      </w:tr>
      <w:tr w14:paraId="0CC1D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69D04C68">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13</w:t>
            </w:r>
          </w:p>
        </w:tc>
        <w:tc>
          <w:tcPr>
            <w:tcW w:w="1236" w:type="pct"/>
            <w:gridSpan w:val="3"/>
            <w:noWrap w:val="0"/>
            <w:vAlign w:val="center"/>
          </w:tcPr>
          <w:p w14:paraId="1F9876B4">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空腹血糖</w:t>
            </w:r>
          </w:p>
        </w:tc>
        <w:tc>
          <w:tcPr>
            <w:tcW w:w="273" w:type="pct"/>
            <w:noWrap w:val="0"/>
            <w:vAlign w:val="center"/>
          </w:tcPr>
          <w:p w14:paraId="7B1F65BC">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2358AC68">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08F4FA40">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308F813C">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7C9F472B">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0065CC59">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98C1339">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2F3BF1A4">
            <w:pPr>
              <w:adjustRightInd w:val="0"/>
              <w:snapToGrid w:val="0"/>
              <w:jc w:val="center"/>
              <w:rPr>
                <w:rFonts w:ascii="宋体" w:hAnsi="宋体" w:eastAsia="宋体" w:cs="Times New Roman"/>
                <w:bCs/>
                <w:color w:val="auto"/>
                <w:szCs w:val="21"/>
                <w:highlight w:val="none"/>
              </w:rPr>
            </w:pPr>
          </w:p>
        </w:tc>
      </w:tr>
      <w:tr w14:paraId="5BF7D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5470B17C">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14</w:t>
            </w:r>
          </w:p>
        </w:tc>
        <w:tc>
          <w:tcPr>
            <w:tcW w:w="331" w:type="pct"/>
            <w:gridSpan w:val="2"/>
            <w:noWrap w:val="0"/>
            <w:vAlign w:val="center"/>
          </w:tcPr>
          <w:p w14:paraId="5E7B5695">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血脂四项</w:t>
            </w:r>
          </w:p>
        </w:tc>
        <w:tc>
          <w:tcPr>
            <w:tcW w:w="905" w:type="pct"/>
            <w:noWrap w:val="0"/>
            <w:vAlign w:val="center"/>
          </w:tcPr>
          <w:p w14:paraId="2AA754C0">
            <w:pPr>
              <w:keepNext w:val="0"/>
              <w:keepLines w:val="0"/>
              <w:widowControl/>
              <w:suppressLineNumbers w:val="0"/>
              <w:jc w:val="center"/>
              <w:textAlignment w:val="center"/>
            </w:pPr>
            <w:r>
              <w:rPr>
                <w:rFonts w:hint="eastAsia" w:ascii="宋体" w:hAnsi="宋体" w:eastAsia="宋体" w:cs="宋体"/>
                <w:i w:val="0"/>
                <w:iCs w:val="0"/>
                <w:color w:val="auto"/>
                <w:kern w:val="0"/>
                <w:sz w:val="20"/>
                <w:szCs w:val="20"/>
                <w:u w:val="none"/>
                <w:lang w:val="en-US" w:eastAsia="zh-CN" w:bidi="ar"/>
              </w:rPr>
              <w:t>总胆固醇（CHOL）、甘油三脂（TG）、高密度胆固醇（HDL）、低密度胆固醇（LDL）</w:t>
            </w:r>
          </w:p>
        </w:tc>
        <w:tc>
          <w:tcPr>
            <w:tcW w:w="273" w:type="pct"/>
            <w:noWrap w:val="0"/>
            <w:vAlign w:val="center"/>
          </w:tcPr>
          <w:p w14:paraId="283E6204">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2BDDEFA3">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5EA65D9">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79DF32B8">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C763440">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A48AF76">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38063B6A">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56E1B7A7">
            <w:pPr>
              <w:adjustRightInd w:val="0"/>
              <w:snapToGrid w:val="0"/>
              <w:jc w:val="center"/>
              <w:rPr>
                <w:rFonts w:ascii="宋体" w:hAnsi="宋体" w:eastAsia="宋体" w:cs="Times New Roman"/>
                <w:bCs/>
                <w:color w:val="auto"/>
                <w:szCs w:val="21"/>
                <w:highlight w:val="none"/>
              </w:rPr>
            </w:pPr>
          </w:p>
        </w:tc>
      </w:tr>
      <w:tr w14:paraId="579D8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588D3AAC">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auto"/>
                <w:kern w:val="0"/>
                <w:sz w:val="20"/>
                <w:szCs w:val="20"/>
                <w:u w:val="none"/>
                <w:lang w:val="en-US" w:eastAsia="zh-CN" w:bidi="ar"/>
              </w:rPr>
              <w:t>15</w:t>
            </w:r>
          </w:p>
        </w:tc>
        <w:tc>
          <w:tcPr>
            <w:tcW w:w="1236" w:type="pct"/>
            <w:gridSpan w:val="3"/>
            <w:noWrap w:val="0"/>
            <w:vAlign w:val="center"/>
          </w:tcPr>
          <w:p w14:paraId="256AAEB8">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心电图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（同步12导）</w:t>
            </w:r>
          </w:p>
        </w:tc>
        <w:tc>
          <w:tcPr>
            <w:tcW w:w="273" w:type="pct"/>
            <w:noWrap w:val="0"/>
            <w:vAlign w:val="center"/>
          </w:tcPr>
          <w:p w14:paraId="684CFB12">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2115B4CF">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6F00BDB4">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1BCD6010">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5BA43BA0">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670610DD">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B9CF010">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4DD0AAC2">
            <w:pPr>
              <w:adjustRightInd w:val="0"/>
              <w:snapToGrid w:val="0"/>
              <w:jc w:val="center"/>
              <w:rPr>
                <w:rFonts w:ascii="宋体" w:hAnsi="宋体" w:eastAsia="宋体" w:cs="Times New Roman"/>
                <w:bCs/>
                <w:color w:val="auto"/>
                <w:szCs w:val="21"/>
                <w:highlight w:val="none"/>
              </w:rPr>
            </w:pPr>
          </w:p>
        </w:tc>
      </w:tr>
      <w:tr w14:paraId="35A47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5E850E4E">
            <w:pPr>
              <w:adjustRightInd w:val="0"/>
              <w:snapToGrid w:val="0"/>
              <w:jc w:val="center"/>
              <w:rPr>
                <w:rFonts w:hint="default"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16</w:t>
            </w:r>
          </w:p>
        </w:tc>
        <w:tc>
          <w:tcPr>
            <w:tcW w:w="331" w:type="pct"/>
            <w:gridSpan w:val="2"/>
            <w:vMerge w:val="restart"/>
            <w:noWrap w:val="0"/>
            <w:vAlign w:val="center"/>
          </w:tcPr>
          <w:p w14:paraId="4397014C">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auto"/>
                <w:kern w:val="0"/>
                <w:sz w:val="20"/>
                <w:szCs w:val="20"/>
                <w:u w:val="none"/>
                <w:lang w:val="en-US" w:eastAsia="zh-CN" w:bidi="ar"/>
              </w:rPr>
              <w:t>彩超</w:t>
            </w:r>
          </w:p>
        </w:tc>
        <w:tc>
          <w:tcPr>
            <w:tcW w:w="905" w:type="pct"/>
            <w:noWrap w:val="0"/>
            <w:vAlign w:val="center"/>
          </w:tcPr>
          <w:p w14:paraId="0D5A7300">
            <w:pPr>
              <w:keepNext w:val="0"/>
              <w:keepLines w:val="0"/>
              <w:widowControl/>
              <w:suppressLineNumbers w:val="0"/>
              <w:jc w:val="center"/>
              <w:textAlignment w:val="center"/>
            </w:pPr>
            <w:r>
              <w:rPr>
                <w:rFonts w:hint="eastAsia" w:ascii="宋体" w:hAnsi="宋体" w:eastAsia="宋体" w:cs="宋体"/>
                <w:i w:val="0"/>
                <w:iCs w:val="0"/>
                <w:color w:val="auto"/>
                <w:kern w:val="0"/>
                <w:sz w:val="20"/>
                <w:szCs w:val="20"/>
                <w:u w:val="none"/>
                <w:lang w:val="en-US" w:eastAsia="zh-CN" w:bidi="ar"/>
              </w:rPr>
              <w:t>上腹部彩超：肝、胆、脾、胰、双肾</w:t>
            </w:r>
          </w:p>
        </w:tc>
        <w:tc>
          <w:tcPr>
            <w:tcW w:w="273" w:type="pct"/>
            <w:noWrap w:val="0"/>
            <w:vAlign w:val="center"/>
          </w:tcPr>
          <w:p w14:paraId="038CEE38">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69393E76">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D2E96AA">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2F3BBFFA">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D603B3A">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E388CBE">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16220636">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6D17827F">
            <w:pPr>
              <w:adjustRightInd w:val="0"/>
              <w:snapToGrid w:val="0"/>
              <w:jc w:val="center"/>
              <w:rPr>
                <w:rFonts w:ascii="宋体" w:hAnsi="宋体" w:eastAsia="宋体" w:cs="Times New Roman"/>
                <w:bCs/>
                <w:color w:val="auto"/>
                <w:szCs w:val="21"/>
                <w:highlight w:val="none"/>
              </w:rPr>
            </w:pPr>
          </w:p>
        </w:tc>
      </w:tr>
      <w:tr w14:paraId="4B0ED94F">
        <w:tblPrEx>
          <w:tblCellMar>
            <w:top w:w="0" w:type="dxa"/>
            <w:left w:w="108" w:type="dxa"/>
            <w:bottom w:w="0" w:type="dxa"/>
            <w:right w:w="108" w:type="dxa"/>
          </w:tblCellMar>
        </w:tblPrEx>
        <w:trPr>
          <w:trHeight w:val="582" w:hRule="atLeast"/>
          <w:jc w:val="center"/>
        </w:trPr>
        <w:tc>
          <w:tcPr>
            <w:tcW w:w="329" w:type="pct"/>
            <w:noWrap w:val="0"/>
            <w:vAlign w:val="center"/>
          </w:tcPr>
          <w:p w14:paraId="3428238C">
            <w:pPr>
              <w:adjustRightInd w:val="0"/>
              <w:snapToGrid w:val="0"/>
              <w:jc w:val="center"/>
              <w:rPr>
                <w:rFonts w:hint="default"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17</w:t>
            </w:r>
          </w:p>
        </w:tc>
        <w:tc>
          <w:tcPr>
            <w:tcW w:w="331" w:type="pct"/>
            <w:gridSpan w:val="2"/>
            <w:vMerge w:val="continue"/>
            <w:noWrap w:val="0"/>
            <w:vAlign w:val="center"/>
          </w:tcPr>
          <w:p w14:paraId="70B940C5">
            <w:pPr>
              <w:jc w:val="center"/>
              <w:rPr>
                <w:rFonts w:hint="default" w:ascii="宋体" w:hAnsi="宋体" w:eastAsia="宋体" w:cs="Times New Roman"/>
                <w:bCs/>
                <w:color w:val="auto"/>
                <w:szCs w:val="21"/>
                <w:highlight w:val="none"/>
                <w:lang w:val="en-US" w:eastAsia="zh-CN"/>
              </w:rPr>
            </w:pPr>
          </w:p>
        </w:tc>
        <w:tc>
          <w:tcPr>
            <w:tcW w:w="905" w:type="pct"/>
            <w:noWrap w:val="0"/>
            <w:vAlign w:val="center"/>
          </w:tcPr>
          <w:p w14:paraId="560CCE31">
            <w:pPr>
              <w:keepNext w:val="0"/>
              <w:keepLines w:val="0"/>
              <w:widowControl/>
              <w:suppressLineNumbers w:val="0"/>
              <w:jc w:val="center"/>
              <w:textAlignment w:val="center"/>
            </w:pPr>
            <w:r>
              <w:rPr>
                <w:rFonts w:hint="eastAsia" w:ascii="宋体" w:hAnsi="宋体" w:eastAsia="宋体" w:cs="宋体"/>
                <w:i w:val="0"/>
                <w:iCs w:val="0"/>
                <w:color w:val="auto"/>
                <w:kern w:val="0"/>
                <w:sz w:val="20"/>
                <w:szCs w:val="20"/>
                <w:u w:val="none"/>
                <w:lang w:val="en-US" w:eastAsia="zh-CN" w:bidi="ar"/>
              </w:rPr>
              <w:t>男性:生殖器或前列腺</w:t>
            </w:r>
          </w:p>
        </w:tc>
        <w:tc>
          <w:tcPr>
            <w:tcW w:w="273" w:type="pct"/>
            <w:noWrap w:val="0"/>
            <w:vAlign w:val="center"/>
          </w:tcPr>
          <w:p w14:paraId="4F751489">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76D2ACF3">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0ABD8257">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2756F6A8">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0E6BCD1">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15B796A3">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64F9D869">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09ABFEC3">
            <w:pPr>
              <w:adjustRightInd w:val="0"/>
              <w:snapToGrid w:val="0"/>
              <w:jc w:val="center"/>
              <w:rPr>
                <w:rFonts w:ascii="宋体" w:hAnsi="宋体" w:eastAsia="宋体" w:cs="Times New Roman"/>
                <w:bCs/>
                <w:color w:val="auto"/>
                <w:szCs w:val="21"/>
                <w:highlight w:val="none"/>
              </w:rPr>
            </w:pPr>
          </w:p>
        </w:tc>
      </w:tr>
      <w:tr w14:paraId="7F253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331" w:type="pct"/>
            <w:gridSpan w:val="10"/>
            <w:shd w:val="clear" w:color="auto" w:fill="FFFFFF"/>
            <w:noWrap w:val="0"/>
            <w:vAlign w:val="center"/>
          </w:tcPr>
          <w:p w14:paraId="07AA2DD0">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cs="宋体"/>
                <w:b w:val="0"/>
                <w:bCs w:val="0"/>
                <w:snapToGrid/>
                <w:color w:val="auto"/>
                <w:spacing w:val="0"/>
                <w:kern w:val="0"/>
                <w:sz w:val="20"/>
                <w:szCs w:val="20"/>
                <w:u w:val="none"/>
                <w:lang w:bidi="ar"/>
              </w:rPr>
              <w:t>基本项目合计</w:t>
            </w:r>
          </w:p>
        </w:tc>
        <w:tc>
          <w:tcPr>
            <w:tcW w:w="457" w:type="pct"/>
            <w:noWrap w:val="0"/>
            <w:vAlign w:val="center"/>
          </w:tcPr>
          <w:p w14:paraId="7B078DB9">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4A2BF543">
            <w:pPr>
              <w:adjustRightInd w:val="0"/>
              <w:snapToGrid w:val="0"/>
              <w:jc w:val="center"/>
              <w:rPr>
                <w:rFonts w:ascii="宋体" w:hAnsi="宋体" w:eastAsia="宋体" w:cs="Times New Roman"/>
                <w:bCs/>
                <w:color w:val="auto"/>
                <w:szCs w:val="21"/>
                <w:highlight w:val="none"/>
              </w:rPr>
            </w:pPr>
          </w:p>
        </w:tc>
      </w:tr>
      <w:tr w14:paraId="22CFE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000" w:type="pct"/>
            <w:gridSpan w:val="12"/>
            <w:noWrap w:val="0"/>
            <w:vAlign w:val="center"/>
          </w:tcPr>
          <w:p w14:paraId="0D3E7D97">
            <w:pPr>
              <w:adjustRightInd w:val="0"/>
              <w:snapToGrid w:val="0"/>
              <w:jc w:val="left"/>
              <w:rPr>
                <w:rFonts w:ascii="宋体" w:hAnsi="宋体" w:eastAsia="宋体" w:cs="Times New Roman"/>
                <w:bCs/>
                <w:color w:val="auto"/>
                <w:szCs w:val="21"/>
                <w:highlight w:val="none"/>
              </w:rPr>
            </w:pPr>
            <w:r>
              <w:rPr>
                <w:rFonts w:hint="eastAsia" w:ascii="宋体" w:hAnsi="宋体" w:eastAsia="宋体" w:cs="宋体"/>
                <w:b/>
                <w:bCs/>
                <w:i w:val="0"/>
                <w:iCs w:val="0"/>
                <w:color w:val="000000"/>
                <w:kern w:val="0"/>
                <w:sz w:val="20"/>
                <w:szCs w:val="20"/>
                <w:u w:val="none"/>
                <w:lang w:val="en-US" w:eastAsia="zh-CN" w:bidi="ar"/>
              </w:rPr>
              <w:t>二、自选体检项目</w:t>
            </w:r>
          </w:p>
        </w:tc>
      </w:tr>
      <w:tr w14:paraId="22F4B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6DB89FD2">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1</w:t>
            </w:r>
          </w:p>
        </w:tc>
        <w:tc>
          <w:tcPr>
            <w:tcW w:w="1236" w:type="pct"/>
            <w:gridSpan w:val="3"/>
            <w:noWrap w:val="0"/>
            <w:vAlign w:val="center"/>
          </w:tcPr>
          <w:p w14:paraId="0908C5DD">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C-反应蛋白测定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（CRP，免疫学方法）</w:t>
            </w:r>
          </w:p>
        </w:tc>
        <w:tc>
          <w:tcPr>
            <w:tcW w:w="273" w:type="pct"/>
            <w:noWrap w:val="0"/>
            <w:vAlign w:val="center"/>
          </w:tcPr>
          <w:p w14:paraId="00062165">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5A34BA9C">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4707E59">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125A8569">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0446E823">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3538D118">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1F7066C7">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6BED0F66">
            <w:pPr>
              <w:adjustRightInd w:val="0"/>
              <w:snapToGrid w:val="0"/>
              <w:jc w:val="center"/>
              <w:rPr>
                <w:rFonts w:ascii="宋体" w:hAnsi="宋体" w:eastAsia="宋体" w:cs="Times New Roman"/>
                <w:bCs/>
                <w:color w:val="auto"/>
                <w:szCs w:val="21"/>
                <w:highlight w:val="none"/>
              </w:rPr>
            </w:pPr>
          </w:p>
        </w:tc>
      </w:tr>
      <w:tr w14:paraId="2464E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26CC9EEB">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2</w:t>
            </w:r>
          </w:p>
        </w:tc>
        <w:tc>
          <w:tcPr>
            <w:tcW w:w="1236" w:type="pct"/>
            <w:gridSpan w:val="3"/>
            <w:noWrap w:val="0"/>
            <w:vAlign w:val="center"/>
          </w:tcPr>
          <w:p w14:paraId="32135B49">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类风湿因子测定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RF，免疫学方法)</w:t>
            </w:r>
          </w:p>
        </w:tc>
        <w:tc>
          <w:tcPr>
            <w:tcW w:w="273" w:type="pct"/>
            <w:noWrap w:val="0"/>
            <w:vAlign w:val="center"/>
          </w:tcPr>
          <w:p w14:paraId="2B1B8DAA">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1BC157FA">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47C1B491">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2E04EAB1">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708FBF28">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11F847A3">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ACED188">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1274447D">
            <w:pPr>
              <w:adjustRightInd w:val="0"/>
              <w:snapToGrid w:val="0"/>
              <w:jc w:val="center"/>
              <w:rPr>
                <w:rFonts w:ascii="宋体" w:hAnsi="宋体" w:eastAsia="宋体" w:cs="Times New Roman"/>
                <w:bCs/>
                <w:color w:val="auto"/>
                <w:szCs w:val="21"/>
                <w:highlight w:val="none"/>
              </w:rPr>
            </w:pPr>
          </w:p>
        </w:tc>
      </w:tr>
      <w:tr w14:paraId="7CCC8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791E3151">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3</w:t>
            </w:r>
          </w:p>
        </w:tc>
        <w:tc>
          <w:tcPr>
            <w:tcW w:w="1236" w:type="pct"/>
            <w:gridSpan w:val="3"/>
            <w:noWrap w:val="0"/>
            <w:vAlign w:val="center"/>
          </w:tcPr>
          <w:p w14:paraId="379453AC">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血清胱抑素</w:t>
            </w:r>
          </w:p>
        </w:tc>
        <w:tc>
          <w:tcPr>
            <w:tcW w:w="273" w:type="pct"/>
            <w:noWrap w:val="0"/>
            <w:vAlign w:val="center"/>
          </w:tcPr>
          <w:p w14:paraId="1E90AFF9">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5B01D4D0">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0538A2F9">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068A9145">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8A9709C">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271E84B6">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32F6DB8B">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0DEB45F1">
            <w:pPr>
              <w:adjustRightInd w:val="0"/>
              <w:snapToGrid w:val="0"/>
              <w:jc w:val="center"/>
              <w:rPr>
                <w:rFonts w:ascii="宋体" w:hAnsi="宋体" w:eastAsia="宋体" w:cs="Times New Roman"/>
                <w:bCs/>
                <w:color w:val="auto"/>
                <w:szCs w:val="21"/>
                <w:highlight w:val="none"/>
              </w:rPr>
            </w:pPr>
          </w:p>
        </w:tc>
      </w:tr>
      <w:tr w14:paraId="3AC40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7912D51A">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4</w:t>
            </w:r>
          </w:p>
        </w:tc>
        <w:tc>
          <w:tcPr>
            <w:tcW w:w="1236" w:type="pct"/>
            <w:gridSpan w:val="3"/>
            <w:noWrap w:val="0"/>
            <w:vAlign w:val="center"/>
          </w:tcPr>
          <w:p w14:paraId="55454314">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凝血常规检查（仪器法）</w:t>
            </w:r>
          </w:p>
        </w:tc>
        <w:tc>
          <w:tcPr>
            <w:tcW w:w="273" w:type="pct"/>
            <w:noWrap w:val="0"/>
            <w:vAlign w:val="center"/>
          </w:tcPr>
          <w:p w14:paraId="065767B1">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622CE8F">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F0742B6">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09B70A02">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7056857F">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154B3581">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575EE88D">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1A15437B">
            <w:pPr>
              <w:adjustRightInd w:val="0"/>
              <w:snapToGrid w:val="0"/>
              <w:jc w:val="center"/>
              <w:rPr>
                <w:rFonts w:ascii="宋体" w:hAnsi="宋体" w:eastAsia="宋体" w:cs="Times New Roman"/>
                <w:bCs/>
                <w:color w:val="auto"/>
                <w:szCs w:val="21"/>
                <w:highlight w:val="none"/>
              </w:rPr>
            </w:pPr>
          </w:p>
        </w:tc>
      </w:tr>
      <w:tr w14:paraId="52162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045AFD5D">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5</w:t>
            </w:r>
          </w:p>
        </w:tc>
        <w:tc>
          <w:tcPr>
            <w:tcW w:w="1236" w:type="pct"/>
            <w:gridSpan w:val="3"/>
            <w:noWrap w:val="0"/>
            <w:vAlign w:val="center"/>
          </w:tcPr>
          <w:p w14:paraId="6F124143">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免疫球蛋白全套</w:t>
            </w:r>
          </w:p>
        </w:tc>
        <w:tc>
          <w:tcPr>
            <w:tcW w:w="273" w:type="pct"/>
            <w:noWrap w:val="0"/>
            <w:vAlign w:val="center"/>
          </w:tcPr>
          <w:p w14:paraId="3EE774FE">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344D1BE9">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DD54ABA">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7FC78E62">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4980E12E">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63AA3433">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377EBC89">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58D2CE3E">
            <w:pPr>
              <w:adjustRightInd w:val="0"/>
              <w:snapToGrid w:val="0"/>
              <w:jc w:val="center"/>
              <w:rPr>
                <w:rFonts w:ascii="宋体" w:hAnsi="宋体" w:eastAsia="宋体" w:cs="Times New Roman"/>
                <w:bCs/>
                <w:color w:val="auto"/>
                <w:szCs w:val="21"/>
                <w:highlight w:val="none"/>
              </w:rPr>
            </w:pPr>
          </w:p>
        </w:tc>
      </w:tr>
      <w:tr w14:paraId="0C80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60C7DC2B">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6</w:t>
            </w:r>
          </w:p>
        </w:tc>
        <w:tc>
          <w:tcPr>
            <w:tcW w:w="1236" w:type="pct"/>
            <w:gridSpan w:val="3"/>
            <w:noWrap w:val="0"/>
            <w:vAlign w:val="center"/>
          </w:tcPr>
          <w:p w14:paraId="34A1DF5E">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TORCH十项定性（优生优育）</w:t>
            </w:r>
          </w:p>
        </w:tc>
        <w:tc>
          <w:tcPr>
            <w:tcW w:w="273" w:type="pct"/>
            <w:noWrap w:val="0"/>
            <w:vAlign w:val="center"/>
          </w:tcPr>
          <w:p w14:paraId="6ADDC911">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61B187AA">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E5A929E">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2C4BCCCF">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B58B77A">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2C74123E">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7B4CE59">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02767F7E">
            <w:pPr>
              <w:adjustRightInd w:val="0"/>
              <w:snapToGrid w:val="0"/>
              <w:jc w:val="center"/>
              <w:rPr>
                <w:rFonts w:ascii="宋体" w:hAnsi="宋体" w:eastAsia="宋体" w:cs="Times New Roman"/>
                <w:bCs/>
                <w:color w:val="auto"/>
                <w:szCs w:val="21"/>
                <w:highlight w:val="none"/>
              </w:rPr>
            </w:pPr>
          </w:p>
        </w:tc>
      </w:tr>
      <w:tr w14:paraId="00D64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475D13D7">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7</w:t>
            </w:r>
          </w:p>
        </w:tc>
        <w:tc>
          <w:tcPr>
            <w:tcW w:w="1236" w:type="pct"/>
            <w:gridSpan w:val="3"/>
            <w:noWrap w:val="0"/>
            <w:vAlign w:val="center"/>
          </w:tcPr>
          <w:p w14:paraId="2CE46778">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支原体培养及药敏</w:t>
            </w:r>
          </w:p>
        </w:tc>
        <w:tc>
          <w:tcPr>
            <w:tcW w:w="273" w:type="pct"/>
            <w:noWrap w:val="0"/>
            <w:vAlign w:val="center"/>
          </w:tcPr>
          <w:p w14:paraId="23405536">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015E271E">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9FB0A88">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7393647F">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312F8D2">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14CA5E68">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6B0AAB19">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18EBE6CE">
            <w:pPr>
              <w:adjustRightInd w:val="0"/>
              <w:snapToGrid w:val="0"/>
              <w:jc w:val="center"/>
              <w:rPr>
                <w:rFonts w:ascii="宋体" w:hAnsi="宋体" w:eastAsia="宋体" w:cs="Times New Roman"/>
                <w:bCs/>
                <w:color w:val="auto"/>
                <w:szCs w:val="21"/>
                <w:highlight w:val="none"/>
              </w:rPr>
            </w:pPr>
          </w:p>
        </w:tc>
      </w:tr>
      <w:tr w14:paraId="61B2F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090EF37F">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8</w:t>
            </w:r>
          </w:p>
        </w:tc>
        <w:tc>
          <w:tcPr>
            <w:tcW w:w="1236" w:type="pct"/>
            <w:gridSpan w:val="3"/>
            <w:noWrap w:val="0"/>
            <w:vAlign w:val="center"/>
          </w:tcPr>
          <w:p w14:paraId="45A4524B">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衣原体培养及药敏</w:t>
            </w:r>
          </w:p>
        </w:tc>
        <w:tc>
          <w:tcPr>
            <w:tcW w:w="273" w:type="pct"/>
            <w:noWrap w:val="0"/>
            <w:vAlign w:val="center"/>
          </w:tcPr>
          <w:p w14:paraId="3FDC5FB6">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56B8CD47">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11CFFAFE">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4CD7AC7C">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D9A037A">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28064793">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DF80999">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562FB32F">
            <w:pPr>
              <w:adjustRightInd w:val="0"/>
              <w:snapToGrid w:val="0"/>
              <w:jc w:val="center"/>
              <w:rPr>
                <w:rFonts w:ascii="宋体" w:hAnsi="宋体" w:eastAsia="宋体" w:cs="Times New Roman"/>
                <w:bCs/>
                <w:color w:val="auto"/>
                <w:szCs w:val="21"/>
                <w:highlight w:val="none"/>
              </w:rPr>
            </w:pPr>
          </w:p>
        </w:tc>
      </w:tr>
      <w:tr w14:paraId="58C24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04928ED2">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9</w:t>
            </w:r>
          </w:p>
        </w:tc>
        <w:tc>
          <w:tcPr>
            <w:tcW w:w="1236" w:type="pct"/>
            <w:gridSpan w:val="3"/>
            <w:noWrap w:val="0"/>
            <w:vAlign w:val="center"/>
          </w:tcPr>
          <w:p w14:paraId="279DB812">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肝纤维化四项</w:t>
            </w:r>
          </w:p>
        </w:tc>
        <w:tc>
          <w:tcPr>
            <w:tcW w:w="273" w:type="pct"/>
            <w:noWrap w:val="0"/>
            <w:vAlign w:val="center"/>
          </w:tcPr>
          <w:p w14:paraId="6BF0437D">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9F68DB3">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3BCA61B2">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1934A78C">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25AF0F5">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30952183">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774B9AD1">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4E3DDEF7">
            <w:pPr>
              <w:adjustRightInd w:val="0"/>
              <w:snapToGrid w:val="0"/>
              <w:jc w:val="center"/>
              <w:rPr>
                <w:rFonts w:ascii="宋体" w:hAnsi="宋体" w:eastAsia="宋体" w:cs="Times New Roman"/>
                <w:bCs/>
                <w:color w:val="auto"/>
                <w:szCs w:val="21"/>
                <w:highlight w:val="none"/>
              </w:rPr>
            </w:pPr>
          </w:p>
        </w:tc>
      </w:tr>
      <w:tr w14:paraId="70EF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5DBA54C3">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10</w:t>
            </w:r>
          </w:p>
        </w:tc>
        <w:tc>
          <w:tcPr>
            <w:tcW w:w="1236" w:type="pct"/>
            <w:gridSpan w:val="3"/>
            <w:noWrap w:val="0"/>
            <w:vAlign w:val="center"/>
          </w:tcPr>
          <w:p w14:paraId="32775335">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乙型肝炎HBV-DNA病毒核酸定量检测</w:t>
            </w:r>
          </w:p>
        </w:tc>
        <w:tc>
          <w:tcPr>
            <w:tcW w:w="273" w:type="pct"/>
            <w:noWrap w:val="0"/>
            <w:vAlign w:val="center"/>
          </w:tcPr>
          <w:p w14:paraId="754D098A">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2538FA70">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111F8C30">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5C0CD5FE">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07C9134E">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3BDFC16E">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252890FC">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5226275">
            <w:pPr>
              <w:adjustRightInd w:val="0"/>
              <w:snapToGrid w:val="0"/>
              <w:jc w:val="center"/>
              <w:rPr>
                <w:rFonts w:ascii="宋体" w:hAnsi="宋体" w:eastAsia="宋体" w:cs="Times New Roman"/>
                <w:bCs/>
                <w:color w:val="auto"/>
                <w:szCs w:val="21"/>
                <w:highlight w:val="none"/>
              </w:rPr>
            </w:pPr>
          </w:p>
        </w:tc>
      </w:tr>
      <w:tr w14:paraId="43151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38CA3C60">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11</w:t>
            </w:r>
          </w:p>
        </w:tc>
        <w:tc>
          <w:tcPr>
            <w:tcW w:w="1236" w:type="pct"/>
            <w:gridSpan w:val="3"/>
            <w:noWrap w:val="0"/>
            <w:vAlign w:val="center"/>
          </w:tcPr>
          <w:p w14:paraId="04906251">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丙型肝炎病毒核心抗原检测</w:t>
            </w:r>
          </w:p>
        </w:tc>
        <w:tc>
          <w:tcPr>
            <w:tcW w:w="273" w:type="pct"/>
            <w:noWrap w:val="0"/>
            <w:vAlign w:val="center"/>
          </w:tcPr>
          <w:p w14:paraId="5124FEFA">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5F63D0DA">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7B384E40">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27D8D50A">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016F846C">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1F4E3D9E">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5B1F1DA3">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4700498B">
            <w:pPr>
              <w:adjustRightInd w:val="0"/>
              <w:snapToGrid w:val="0"/>
              <w:jc w:val="center"/>
              <w:rPr>
                <w:rFonts w:ascii="宋体" w:hAnsi="宋体" w:eastAsia="宋体" w:cs="Times New Roman"/>
                <w:bCs/>
                <w:color w:val="auto"/>
                <w:szCs w:val="21"/>
                <w:highlight w:val="none"/>
              </w:rPr>
            </w:pPr>
          </w:p>
        </w:tc>
      </w:tr>
      <w:tr w14:paraId="5BC28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4039520C">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12</w:t>
            </w:r>
          </w:p>
        </w:tc>
        <w:tc>
          <w:tcPr>
            <w:tcW w:w="1236" w:type="pct"/>
            <w:gridSpan w:val="3"/>
            <w:noWrap w:val="0"/>
            <w:vAlign w:val="center"/>
          </w:tcPr>
          <w:p w14:paraId="54974A4B">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丙型肝炎HCV-RNA病毒核酸定量检测</w:t>
            </w:r>
          </w:p>
        </w:tc>
        <w:tc>
          <w:tcPr>
            <w:tcW w:w="273" w:type="pct"/>
            <w:noWrap w:val="0"/>
            <w:vAlign w:val="center"/>
          </w:tcPr>
          <w:p w14:paraId="7BFCA13A">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3FFB7262">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6DA5C7BA">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042C8079">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1BB7428">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1E87DD4E">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2D47C1E8">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CC29A2F">
            <w:pPr>
              <w:adjustRightInd w:val="0"/>
              <w:snapToGrid w:val="0"/>
              <w:jc w:val="center"/>
              <w:rPr>
                <w:rFonts w:ascii="宋体" w:hAnsi="宋体" w:eastAsia="宋体" w:cs="Times New Roman"/>
                <w:bCs/>
                <w:color w:val="auto"/>
                <w:szCs w:val="21"/>
                <w:highlight w:val="none"/>
              </w:rPr>
            </w:pPr>
          </w:p>
        </w:tc>
      </w:tr>
      <w:tr w14:paraId="67C09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685D3CF9">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13</w:t>
            </w:r>
          </w:p>
        </w:tc>
        <w:tc>
          <w:tcPr>
            <w:tcW w:w="1236" w:type="pct"/>
            <w:gridSpan w:val="3"/>
            <w:noWrap w:val="0"/>
            <w:vAlign w:val="center"/>
          </w:tcPr>
          <w:p w14:paraId="586E2B1A">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餐后2小时血糖</w:t>
            </w:r>
          </w:p>
        </w:tc>
        <w:tc>
          <w:tcPr>
            <w:tcW w:w="273" w:type="pct"/>
            <w:noWrap w:val="0"/>
            <w:vAlign w:val="center"/>
          </w:tcPr>
          <w:p w14:paraId="509A8BC3">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14521A0D">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25325DE">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1FB79F3B">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9B284CE">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30DB3E2">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726E9905">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86FB2D2">
            <w:pPr>
              <w:adjustRightInd w:val="0"/>
              <w:snapToGrid w:val="0"/>
              <w:jc w:val="center"/>
              <w:rPr>
                <w:rFonts w:ascii="宋体" w:hAnsi="宋体" w:eastAsia="宋体" w:cs="Times New Roman"/>
                <w:bCs/>
                <w:color w:val="auto"/>
                <w:szCs w:val="21"/>
                <w:highlight w:val="none"/>
              </w:rPr>
            </w:pPr>
          </w:p>
        </w:tc>
      </w:tr>
      <w:tr w14:paraId="1389D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01854AE1">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14</w:t>
            </w:r>
          </w:p>
        </w:tc>
        <w:tc>
          <w:tcPr>
            <w:tcW w:w="1236" w:type="pct"/>
            <w:gridSpan w:val="3"/>
            <w:noWrap w:val="0"/>
            <w:vAlign w:val="center"/>
          </w:tcPr>
          <w:p w14:paraId="66C34732">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高敏肌钙蛋白Ⅰ（化学发光法）</w:t>
            </w:r>
          </w:p>
        </w:tc>
        <w:tc>
          <w:tcPr>
            <w:tcW w:w="273" w:type="pct"/>
            <w:noWrap w:val="0"/>
            <w:vAlign w:val="center"/>
          </w:tcPr>
          <w:p w14:paraId="25E16F2E">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3FBEEA22">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78DB6B7E">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49CCA24F">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A229A8E">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25771D6">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2B3133C9">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6BA159E">
            <w:pPr>
              <w:adjustRightInd w:val="0"/>
              <w:snapToGrid w:val="0"/>
              <w:jc w:val="center"/>
              <w:rPr>
                <w:rFonts w:ascii="宋体" w:hAnsi="宋体" w:eastAsia="宋体" w:cs="Times New Roman"/>
                <w:bCs/>
                <w:color w:val="auto"/>
                <w:szCs w:val="21"/>
                <w:highlight w:val="none"/>
              </w:rPr>
            </w:pPr>
          </w:p>
        </w:tc>
      </w:tr>
      <w:tr w14:paraId="55A98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798B669C">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15</w:t>
            </w:r>
          </w:p>
        </w:tc>
        <w:tc>
          <w:tcPr>
            <w:tcW w:w="1236" w:type="pct"/>
            <w:gridSpan w:val="3"/>
            <w:noWrap w:val="0"/>
            <w:vAlign w:val="center"/>
          </w:tcPr>
          <w:p w14:paraId="7FF865C1">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心肌酶三项</w:t>
            </w:r>
          </w:p>
        </w:tc>
        <w:tc>
          <w:tcPr>
            <w:tcW w:w="273" w:type="pct"/>
            <w:noWrap w:val="0"/>
            <w:vAlign w:val="center"/>
          </w:tcPr>
          <w:p w14:paraId="19F724A3">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0D18894F">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07B51A4">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560C8438">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70914FD7">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6527F161">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7F82BE1A">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EF890FD">
            <w:pPr>
              <w:adjustRightInd w:val="0"/>
              <w:snapToGrid w:val="0"/>
              <w:jc w:val="center"/>
              <w:rPr>
                <w:rFonts w:ascii="宋体" w:hAnsi="宋体" w:eastAsia="宋体" w:cs="Times New Roman"/>
                <w:bCs/>
                <w:color w:val="auto"/>
                <w:szCs w:val="21"/>
                <w:highlight w:val="none"/>
              </w:rPr>
            </w:pPr>
          </w:p>
        </w:tc>
      </w:tr>
      <w:tr w14:paraId="316C4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5B2F6795">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16</w:t>
            </w:r>
          </w:p>
        </w:tc>
        <w:tc>
          <w:tcPr>
            <w:tcW w:w="1236" w:type="pct"/>
            <w:gridSpan w:val="3"/>
            <w:noWrap w:val="0"/>
            <w:vAlign w:val="center"/>
          </w:tcPr>
          <w:p w14:paraId="1C73F4FB">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糖化血红蛋白（高效液相分析法)</w:t>
            </w:r>
          </w:p>
        </w:tc>
        <w:tc>
          <w:tcPr>
            <w:tcW w:w="273" w:type="pct"/>
            <w:noWrap w:val="0"/>
            <w:vAlign w:val="center"/>
          </w:tcPr>
          <w:p w14:paraId="3646A95E">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B5E929E">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FB32AB6">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1DA53440">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39158FA2">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7B60F09">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06A97604">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7260E55C">
            <w:pPr>
              <w:adjustRightInd w:val="0"/>
              <w:snapToGrid w:val="0"/>
              <w:jc w:val="center"/>
              <w:rPr>
                <w:rFonts w:ascii="宋体" w:hAnsi="宋体" w:eastAsia="宋体" w:cs="Times New Roman"/>
                <w:bCs/>
                <w:color w:val="auto"/>
                <w:szCs w:val="21"/>
                <w:highlight w:val="none"/>
              </w:rPr>
            </w:pPr>
          </w:p>
        </w:tc>
      </w:tr>
      <w:tr w14:paraId="6A80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6DB09DD6">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17</w:t>
            </w:r>
          </w:p>
        </w:tc>
        <w:tc>
          <w:tcPr>
            <w:tcW w:w="1236" w:type="pct"/>
            <w:gridSpan w:val="3"/>
            <w:noWrap w:val="0"/>
            <w:vAlign w:val="center"/>
          </w:tcPr>
          <w:p w14:paraId="47B12C51">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空腹胰岛素测定</w:t>
            </w:r>
          </w:p>
        </w:tc>
        <w:tc>
          <w:tcPr>
            <w:tcW w:w="273" w:type="pct"/>
            <w:noWrap w:val="0"/>
            <w:vAlign w:val="center"/>
          </w:tcPr>
          <w:p w14:paraId="751D74B6">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34D48604">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7F7A1CBD">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1D95DC0B">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7D0F46E0">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36A98276">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4839AB8">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290BFF3">
            <w:pPr>
              <w:adjustRightInd w:val="0"/>
              <w:snapToGrid w:val="0"/>
              <w:jc w:val="center"/>
              <w:rPr>
                <w:rFonts w:ascii="宋体" w:hAnsi="宋体" w:eastAsia="宋体" w:cs="Times New Roman"/>
                <w:bCs/>
                <w:color w:val="auto"/>
                <w:szCs w:val="21"/>
                <w:highlight w:val="none"/>
              </w:rPr>
            </w:pPr>
          </w:p>
        </w:tc>
      </w:tr>
      <w:tr w14:paraId="34D84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79451058">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18</w:t>
            </w:r>
          </w:p>
        </w:tc>
        <w:tc>
          <w:tcPr>
            <w:tcW w:w="1236" w:type="pct"/>
            <w:gridSpan w:val="3"/>
            <w:noWrap w:val="0"/>
            <w:vAlign w:val="center"/>
          </w:tcPr>
          <w:p w14:paraId="7908A1D2">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胰岛素抗体(INS-Ab)</w:t>
            </w:r>
          </w:p>
        </w:tc>
        <w:tc>
          <w:tcPr>
            <w:tcW w:w="273" w:type="pct"/>
            <w:noWrap w:val="0"/>
            <w:vAlign w:val="center"/>
          </w:tcPr>
          <w:p w14:paraId="2A285E38">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0EAC518">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7998B178">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79717E28">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329DE2C0">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30F7DD66">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ECEED82">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1936946E">
            <w:pPr>
              <w:adjustRightInd w:val="0"/>
              <w:snapToGrid w:val="0"/>
              <w:jc w:val="center"/>
              <w:rPr>
                <w:rFonts w:ascii="宋体" w:hAnsi="宋体" w:eastAsia="宋体" w:cs="Times New Roman"/>
                <w:bCs/>
                <w:color w:val="auto"/>
                <w:szCs w:val="21"/>
                <w:highlight w:val="none"/>
              </w:rPr>
            </w:pPr>
          </w:p>
        </w:tc>
      </w:tr>
      <w:tr w14:paraId="1518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44115F4F">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19</w:t>
            </w:r>
          </w:p>
        </w:tc>
        <w:tc>
          <w:tcPr>
            <w:tcW w:w="1236" w:type="pct"/>
            <w:gridSpan w:val="3"/>
            <w:noWrap w:val="0"/>
            <w:vAlign w:val="center"/>
          </w:tcPr>
          <w:p w14:paraId="6503B6E7">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空腹C肽测定</w:t>
            </w:r>
          </w:p>
        </w:tc>
        <w:tc>
          <w:tcPr>
            <w:tcW w:w="273" w:type="pct"/>
            <w:noWrap w:val="0"/>
            <w:vAlign w:val="center"/>
          </w:tcPr>
          <w:p w14:paraId="505BBE52">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19D54442">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8E35B4B">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6A5AB032">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039CCBC">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22508D8">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04AF79A9">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2F062276">
            <w:pPr>
              <w:adjustRightInd w:val="0"/>
              <w:snapToGrid w:val="0"/>
              <w:jc w:val="center"/>
              <w:rPr>
                <w:rFonts w:ascii="宋体" w:hAnsi="宋体" w:eastAsia="宋体" w:cs="Times New Roman"/>
                <w:bCs/>
                <w:color w:val="auto"/>
                <w:szCs w:val="21"/>
                <w:highlight w:val="none"/>
              </w:rPr>
            </w:pPr>
          </w:p>
        </w:tc>
      </w:tr>
      <w:tr w14:paraId="559B8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107DBF9E">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20</w:t>
            </w:r>
          </w:p>
        </w:tc>
        <w:tc>
          <w:tcPr>
            <w:tcW w:w="1236" w:type="pct"/>
            <w:gridSpan w:val="3"/>
            <w:noWrap w:val="0"/>
            <w:vAlign w:val="center"/>
          </w:tcPr>
          <w:p w14:paraId="2001CBDE">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同型半胱氨酸</w:t>
            </w:r>
          </w:p>
        </w:tc>
        <w:tc>
          <w:tcPr>
            <w:tcW w:w="273" w:type="pct"/>
            <w:noWrap w:val="0"/>
            <w:vAlign w:val="center"/>
          </w:tcPr>
          <w:p w14:paraId="66AB77CC">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647B334D">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4934483C">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147C3A67">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4F853CDA">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31C5E991">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32934D6E">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538A3DB7">
            <w:pPr>
              <w:adjustRightInd w:val="0"/>
              <w:snapToGrid w:val="0"/>
              <w:jc w:val="center"/>
              <w:rPr>
                <w:rFonts w:ascii="宋体" w:hAnsi="宋体" w:eastAsia="宋体" w:cs="Times New Roman"/>
                <w:bCs/>
                <w:color w:val="auto"/>
                <w:szCs w:val="21"/>
                <w:highlight w:val="none"/>
              </w:rPr>
            </w:pPr>
          </w:p>
        </w:tc>
      </w:tr>
      <w:tr w14:paraId="3D29B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16EAA887">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21</w:t>
            </w:r>
          </w:p>
        </w:tc>
        <w:tc>
          <w:tcPr>
            <w:tcW w:w="1236" w:type="pct"/>
            <w:gridSpan w:val="3"/>
            <w:noWrap w:val="0"/>
            <w:vAlign w:val="center"/>
          </w:tcPr>
          <w:p w14:paraId="21BD0574">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pp-1000动脉硬化及血管病监测</w:t>
            </w:r>
          </w:p>
        </w:tc>
        <w:tc>
          <w:tcPr>
            <w:tcW w:w="273" w:type="pct"/>
            <w:noWrap w:val="0"/>
            <w:vAlign w:val="center"/>
          </w:tcPr>
          <w:p w14:paraId="1483505A">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3CC21D32">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2B6D2D8">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3C29A7B7">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B9F49F9">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CE8D13D">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7D0A042D">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CD56188">
            <w:pPr>
              <w:adjustRightInd w:val="0"/>
              <w:snapToGrid w:val="0"/>
              <w:jc w:val="center"/>
              <w:rPr>
                <w:rFonts w:ascii="宋体" w:hAnsi="宋体" w:eastAsia="宋体" w:cs="Times New Roman"/>
                <w:bCs/>
                <w:color w:val="auto"/>
                <w:szCs w:val="21"/>
                <w:highlight w:val="none"/>
              </w:rPr>
            </w:pPr>
          </w:p>
        </w:tc>
      </w:tr>
      <w:tr w14:paraId="67782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7B068BFA">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22</w:t>
            </w:r>
          </w:p>
        </w:tc>
        <w:tc>
          <w:tcPr>
            <w:tcW w:w="1236" w:type="pct"/>
            <w:gridSpan w:val="3"/>
            <w:noWrap w:val="0"/>
            <w:vAlign w:val="center"/>
          </w:tcPr>
          <w:p w14:paraId="37C4C4C1">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人体成分测定</w:t>
            </w:r>
          </w:p>
        </w:tc>
        <w:tc>
          <w:tcPr>
            <w:tcW w:w="273" w:type="pct"/>
            <w:noWrap w:val="0"/>
            <w:vAlign w:val="center"/>
          </w:tcPr>
          <w:p w14:paraId="140FCE70">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3FC7C80D">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0EBA1372">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50AACF6C">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1F90656A">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53844FF5">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63F4496B">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6C21D3AF">
            <w:pPr>
              <w:adjustRightInd w:val="0"/>
              <w:snapToGrid w:val="0"/>
              <w:jc w:val="center"/>
              <w:rPr>
                <w:rFonts w:ascii="宋体" w:hAnsi="宋体" w:eastAsia="宋体" w:cs="Times New Roman"/>
                <w:bCs/>
                <w:color w:val="auto"/>
                <w:szCs w:val="21"/>
                <w:highlight w:val="none"/>
              </w:rPr>
            </w:pPr>
          </w:p>
        </w:tc>
      </w:tr>
      <w:tr w14:paraId="12767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0404C73D">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23</w:t>
            </w:r>
          </w:p>
        </w:tc>
        <w:tc>
          <w:tcPr>
            <w:tcW w:w="1236" w:type="pct"/>
            <w:gridSpan w:val="3"/>
            <w:noWrap w:val="0"/>
            <w:vAlign w:val="center"/>
          </w:tcPr>
          <w:p w14:paraId="6986FA3A">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经颅多普勒（TCD）</w:t>
            </w:r>
          </w:p>
        </w:tc>
        <w:tc>
          <w:tcPr>
            <w:tcW w:w="273" w:type="pct"/>
            <w:noWrap w:val="0"/>
            <w:vAlign w:val="center"/>
          </w:tcPr>
          <w:p w14:paraId="3DEA029F">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50CFD075">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BED5796">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72B23233">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03F824B9">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514CC76A">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1844594">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7E33892D">
            <w:pPr>
              <w:adjustRightInd w:val="0"/>
              <w:snapToGrid w:val="0"/>
              <w:jc w:val="center"/>
              <w:rPr>
                <w:rFonts w:ascii="宋体" w:hAnsi="宋体" w:eastAsia="宋体" w:cs="Times New Roman"/>
                <w:bCs/>
                <w:color w:val="auto"/>
                <w:szCs w:val="21"/>
                <w:highlight w:val="none"/>
              </w:rPr>
            </w:pPr>
          </w:p>
        </w:tc>
      </w:tr>
      <w:tr w14:paraId="28ADC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59BF181F">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24</w:t>
            </w:r>
          </w:p>
        </w:tc>
        <w:tc>
          <w:tcPr>
            <w:tcW w:w="1236" w:type="pct"/>
            <w:gridSpan w:val="3"/>
            <w:noWrap w:val="0"/>
            <w:vAlign w:val="center"/>
          </w:tcPr>
          <w:p w14:paraId="1B832D78">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颈部动脉彩超（8根血管）</w:t>
            </w:r>
          </w:p>
        </w:tc>
        <w:tc>
          <w:tcPr>
            <w:tcW w:w="273" w:type="pct"/>
            <w:noWrap w:val="0"/>
            <w:vAlign w:val="center"/>
          </w:tcPr>
          <w:p w14:paraId="49B6B435">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04301E6D">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69550016">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52E45C4F">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CA12A80">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30231659">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333F79C8">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B394B7E">
            <w:pPr>
              <w:adjustRightInd w:val="0"/>
              <w:snapToGrid w:val="0"/>
              <w:jc w:val="center"/>
              <w:rPr>
                <w:rFonts w:ascii="宋体" w:hAnsi="宋体" w:eastAsia="宋体" w:cs="Times New Roman"/>
                <w:bCs/>
                <w:color w:val="auto"/>
                <w:szCs w:val="21"/>
                <w:highlight w:val="none"/>
              </w:rPr>
            </w:pPr>
          </w:p>
        </w:tc>
      </w:tr>
      <w:tr w14:paraId="7BFEE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2824B80A">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25</w:t>
            </w:r>
          </w:p>
        </w:tc>
        <w:tc>
          <w:tcPr>
            <w:tcW w:w="1236" w:type="pct"/>
            <w:gridSpan w:val="3"/>
            <w:noWrap w:val="0"/>
            <w:vAlign w:val="center"/>
          </w:tcPr>
          <w:p w14:paraId="05CB0FAF">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心脏彩色多普勒超声</w:t>
            </w:r>
          </w:p>
        </w:tc>
        <w:tc>
          <w:tcPr>
            <w:tcW w:w="273" w:type="pct"/>
            <w:noWrap w:val="0"/>
            <w:vAlign w:val="center"/>
          </w:tcPr>
          <w:p w14:paraId="0BEEEA7E">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0757D698">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06A7DEBC">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6632939C">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F0785D8">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1C2EAC3">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6F0F614F">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032E5CBC">
            <w:pPr>
              <w:adjustRightInd w:val="0"/>
              <w:snapToGrid w:val="0"/>
              <w:jc w:val="center"/>
              <w:rPr>
                <w:rFonts w:ascii="宋体" w:hAnsi="宋体" w:eastAsia="宋体" w:cs="Times New Roman"/>
                <w:bCs/>
                <w:color w:val="auto"/>
                <w:szCs w:val="21"/>
                <w:highlight w:val="none"/>
              </w:rPr>
            </w:pPr>
          </w:p>
        </w:tc>
      </w:tr>
      <w:tr w14:paraId="39BF0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742C2655">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26</w:t>
            </w:r>
          </w:p>
        </w:tc>
        <w:tc>
          <w:tcPr>
            <w:tcW w:w="1236" w:type="pct"/>
            <w:gridSpan w:val="3"/>
            <w:noWrap w:val="0"/>
            <w:vAlign w:val="center"/>
          </w:tcPr>
          <w:p w14:paraId="0D7740B2">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CT螺旋平扫-部位检查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（第二个部位）(默认腰椎)</w:t>
            </w:r>
          </w:p>
        </w:tc>
        <w:tc>
          <w:tcPr>
            <w:tcW w:w="273" w:type="pct"/>
            <w:noWrap w:val="0"/>
            <w:vAlign w:val="center"/>
          </w:tcPr>
          <w:p w14:paraId="2C0A66F9">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742FAF6F">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F76DD44">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48FBCB8B">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63CBBBC">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AB3FC23">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6C2901A2">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0ADEEE16">
            <w:pPr>
              <w:adjustRightInd w:val="0"/>
              <w:snapToGrid w:val="0"/>
              <w:jc w:val="center"/>
              <w:rPr>
                <w:rFonts w:ascii="宋体" w:hAnsi="宋体" w:eastAsia="宋体" w:cs="Times New Roman"/>
                <w:bCs/>
                <w:color w:val="auto"/>
                <w:szCs w:val="21"/>
                <w:highlight w:val="none"/>
              </w:rPr>
            </w:pPr>
          </w:p>
        </w:tc>
      </w:tr>
      <w:tr w14:paraId="6CF1F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3BCC56A6">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27</w:t>
            </w:r>
          </w:p>
        </w:tc>
        <w:tc>
          <w:tcPr>
            <w:tcW w:w="1236" w:type="pct"/>
            <w:gridSpan w:val="3"/>
            <w:noWrap w:val="0"/>
            <w:vAlign w:val="center"/>
          </w:tcPr>
          <w:p w14:paraId="3EE22FC3">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甲状腺功能初筛（化学发光法）</w:t>
            </w:r>
          </w:p>
        </w:tc>
        <w:tc>
          <w:tcPr>
            <w:tcW w:w="273" w:type="pct"/>
            <w:noWrap w:val="0"/>
            <w:vAlign w:val="center"/>
          </w:tcPr>
          <w:p w14:paraId="71F133F7">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0BCDBD2D">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1676D368">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5359DFA6">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A4A8922">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2F5DA463">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5DE9C5DF">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9DB1772">
            <w:pPr>
              <w:adjustRightInd w:val="0"/>
              <w:snapToGrid w:val="0"/>
              <w:jc w:val="center"/>
              <w:rPr>
                <w:rFonts w:ascii="宋体" w:hAnsi="宋体" w:eastAsia="宋体" w:cs="Times New Roman"/>
                <w:bCs/>
                <w:color w:val="auto"/>
                <w:szCs w:val="21"/>
                <w:highlight w:val="none"/>
              </w:rPr>
            </w:pPr>
          </w:p>
        </w:tc>
      </w:tr>
      <w:tr w14:paraId="07FE2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1325D025">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28</w:t>
            </w:r>
          </w:p>
        </w:tc>
        <w:tc>
          <w:tcPr>
            <w:tcW w:w="1236" w:type="pct"/>
            <w:gridSpan w:val="3"/>
            <w:noWrap w:val="0"/>
            <w:vAlign w:val="center"/>
          </w:tcPr>
          <w:p w14:paraId="478B8859">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甲状腺功能检查（化学发光法）</w:t>
            </w:r>
          </w:p>
        </w:tc>
        <w:tc>
          <w:tcPr>
            <w:tcW w:w="273" w:type="pct"/>
            <w:noWrap w:val="0"/>
            <w:vAlign w:val="center"/>
          </w:tcPr>
          <w:p w14:paraId="4C763E2B">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60D4AB43">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600034C7">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38AE89EE">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46AA8752">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79307E73">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6D6C627D">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7959782">
            <w:pPr>
              <w:adjustRightInd w:val="0"/>
              <w:snapToGrid w:val="0"/>
              <w:jc w:val="center"/>
              <w:rPr>
                <w:rFonts w:ascii="宋体" w:hAnsi="宋体" w:eastAsia="宋体" w:cs="Times New Roman"/>
                <w:bCs/>
                <w:color w:val="auto"/>
                <w:szCs w:val="21"/>
                <w:highlight w:val="none"/>
              </w:rPr>
            </w:pPr>
          </w:p>
        </w:tc>
      </w:tr>
      <w:tr w14:paraId="44239860">
        <w:tblPrEx>
          <w:tblCellMar>
            <w:top w:w="0" w:type="dxa"/>
            <w:left w:w="108" w:type="dxa"/>
            <w:bottom w:w="0" w:type="dxa"/>
            <w:right w:w="108" w:type="dxa"/>
          </w:tblCellMar>
        </w:tblPrEx>
        <w:trPr>
          <w:trHeight w:val="582" w:hRule="atLeast"/>
          <w:jc w:val="center"/>
        </w:trPr>
        <w:tc>
          <w:tcPr>
            <w:tcW w:w="329" w:type="pct"/>
            <w:noWrap w:val="0"/>
            <w:vAlign w:val="center"/>
          </w:tcPr>
          <w:p w14:paraId="490FF22B">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29</w:t>
            </w:r>
          </w:p>
        </w:tc>
        <w:tc>
          <w:tcPr>
            <w:tcW w:w="1236" w:type="pct"/>
            <w:gridSpan w:val="3"/>
            <w:noWrap w:val="0"/>
            <w:vAlign w:val="center"/>
          </w:tcPr>
          <w:p w14:paraId="21A273BB">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25羟维生素D测定（色谱法）</w:t>
            </w:r>
          </w:p>
        </w:tc>
        <w:tc>
          <w:tcPr>
            <w:tcW w:w="273" w:type="pct"/>
            <w:noWrap w:val="0"/>
            <w:vAlign w:val="center"/>
          </w:tcPr>
          <w:p w14:paraId="49E1A44F">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6B95D1F">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3E5B667">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1D9AB01F">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19100ED1">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133B6EC1">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B97B7F4">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5D84E11C">
            <w:pPr>
              <w:adjustRightInd w:val="0"/>
              <w:snapToGrid w:val="0"/>
              <w:jc w:val="center"/>
              <w:rPr>
                <w:rFonts w:ascii="宋体" w:hAnsi="宋体" w:eastAsia="宋体" w:cs="Times New Roman"/>
                <w:bCs/>
                <w:color w:val="auto"/>
                <w:szCs w:val="21"/>
                <w:highlight w:val="none"/>
              </w:rPr>
            </w:pPr>
          </w:p>
        </w:tc>
      </w:tr>
      <w:tr w14:paraId="59F08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66C8BF9F">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30</w:t>
            </w:r>
          </w:p>
        </w:tc>
        <w:tc>
          <w:tcPr>
            <w:tcW w:w="1236" w:type="pct"/>
            <w:gridSpan w:val="3"/>
            <w:noWrap w:val="0"/>
            <w:vAlign w:val="center"/>
          </w:tcPr>
          <w:p w14:paraId="6D7F3800">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骨密度测定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（单能，含图文报告）</w:t>
            </w:r>
          </w:p>
        </w:tc>
        <w:tc>
          <w:tcPr>
            <w:tcW w:w="273" w:type="pct"/>
            <w:noWrap w:val="0"/>
            <w:vAlign w:val="center"/>
          </w:tcPr>
          <w:p w14:paraId="6CE4387D">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04B129E0">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95E1F41">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47BAC7F3">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4039E5C6">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5B5530EF">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176678DA">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7C337833">
            <w:pPr>
              <w:adjustRightInd w:val="0"/>
              <w:snapToGrid w:val="0"/>
              <w:jc w:val="center"/>
              <w:rPr>
                <w:rFonts w:ascii="宋体" w:hAnsi="宋体" w:eastAsia="宋体" w:cs="Times New Roman"/>
                <w:bCs/>
                <w:color w:val="auto"/>
                <w:szCs w:val="21"/>
                <w:highlight w:val="none"/>
              </w:rPr>
            </w:pPr>
          </w:p>
        </w:tc>
      </w:tr>
      <w:tr w14:paraId="6E6A4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66F44B9F">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31</w:t>
            </w:r>
          </w:p>
        </w:tc>
        <w:tc>
          <w:tcPr>
            <w:tcW w:w="1236" w:type="pct"/>
            <w:gridSpan w:val="3"/>
            <w:noWrap w:val="0"/>
            <w:vAlign w:val="center"/>
          </w:tcPr>
          <w:p w14:paraId="6D117893">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13碳尿素呼气试验</w:t>
            </w:r>
          </w:p>
        </w:tc>
        <w:tc>
          <w:tcPr>
            <w:tcW w:w="273" w:type="pct"/>
            <w:noWrap w:val="0"/>
            <w:vAlign w:val="center"/>
          </w:tcPr>
          <w:p w14:paraId="169BD966">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5603D145">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16A9A820">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2E4D5AF5">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496F4035">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30935C57">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2DE6431D">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7CD3F188">
            <w:pPr>
              <w:adjustRightInd w:val="0"/>
              <w:snapToGrid w:val="0"/>
              <w:jc w:val="center"/>
              <w:rPr>
                <w:rFonts w:ascii="宋体" w:hAnsi="宋体" w:eastAsia="宋体" w:cs="Times New Roman"/>
                <w:bCs/>
                <w:color w:val="auto"/>
                <w:szCs w:val="21"/>
                <w:highlight w:val="none"/>
              </w:rPr>
            </w:pPr>
          </w:p>
        </w:tc>
      </w:tr>
      <w:tr w14:paraId="3E93F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181ED34D">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32</w:t>
            </w:r>
          </w:p>
        </w:tc>
        <w:tc>
          <w:tcPr>
            <w:tcW w:w="1236" w:type="pct"/>
            <w:gridSpan w:val="3"/>
            <w:noWrap w:val="0"/>
            <w:vAlign w:val="center"/>
          </w:tcPr>
          <w:p w14:paraId="52EDE298">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胃泌素-17检测</w:t>
            </w:r>
          </w:p>
        </w:tc>
        <w:tc>
          <w:tcPr>
            <w:tcW w:w="273" w:type="pct"/>
            <w:noWrap w:val="0"/>
            <w:vAlign w:val="center"/>
          </w:tcPr>
          <w:p w14:paraId="4A45E8C0">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7BBACCD7">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42FC94F8">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00009953">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A3A2A88">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5D5D3E6F">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FA69235">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1B700E50">
            <w:pPr>
              <w:adjustRightInd w:val="0"/>
              <w:snapToGrid w:val="0"/>
              <w:jc w:val="center"/>
              <w:rPr>
                <w:rFonts w:ascii="宋体" w:hAnsi="宋体" w:eastAsia="宋体" w:cs="Times New Roman"/>
                <w:bCs/>
                <w:color w:val="auto"/>
                <w:szCs w:val="21"/>
                <w:highlight w:val="none"/>
              </w:rPr>
            </w:pPr>
          </w:p>
        </w:tc>
      </w:tr>
      <w:tr w14:paraId="47006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3E54ABEF">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33</w:t>
            </w:r>
          </w:p>
        </w:tc>
        <w:tc>
          <w:tcPr>
            <w:tcW w:w="1236" w:type="pct"/>
            <w:gridSpan w:val="3"/>
            <w:noWrap w:val="0"/>
            <w:vAlign w:val="center"/>
          </w:tcPr>
          <w:p w14:paraId="4F27FDE6">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胃蛋白酶原检测</w:t>
            </w:r>
          </w:p>
        </w:tc>
        <w:tc>
          <w:tcPr>
            <w:tcW w:w="273" w:type="pct"/>
            <w:noWrap w:val="0"/>
            <w:vAlign w:val="center"/>
          </w:tcPr>
          <w:p w14:paraId="1A3FD190">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15ADBF8A">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478AF4DE">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0DAF2B99">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DBFDED8">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69E50CF8">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7F96D533">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4CC7FB9D">
            <w:pPr>
              <w:adjustRightInd w:val="0"/>
              <w:snapToGrid w:val="0"/>
              <w:jc w:val="center"/>
              <w:rPr>
                <w:rFonts w:ascii="宋体" w:hAnsi="宋体" w:eastAsia="宋体" w:cs="Times New Roman"/>
                <w:bCs/>
                <w:color w:val="auto"/>
                <w:szCs w:val="21"/>
                <w:highlight w:val="none"/>
              </w:rPr>
            </w:pPr>
          </w:p>
        </w:tc>
      </w:tr>
      <w:tr w14:paraId="08322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4130FE27">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34</w:t>
            </w:r>
          </w:p>
        </w:tc>
        <w:tc>
          <w:tcPr>
            <w:tcW w:w="329" w:type="pct"/>
            <w:noWrap w:val="0"/>
            <w:vAlign w:val="center"/>
          </w:tcPr>
          <w:p w14:paraId="79465F67">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多肿瘤标志物12项联合检测</w:t>
            </w:r>
          </w:p>
        </w:tc>
        <w:tc>
          <w:tcPr>
            <w:tcW w:w="907" w:type="pct"/>
            <w:gridSpan w:val="2"/>
            <w:noWrap w:val="0"/>
            <w:vAlign w:val="center"/>
          </w:tcPr>
          <w:p w14:paraId="21BE5F02">
            <w:pPr>
              <w:keepNext w:val="0"/>
              <w:keepLines w:val="0"/>
              <w:widowControl/>
              <w:suppressLineNumbers w:val="0"/>
              <w:jc w:val="center"/>
              <w:textAlignment w:val="center"/>
            </w:pPr>
            <w:r>
              <w:rPr>
                <w:rFonts w:hint="eastAsia" w:ascii="宋体" w:hAnsi="宋体" w:eastAsia="宋体" w:cs="宋体"/>
                <w:i w:val="0"/>
                <w:iCs w:val="0"/>
                <w:color w:val="000000"/>
                <w:kern w:val="0"/>
                <w:sz w:val="20"/>
                <w:szCs w:val="20"/>
                <w:u w:val="none"/>
                <w:lang w:val="en-US" w:eastAsia="zh-CN" w:bidi="ar"/>
              </w:rPr>
              <w:t>男性检测CA19-9、CA125、CA72-4、AFP、NSE、CEA、Cyfra21-1、T-PSA、F-PSA、PGⅠ、PGⅡ、Pro-GRP。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女性检测CA19-9、CA125、CA72-4、AFP、NSE、CEA、Cyfra21-1、PGⅠ、PGⅡ、CA15-3、β-HCG、Pro-GRP。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（化学发光法）</w:t>
            </w:r>
          </w:p>
        </w:tc>
        <w:tc>
          <w:tcPr>
            <w:tcW w:w="273" w:type="pct"/>
            <w:noWrap w:val="0"/>
            <w:vAlign w:val="center"/>
          </w:tcPr>
          <w:p w14:paraId="326D3C96">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59E8D778">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10262E3B">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4335C680">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10E1ECEF">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6BB8A5C1">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745DFF5A">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C29042D">
            <w:pPr>
              <w:adjustRightInd w:val="0"/>
              <w:snapToGrid w:val="0"/>
              <w:jc w:val="center"/>
              <w:rPr>
                <w:rFonts w:ascii="宋体" w:hAnsi="宋体" w:eastAsia="宋体" w:cs="Times New Roman"/>
                <w:bCs/>
                <w:color w:val="auto"/>
                <w:szCs w:val="21"/>
                <w:highlight w:val="none"/>
              </w:rPr>
            </w:pPr>
          </w:p>
        </w:tc>
      </w:tr>
      <w:tr w14:paraId="0F822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1E578FAC">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35</w:t>
            </w:r>
          </w:p>
        </w:tc>
        <w:tc>
          <w:tcPr>
            <w:tcW w:w="1236" w:type="pct"/>
            <w:gridSpan w:val="3"/>
            <w:noWrap w:val="0"/>
            <w:vAlign w:val="center"/>
          </w:tcPr>
          <w:p w14:paraId="0F76FCAC">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甲胎蛋白（AFP，化学发光法）</w:t>
            </w:r>
          </w:p>
        </w:tc>
        <w:tc>
          <w:tcPr>
            <w:tcW w:w="273" w:type="pct"/>
            <w:noWrap w:val="0"/>
            <w:vAlign w:val="center"/>
          </w:tcPr>
          <w:p w14:paraId="3F7EF873">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8A66AB6">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1C267B3">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4B7417E8">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511645B">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157C099B">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57024F6F">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7B6EB600">
            <w:pPr>
              <w:adjustRightInd w:val="0"/>
              <w:snapToGrid w:val="0"/>
              <w:jc w:val="center"/>
              <w:rPr>
                <w:rFonts w:ascii="宋体" w:hAnsi="宋体" w:eastAsia="宋体" w:cs="Times New Roman"/>
                <w:bCs/>
                <w:color w:val="auto"/>
                <w:szCs w:val="21"/>
                <w:highlight w:val="none"/>
              </w:rPr>
            </w:pPr>
          </w:p>
        </w:tc>
      </w:tr>
      <w:tr w14:paraId="4FA5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4C3DC3D0">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36</w:t>
            </w:r>
          </w:p>
        </w:tc>
        <w:tc>
          <w:tcPr>
            <w:tcW w:w="1236" w:type="pct"/>
            <w:gridSpan w:val="3"/>
            <w:noWrap w:val="0"/>
            <w:vAlign w:val="center"/>
          </w:tcPr>
          <w:p w14:paraId="00C02F49">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癌胚抗原CEA（CEA，化学发光法）</w:t>
            </w:r>
          </w:p>
        </w:tc>
        <w:tc>
          <w:tcPr>
            <w:tcW w:w="273" w:type="pct"/>
            <w:noWrap w:val="0"/>
            <w:vAlign w:val="center"/>
          </w:tcPr>
          <w:p w14:paraId="58988A49">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668811C0">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186E2E4C">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18353CAA">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0905EFC3">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190D601F">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57A5107C">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0B0A3662">
            <w:pPr>
              <w:adjustRightInd w:val="0"/>
              <w:snapToGrid w:val="0"/>
              <w:jc w:val="center"/>
              <w:rPr>
                <w:rFonts w:ascii="宋体" w:hAnsi="宋体" w:eastAsia="宋体" w:cs="Times New Roman"/>
                <w:bCs/>
                <w:color w:val="auto"/>
                <w:szCs w:val="21"/>
                <w:highlight w:val="none"/>
              </w:rPr>
            </w:pPr>
          </w:p>
        </w:tc>
      </w:tr>
      <w:tr w14:paraId="31F05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7D57326D">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37</w:t>
            </w:r>
          </w:p>
        </w:tc>
        <w:tc>
          <w:tcPr>
            <w:tcW w:w="1236" w:type="pct"/>
            <w:gridSpan w:val="3"/>
            <w:noWrap w:val="0"/>
            <w:vAlign w:val="center"/>
          </w:tcPr>
          <w:p w14:paraId="7AABC899">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糖类抗原199测定（CA19-9，化学发光法）</w:t>
            </w:r>
          </w:p>
        </w:tc>
        <w:tc>
          <w:tcPr>
            <w:tcW w:w="273" w:type="pct"/>
            <w:noWrap w:val="0"/>
            <w:vAlign w:val="center"/>
          </w:tcPr>
          <w:p w14:paraId="7A473FBC">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2AC1747C">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7C4A69D">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51785D13">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4EDA809">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71AD0548">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16A7D124">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2E2D05BE">
            <w:pPr>
              <w:adjustRightInd w:val="0"/>
              <w:snapToGrid w:val="0"/>
              <w:jc w:val="center"/>
              <w:rPr>
                <w:rFonts w:ascii="宋体" w:hAnsi="宋体" w:eastAsia="宋体" w:cs="Times New Roman"/>
                <w:bCs/>
                <w:color w:val="auto"/>
                <w:szCs w:val="21"/>
                <w:highlight w:val="none"/>
              </w:rPr>
            </w:pPr>
          </w:p>
        </w:tc>
      </w:tr>
      <w:tr w14:paraId="072B1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015B6927">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38</w:t>
            </w:r>
          </w:p>
        </w:tc>
        <w:tc>
          <w:tcPr>
            <w:tcW w:w="1236" w:type="pct"/>
            <w:gridSpan w:val="3"/>
            <w:noWrap w:val="0"/>
            <w:vAlign w:val="center"/>
          </w:tcPr>
          <w:p w14:paraId="5691C6D6">
            <w:pPr>
              <w:keepNext w:val="0"/>
              <w:keepLines w:val="0"/>
              <w:widowControl/>
              <w:suppressLineNumbers w:val="0"/>
              <w:jc w:val="left"/>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糖类抗原CA24-2</w:t>
            </w:r>
          </w:p>
        </w:tc>
        <w:tc>
          <w:tcPr>
            <w:tcW w:w="273" w:type="pct"/>
            <w:noWrap w:val="0"/>
            <w:vAlign w:val="center"/>
          </w:tcPr>
          <w:p w14:paraId="36487F9A">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296C4E87">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72FE3BF0">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74E6A1E0">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56DFF7BE">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0E5577A7">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5CA6CD4A">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18840EC6">
            <w:pPr>
              <w:adjustRightInd w:val="0"/>
              <w:snapToGrid w:val="0"/>
              <w:jc w:val="center"/>
              <w:rPr>
                <w:rFonts w:ascii="宋体" w:hAnsi="宋体" w:eastAsia="宋体" w:cs="Times New Roman"/>
                <w:bCs/>
                <w:color w:val="auto"/>
                <w:szCs w:val="21"/>
                <w:highlight w:val="none"/>
              </w:rPr>
            </w:pPr>
          </w:p>
        </w:tc>
      </w:tr>
      <w:tr w14:paraId="740CF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4EF08B42">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39</w:t>
            </w:r>
          </w:p>
        </w:tc>
        <w:tc>
          <w:tcPr>
            <w:tcW w:w="1236" w:type="pct"/>
            <w:gridSpan w:val="3"/>
            <w:noWrap w:val="0"/>
            <w:vAlign w:val="center"/>
          </w:tcPr>
          <w:p w14:paraId="3227624D">
            <w:pPr>
              <w:keepNext w:val="0"/>
              <w:keepLines w:val="0"/>
              <w:widowControl/>
              <w:suppressLineNumbers w:val="0"/>
              <w:jc w:val="left"/>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糖类抗原CA72-4测定</w:t>
            </w:r>
          </w:p>
        </w:tc>
        <w:tc>
          <w:tcPr>
            <w:tcW w:w="273" w:type="pct"/>
            <w:noWrap w:val="0"/>
            <w:vAlign w:val="center"/>
          </w:tcPr>
          <w:p w14:paraId="4B7DB2B0">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16450F3">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4022D53F">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7BBF80FD">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4B83D4C1">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6AB7E08E">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0138EF72">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03FFBF40">
            <w:pPr>
              <w:adjustRightInd w:val="0"/>
              <w:snapToGrid w:val="0"/>
              <w:jc w:val="center"/>
              <w:rPr>
                <w:rFonts w:ascii="宋体" w:hAnsi="宋体" w:eastAsia="宋体" w:cs="Times New Roman"/>
                <w:bCs/>
                <w:color w:val="auto"/>
                <w:szCs w:val="21"/>
                <w:highlight w:val="none"/>
              </w:rPr>
            </w:pPr>
          </w:p>
        </w:tc>
      </w:tr>
      <w:tr w14:paraId="259E4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470090DF">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40</w:t>
            </w:r>
          </w:p>
        </w:tc>
        <w:tc>
          <w:tcPr>
            <w:tcW w:w="1236" w:type="pct"/>
            <w:gridSpan w:val="3"/>
            <w:noWrap w:val="0"/>
            <w:vAlign w:val="center"/>
          </w:tcPr>
          <w:p w14:paraId="4A29B8AE">
            <w:pPr>
              <w:keepNext w:val="0"/>
              <w:keepLines w:val="0"/>
              <w:widowControl/>
              <w:suppressLineNumbers w:val="0"/>
              <w:jc w:val="left"/>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糖类抗原CA50测定（化学发光法）</w:t>
            </w:r>
          </w:p>
        </w:tc>
        <w:tc>
          <w:tcPr>
            <w:tcW w:w="273" w:type="pct"/>
            <w:noWrap w:val="0"/>
            <w:vAlign w:val="center"/>
          </w:tcPr>
          <w:p w14:paraId="3EA55EBD">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2F2D276B">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1D36E2DA">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674047BB">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FE516C2">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62D5F8B7">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7D1F9DE7">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7006EEF5">
            <w:pPr>
              <w:adjustRightInd w:val="0"/>
              <w:snapToGrid w:val="0"/>
              <w:jc w:val="center"/>
              <w:rPr>
                <w:rFonts w:ascii="宋体" w:hAnsi="宋体" w:eastAsia="宋体" w:cs="Times New Roman"/>
                <w:bCs/>
                <w:color w:val="auto"/>
                <w:szCs w:val="21"/>
                <w:highlight w:val="none"/>
              </w:rPr>
            </w:pPr>
          </w:p>
        </w:tc>
      </w:tr>
      <w:tr w14:paraId="5A1A6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09845028">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41</w:t>
            </w:r>
          </w:p>
        </w:tc>
        <w:tc>
          <w:tcPr>
            <w:tcW w:w="1236" w:type="pct"/>
            <w:gridSpan w:val="3"/>
            <w:noWrap w:val="0"/>
            <w:vAlign w:val="center"/>
          </w:tcPr>
          <w:p w14:paraId="5691111A">
            <w:pPr>
              <w:keepNext w:val="0"/>
              <w:keepLines w:val="0"/>
              <w:widowControl/>
              <w:suppressLineNumbers w:val="0"/>
              <w:jc w:val="left"/>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细胞角蛋白19片段(CYFRA21-1)测定</w:t>
            </w:r>
          </w:p>
        </w:tc>
        <w:tc>
          <w:tcPr>
            <w:tcW w:w="273" w:type="pct"/>
            <w:noWrap w:val="0"/>
            <w:vAlign w:val="center"/>
          </w:tcPr>
          <w:p w14:paraId="4FCB9FA5">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3D4651E1">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6677C051">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39926677">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3D05CCDB">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0344A782">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28AFE4E9">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6D42F7EE">
            <w:pPr>
              <w:adjustRightInd w:val="0"/>
              <w:snapToGrid w:val="0"/>
              <w:jc w:val="center"/>
              <w:rPr>
                <w:rFonts w:ascii="宋体" w:hAnsi="宋体" w:eastAsia="宋体" w:cs="Times New Roman"/>
                <w:bCs/>
                <w:color w:val="auto"/>
                <w:szCs w:val="21"/>
                <w:highlight w:val="none"/>
              </w:rPr>
            </w:pPr>
          </w:p>
        </w:tc>
      </w:tr>
      <w:tr w14:paraId="2F0C5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6219820E">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42</w:t>
            </w:r>
          </w:p>
        </w:tc>
        <w:tc>
          <w:tcPr>
            <w:tcW w:w="1236" w:type="pct"/>
            <w:gridSpan w:val="3"/>
            <w:noWrap w:val="0"/>
            <w:vAlign w:val="center"/>
          </w:tcPr>
          <w:p w14:paraId="5E35D06A">
            <w:pPr>
              <w:keepNext w:val="0"/>
              <w:keepLines w:val="0"/>
              <w:widowControl/>
              <w:suppressLineNumbers w:val="0"/>
              <w:jc w:val="left"/>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人附睾分泌蛋白(HE4)测定</w:t>
            </w:r>
          </w:p>
        </w:tc>
        <w:tc>
          <w:tcPr>
            <w:tcW w:w="273" w:type="pct"/>
            <w:noWrap w:val="0"/>
            <w:vAlign w:val="center"/>
          </w:tcPr>
          <w:p w14:paraId="50B9E826">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6B080250">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6372543F">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7B1B1E1B">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8FC76FB">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233509D8">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3EC3BD2A">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4E93BE3">
            <w:pPr>
              <w:adjustRightInd w:val="0"/>
              <w:snapToGrid w:val="0"/>
              <w:jc w:val="center"/>
              <w:rPr>
                <w:rFonts w:ascii="宋体" w:hAnsi="宋体" w:eastAsia="宋体" w:cs="Times New Roman"/>
                <w:bCs/>
                <w:color w:val="auto"/>
                <w:szCs w:val="21"/>
                <w:highlight w:val="none"/>
              </w:rPr>
            </w:pPr>
          </w:p>
        </w:tc>
      </w:tr>
      <w:tr w14:paraId="7FFD2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559E7088">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43</w:t>
            </w:r>
          </w:p>
        </w:tc>
        <w:tc>
          <w:tcPr>
            <w:tcW w:w="1236" w:type="pct"/>
            <w:gridSpan w:val="3"/>
            <w:noWrap w:val="0"/>
            <w:vAlign w:val="center"/>
          </w:tcPr>
          <w:p w14:paraId="15A32A1A">
            <w:pPr>
              <w:keepNext w:val="0"/>
              <w:keepLines w:val="0"/>
              <w:widowControl/>
              <w:suppressLineNumbers w:val="0"/>
              <w:jc w:val="left"/>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神经元特异性烯醇化酶（ＮＳＥ）（肺）</w:t>
            </w:r>
          </w:p>
        </w:tc>
        <w:tc>
          <w:tcPr>
            <w:tcW w:w="273" w:type="pct"/>
            <w:noWrap w:val="0"/>
            <w:vAlign w:val="center"/>
          </w:tcPr>
          <w:p w14:paraId="195D149A">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53D516F7">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162D93EC">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0252F57F">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FC70968">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528F7FC7">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2CCB872B">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1E272BB5">
            <w:pPr>
              <w:adjustRightInd w:val="0"/>
              <w:snapToGrid w:val="0"/>
              <w:jc w:val="center"/>
              <w:rPr>
                <w:rFonts w:ascii="宋体" w:hAnsi="宋体" w:eastAsia="宋体" w:cs="Times New Roman"/>
                <w:bCs/>
                <w:color w:val="auto"/>
                <w:szCs w:val="21"/>
                <w:highlight w:val="none"/>
              </w:rPr>
            </w:pPr>
          </w:p>
        </w:tc>
      </w:tr>
      <w:tr w14:paraId="0230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68F18FC4">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44</w:t>
            </w:r>
          </w:p>
        </w:tc>
        <w:tc>
          <w:tcPr>
            <w:tcW w:w="1236" w:type="pct"/>
            <w:gridSpan w:val="3"/>
            <w:noWrap w:val="0"/>
            <w:vAlign w:val="center"/>
          </w:tcPr>
          <w:p w14:paraId="4658E982">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胃泌素释放肽前体(ProGRP)测定</w:t>
            </w:r>
          </w:p>
        </w:tc>
        <w:tc>
          <w:tcPr>
            <w:tcW w:w="273" w:type="pct"/>
            <w:noWrap w:val="0"/>
            <w:vAlign w:val="center"/>
          </w:tcPr>
          <w:p w14:paraId="395C8BA0">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7F6263A5">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6B939B04">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0B248F1A">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3835447A">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825958B">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25C61CE">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7949B790">
            <w:pPr>
              <w:adjustRightInd w:val="0"/>
              <w:snapToGrid w:val="0"/>
              <w:jc w:val="center"/>
              <w:rPr>
                <w:rFonts w:ascii="宋体" w:hAnsi="宋体" w:eastAsia="宋体" w:cs="Times New Roman"/>
                <w:bCs/>
                <w:color w:val="auto"/>
                <w:szCs w:val="21"/>
                <w:highlight w:val="none"/>
              </w:rPr>
            </w:pPr>
          </w:p>
        </w:tc>
      </w:tr>
      <w:tr w14:paraId="3072C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6C94F2E1">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45</w:t>
            </w:r>
          </w:p>
        </w:tc>
        <w:tc>
          <w:tcPr>
            <w:tcW w:w="1236" w:type="pct"/>
            <w:gridSpan w:val="3"/>
            <w:noWrap w:val="0"/>
            <w:vAlign w:val="center"/>
          </w:tcPr>
          <w:p w14:paraId="5A18E2E7">
            <w:pPr>
              <w:keepNext w:val="0"/>
              <w:keepLines w:val="0"/>
              <w:widowControl/>
              <w:suppressLineNumbers w:val="0"/>
              <w:jc w:val="left"/>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恶性肿瘤特异生长因子(TSGF)测定</w:t>
            </w:r>
          </w:p>
        </w:tc>
        <w:tc>
          <w:tcPr>
            <w:tcW w:w="273" w:type="pct"/>
            <w:noWrap w:val="0"/>
            <w:vAlign w:val="center"/>
          </w:tcPr>
          <w:p w14:paraId="1376C2C1">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7F991F16">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0C1ECE2B">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44B6A448">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7AFA111">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11341F6A">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38263E80">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020E39F7">
            <w:pPr>
              <w:adjustRightInd w:val="0"/>
              <w:snapToGrid w:val="0"/>
              <w:jc w:val="center"/>
              <w:rPr>
                <w:rFonts w:ascii="宋体" w:hAnsi="宋体" w:eastAsia="宋体" w:cs="Times New Roman"/>
                <w:bCs/>
                <w:color w:val="auto"/>
                <w:szCs w:val="21"/>
                <w:highlight w:val="none"/>
              </w:rPr>
            </w:pPr>
          </w:p>
        </w:tc>
      </w:tr>
      <w:tr w14:paraId="7370F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5176BD63">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46</w:t>
            </w:r>
          </w:p>
        </w:tc>
        <w:tc>
          <w:tcPr>
            <w:tcW w:w="1236" w:type="pct"/>
            <w:gridSpan w:val="3"/>
            <w:noWrap w:val="0"/>
            <w:vAlign w:val="center"/>
          </w:tcPr>
          <w:p w14:paraId="0AFB0BC1">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前列腺小体外泄蛋检测(PSEP)</w:t>
            </w:r>
          </w:p>
        </w:tc>
        <w:tc>
          <w:tcPr>
            <w:tcW w:w="273" w:type="pct"/>
            <w:noWrap w:val="0"/>
            <w:vAlign w:val="center"/>
          </w:tcPr>
          <w:p w14:paraId="250A90F6">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9AC61D2">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4E5C94F8">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37B1F1F4">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2CF5572">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2A8F3CC2">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6D278498">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5E6E3415">
            <w:pPr>
              <w:adjustRightInd w:val="0"/>
              <w:snapToGrid w:val="0"/>
              <w:jc w:val="center"/>
              <w:rPr>
                <w:rFonts w:ascii="宋体" w:hAnsi="宋体" w:eastAsia="宋体" w:cs="Times New Roman"/>
                <w:bCs/>
                <w:color w:val="auto"/>
                <w:szCs w:val="21"/>
                <w:highlight w:val="none"/>
              </w:rPr>
            </w:pPr>
          </w:p>
        </w:tc>
      </w:tr>
      <w:tr w14:paraId="27B14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0FC2CBAF">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47</w:t>
            </w:r>
          </w:p>
        </w:tc>
        <w:tc>
          <w:tcPr>
            <w:tcW w:w="1236" w:type="pct"/>
            <w:gridSpan w:val="3"/>
            <w:noWrap w:val="0"/>
            <w:vAlign w:val="center"/>
          </w:tcPr>
          <w:p w14:paraId="5C827D5E">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总前列腺特异性抗原检测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(TPSE，化学发光法P)</w:t>
            </w:r>
          </w:p>
        </w:tc>
        <w:tc>
          <w:tcPr>
            <w:tcW w:w="273" w:type="pct"/>
            <w:noWrap w:val="0"/>
            <w:vAlign w:val="center"/>
          </w:tcPr>
          <w:p w14:paraId="32A1A23D">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55EEDA8E">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03F803FA">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10FEBF7D">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77B1B88E">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64212C5A">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0C380AEA">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5DE5FBF5">
            <w:pPr>
              <w:adjustRightInd w:val="0"/>
              <w:snapToGrid w:val="0"/>
              <w:jc w:val="center"/>
              <w:rPr>
                <w:rFonts w:ascii="宋体" w:hAnsi="宋体" w:eastAsia="宋体" w:cs="Times New Roman"/>
                <w:bCs/>
                <w:color w:val="auto"/>
                <w:szCs w:val="21"/>
                <w:highlight w:val="none"/>
              </w:rPr>
            </w:pPr>
          </w:p>
        </w:tc>
      </w:tr>
      <w:tr w14:paraId="419F8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3C402D22">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48</w:t>
            </w:r>
          </w:p>
        </w:tc>
        <w:tc>
          <w:tcPr>
            <w:tcW w:w="1236" w:type="pct"/>
            <w:gridSpan w:val="3"/>
            <w:noWrap w:val="0"/>
            <w:vAlign w:val="center"/>
          </w:tcPr>
          <w:p w14:paraId="2B76E98C">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游离前列腺特异性抗原(FPSA)测定</w:t>
            </w:r>
          </w:p>
        </w:tc>
        <w:tc>
          <w:tcPr>
            <w:tcW w:w="273" w:type="pct"/>
            <w:noWrap w:val="0"/>
            <w:vAlign w:val="center"/>
          </w:tcPr>
          <w:p w14:paraId="2A711C0F">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1B2487D">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87C1890">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093BE3DC">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647603E">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53C5BDDF">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667E7C37">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5FB343F4">
            <w:pPr>
              <w:adjustRightInd w:val="0"/>
              <w:snapToGrid w:val="0"/>
              <w:jc w:val="center"/>
              <w:rPr>
                <w:rFonts w:ascii="宋体" w:hAnsi="宋体" w:eastAsia="宋体" w:cs="Times New Roman"/>
                <w:bCs/>
                <w:color w:val="auto"/>
                <w:szCs w:val="21"/>
                <w:highlight w:val="none"/>
              </w:rPr>
            </w:pPr>
          </w:p>
        </w:tc>
      </w:tr>
      <w:tr w14:paraId="52CDA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1C638810">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49</w:t>
            </w:r>
          </w:p>
        </w:tc>
        <w:tc>
          <w:tcPr>
            <w:tcW w:w="1236" w:type="pct"/>
            <w:gridSpan w:val="3"/>
            <w:noWrap w:val="0"/>
            <w:vAlign w:val="center"/>
          </w:tcPr>
          <w:p w14:paraId="2D023DBF">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癌抗原125（CA125，化学发光法）</w:t>
            </w:r>
          </w:p>
        </w:tc>
        <w:tc>
          <w:tcPr>
            <w:tcW w:w="273" w:type="pct"/>
            <w:noWrap w:val="0"/>
            <w:vAlign w:val="center"/>
          </w:tcPr>
          <w:p w14:paraId="636B4215">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3C1B8192">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27556AD">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2DDD9907">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69E7063C">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5A8C531F">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6EA54B8B">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661D0AC8">
            <w:pPr>
              <w:adjustRightInd w:val="0"/>
              <w:snapToGrid w:val="0"/>
              <w:jc w:val="center"/>
              <w:rPr>
                <w:rFonts w:ascii="宋体" w:hAnsi="宋体" w:eastAsia="宋体" w:cs="Times New Roman"/>
                <w:bCs/>
                <w:color w:val="auto"/>
                <w:szCs w:val="21"/>
                <w:highlight w:val="none"/>
              </w:rPr>
            </w:pPr>
          </w:p>
        </w:tc>
      </w:tr>
      <w:tr w14:paraId="4155D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2EF57B68">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50</w:t>
            </w:r>
          </w:p>
        </w:tc>
        <w:tc>
          <w:tcPr>
            <w:tcW w:w="1236" w:type="pct"/>
            <w:gridSpan w:val="3"/>
            <w:noWrap w:val="0"/>
            <w:vAlign w:val="center"/>
          </w:tcPr>
          <w:p w14:paraId="0E223001">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鳞状细胞癌癌相关抗原测定（SCC，化学发光法）</w:t>
            </w:r>
          </w:p>
        </w:tc>
        <w:tc>
          <w:tcPr>
            <w:tcW w:w="273" w:type="pct"/>
            <w:noWrap w:val="0"/>
            <w:vAlign w:val="center"/>
          </w:tcPr>
          <w:p w14:paraId="769BC5CA">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F8943F8">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DF30D93">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5B962DCD">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0E778F82">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33283FB5">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7987504D">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552A9041">
            <w:pPr>
              <w:adjustRightInd w:val="0"/>
              <w:snapToGrid w:val="0"/>
              <w:jc w:val="center"/>
              <w:rPr>
                <w:rFonts w:ascii="宋体" w:hAnsi="宋体" w:eastAsia="宋体" w:cs="Times New Roman"/>
                <w:bCs/>
                <w:color w:val="auto"/>
                <w:szCs w:val="21"/>
                <w:highlight w:val="none"/>
              </w:rPr>
            </w:pPr>
          </w:p>
        </w:tc>
      </w:tr>
      <w:tr w14:paraId="50F15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7137CDE7">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51</w:t>
            </w:r>
          </w:p>
        </w:tc>
        <w:tc>
          <w:tcPr>
            <w:tcW w:w="1236" w:type="pct"/>
            <w:gridSpan w:val="3"/>
            <w:noWrap w:val="0"/>
            <w:vAlign w:val="center"/>
          </w:tcPr>
          <w:p w14:paraId="1A2A7D9D">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EB病毒抗体筛查试验</w:t>
            </w:r>
          </w:p>
        </w:tc>
        <w:tc>
          <w:tcPr>
            <w:tcW w:w="273" w:type="pct"/>
            <w:noWrap w:val="0"/>
            <w:vAlign w:val="center"/>
          </w:tcPr>
          <w:p w14:paraId="70042C11">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0F9D8A5B">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92B1F40">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3DBBEE82">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414575E4">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0491FD96">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F7BB247">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1224204B">
            <w:pPr>
              <w:adjustRightInd w:val="0"/>
              <w:snapToGrid w:val="0"/>
              <w:jc w:val="center"/>
              <w:rPr>
                <w:rFonts w:ascii="宋体" w:hAnsi="宋体" w:eastAsia="宋体" w:cs="Times New Roman"/>
                <w:bCs/>
                <w:color w:val="auto"/>
                <w:szCs w:val="21"/>
                <w:highlight w:val="none"/>
              </w:rPr>
            </w:pPr>
          </w:p>
        </w:tc>
      </w:tr>
      <w:tr w14:paraId="657E5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12F2AF08">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52</w:t>
            </w:r>
          </w:p>
        </w:tc>
        <w:tc>
          <w:tcPr>
            <w:tcW w:w="1236" w:type="pct"/>
            <w:gridSpan w:val="3"/>
            <w:noWrap w:val="0"/>
            <w:vAlign w:val="center"/>
          </w:tcPr>
          <w:p w14:paraId="6E509FF9">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尿核基质蛋白22测定（NMP22）</w:t>
            </w:r>
          </w:p>
        </w:tc>
        <w:tc>
          <w:tcPr>
            <w:tcW w:w="273" w:type="pct"/>
            <w:noWrap w:val="0"/>
            <w:vAlign w:val="center"/>
          </w:tcPr>
          <w:p w14:paraId="228B8882">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535FCFFE">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39A7BF14">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2F3AAEB1">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09AF8E6C">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439CD73">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09A5CE00">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43FD975A">
            <w:pPr>
              <w:adjustRightInd w:val="0"/>
              <w:snapToGrid w:val="0"/>
              <w:jc w:val="center"/>
              <w:rPr>
                <w:rFonts w:ascii="宋体" w:hAnsi="宋体" w:eastAsia="宋体" w:cs="Times New Roman"/>
                <w:bCs/>
                <w:color w:val="auto"/>
                <w:szCs w:val="21"/>
                <w:highlight w:val="none"/>
              </w:rPr>
            </w:pPr>
          </w:p>
        </w:tc>
      </w:tr>
      <w:tr w14:paraId="1A921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1B0F1B51">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53</w:t>
            </w:r>
          </w:p>
        </w:tc>
        <w:tc>
          <w:tcPr>
            <w:tcW w:w="1236" w:type="pct"/>
            <w:gridSpan w:val="3"/>
            <w:noWrap w:val="0"/>
            <w:vAlign w:val="center"/>
          </w:tcPr>
          <w:p w14:paraId="6099C982">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血管內皮因子测定（VEGF）</w:t>
            </w:r>
          </w:p>
        </w:tc>
        <w:tc>
          <w:tcPr>
            <w:tcW w:w="273" w:type="pct"/>
            <w:noWrap w:val="0"/>
            <w:vAlign w:val="center"/>
          </w:tcPr>
          <w:p w14:paraId="06F98DF0">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60DF755D">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F5969A2">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53C39FF3">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37A20939">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37A3947C">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6EF8E458">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0DB3C6E9">
            <w:pPr>
              <w:adjustRightInd w:val="0"/>
              <w:snapToGrid w:val="0"/>
              <w:jc w:val="center"/>
              <w:rPr>
                <w:rFonts w:ascii="宋体" w:hAnsi="宋体" w:eastAsia="宋体" w:cs="Times New Roman"/>
                <w:bCs/>
                <w:color w:val="auto"/>
                <w:szCs w:val="21"/>
                <w:highlight w:val="none"/>
              </w:rPr>
            </w:pPr>
          </w:p>
        </w:tc>
      </w:tr>
      <w:tr w14:paraId="19B20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47B72DF0">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54</w:t>
            </w:r>
          </w:p>
        </w:tc>
        <w:tc>
          <w:tcPr>
            <w:tcW w:w="1236" w:type="pct"/>
            <w:gridSpan w:val="3"/>
            <w:noWrap w:val="0"/>
            <w:vAlign w:val="center"/>
          </w:tcPr>
          <w:p w14:paraId="1DD0C740">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细胞周期分析（STK1）</w:t>
            </w:r>
          </w:p>
        </w:tc>
        <w:tc>
          <w:tcPr>
            <w:tcW w:w="273" w:type="pct"/>
            <w:noWrap w:val="0"/>
            <w:vAlign w:val="center"/>
          </w:tcPr>
          <w:p w14:paraId="69E298C5">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602706B7">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320EDD75">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3FDA1A2B">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3CDD7BB3">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6EEDA9B1">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6ED2121">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01DCC0B5">
            <w:pPr>
              <w:adjustRightInd w:val="0"/>
              <w:snapToGrid w:val="0"/>
              <w:jc w:val="center"/>
              <w:rPr>
                <w:rFonts w:ascii="宋体" w:hAnsi="宋体" w:eastAsia="宋体" w:cs="Times New Roman"/>
                <w:bCs/>
                <w:color w:val="auto"/>
                <w:szCs w:val="21"/>
                <w:highlight w:val="none"/>
              </w:rPr>
            </w:pPr>
          </w:p>
        </w:tc>
      </w:tr>
      <w:tr w14:paraId="7A21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331" w:type="pct"/>
            <w:gridSpan w:val="10"/>
            <w:noWrap w:val="0"/>
            <w:vAlign w:val="center"/>
          </w:tcPr>
          <w:p w14:paraId="1D1F19A5">
            <w:pPr>
              <w:adjustRightInd w:val="0"/>
              <w:snapToGrid w:val="0"/>
              <w:jc w:val="center"/>
              <w:rPr>
                <w:rFonts w:hint="default" w:ascii="宋体" w:hAnsi="宋体" w:eastAsia="宋体" w:cs="Times New Roman"/>
                <w:bCs/>
                <w:color w:val="auto"/>
                <w:szCs w:val="21"/>
                <w:highlight w:val="none"/>
                <w:lang w:val="en-US" w:eastAsia="zh-CN"/>
              </w:rPr>
            </w:pPr>
            <w:r>
              <w:rPr>
                <w:rFonts w:hint="eastAsia" w:ascii="宋体" w:hAnsi="宋体" w:cs="宋体"/>
                <w:b w:val="0"/>
                <w:bCs w:val="0"/>
                <w:snapToGrid/>
                <w:color w:val="auto"/>
                <w:kern w:val="0"/>
                <w:sz w:val="20"/>
                <w:szCs w:val="20"/>
                <w:u w:val="none"/>
                <w:lang w:bidi="ar"/>
              </w:rPr>
              <w:t>自选体检项目</w:t>
            </w:r>
            <w:r>
              <w:rPr>
                <w:rFonts w:hint="eastAsia" w:ascii="宋体" w:hAnsi="宋体" w:cs="宋体"/>
                <w:b w:val="0"/>
                <w:bCs w:val="0"/>
                <w:snapToGrid/>
                <w:color w:val="auto"/>
                <w:kern w:val="0"/>
                <w:sz w:val="20"/>
                <w:szCs w:val="20"/>
                <w:u w:val="none"/>
                <w:lang w:val="en-US" w:eastAsia="zh-CN" w:bidi="ar"/>
              </w:rPr>
              <w:t>合计</w:t>
            </w:r>
          </w:p>
        </w:tc>
        <w:tc>
          <w:tcPr>
            <w:tcW w:w="457" w:type="pct"/>
            <w:noWrap w:val="0"/>
            <w:vAlign w:val="center"/>
          </w:tcPr>
          <w:p w14:paraId="69ED25D2">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62A6BD8">
            <w:pPr>
              <w:adjustRightInd w:val="0"/>
              <w:snapToGrid w:val="0"/>
              <w:jc w:val="center"/>
              <w:rPr>
                <w:rFonts w:ascii="宋体" w:hAnsi="宋体" w:eastAsia="宋体" w:cs="Times New Roman"/>
                <w:bCs/>
                <w:color w:val="auto"/>
                <w:szCs w:val="21"/>
                <w:highlight w:val="none"/>
              </w:rPr>
            </w:pPr>
          </w:p>
        </w:tc>
      </w:tr>
      <w:tr w14:paraId="00267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000" w:type="pct"/>
            <w:gridSpan w:val="12"/>
            <w:noWrap w:val="0"/>
            <w:vAlign w:val="center"/>
          </w:tcPr>
          <w:p w14:paraId="7E701ADD">
            <w:pPr>
              <w:adjustRightInd w:val="0"/>
              <w:snapToGrid w:val="0"/>
              <w:jc w:val="left"/>
              <w:rPr>
                <w:rFonts w:ascii="宋体" w:hAnsi="宋体" w:eastAsia="宋体" w:cs="Times New Roman"/>
                <w:bCs/>
                <w:color w:val="auto"/>
                <w:szCs w:val="21"/>
                <w:highlight w:val="none"/>
              </w:rPr>
            </w:pPr>
            <w:r>
              <w:rPr>
                <w:rFonts w:hint="eastAsia" w:ascii="宋体" w:hAnsi="宋体" w:eastAsia="宋体" w:cs="宋体"/>
                <w:b/>
                <w:bCs/>
                <w:i w:val="0"/>
                <w:iCs w:val="0"/>
                <w:color w:val="000000"/>
                <w:kern w:val="0"/>
                <w:sz w:val="20"/>
                <w:szCs w:val="20"/>
                <w:u w:val="none"/>
                <w:lang w:val="en-US" w:eastAsia="zh-CN" w:bidi="ar"/>
              </w:rPr>
              <w:t>三、女员工专项检查</w:t>
            </w:r>
          </w:p>
        </w:tc>
      </w:tr>
      <w:tr w14:paraId="55B6C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1C238440">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1</w:t>
            </w:r>
          </w:p>
        </w:tc>
        <w:tc>
          <w:tcPr>
            <w:tcW w:w="1236" w:type="pct"/>
            <w:gridSpan w:val="3"/>
            <w:noWrap w:val="0"/>
            <w:vAlign w:val="center"/>
          </w:tcPr>
          <w:p w14:paraId="7A5E0292">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经腹/经阴妇科彩超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(含超声计算机图文报告）)</w:t>
            </w:r>
          </w:p>
        </w:tc>
        <w:tc>
          <w:tcPr>
            <w:tcW w:w="273" w:type="pct"/>
            <w:noWrap w:val="0"/>
            <w:vAlign w:val="center"/>
          </w:tcPr>
          <w:p w14:paraId="34130385">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71A03F65">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2F20AD77">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7FFEF1AF">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A79122C">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974241A">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3BB7C356">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1CE42810">
            <w:pPr>
              <w:adjustRightInd w:val="0"/>
              <w:snapToGrid w:val="0"/>
              <w:jc w:val="center"/>
              <w:rPr>
                <w:rFonts w:ascii="宋体" w:hAnsi="宋体" w:eastAsia="宋体" w:cs="Times New Roman"/>
                <w:bCs/>
                <w:color w:val="auto"/>
                <w:szCs w:val="21"/>
                <w:highlight w:val="none"/>
              </w:rPr>
            </w:pPr>
          </w:p>
        </w:tc>
      </w:tr>
      <w:tr w14:paraId="60B43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31BE4C3D">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2</w:t>
            </w:r>
          </w:p>
        </w:tc>
        <w:tc>
          <w:tcPr>
            <w:tcW w:w="1236" w:type="pct"/>
            <w:gridSpan w:val="3"/>
            <w:noWrap w:val="0"/>
            <w:vAlign w:val="center"/>
          </w:tcPr>
          <w:p w14:paraId="1291391D">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乳腺彩超（含超声计算机图文报告）</w:t>
            </w:r>
          </w:p>
        </w:tc>
        <w:tc>
          <w:tcPr>
            <w:tcW w:w="273" w:type="pct"/>
            <w:noWrap w:val="0"/>
            <w:vAlign w:val="center"/>
          </w:tcPr>
          <w:p w14:paraId="00328E1B">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44BD674">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E08669F">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3BB9B2CB">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70E2920">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6ECE586D">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574C5E8C">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741C0DAA">
            <w:pPr>
              <w:adjustRightInd w:val="0"/>
              <w:snapToGrid w:val="0"/>
              <w:jc w:val="center"/>
              <w:rPr>
                <w:rFonts w:ascii="宋体" w:hAnsi="宋体" w:eastAsia="宋体" w:cs="Times New Roman"/>
                <w:bCs/>
                <w:color w:val="auto"/>
                <w:szCs w:val="21"/>
                <w:highlight w:val="none"/>
              </w:rPr>
            </w:pPr>
          </w:p>
        </w:tc>
      </w:tr>
      <w:tr w14:paraId="5BC92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27B8D453">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3</w:t>
            </w:r>
          </w:p>
        </w:tc>
        <w:tc>
          <w:tcPr>
            <w:tcW w:w="1236" w:type="pct"/>
            <w:gridSpan w:val="3"/>
            <w:noWrap w:val="0"/>
            <w:vAlign w:val="center"/>
          </w:tcPr>
          <w:p w14:paraId="3E41E862">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妇科检查</w:t>
            </w:r>
          </w:p>
        </w:tc>
        <w:tc>
          <w:tcPr>
            <w:tcW w:w="273" w:type="pct"/>
            <w:noWrap w:val="0"/>
            <w:vAlign w:val="center"/>
          </w:tcPr>
          <w:p w14:paraId="3F6AA3CE">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0FCF9878">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5F5458DE">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2AB81C64">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3C0B6BF1">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340AF5E8">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08C06D16">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22000D5A">
            <w:pPr>
              <w:adjustRightInd w:val="0"/>
              <w:snapToGrid w:val="0"/>
              <w:jc w:val="center"/>
              <w:rPr>
                <w:rFonts w:ascii="宋体" w:hAnsi="宋体" w:eastAsia="宋体" w:cs="Times New Roman"/>
                <w:bCs/>
                <w:color w:val="auto"/>
                <w:szCs w:val="21"/>
                <w:highlight w:val="none"/>
              </w:rPr>
            </w:pPr>
          </w:p>
        </w:tc>
      </w:tr>
      <w:tr w14:paraId="00221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7A300D10">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4</w:t>
            </w:r>
          </w:p>
        </w:tc>
        <w:tc>
          <w:tcPr>
            <w:tcW w:w="329" w:type="pct"/>
            <w:noWrap w:val="0"/>
            <w:vAlign w:val="center"/>
          </w:tcPr>
          <w:p w14:paraId="61AF663E">
            <w:pPr>
              <w:keepNext w:val="0"/>
              <w:keepLines w:val="0"/>
              <w:widowControl/>
              <w:suppressLineNumbers w:val="0"/>
              <w:jc w:val="left"/>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白带常规</w:t>
            </w:r>
          </w:p>
        </w:tc>
        <w:tc>
          <w:tcPr>
            <w:tcW w:w="907" w:type="pct"/>
            <w:gridSpan w:val="2"/>
            <w:noWrap w:val="0"/>
            <w:vAlign w:val="center"/>
          </w:tcPr>
          <w:p w14:paraId="7D48DD66">
            <w:pPr>
              <w:keepNext w:val="0"/>
              <w:keepLines w:val="0"/>
              <w:widowControl/>
              <w:suppressLineNumbers w:val="0"/>
              <w:jc w:val="left"/>
              <w:textAlignment w:val="center"/>
            </w:pPr>
            <w:r>
              <w:rPr>
                <w:rFonts w:hint="eastAsia" w:ascii="宋体" w:hAnsi="宋体" w:eastAsia="宋体" w:cs="宋体"/>
                <w:i w:val="0"/>
                <w:iCs w:val="0"/>
                <w:color w:val="000000"/>
                <w:kern w:val="0"/>
                <w:sz w:val="20"/>
                <w:szCs w:val="20"/>
                <w:u w:val="none"/>
                <w:lang w:val="en-US" w:eastAsia="zh-CN" w:bidi="ar"/>
              </w:rPr>
              <w:t>白带清洁度、上皮细胞(白带)、白细胞(白带) 、红细胞(白带)、白带查霉菌、霉菌孢子（阴道）、白带查滴虫、线索细胞</w:t>
            </w:r>
          </w:p>
        </w:tc>
        <w:tc>
          <w:tcPr>
            <w:tcW w:w="273" w:type="pct"/>
            <w:noWrap w:val="0"/>
            <w:vAlign w:val="center"/>
          </w:tcPr>
          <w:p w14:paraId="04D42A65">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17A25E68">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6A3BEE58">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32523BEA">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1EC2F5FA">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7DD691E1">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162611F4">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1386E929">
            <w:pPr>
              <w:adjustRightInd w:val="0"/>
              <w:snapToGrid w:val="0"/>
              <w:jc w:val="center"/>
              <w:rPr>
                <w:rFonts w:ascii="宋体" w:hAnsi="宋体" w:eastAsia="宋体" w:cs="Times New Roman"/>
                <w:bCs/>
                <w:color w:val="auto"/>
                <w:szCs w:val="21"/>
                <w:highlight w:val="none"/>
              </w:rPr>
            </w:pPr>
          </w:p>
        </w:tc>
      </w:tr>
      <w:tr w14:paraId="0B86D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59369CD9">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5</w:t>
            </w:r>
          </w:p>
        </w:tc>
        <w:tc>
          <w:tcPr>
            <w:tcW w:w="1236" w:type="pct"/>
            <w:gridSpan w:val="3"/>
            <w:noWrap w:val="0"/>
            <w:vAlign w:val="center"/>
          </w:tcPr>
          <w:p w14:paraId="0B59F4E1">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薄层液基细胞学检查(TCT)</w:t>
            </w:r>
          </w:p>
        </w:tc>
        <w:tc>
          <w:tcPr>
            <w:tcW w:w="273" w:type="pct"/>
            <w:noWrap w:val="0"/>
            <w:vAlign w:val="center"/>
          </w:tcPr>
          <w:p w14:paraId="0A414308">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3874FDA6">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3A3D3BCC">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69B4559C">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0E5F8156">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6334369">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7C6BA701">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7D095060">
            <w:pPr>
              <w:adjustRightInd w:val="0"/>
              <w:snapToGrid w:val="0"/>
              <w:jc w:val="center"/>
              <w:rPr>
                <w:rFonts w:ascii="宋体" w:hAnsi="宋体" w:eastAsia="宋体" w:cs="Times New Roman"/>
                <w:bCs/>
                <w:color w:val="auto"/>
                <w:szCs w:val="21"/>
                <w:highlight w:val="none"/>
              </w:rPr>
            </w:pPr>
          </w:p>
        </w:tc>
      </w:tr>
      <w:tr w14:paraId="37C7B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3C9646FB">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6</w:t>
            </w:r>
          </w:p>
        </w:tc>
        <w:tc>
          <w:tcPr>
            <w:tcW w:w="1236" w:type="pct"/>
            <w:gridSpan w:val="3"/>
            <w:noWrap w:val="0"/>
            <w:vAlign w:val="center"/>
          </w:tcPr>
          <w:p w14:paraId="3F6DA0B7">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人乳头瘤病毒(HPV23型)核酸检测</w:t>
            </w:r>
          </w:p>
        </w:tc>
        <w:tc>
          <w:tcPr>
            <w:tcW w:w="273" w:type="pct"/>
            <w:noWrap w:val="0"/>
            <w:vAlign w:val="center"/>
          </w:tcPr>
          <w:p w14:paraId="5C5C0F1F">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04F701C3">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7F7AD7D5">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2AA0B584">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436C6479">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49A84F08">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4D14B600">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B78BD62">
            <w:pPr>
              <w:adjustRightInd w:val="0"/>
              <w:snapToGrid w:val="0"/>
              <w:jc w:val="center"/>
              <w:rPr>
                <w:rFonts w:ascii="宋体" w:hAnsi="宋体" w:eastAsia="宋体" w:cs="Times New Roman"/>
                <w:bCs/>
                <w:color w:val="auto"/>
                <w:szCs w:val="21"/>
                <w:highlight w:val="none"/>
              </w:rPr>
            </w:pPr>
          </w:p>
        </w:tc>
      </w:tr>
      <w:tr w14:paraId="7699C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29" w:type="pct"/>
            <w:noWrap w:val="0"/>
            <w:vAlign w:val="center"/>
          </w:tcPr>
          <w:p w14:paraId="57C8804D">
            <w:pPr>
              <w:keepNext w:val="0"/>
              <w:keepLines w:val="0"/>
              <w:widowControl/>
              <w:suppressLineNumbers w:val="0"/>
              <w:jc w:val="center"/>
              <w:textAlignment w:val="center"/>
              <w:rPr>
                <w:rFonts w:hint="eastAsia" w:ascii="宋体" w:hAnsi="宋体" w:eastAsia="宋体" w:cs="Times New Roman"/>
                <w:bCs/>
                <w:color w:val="auto"/>
                <w:szCs w:val="21"/>
                <w:highlight w:val="none"/>
              </w:rPr>
            </w:pPr>
            <w:r>
              <w:rPr>
                <w:rFonts w:hint="eastAsia" w:ascii="宋体" w:hAnsi="宋体" w:eastAsia="宋体" w:cs="宋体"/>
                <w:i w:val="0"/>
                <w:iCs w:val="0"/>
                <w:color w:val="000000"/>
                <w:kern w:val="0"/>
                <w:sz w:val="20"/>
                <w:szCs w:val="20"/>
                <w:u w:val="none"/>
                <w:lang w:val="en-US" w:eastAsia="zh-CN" w:bidi="ar"/>
              </w:rPr>
              <w:t>7</w:t>
            </w:r>
          </w:p>
        </w:tc>
        <w:tc>
          <w:tcPr>
            <w:tcW w:w="1236" w:type="pct"/>
            <w:gridSpan w:val="3"/>
            <w:noWrap w:val="0"/>
            <w:vAlign w:val="center"/>
          </w:tcPr>
          <w:p w14:paraId="62B9C38D">
            <w:pPr>
              <w:keepNext w:val="0"/>
              <w:keepLines w:val="0"/>
              <w:widowControl/>
              <w:suppressLineNumbers w:val="0"/>
              <w:jc w:val="center"/>
              <w:textAlignment w:val="center"/>
              <w:rPr>
                <w:rFonts w:hint="default" w:ascii="宋体" w:hAnsi="宋体" w:eastAsia="宋体" w:cs="Times New Roman"/>
                <w:bCs/>
                <w:color w:val="auto"/>
                <w:szCs w:val="21"/>
                <w:highlight w:val="none"/>
                <w:lang w:val="en-US" w:eastAsia="zh-CN"/>
              </w:rPr>
            </w:pPr>
            <w:r>
              <w:rPr>
                <w:rFonts w:hint="eastAsia" w:ascii="宋体" w:hAnsi="宋体" w:eastAsia="宋体" w:cs="宋体"/>
                <w:i w:val="0"/>
                <w:iCs w:val="0"/>
                <w:color w:val="000000"/>
                <w:kern w:val="0"/>
                <w:sz w:val="20"/>
                <w:szCs w:val="20"/>
                <w:u w:val="none"/>
                <w:lang w:val="en-US" w:eastAsia="zh-CN" w:bidi="ar"/>
              </w:rPr>
              <w:t>糖类抗原CA15-3测定</w:t>
            </w:r>
          </w:p>
        </w:tc>
        <w:tc>
          <w:tcPr>
            <w:tcW w:w="273" w:type="pct"/>
            <w:noWrap w:val="0"/>
            <w:vAlign w:val="center"/>
          </w:tcPr>
          <w:p w14:paraId="2EA0001D">
            <w:pPr>
              <w:adjustRightInd w:val="0"/>
              <w:snapToGrid w:val="0"/>
              <w:jc w:val="center"/>
              <w:rPr>
                <w:rFonts w:hint="default" w:ascii="宋体" w:hAnsi="宋体" w:eastAsia="宋体" w:cs="Times New Roman"/>
                <w:bCs/>
                <w:color w:val="auto"/>
                <w:szCs w:val="21"/>
                <w:highlight w:val="none"/>
                <w:lang w:val="en-US" w:eastAsia="zh-CN"/>
              </w:rPr>
            </w:pPr>
            <w:r>
              <w:rPr>
                <w:rFonts w:hint="eastAsia"/>
              </w:rPr>
              <w:t>项</w:t>
            </w:r>
          </w:p>
        </w:tc>
        <w:tc>
          <w:tcPr>
            <w:tcW w:w="329" w:type="pct"/>
            <w:noWrap w:val="0"/>
            <w:vAlign w:val="center"/>
          </w:tcPr>
          <w:p w14:paraId="4D96DAED">
            <w:pPr>
              <w:adjustRightInd w:val="0"/>
              <w:snapToGrid w:val="0"/>
              <w:jc w:val="center"/>
              <w:rPr>
                <w:rFonts w:hint="default" w:ascii="宋体" w:hAnsi="宋体" w:eastAsia="宋体" w:cs="Times New Roman"/>
                <w:bCs/>
                <w:color w:val="auto"/>
                <w:szCs w:val="21"/>
                <w:highlight w:val="none"/>
                <w:lang w:val="en-US" w:eastAsia="zh-CN"/>
              </w:rPr>
            </w:pPr>
            <w:r>
              <w:rPr>
                <w:rFonts w:hint="eastAsia"/>
              </w:rPr>
              <w:t>1</w:t>
            </w:r>
          </w:p>
        </w:tc>
        <w:tc>
          <w:tcPr>
            <w:tcW w:w="536" w:type="pct"/>
            <w:noWrap w:val="0"/>
            <w:vAlign w:val="center"/>
          </w:tcPr>
          <w:p w14:paraId="0F35E976">
            <w:pPr>
              <w:adjustRightInd w:val="0"/>
              <w:snapToGrid w:val="0"/>
              <w:jc w:val="center"/>
              <w:rPr>
                <w:rFonts w:ascii="宋体" w:hAnsi="宋体" w:eastAsia="宋体" w:cs="Times New Roman"/>
                <w:bCs/>
                <w:color w:val="auto"/>
                <w:szCs w:val="21"/>
                <w:highlight w:val="none"/>
              </w:rPr>
            </w:pPr>
          </w:p>
        </w:tc>
        <w:tc>
          <w:tcPr>
            <w:tcW w:w="516" w:type="pct"/>
            <w:noWrap w:val="0"/>
            <w:vAlign w:val="center"/>
          </w:tcPr>
          <w:p w14:paraId="2EC0994A">
            <w:pPr>
              <w:adjustRightInd w:val="0"/>
              <w:snapToGrid w:val="0"/>
              <w:jc w:val="center"/>
              <w:rPr>
                <w:rFonts w:ascii="宋体" w:hAnsi="宋体" w:eastAsia="宋体" w:cs="Times New Roman"/>
                <w:bCs/>
                <w:color w:val="auto"/>
                <w:szCs w:val="21"/>
                <w:highlight w:val="none"/>
              </w:rPr>
            </w:pPr>
          </w:p>
        </w:tc>
        <w:tc>
          <w:tcPr>
            <w:tcW w:w="505" w:type="pct"/>
            <w:noWrap w:val="0"/>
            <w:vAlign w:val="center"/>
          </w:tcPr>
          <w:p w14:paraId="2145ACE2">
            <w:pPr>
              <w:adjustRightInd w:val="0"/>
              <w:snapToGrid w:val="0"/>
              <w:jc w:val="center"/>
              <w:rPr>
                <w:rFonts w:ascii="宋体" w:hAnsi="宋体" w:eastAsia="宋体" w:cs="Times New Roman"/>
                <w:bCs/>
                <w:color w:val="auto"/>
                <w:szCs w:val="21"/>
                <w:highlight w:val="none"/>
              </w:rPr>
            </w:pPr>
          </w:p>
        </w:tc>
        <w:tc>
          <w:tcPr>
            <w:tcW w:w="603" w:type="pct"/>
            <w:noWrap w:val="0"/>
            <w:vAlign w:val="center"/>
          </w:tcPr>
          <w:p w14:paraId="6492FB07">
            <w:pPr>
              <w:adjustRightInd w:val="0"/>
              <w:snapToGrid w:val="0"/>
              <w:jc w:val="center"/>
              <w:rPr>
                <w:rFonts w:ascii="宋体" w:hAnsi="宋体" w:eastAsia="宋体" w:cs="Times New Roman"/>
                <w:bCs/>
                <w:color w:val="auto"/>
                <w:szCs w:val="21"/>
                <w:highlight w:val="none"/>
              </w:rPr>
            </w:pPr>
          </w:p>
        </w:tc>
        <w:tc>
          <w:tcPr>
            <w:tcW w:w="457" w:type="pct"/>
            <w:noWrap w:val="0"/>
            <w:vAlign w:val="center"/>
          </w:tcPr>
          <w:p w14:paraId="2B2038A0">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3F5EE21C">
            <w:pPr>
              <w:adjustRightInd w:val="0"/>
              <w:snapToGrid w:val="0"/>
              <w:jc w:val="center"/>
              <w:rPr>
                <w:rFonts w:ascii="宋体" w:hAnsi="宋体" w:eastAsia="宋体" w:cs="Times New Roman"/>
                <w:bCs/>
                <w:color w:val="auto"/>
                <w:szCs w:val="21"/>
                <w:highlight w:val="none"/>
              </w:rPr>
            </w:pPr>
          </w:p>
        </w:tc>
      </w:tr>
      <w:tr w14:paraId="39CCE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331" w:type="pct"/>
            <w:gridSpan w:val="10"/>
            <w:noWrap w:val="0"/>
            <w:vAlign w:val="center"/>
          </w:tcPr>
          <w:p w14:paraId="5A54AE52">
            <w:pPr>
              <w:adjustRightInd w:val="0"/>
              <w:snapToGrid w:val="0"/>
              <w:jc w:val="center"/>
              <w:rPr>
                <w:rFonts w:hint="default" w:ascii="宋体" w:hAnsi="宋体" w:eastAsia="宋体" w:cs="Times New Roman"/>
                <w:bCs/>
                <w:color w:val="auto"/>
                <w:szCs w:val="21"/>
                <w:highlight w:val="none"/>
                <w:lang w:val="en-US" w:eastAsia="zh-CN"/>
              </w:rPr>
            </w:pPr>
            <w:r>
              <w:rPr>
                <w:rFonts w:hint="eastAsia" w:ascii="宋体" w:hAnsi="宋体" w:eastAsia="宋体" w:cs="宋体"/>
                <w:b w:val="0"/>
                <w:bCs w:val="0"/>
                <w:i w:val="0"/>
                <w:iCs w:val="0"/>
                <w:color w:val="auto"/>
                <w:kern w:val="0"/>
                <w:sz w:val="20"/>
                <w:szCs w:val="20"/>
                <w:u w:val="none"/>
                <w:lang w:val="en-US" w:eastAsia="zh-CN" w:bidi="ar"/>
              </w:rPr>
              <w:t>女员工专项检查</w:t>
            </w:r>
            <w:r>
              <w:rPr>
                <w:rFonts w:hint="eastAsia" w:ascii="宋体" w:hAnsi="宋体" w:cs="宋体"/>
                <w:i w:val="0"/>
                <w:iCs w:val="0"/>
                <w:color w:val="auto"/>
                <w:kern w:val="0"/>
                <w:sz w:val="20"/>
                <w:szCs w:val="20"/>
                <w:u w:val="none"/>
                <w:lang w:val="en-US" w:eastAsia="zh-CN" w:bidi="ar"/>
              </w:rPr>
              <w:t>项目合计</w:t>
            </w:r>
          </w:p>
        </w:tc>
        <w:tc>
          <w:tcPr>
            <w:tcW w:w="457" w:type="pct"/>
            <w:noWrap w:val="0"/>
            <w:vAlign w:val="center"/>
          </w:tcPr>
          <w:p w14:paraId="41986323">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698AE5F7">
            <w:pPr>
              <w:adjustRightInd w:val="0"/>
              <w:snapToGrid w:val="0"/>
              <w:jc w:val="center"/>
              <w:rPr>
                <w:rFonts w:ascii="宋体" w:hAnsi="宋体" w:eastAsia="宋体" w:cs="Times New Roman"/>
                <w:bCs/>
                <w:color w:val="auto"/>
                <w:szCs w:val="21"/>
                <w:highlight w:val="none"/>
              </w:rPr>
            </w:pPr>
          </w:p>
        </w:tc>
      </w:tr>
      <w:tr w14:paraId="2E161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331" w:type="pct"/>
            <w:gridSpan w:val="10"/>
            <w:noWrap w:val="0"/>
            <w:vAlign w:val="center"/>
          </w:tcPr>
          <w:p w14:paraId="71D7218A">
            <w:pPr>
              <w:adjustRightInd w:val="0"/>
              <w:snapToGrid w:val="0"/>
              <w:jc w:val="center"/>
              <w:rPr>
                <w:rFonts w:hint="eastAsia" w:ascii="宋体" w:hAnsi="宋体" w:eastAsia="宋体" w:cs="Times New Roman"/>
                <w:bCs/>
                <w:color w:val="auto"/>
                <w:szCs w:val="21"/>
                <w:highlight w:val="none"/>
                <w:lang w:val="en-US" w:eastAsia="zh-CN"/>
              </w:rPr>
            </w:pPr>
            <w:r>
              <w:rPr>
                <w:rFonts w:hint="eastAsia" w:ascii="宋体" w:hAnsi="宋体" w:cs="宋体"/>
                <w:i w:val="0"/>
                <w:iCs w:val="0"/>
                <w:color w:val="auto"/>
                <w:kern w:val="0"/>
                <w:sz w:val="20"/>
                <w:szCs w:val="20"/>
                <w:u w:val="none"/>
                <w:lang w:val="en-US" w:eastAsia="zh-CN" w:bidi="ar"/>
              </w:rPr>
              <w:t>单价合计</w:t>
            </w:r>
          </w:p>
        </w:tc>
        <w:tc>
          <w:tcPr>
            <w:tcW w:w="457" w:type="pct"/>
            <w:noWrap w:val="0"/>
            <w:vAlign w:val="center"/>
          </w:tcPr>
          <w:p w14:paraId="03DA1066">
            <w:pPr>
              <w:adjustRightInd w:val="0"/>
              <w:snapToGrid w:val="0"/>
              <w:jc w:val="center"/>
              <w:rPr>
                <w:rFonts w:ascii="宋体" w:hAnsi="宋体" w:eastAsia="宋体" w:cs="Times New Roman"/>
                <w:bCs/>
                <w:color w:val="auto"/>
                <w:szCs w:val="21"/>
                <w:highlight w:val="none"/>
              </w:rPr>
            </w:pPr>
          </w:p>
        </w:tc>
        <w:tc>
          <w:tcPr>
            <w:tcW w:w="210" w:type="pct"/>
            <w:noWrap w:val="0"/>
            <w:vAlign w:val="center"/>
          </w:tcPr>
          <w:p w14:paraId="261E175D">
            <w:pPr>
              <w:adjustRightInd w:val="0"/>
              <w:snapToGrid w:val="0"/>
              <w:jc w:val="center"/>
              <w:rPr>
                <w:rFonts w:ascii="宋体" w:hAnsi="宋体" w:eastAsia="宋体" w:cs="Times New Roman"/>
                <w:bCs/>
                <w:color w:val="auto"/>
                <w:szCs w:val="21"/>
                <w:highlight w:val="none"/>
              </w:rPr>
            </w:pPr>
          </w:p>
        </w:tc>
      </w:tr>
    </w:tbl>
    <w:p w14:paraId="0B863BA1">
      <w:pPr>
        <w:pStyle w:val="138"/>
        <w:rPr>
          <w:rFonts w:hint="default"/>
          <w:color w:val="auto"/>
          <w:highlight w:val="none"/>
        </w:rPr>
      </w:pPr>
    </w:p>
    <w:p w14:paraId="5CD254D5">
      <w:pPr>
        <w:adjustRightInd w:val="0"/>
        <w:snapToGrid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说明：</w:t>
      </w:r>
    </w:p>
    <w:p w14:paraId="3DB92172">
      <w:pPr>
        <w:widowControl/>
        <w:numPr>
          <w:ilvl w:val="0"/>
          <w:numId w:val="18"/>
        </w:numPr>
        <w:tabs>
          <w:tab w:val="left" w:pos="360"/>
          <w:tab w:val="left" w:pos="1140"/>
          <w:tab w:val="clear" w:pos="1200"/>
        </w:tabs>
        <w:autoSpaceDE w:val="0"/>
        <w:autoSpaceDN w:val="0"/>
        <w:adjustRightInd w:val="0"/>
        <w:snapToGrid w:val="0"/>
        <w:spacing w:line="360" w:lineRule="auto"/>
        <w:ind w:left="360"/>
        <w:textAlignment w:val="bottom"/>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lang w:eastAsia="zh-CN"/>
        </w:rPr>
        <w:t>投标</w:t>
      </w:r>
      <w:r>
        <w:rPr>
          <w:rFonts w:hint="eastAsia" w:ascii="宋体" w:hAnsi="宋体" w:eastAsia="宋体" w:cs="Times New Roman"/>
          <w:bCs/>
          <w:color w:val="auto"/>
          <w:szCs w:val="21"/>
          <w:highlight w:val="none"/>
        </w:rPr>
        <w:t>报价明细需为人民币固定价，单位为元。</w:t>
      </w:r>
    </w:p>
    <w:p w14:paraId="018FB76E">
      <w:pPr>
        <w:widowControl/>
        <w:numPr>
          <w:ilvl w:val="0"/>
          <w:numId w:val="18"/>
        </w:numPr>
        <w:tabs>
          <w:tab w:val="left" w:pos="360"/>
          <w:tab w:val="left" w:pos="1140"/>
          <w:tab w:val="clear" w:pos="1200"/>
        </w:tabs>
        <w:autoSpaceDE w:val="0"/>
        <w:autoSpaceDN w:val="0"/>
        <w:adjustRightInd w:val="0"/>
        <w:snapToGrid w:val="0"/>
        <w:spacing w:line="360" w:lineRule="auto"/>
        <w:ind w:left="360"/>
        <w:textAlignment w:val="bottom"/>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报价保留小数点后两位，小数点后第三位“四舍五入”。</w:t>
      </w:r>
    </w:p>
    <w:p w14:paraId="2776135F">
      <w:pPr>
        <w:widowControl/>
        <w:numPr>
          <w:ilvl w:val="0"/>
          <w:numId w:val="18"/>
        </w:numPr>
        <w:tabs>
          <w:tab w:val="left" w:pos="360"/>
          <w:tab w:val="left" w:pos="1140"/>
          <w:tab w:val="clear" w:pos="1200"/>
        </w:tabs>
        <w:autoSpaceDE w:val="0"/>
        <w:autoSpaceDN w:val="0"/>
        <w:adjustRightInd w:val="0"/>
        <w:snapToGrid w:val="0"/>
        <w:spacing w:line="360" w:lineRule="auto"/>
        <w:ind w:left="360"/>
        <w:textAlignment w:val="bottom"/>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除</w:t>
      </w:r>
      <w:r>
        <w:rPr>
          <w:rFonts w:hint="eastAsia" w:ascii="宋体" w:hAnsi="宋体" w:eastAsia="宋体" w:cs="Times New Roman"/>
          <w:bCs/>
          <w:color w:val="auto"/>
          <w:szCs w:val="21"/>
          <w:highlight w:val="none"/>
          <w:lang w:eastAsia="zh-CN"/>
        </w:rPr>
        <w:t>招标</w:t>
      </w:r>
      <w:r>
        <w:rPr>
          <w:rFonts w:hint="eastAsia" w:ascii="宋体" w:hAnsi="宋体" w:eastAsia="宋体" w:cs="Times New Roman"/>
          <w:bCs/>
          <w:color w:val="auto"/>
          <w:szCs w:val="21"/>
          <w:highlight w:val="none"/>
        </w:rPr>
        <w:t>文件特别规定外，</w:t>
      </w:r>
      <w:r>
        <w:rPr>
          <w:rFonts w:hint="eastAsia" w:ascii="宋体" w:hAnsi="宋体" w:eastAsia="宋体" w:cs="Times New Roman"/>
          <w:bCs/>
          <w:color w:val="auto"/>
          <w:szCs w:val="21"/>
          <w:highlight w:val="none"/>
          <w:lang w:eastAsia="zh-CN"/>
        </w:rPr>
        <w:t>投标人</w:t>
      </w:r>
      <w:r>
        <w:rPr>
          <w:rFonts w:hint="eastAsia" w:ascii="宋体" w:hAnsi="宋体" w:eastAsia="宋体" w:cs="Times New Roman"/>
          <w:bCs/>
          <w:color w:val="auto"/>
          <w:szCs w:val="21"/>
          <w:highlight w:val="none"/>
        </w:rPr>
        <w:t>的</w:t>
      </w:r>
      <w:r>
        <w:rPr>
          <w:rFonts w:hint="eastAsia" w:ascii="宋体" w:hAnsi="宋体" w:eastAsia="宋体" w:cs="Times New Roman"/>
          <w:bCs/>
          <w:color w:val="auto"/>
          <w:szCs w:val="21"/>
          <w:highlight w:val="none"/>
          <w:lang w:eastAsia="zh-CN"/>
        </w:rPr>
        <w:t>投标</w:t>
      </w:r>
      <w:r>
        <w:rPr>
          <w:rFonts w:hint="eastAsia" w:ascii="宋体" w:hAnsi="宋体" w:eastAsia="宋体" w:cs="Times New Roman"/>
          <w:bCs/>
          <w:color w:val="auto"/>
          <w:szCs w:val="21"/>
          <w:highlight w:val="none"/>
        </w:rPr>
        <w:t>报价已包括履行本项目所必须的所有成本费用，包括但不仅限于办公、交通、人员、差旅、文件、培训、税费、测试工具费用、其他管理费用以及</w:t>
      </w:r>
      <w:r>
        <w:rPr>
          <w:rFonts w:hint="eastAsia" w:ascii="宋体" w:hAnsi="宋体" w:cs="Times New Roman"/>
          <w:bCs/>
          <w:color w:val="auto"/>
          <w:szCs w:val="21"/>
          <w:highlight w:val="none"/>
          <w:lang w:eastAsia="zh-CN"/>
        </w:rPr>
        <w:t>投标人</w:t>
      </w:r>
      <w:r>
        <w:rPr>
          <w:rFonts w:hint="eastAsia" w:ascii="宋体" w:hAnsi="宋体" w:eastAsia="宋体" w:cs="Times New Roman"/>
          <w:bCs/>
          <w:color w:val="auto"/>
          <w:szCs w:val="21"/>
          <w:highlight w:val="none"/>
        </w:rPr>
        <w:t>所需的合理利润。</w:t>
      </w:r>
      <w:r>
        <w:rPr>
          <w:rFonts w:hint="eastAsia" w:ascii="宋体" w:hAnsi="宋体" w:eastAsia="宋体" w:cs="Times New Roman"/>
          <w:bCs/>
          <w:color w:val="auto"/>
          <w:szCs w:val="21"/>
          <w:highlight w:val="none"/>
          <w:lang w:eastAsia="zh-CN"/>
        </w:rPr>
        <w:t>投标</w:t>
      </w:r>
      <w:r>
        <w:rPr>
          <w:rFonts w:hint="eastAsia" w:ascii="宋体" w:hAnsi="宋体" w:eastAsia="宋体" w:cs="Times New Roman"/>
          <w:bCs/>
          <w:color w:val="auto"/>
          <w:szCs w:val="21"/>
          <w:highlight w:val="none"/>
        </w:rPr>
        <w:t>人的响应报价应已考虑了履行本项目的所有市场风险，包括但不限于人力成本的增加、原材料的价格上涨、国家宏观调控、经济环境变化等因素。</w:t>
      </w:r>
    </w:p>
    <w:p w14:paraId="604CC686">
      <w:pPr>
        <w:widowControl/>
        <w:numPr>
          <w:ilvl w:val="0"/>
          <w:numId w:val="18"/>
        </w:numPr>
        <w:tabs>
          <w:tab w:val="left" w:pos="360"/>
          <w:tab w:val="left" w:pos="1140"/>
          <w:tab w:val="clear" w:pos="1200"/>
        </w:tabs>
        <w:autoSpaceDE w:val="0"/>
        <w:autoSpaceDN w:val="0"/>
        <w:adjustRightInd w:val="0"/>
        <w:snapToGrid w:val="0"/>
        <w:spacing w:line="360" w:lineRule="auto"/>
        <w:ind w:left="360"/>
        <w:textAlignment w:val="bottom"/>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lang w:eastAsia="zh-CN"/>
        </w:rPr>
        <w:t>投标</w:t>
      </w:r>
      <w:r>
        <w:rPr>
          <w:rFonts w:hint="eastAsia" w:ascii="宋体" w:hAnsi="宋体" w:eastAsia="宋体" w:cs="Times New Roman"/>
          <w:bCs/>
          <w:color w:val="auto"/>
          <w:szCs w:val="21"/>
          <w:highlight w:val="none"/>
        </w:rPr>
        <w:t>人的报价中已考虑和包含了</w:t>
      </w:r>
      <w:r>
        <w:rPr>
          <w:rFonts w:hint="eastAsia" w:ascii="宋体" w:hAnsi="宋体" w:eastAsia="宋体" w:cs="Times New Roman"/>
          <w:bCs/>
          <w:color w:val="auto"/>
          <w:szCs w:val="21"/>
          <w:highlight w:val="none"/>
          <w:lang w:eastAsia="zh-CN"/>
        </w:rPr>
        <w:t>招标</w:t>
      </w:r>
      <w:r>
        <w:rPr>
          <w:rFonts w:hint="eastAsia" w:ascii="宋体" w:hAnsi="宋体" w:eastAsia="宋体" w:cs="Times New Roman"/>
          <w:bCs/>
          <w:color w:val="auto"/>
          <w:szCs w:val="21"/>
          <w:highlight w:val="none"/>
        </w:rPr>
        <w:t>文件及修改补充文件中的所有要求。</w:t>
      </w:r>
    </w:p>
    <w:p w14:paraId="161FA8CB">
      <w:pPr>
        <w:wordWrap w:val="0"/>
        <w:spacing w:line="360" w:lineRule="auto"/>
        <w:rPr>
          <w:rFonts w:hAnsi="宋体" w:cs="宋体"/>
          <w:iCs/>
          <w:color w:val="auto"/>
          <w:szCs w:val="21"/>
          <w:highlight w:val="none"/>
          <w:u w:val="single"/>
        </w:rPr>
      </w:pPr>
      <w:r>
        <w:rPr>
          <w:rFonts w:hint="eastAsia" w:hAnsi="宋体" w:cs="宋体"/>
          <w:iCs/>
          <w:color w:val="auto"/>
          <w:szCs w:val="21"/>
          <w:highlight w:val="none"/>
        </w:rPr>
        <w:t>投标人：</w:t>
      </w:r>
      <w:r>
        <w:rPr>
          <w:rFonts w:hint="eastAsia" w:hAnsi="宋体" w:cs="宋体"/>
          <w:iCs/>
          <w:color w:val="auto"/>
          <w:szCs w:val="21"/>
          <w:highlight w:val="none"/>
          <w:u w:val="single"/>
        </w:rPr>
        <w:t xml:space="preserve">                  </w:t>
      </w:r>
      <w:r>
        <w:rPr>
          <w:rFonts w:hint="eastAsia" w:hAnsi="宋体" w:cs="宋体"/>
          <w:iCs/>
          <w:color w:val="auto"/>
          <w:szCs w:val="21"/>
          <w:highlight w:val="none"/>
        </w:rPr>
        <w:t>（盖单位公章）</w:t>
      </w:r>
    </w:p>
    <w:p w14:paraId="2F888D6F">
      <w:pPr>
        <w:wordWrap w:val="0"/>
        <w:adjustRightInd w:val="0"/>
        <w:snapToGrid w:val="0"/>
        <w:spacing w:line="360" w:lineRule="auto"/>
        <w:rPr>
          <w:rFonts w:hAnsi="宋体" w:cs="宋体"/>
          <w:iCs/>
          <w:color w:val="auto"/>
          <w:szCs w:val="21"/>
          <w:highlight w:val="none"/>
        </w:rPr>
      </w:pPr>
      <w:r>
        <w:rPr>
          <w:rFonts w:hint="eastAsia" w:ascii="宋体" w:hAnsi="宋体" w:cs="宋体"/>
          <w:iCs/>
          <w:color w:val="auto"/>
          <w:szCs w:val="21"/>
          <w:highlight w:val="none"/>
        </w:rPr>
        <w:t>法定代表人或其委托代理人(签字或盖章)：</w:t>
      </w:r>
      <w:r>
        <w:rPr>
          <w:rFonts w:hint="eastAsia" w:ascii="宋体" w:hAnsi="宋体" w:cs="宋体"/>
          <w:iCs/>
          <w:color w:val="auto"/>
          <w:szCs w:val="21"/>
          <w:highlight w:val="none"/>
          <w:u w:val="single"/>
        </w:rPr>
        <w:t xml:space="preserve">                </w:t>
      </w:r>
    </w:p>
    <w:p w14:paraId="4C27C558">
      <w:pPr>
        <w:spacing w:line="360" w:lineRule="auto"/>
        <w:rPr>
          <w:rFonts w:hint="eastAsia" w:ascii="Calibri" w:cs="宋体"/>
          <w:color w:val="auto"/>
          <w:szCs w:val="28"/>
          <w:highlight w:val="none"/>
          <w:lang w:val="en-US" w:eastAsia="zh-CN"/>
        </w:rPr>
      </w:pP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日</w:t>
      </w:r>
      <w:r>
        <w:rPr>
          <w:rFonts w:hint="eastAsia" w:ascii="Calibri" w:cs="宋体"/>
          <w:color w:val="auto"/>
          <w:szCs w:val="28"/>
          <w:highlight w:val="none"/>
          <w:lang w:val="en-US" w:eastAsia="zh-CN"/>
        </w:rPr>
        <w:br w:type="page"/>
      </w:r>
    </w:p>
    <w:p w14:paraId="0CA163DC">
      <w:pPr>
        <w:pStyle w:val="137"/>
        <w:tabs>
          <w:tab w:val="left" w:pos="4538"/>
          <w:tab w:val="left" w:pos="5484"/>
          <w:tab w:val="left" w:pos="6427"/>
        </w:tabs>
        <w:spacing w:before="0" w:line="360" w:lineRule="auto"/>
        <w:jc w:val="center"/>
        <w:rPr>
          <w:rFonts w:ascii="Calibri" w:cs="宋体"/>
          <w:color w:val="auto"/>
          <w:szCs w:val="28"/>
          <w:highlight w:val="none"/>
        </w:rPr>
      </w:pPr>
      <w:r>
        <w:rPr>
          <w:rFonts w:hint="eastAsia" w:ascii="Calibri" w:cs="宋体"/>
          <w:color w:val="auto"/>
          <w:szCs w:val="28"/>
          <w:highlight w:val="none"/>
          <w:lang w:val="en-US" w:eastAsia="zh-CN"/>
        </w:rPr>
        <w:t>四</w:t>
      </w:r>
      <w:r>
        <w:rPr>
          <w:rFonts w:hint="eastAsia" w:ascii="Calibri" w:cs="宋体"/>
          <w:color w:val="auto"/>
          <w:szCs w:val="28"/>
          <w:highlight w:val="none"/>
        </w:rPr>
        <w:t>、法定代表人身份证明</w:t>
      </w:r>
    </w:p>
    <w:p w14:paraId="30DCE213">
      <w:pPr>
        <w:pStyle w:val="24"/>
        <w:tabs>
          <w:tab w:val="left" w:pos="3928"/>
        </w:tabs>
        <w:wordWrap w:val="0"/>
        <w:spacing w:after="0" w:line="360" w:lineRule="auto"/>
        <w:rPr>
          <w:rFonts w:ascii="宋体" w:hAnsi="宋体"/>
          <w:color w:val="auto"/>
          <w:szCs w:val="21"/>
          <w:highlight w:val="none"/>
        </w:rPr>
      </w:pPr>
    </w:p>
    <w:p w14:paraId="463E4757">
      <w:pPr>
        <w:pStyle w:val="24"/>
        <w:tabs>
          <w:tab w:val="left" w:pos="3928"/>
        </w:tabs>
        <w:wordWrap w:val="0"/>
        <w:spacing w:after="0" w:line="360" w:lineRule="auto"/>
        <w:rPr>
          <w:rFonts w:ascii="宋体" w:hAnsi="宋体"/>
          <w:color w:val="auto"/>
          <w:szCs w:val="21"/>
          <w:highlight w:val="none"/>
        </w:rPr>
      </w:pPr>
      <w:r>
        <w:rPr>
          <w:rFonts w:ascii="宋体" w:hAnsi="宋体"/>
          <w:color w:val="auto"/>
          <w:szCs w:val="21"/>
          <w:highlight w:val="none"/>
        </w:rPr>
        <w:t>投标人名称：</w:t>
      </w:r>
      <w:r>
        <w:rPr>
          <w:rFonts w:hint="eastAsia" w:ascii="宋体" w:hAnsi="宋体"/>
          <w:color w:val="auto"/>
          <w:szCs w:val="21"/>
          <w:highlight w:val="none"/>
          <w:u w:val="single"/>
        </w:rPr>
        <w:t xml:space="preserve">                                             </w:t>
      </w:r>
    </w:p>
    <w:p w14:paraId="6854C41A">
      <w:pPr>
        <w:pStyle w:val="24"/>
        <w:tabs>
          <w:tab w:val="left" w:pos="2412"/>
          <w:tab w:val="left" w:pos="3883"/>
          <w:tab w:val="left" w:pos="5352"/>
          <w:tab w:val="left" w:pos="6869"/>
        </w:tabs>
        <w:wordWrap w:val="0"/>
        <w:spacing w:after="0" w:line="360" w:lineRule="auto"/>
        <w:rPr>
          <w:rFonts w:ascii="宋体" w:hAnsi="宋体"/>
          <w:color w:val="auto"/>
          <w:szCs w:val="21"/>
          <w:highlight w:val="none"/>
        </w:rPr>
      </w:pPr>
      <w:r>
        <w:rPr>
          <w:rFonts w:ascii="宋体" w:hAnsi="宋体"/>
          <w:color w:val="auto"/>
          <w:szCs w:val="21"/>
          <w:highlight w:val="none"/>
        </w:rPr>
        <w:t>姓名：</w:t>
      </w:r>
      <w:r>
        <w:rPr>
          <w:rFonts w:hint="eastAsia" w:ascii="宋体" w:hAnsi="宋体"/>
          <w:color w:val="auto"/>
          <w:szCs w:val="21"/>
          <w:highlight w:val="none"/>
          <w:u w:val="single"/>
        </w:rPr>
        <w:t xml:space="preserve">      </w:t>
      </w:r>
      <w:r>
        <w:rPr>
          <w:rFonts w:ascii="宋体" w:hAnsi="宋体"/>
          <w:color w:val="auto"/>
          <w:szCs w:val="21"/>
          <w:highlight w:val="none"/>
        </w:rPr>
        <w:t>性别：</w:t>
      </w:r>
      <w:r>
        <w:rPr>
          <w:rFonts w:hint="eastAsia" w:ascii="宋体" w:hAnsi="宋体"/>
          <w:color w:val="auto"/>
          <w:szCs w:val="21"/>
          <w:highlight w:val="none"/>
          <w:u w:val="single"/>
        </w:rPr>
        <w:t xml:space="preserve">         </w:t>
      </w:r>
      <w:r>
        <w:rPr>
          <w:rFonts w:ascii="宋体" w:hAnsi="宋体"/>
          <w:color w:val="auto"/>
          <w:szCs w:val="21"/>
          <w:highlight w:val="none"/>
        </w:rPr>
        <w:t>年龄：</w:t>
      </w:r>
      <w:r>
        <w:rPr>
          <w:rFonts w:hint="eastAsia" w:ascii="宋体" w:hAnsi="宋体"/>
          <w:color w:val="auto"/>
          <w:szCs w:val="21"/>
          <w:highlight w:val="none"/>
          <w:u w:val="single"/>
        </w:rPr>
        <w:t xml:space="preserve">           </w:t>
      </w:r>
      <w:r>
        <w:rPr>
          <w:rFonts w:ascii="宋体" w:hAnsi="宋体"/>
          <w:color w:val="auto"/>
          <w:szCs w:val="21"/>
          <w:highlight w:val="none"/>
        </w:rPr>
        <w:t>职务：</w:t>
      </w:r>
      <w:r>
        <w:rPr>
          <w:rFonts w:hint="eastAsia" w:ascii="宋体" w:hAnsi="宋体"/>
          <w:color w:val="auto"/>
          <w:szCs w:val="21"/>
          <w:highlight w:val="none"/>
          <w:u w:val="single"/>
        </w:rPr>
        <w:t xml:space="preserve">        </w:t>
      </w:r>
    </w:p>
    <w:p w14:paraId="6E032910">
      <w:pPr>
        <w:pStyle w:val="24"/>
        <w:tabs>
          <w:tab w:val="left" w:pos="2832"/>
        </w:tabs>
        <w:wordWrap w:val="0"/>
        <w:spacing w:after="0" w:line="360" w:lineRule="auto"/>
        <w:rPr>
          <w:rFonts w:ascii="宋体" w:hAnsi="宋体"/>
          <w:color w:val="auto"/>
          <w:szCs w:val="21"/>
          <w:highlight w:val="none"/>
        </w:rPr>
      </w:pPr>
      <w:r>
        <w:rPr>
          <w:rFonts w:ascii="宋体" w:hAnsi="宋体"/>
          <w:color w:val="auto"/>
          <w:szCs w:val="21"/>
          <w:highlight w:val="none"/>
        </w:rPr>
        <w:t>系</w:t>
      </w:r>
      <w:r>
        <w:rPr>
          <w:rFonts w:hint="eastAsia" w:ascii="宋体" w:hAnsi="宋体"/>
          <w:color w:val="auto"/>
          <w:szCs w:val="21"/>
          <w:highlight w:val="none"/>
          <w:u w:val="single"/>
        </w:rPr>
        <w:t xml:space="preserve">                           </w:t>
      </w:r>
      <w:r>
        <w:rPr>
          <w:rFonts w:ascii="宋体" w:hAnsi="宋体"/>
          <w:color w:val="auto"/>
          <w:szCs w:val="21"/>
          <w:highlight w:val="none"/>
        </w:rPr>
        <w:t>（投标人名称）的法定代表人</w:t>
      </w:r>
      <w:r>
        <w:rPr>
          <w:rFonts w:hint="eastAsia" w:ascii="宋体" w:hAnsi="宋体" w:cs="宋体"/>
          <w:color w:val="auto"/>
          <w:szCs w:val="21"/>
          <w:highlight w:val="none"/>
        </w:rPr>
        <w:t>/负责人</w:t>
      </w:r>
      <w:r>
        <w:rPr>
          <w:rFonts w:ascii="宋体" w:hAnsi="宋体"/>
          <w:color w:val="auto"/>
          <w:szCs w:val="21"/>
          <w:highlight w:val="none"/>
        </w:rPr>
        <w:t>。</w:t>
      </w:r>
    </w:p>
    <w:p w14:paraId="5D068A9A">
      <w:pPr>
        <w:pStyle w:val="24"/>
        <w:wordWrap w:val="0"/>
        <w:spacing w:after="0" w:line="360" w:lineRule="auto"/>
        <w:rPr>
          <w:rFonts w:ascii="宋体" w:hAnsi="宋体"/>
          <w:color w:val="auto"/>
          <w:szCs w:val="21"/>
          <w:highlight w:val="none"/>
        </w:rPr>
      </w:pPr>
    </w:p>
    <w:p w14:paraId="7F481A52">
      <w:pPr>
        <w:pStyle w:val="24"/>
        <w:wordWrap w:val="0"/>
        <w:spacing w:after="0" w:line="360" w:lineRule="auto"/>
        <w:rPr>
          <w:rFonts w:ascii="宋体" w:hAnsi="宋体"/>
          <w:color w:val="auto"/>
          <w:szCs w:val="21"/>
          <w:highlight w:val="none"/>
        </w:rPr>
      </w:pPr>
      <w:r>
        <w:rPr>
          <w:rFonts w:ascii="宋体" w:hAnsi="宋体"/>
          <w:color w:val="auto"/>
          <w:szCs w:val="21"/>
          <w:highlight w:val="none"/>
        </w:rPr>
        <w:t>特此证明。</w:t>
      </w:r>
    </w:p>
    <w:p w14:paraId="2790426A">
      <w:pPr>
        <w:pStyle w:val="24"/>
        <w:wordWrap w:val="0"/>
        <w:spacing w:after="0" w:line="360" w:lineRule="auto"/>
        <w:rPr>
          <w:rFonts w:ascii="宋体" w:hAnsi="宋体"/>
          <w:color w:val="auto"/>
          <w:szCs w:val="21"/>
          <w:highlight w:val="none"/>
        </w:rPr>
      </w:pPr>
    </w:p>
    <w:p w14:paraId="0DB238A9">
      <w:pPr>
        <w:pStyle w:val="24"/>
        <w:wordWrap w:val="0"/>
        <w:spacing w:after="0" w:line="360" w:lineRule="auto"/>
        <w:ind w:firstLine="422" w:firstLineChars="200"/>
        <w:rPr>
          <w:rFonts w:ascii="宋体" w:hAnsi="宋体"/>
          <w:color w:val="auto"/>
          <w:szCs w:val="21"/>
          <w:highlight w:val="none"/>
        </w:rPr>
      </w:pPr>
      <w:r>
        <w:rPr>
          <w:rFonts w:ascii="宋体" w:hAnsi="宋体"/>
          <w:b/>
          <w:color w:val="auto"/>
          <w:szCs w:val="21"/>
          <w:highlight w:val="none"/>
        </w:rPr>
        <w:t>附：</w:t>
      </w:r>
      <w:r>
        <w:rPr>
          <w:rFonts w:ascii="宋体" w:hAnsi="宋体"/>
          <w:color w:val="auto"/>
          <w:szCs w:val="21"/>
          <w:highlight w:val="none"/>
        </w:rPr>
        <w:t>法定代表人</w:t>
      </w:r>
      <w:r>
        <w:rPr>
          <w:rFonts w:hint="eastAsia" w:ascii="宋体" w:hAnsi="宋体" w:cs="宋体"/>
          <w:color w:val="auto"/>
          <w:szCs w:val="21"/>
          <w:highlight w:val="none"/>
        </w:rPr>
        <w:t>/负责人</w:t>
      </w:r>
      <w:r>
        <w:rPr>
          <w:rFonts w:ascii="宋体" w:hAnsi="宋体"/>
          <w:color w:val="auto"/>
          <w:szCs w:val="21"/>
          <w:highlight w:val="none"/>
        </w:rPr>
        <w:t>身份证</w:t>
      </w:r>
      <w:r>
        <w:rPr>
          <w:rFonts w:hint="eastAsia" w:ascii="宋体" w:hAnsi="宋体"/>
          <w:color w:val="auto"/>
          <w:szCs w:val="21"/>
          <w:highlight w:val="none"/>
          <w:lang w:eastAsia="zh-CN"/>
        </w:rPr>
        <w:t>复印件</w:t>
      </w:r>
      <w:r>
        <w:rPr>
          <w:rFonts w:hint="eastAsia" w:ascii="宋体" w:hAnsi="宋体"/>
          <w:color w:val="auto"/>
          <w:szCs w:val="21"/>
          <w:highlight w:val="none"/>
        </w:rPr>
        <w:t>及营业执照</w:t>
      </w:r>
      <w:r>
        <w:rPr>
          <w:rFonts w:hint="eastAsia" w:ascii="宋体" w:hAnsi="宋体"/>
          <w:color w:val="auto"/>
          <w:szCs w:val="21"/>
          <w:highlight w:val="none"/>
          <w:lang w:eastAsia="zh-CN"/>
        </w:rPr>
        <w:t>复印件</w:t>
      </w:r>
      <w:r>
        <w:rPr>
          <w:rFonts w:hint="eastAsia" w:ascii="宋体" w:hAnsi="宋体"/>
          <w:color w:val="auto"/>
          <w:szCs w:val="21"/>
          <w:highlight w:val="none"/>
        </w:rPr>
        <w:t>（此附件为法定代表人</w:t>
      </w:r>
      <w:r>
        <w:rPr>
          <w:rFonts w:hint="eastAsia" w:ascii="宋体" w:hAnsi="宋体" w:cs="宋体"/>
          <w:color w:val="auto"/>
          <w:szCs w:val="21"/>
          <w:highlight w:val="none"/>
        </w:rPr>
        <w:t>/负责人</w:t>
      </w:r>
      <w:r>
        <w:rPr>
          <w:rFonts w:hint="eastAsia" w:ascii="宋体" w:hAnsi="宋体"/>
          <w:color w:val="auto"/>
          <w:szCs w:val="21"/>
          <w:highlight w:val="none"/>
        </w:rPr>
        <w:t>身份证明的必要组成部分，无此附件的法定代表人</w:t>
      </w:r>
      <w:r>
        <w:rPr>
          <w:rFonts w:hint="eastAsia" w:ascii="宋体" w:hAnsi="宋体" w:cs="宋体"/>
          <w:color w:val="auto"/>
          <w:szCs w:val="21"/>
          <w:highlight w:val="none"/>
        </w:rPr>
        <w:t>/负责人</w:t>
      </w:r>
      <w:r>
        <w:rPr>
          <w:rFonts w:hint="eastAsia" w:ascii="宋体" w:hAnsi="宋体"/>
          <w:color w:val="auto"/>
          <w:szCs w:val="21"/>
          <w:highlight w:val="none"/>
        </w:rPr>
        <w:t>身份证明无效。法定代表人</w:t>
      </w:r>
      <w:r>
        <w:rPr>
          <w:rFonts w:hint="eastAsia" w:ascii="宋体" w:hAnsi="宋体" w:cs="宋体"/>
          <w:color w:val="auto"/>
          <w:szCs w:val="21"/>
          <w:highlight w:val="none"/>
        </w:rPr>
        <w:t>/负责人</w:t>
      </w:r>
      <w:r>
        <w:rPr>
          <w:rFonts w:hint="eastAsia" w:ascii="宋体" w:hAnsi="宋体"/>
          <w:color w:val="auto"/>
          <w:szCs w:val="21"/>
          <w:highlight w:val="none"/>
        </w:rPr>
        <w:t>身份证</w:t>
      </w:r>
      <w:r>
        <w:rPr>
          <w:rFonts w:hint="eastAsia" w:ascii="宋体" w:hAnsi="宋体"/>
          <w:color w:val="auto"/>
          <w:szCs w:val="21"/>
          <w:highlight w:val="none"/>
          <w:lang w:eastAsia="zh-CN"/>
        </w:rPr>
        <w:t>复印件</w:t>
      </w:r>
      <w:r>
        <w:rPr>
          <w:rFonts w:hint="eastAsia" w:ascii="宋体" w:hAnsi="宋体"/>
          <w:color w:val="auto"/>
          <w:szCs w:val="21"/>
          <w:highlight w:val="none"/>
        </w:rPr>
        <w:t>及营业执照</w:t>
      </w:r>
      <w:r>
        <w:rPr>
          <w:rFonts w:hint="eastAsia" w:ascii="宋体" w:hAnsi="宋体"/>
          <w:color w:val="auto"/>
          <w:szCs w:val="21"/>
          <w:highlight w:val="none"/>
          <w:lang w:eastAsia="zh-CN"/>
        </w:rPr>
        <w:t>复印件</w:t>
      </w:r>
      <w:r>
        <w:rPr>
          <w:rFonts w:hint="eastAsia" w:ascii="宋体" w:hAnsi="宋体" w:cs="宋体"/>
          <w:color w:val="auto"/>
          <w:szCs w:val="21"/>
          <w:highlight w:val="none"/>
        </w:rPr>
        <w:t>可另附页，另附时，</w:t>
      </w:r>
      <w:r>
        <w:rPr>
          <w:rFonts w:hint="eastAsia" w:ascii="宋体" w:hAnsi="宋体" w:cs="宋体"/>
          <w:color w:val="auto"/>
          <w:szCs w:val="21"/>
          <w:highlight w:val="none"/>
          <w:lang w:eastAsia="zh-CN"/>
        </w:rPr>
        <w:t>复印件</w:t>
      </w:r>
      <w:r>
        <w:rPr>
          <w:rFonts w:hint="eastAsia" w:ascii="宋体" w:hAnsi="宋体" w:cs="宋体"/>
          <w:color w:val="auto"/>
          <w:szCs w:val="21"/>
          <w:highlight w:val="none"/>
        </w:rPr>
        <w:t>须加盖单位公章</w:t>
      </w:r>
      <w:r>
        <w:rPr>
          <w:rFonts w:hint="eastAsia" w:ascii="宋体" w:hAnsi="宋体"/>
          <w:color w:val="auto"/>
          <w:szCs w:val="21"/>
          <w:highlight w:val="none"/>
        </w:rPr>
        <w:t>）</w:t>
      </w:r>
    </w:p>
    <w:p w14:paraId="76A0A429">
      <w:pPr>
        <w:pStyle w:val="24"/>
        <w:tabs>
          <w:tab w:val="left" w:pos="7140"/>
        </w:tabs>
        <w:wordWrap w:val="0"/>
        <w:spacing w:after="0" w:line="360" w:lineRule="auto"/>
        <w:rPr>
          <w:rFonts w:ascii="宋体" w:hAnsi="宋体"/>
          <w:color w:val="auto"/>
          <w:szCs w:val="21"/>
          <w:highlight w:val="none"/>
        </w:rPr>
      </w:pPr>
    </w:p>
    <w:p w14:paraId="7C2111BA">
      <w:pPr>
        <w:pStyle w:val="24"/>
        <w:tabs>
          <w:tab w:val="left" w:pos="7140"/>
        </w:tabs>
        <w:wordWrap w:val="0"/>
        <w:spacing w:after="0" w:line="360" w:lineRule="auto"/>
        <w:rPr>
          <w:rFonts w:ascii="宋体" w:hAnsi="宋体"/>
          <w:color w:val="auto"/>
          <w:szCs w:val="21"/>
          <w:highlight w:val="none"/>
        </w:rPr>
      </w:pPr>
    </w:p>
    <w:p w14:paraId="5BFDB64C">
      <w:pPr>
        <w:pStyle w:val="24"/>
        <w:tabs>
          <w:tab w:val="left" w:pos="6521"/>
        </w:tabs>
        <w:wordWrap w:val="0"/>
        <w:spacing w:after="0" w:line="360" w:lineRule="auto"/>
        <w:rPr>
          <w:rFonts w:ascii="宋体" w:hAnsi="宋体"/>
          <w:color w:val="auto"/>
          <w:szCs w:val="21"/>
          <w:highlight w:val="none"/>
        </w:rPr>
      </w:pPr>
      <w:r>
        <w:rPr>
          <w:rFonts w:ascii="宋体" w:hAnsi="宋体"/>
          <w:color w:val="auto"/>
          <w:szCs w:val="21"/>
          <w:highlight w:val="none"/>
        </w:rPr>
        <w:t>投标人：</w:t>
      </w:r>
      <w:r>
        <w:rPr>
          <w:rFonts w:hint="eastAsia" w:ascii="宋体" w:hAnsi="宋体"/>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41B2DBE6">
      <w:pPr>
        <w:pStyle w:val="24"/>
        <w:tabs>
          <w:tab w:val="left" w:pos="5352"/>
          <w:tab w:val="left" w:pos="6192"/>
          <w:tab w:val="left" w:pos="7032"/>
        </w:tabs>
        <w:wordWrap w:val="0"/>
        <w:spacing w:after="0" w:line="360" w:lineRule="auto"/>
        <w:ind w:firstLine="315" w:firstLineChars="150"/>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日</w:t>
      </w:r>
    </w:p>
    <w:p w14:paraId="601C43EF">
      <w:pPr>
        <w:wordWrap w:val="0"/>
        <w:rPr>
          <w:rFonts w:hAnsi="宋体" w:cs="宋体"/>
          <w:color w:val="auto"/>
          <w:szCs w:val="21"/>
          <w:highlight w:val="none"/>
        </w:rPr>
      </w:pPr>
    </w:p>
    <w:p w14:paraId="551EB588">
      <w:pPr>
        <w:wordWrap w:val="0"/>
        <w:rPr>
          <w:rFonts w:hAnsi="宋体" w:cs="宋体"/>
          <w:color w:val="auto"/>
          <w:szCs w:val="21"/>
          <w:highlight w:val="none"/>
        </w:rPr>
      </w:pPr>
    </w:p>
    <w:p w14:paraId="3DE1D8C7">
      <w:pPr>
        <w:wordWrap w:val="0"/>
        <w:rPr>
          <w:rFonts w:hAnsi="宋体" w:cs="宋体"/>
          <w:color w:val="auto"/>
          <w:szCs w:val="21"/>
          <w:highlight w:val="none"/>
        </w:rPr>
      </w:pPr>
    </w:p>
    <w:p w14:paraId="57CB62E6">
      <w:pPr>
        <w:wordWrap w:val="0"/>
        <w:rPr>
          <w:rFonts w:hAnsi="宋体" w:cs="宋体"/>
          <w:color w:val="auto"/>
          <w:szCs w:val="21"/>
          <w:highlight w:val="none"/>
        </w:rPr>
      </w:pPr>
    </w:p>
    <w:p w14:paraId="5D4B52F7">
      <w:pPr>
        <w:wordWrap w:val="0"/>
        <w:rPr>
          <w:rFonts w:hAnsi="宋体" w:cs="宋体"/>
          <w:color w:val="auto"/>
          <w:szCs w:val="21"/>
          <w:highlight w:val="none"/>
        </w:rPr>
      </w:pPr>
    </w:p>
    <w:p w14:paraId="4C9665FC">
      <w:pPr>
        <w:wordWrap w:val="0"/>
        <w:rPr>
          <w:rFonts w:hAnsi="宋体" w:cs="宋体"/>
          <w:color w:val="auto"/>
          <w:szCs w:val="21"/>
          <w:highlight w:val="none"/>
        </w:rPr>
      </w:pPr>
    </w:p>
    <w:p w14:paraId="06BA2EFE">
      <w:pPr>
        <w:pStyle w:val="272"/>
        <w:wordWrap w:val="0"/>
        <w:ind w:firstLine="480" w:firstLineChars="200"/>
        <w:jc w:val="both"/>
        <w:rPr>
          <w:rFonts w:ascii="宋体" w:hAnsi="宋体" w:eastAsia="宋体" w:cs="Times New Roman"/>
          <w:color w:val="auto"/>
          <w:sz w:val="21"/>
          <w:szCs w:val="21"/>
          <w:highlight w:val="none"/>
        </w:rPr>
      </w:pPr>
      <w:r>
        <w:rPr>
          <w:rFonts w:hint="eastAsia" w:hAnsi="宋体" w:cs="宋体"/>
          <w:color w:val="auto"/>
          <w:szCs w:val="21"/>
          <w:highlight w:val="none"/>
          <w:lang w:val="en-US" w:eastAsia="zh-CN"/>
        </w:rPr>
        <w:t>注：</w:t>
      </w:r>
      <w:r>
        <w:rPr>
          <w:rFonts w:hint="eastAsia" w:ascii="宋体" w:hAnsi="宋体" w:eastAsia="宋体" w:cs="Times New Roman"/>
          <w:color w:val="auto"/>
          <w:sz w:val="21"/>
          <w:szCs w:val="21"/>
          <w:highlight w:val="none"/>
          <w:lang w:val="en-US" w:eastAsia="zh-CN"/>
        </w:rPr>
        <w:t>参加</w:t>
      </w:r>
      <w:r>
        <w:rPr>
          <w:rFonts w:hint="eastAsia" w:ascii="宋体" w:hAnsi="宋体" w:eastAsia="宋体" w:cs="Times New Roman"/>
          <w:color w:val="auto"/>
          <w:sz w:val="21"/>
          <w:szCs w:val="21"/>
          <w:highlight w:val="none"/>
        </w:rPr>
        <w:t>开标会议时，</w:t>
      </w:r>
      <w:r>
        <w:rPr>
          <w:rFonts w:hint="eastAsia" w:ascii="宋体" w:hAnsi="宋体" w:eastAsia="宋体" w:cs="Times New Roman"/>
          <w:color w:val="auto"/>
          <w:sz w:val="21"/>
          <w:szCs w:val="21"/>
          <w:highlight w:val="none"/>
          <w:lang w:val="en-US" w:eastAsia="zh-CN"/>
        </w:rPr>
        <w:t>如为投标人法定代表人参加投标，</w:t>
      </w:r>
      <w:r>
        <w:rPr>
          <w:rFonts w:hint="eastAsia" w:ascii="宋体" w:hAnsi="宋体" w:eastAsia="宋体" w:cs="Times New Roman"/>
          <w:color w:val="auto"/>
          <w:sz w:val="21"/>
          <w:szCs w:val="21"/>
          <w:highlight w:val="none"/>
        </w:rPr>
        <w:t>须</w:t>
      </w:r>
      <w:r>
        <w:rPr>
          <w:rFonts w:hint="eastAsia" w:ascii="宋体" w:hAnsi="宋体" w:eastAsia="宋体" w:cs="Times New Roman"/>
          <w:b/>
          <w:bCs/>
          <w:color w:val="auto"/>
          <w:sz w:val="21"/>
          <w:szCs w:val="21"/>
          <w:highlight w:val="none"/>
        </w:rPr>
        <w:t>持</w:t>
      </w:r>
      <w:r>
        <w:rPr>
          <w:rFonts w:hint="eastAsia" w:hAnsi="宋体"/>
          <w:b/>
          <w:bCs/>
          <w:color w:val="auto"/>
          <w:sz w:val="21"/>
          <w:szCs w:val="21"/>
          <w:highlight w:val="none"/>
        </w:rPr>
        <w:t>投标人营业执照副本复印件并加盖投标人公章的原件及</w:t>
      </w:r>
      <w:r>
        <w:rPr>
          <w:rFonts w:hint="eastAsia" w:ascii="宋体" w:hAnsi="宋体" w:eastAsia="宋体" w:cs="Times New Roman"/>
          <w:b/>
          <w:bCs/>
          <w:color w:val="auto"/>
          <w:sz w:val="21"/>
          <w:szCs w:val="21"/>
          <w:highlight w:val="none"/>
        </w:rPr>
        <w:t>法定代表人身份证明原件</w:t>
      </w:r>
      <w:r>
        <w:rPr>
          <w:rFonts w:hint="eastAsia" w:ascii="宋体" w:hAnsi="宋体" w:eastAsia="宋体" w:cs="Times New Roman"/>
          <w:color w:val="auto"/>
          <w:sz w:val="21"/>
          <w:szCs w:val="21"/>
          <w:highlight w:val="none"/>
        </w:rPr>
        <w:t>、</w:t>
      </w:r>
      <w:r>
        <w:rPr>
          <w:rFonts w:hint="eastAsia" w:ascii="宋体" w:hAnsi="宋体" w:eastAsia="宋体" w:cs="Times New Roman"/>
          <w:b/>
          <w:bCs/>
          <w:color w:val="auto"/>
          <w:sz w:val="21"/>
          <w:szCs w:val="21"/>
          <w:highlight w:val="none"/>
        </w:rPr>
        <w:t>本人身份证原件</w:t>
      </w:r>
      <w:r>
        <w:rPr>
          <w:rFonts w:hint="eastAsia" w:ascii="宋体" w:hAnsi="宋体" w:eastAsia="宋体" w:cs="Times New Roman"/>
          <w:color w:val="auto"/>
          <w:sz w:val="21"/>
          <w:szCs w:val="21"/>
          <w:highlight w:val="none"/>
        </w:rPr>
        <w:t>准时参加</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rPr>
        <w:t>不符合要求的，其投标文件将予以拒绝并退还给投标人。</w:t>
      </w:r>
    </w:p>
    <w:p w14:paraId="629A98F7">
      <w:pPr>
        <w:wordWrap w:val="0"/>
        <w:rPr>
          <w:rFonts w:hAnsi="宋体" w:cs="宋体"/>
          <w:color w:val="auto"/>
          <w:szCs w:val="21"/>
          <w:highlight w:val="none"/>
        </w:rPr>
      </w:pPr>
      <w:r>
        <w:rPr>
          <w:rFonts w:hAnsi="宋体" w:cs="宋体"/>
          <w:color w:val="auto"/>
          <w:szCs w:val="21"/>
          <w:highlight w:val="none"/>
        </w:rPr>
        <w:br w:type="page"/>
      </w:r>
    </w:p>
    <w:p w14:paraId="1EBB1882">
      <w:pPr>
        <w:pStyle w:val="137"/>
        <w:tabs>
          <w:tab w:val="left" w:pos="4538"/>
          <w:tab w:val="left" w:pos="5484"/>
          <w:tab w:val="left" w:pos="6427"/>
        </w:tabs>
        <w:spacing w:before="0" w:line="360" w:lineRule="auto"/>
        <w:jc w:val="center"/>
        <w:rPr>
          <w:rFonts w:ascii="Calibri" w:cs="宋体"/>
          <w:color w:val="auto"/>
          <w:szCs w:val="28"/>
          <w:highlight w:val="none"/>
        </w:rPr>
      </w:pPr>
      <w:r>
        <w:rPr>
          <w:rFonts w:hint="eastAsia" w:ascii="Calibri" w:cs="宋体"/>
          <w:color w:val="auto"/>
          <w:szCs w:val="28"/>
          <w:highlight w:val="none"/>
          <w:lang w:val="en-US" w:eastAsia="zh-CN"/>
        </w:rPr>
        <w:t>五</w:t>
      </w:r>
      <w:r>
        <w:rPr>
          <w:rFonts w:hint="eastAsia" w:ascii="Calibri" w:cs="宋体"/>
          <w:color w:val="auto"/>
          <w:szCs w:val="28"/>
          <w:highlight w:val="none"/>
        </w:rPr>
        <w:t>、授权委托书（如有）</w:t>
      </w:r>
    </w:p>
    <w:p w14:paraId="0372E11A">
      <w:pPr>
        <w:pStyle w:val="24"/>
        <w:wordWrap w:val="0"/>
        <w:spacing w:after="0" w:line="360" w:lineRule="auto"/>
        <w:jc w:val="center"/>
        <w:rPr>
          <w:rFonts w:ascii="宋体" w:hAnsi="宋体"/>
          <w:b/>
          <w:bCs/>
          <w:color w:val="auto"/>
          <w:szCs w:val="21"/>
          <w:highlight w:val="none"/>
        </w:rPr>
      </w:pPr>
      <w:r>
        <w:rPr>
          <w:rFonts w:ascii="宋体" w:hAnsi="宋体"/>
          <w:b/>
          <w:bCs/>
          <w:color w:val="auto"/>
          <w:szCs w:val="21"/>
          <w:highlight w:val="none"/>
        </w:rPr>
        <w:t>（</w:t>
      </w:r>
      <w:r>
        <w:rPr>
          <w:rFonts w:hint="eastAsia" w:ascii="宋体" w:hAnsi="宋体"/>
          <w:b/>
          <w:bCs/>
          <w:color w:val="auto"/>
          <w:szCs w:val="21"/>
          <w:highlight w:val="none"/>
        </w:rPr>
        <w:t>委托代理人作为签字代表的提供</w:t>
      </w:r>
      <w:r>
        <w:rPr>
          <w:rFonts w:ascii="宋体" w:hAnsi="宋体"/>
          <w:b/>
          <w:bCs/>
          <w:color w:val="auto"/>
          <w:szCs w:val="21"/>
          <w:highlight w:val="none"/>
        </w:rPr>
        <w:t>）</w:t>
      </w:r>
    </w:p>
    <w:p w14:paraId="0A3399FB">
      <w:pPr>
        <w:pStyle w:val="24"/>
        <w:tabs>
          <w:tab w:val="left" w:pos="2421"/>
          <w:tab w:val="left" w:pos="5585"/>
        </w:tabs>
        <w:wordWrap w:val="0"/>
        <w:spacing w:line="360" w:lineRule="auto"/>
        <w:ind w:left="520" w:right="21"/>
        <w:rPr>
          <w:color w:val="auto"/>
          <w:highlight w:val="none"/>
        </w:rPr>
      </w:pPr>
    </w:p>
    <w:p w14:paraId="3F4A5D5D">
      <w:pPr>
        <w:pStyle w:val="24"/>
        <w:tabs>
          <w:tab w:val="left" w:pos="2421"/>
          <w:tab w:val="left" w:pos="5585"/>
        </w:tabs>
        <w:wordWrap w:val="0"/>
        <w:spacing w:after="0" w:line="360" w:lineRule="auto"/>
        <w:ind w:firstLine="420" w:firstLineChars="200"/>
        <w:rPr>
          <w:rFonts w:ascii="宋体" w:hAnsi="宋体"/>
          <w:color w:val="auto"/>
          <w:szCs w:val="21"/>
          <w:highlight w:val="none"/>
        </w:rPr>
      </w:pPr>
      <w:r>
        <w:rPr>
          <w:rFonts w:ascii="宋体" w:hAnsi="宋体"/>
          <w:color w:val="auto"/>
          <w:szCs w:val="21"/>
          <w:highlight w:val="none"/>
        </w:rPr>
        <w:t>本人</w:t>
      </w:r>
      <w:r>
        <w:rPr>
          <w:rFonts w:hint="eastAsia" w:ascii="宋体" w:hAnsi="宋体"/>
          <w:color w:val="auto"/>
          <w:szCs w:val="21"/>
          <w:highlight w:val="none"/>
          <w:u w:val="single"/>
        </w:rPr>
        <w:t xml:space="preserve">         </w:t>
      </w:r>
      <w:r>
        <w:rPr>
          <w:rFonts w:ascii="宋体" w:hAnsi="宋体"/>
          <w:color w:val="auto"/>
          <w:szCs w:val="21"/>
          <w:highlight w:val="none"/>
        </w:rPr>
        <w:t>（姓名）系</w:t>
      </w:r>
      <w:r>
        <w:rPr>
          <w:rFonts w:hint="eastAsia" w:ascii="宋体" w:hAnsi="宋体"/>
          <w:color w:val="auto"/>
          <w:szCs w:val="21"/>
          <w:highlight w:val="none"/>
          <w:u w:val="single"/>
        </w:rPr>
        <w:t xml:space="preserve">             </w:t>
      </w:r>
      <w:r>
        <w:rPr>
          <w:rFonts w:ascii="宋体" w:hAnsi="宋体"/>
          <w:color w:val="auto"/>
          <w:szCs w:val="21"/>
          <w:highlight w:val="none"/>
        </w:rPr>
        <w:t>（投标人名称）的法定代表人</w:t>
      </w:r>
      <w:r>
        <w:rPr>
          <w:rFonts w:hint="eastAsia" w:ascii="宋体" w:hAnsi="宋体" w:cs="宋体"/>
          <w:iCs/>
          <w:color w:val="auto"/>
          <w:szCs w:val="21"/>
          <w:highlight w:val="none"/>
        </w:rPr>
        <w:t>/负责人</w:t>
      </w:r>
      <w:r>
        <w:rPr>
          <w:rFonts w:ascii="宋体" w:hAnsi="宋体"/>
          <w:color w:val="auto"/>
          <w:szCs w:val="21"/>
          <w:highlight w:val="none"/>
        </w:rPr>
        <w:t>，现委托</w:t>
      </w:r>
      <w:r>
        <w:rPr>
          <w:rFonts w:hint="eastAsia" w:ascii="宋体" w:hAnsi="宋体"/>
          <w:color w:val="auto"/>
          <w:szCs w:val="21"/>
          <w:highlight w:val="none"/>
          <w:u w:val="single"/>
        </w:rPr>
        <w:t xml:space="preserve">       </w:t>
      </w:r>
      <w:r>
        <w:rPr>
          <w:rFonts w:ascii="宋体" w:hAnsi="宋体"/>
          <w:color w:val="auto"/>
          <w:szCs w:val="21"/>
          <w:highlight w:val="none"/>
        </w:rPr>
        <w:t>（姓名）为我方代理人。代理人根据授权，以我方名义签署、澄清确认、递交、撤回、修改</w:t>
      </w:r>
      <w:r>
        <w:rPr>
          <w:rFonts w:hint="eastAsia" w:ascii="宋体" w:hAnsi="宋体"/>
          <w:color w:val="auto"/>
          <w:szCs w:val="21"/>
          <w:highlight w:val="none"/>
          <w:u w:val="single"/>
        </w:rPr>
        <w:t xml:space="preserve">               （项目名称）</w:t>
      </w:r>
      <w:r>
        <w:rPr>
          <w:rFonts w:ascii="宋体" w:hAnsi="宋体"/>
          <w:color w:val="auto"/>
          <w:szCs w:val="21"/>
          <w:highlight w:val="none"/>
        </w:rPr>
        <w:t>项目投标文件、签订合同和处理有关事宜，其法律后果由我方承担。</w:t>
      </w:r>
    </w:p>
    <w:p w14:paraId="2D2D624F">
      <w:pPr>
        <w:pStyle w:val="24"/>
        <w:tabs>
          <w:tab w:val="left" w:pos="3566"/>
        </w:tabs>
        <w:wordWrap w:val="0"/>
        <w:spacing w:after="0" w:line="360" w:lineRule="auto"/>
        <w:ind w:firstLine="420" w:firstLineChars="200"/>
        <w:rPr>
          <w:rFonts w:ascii="宋体" w:hAnsi="宋体"/>
          <w:color w:val="auto"/>
          <w:szCs w:val="21"/>
          <w:highlight w:val="none"/>
        </w:rPr>
      </w:pPr>
      <w:r>
        <w:rPr>
          <w:rFonts w:ascii="宋体" w:hAnsi="宋体"/>
          <w:color w:val="auto"/>
          <w:szCs w:val="21"/>
          <w:highlight w:val="none"/>
        </w:rPr>
        <w:t>委托期限：</w:t>
      </w:r>
      <w:r>
        <w:rPr>
          <w:rFonts w:hint="eastAsia" w:ascii="宋体" w:hAnsi="宋体"/>
          <w:color w:val="auto"/>
          <w:szCs w:val="21"/>
          <w:highlight w:val="none"/>
          <w:u w:val="single"/>
        </w:rPr>
        <w:t>自本项目递交投标文件之日起至投标有效期届满止</w:t>
      </w:r>
      <w:r>
        <w:rPr>
          <w:rFonts w:ascii="宋体" w:hAnsi="宋体"/>
          <w:color w:val="auto"/>
          <w:szCs w:val="21"/>
          <w:highlight w:val="none"/>
        </w:rPr>
        <w:t>。</w:t>
      </w:r>
    </w:p>
    <w:p w14:paraId="4B6BD33E">
      <w:pPr>
        <w:pStyle w:val="24"/>
        <w:wordWrap w:val="0"/>
        <w:spacing w:after="0" w:line="360" w:lineRule="auto"/>
        <w:rPr>
          <w:rFonts w:ascii="宋体" w:hAnsi="宋体"/>
          <w:color w:val="auto"/>
          <w:szCs w:val="21"/>
          <w:highlight w:val="none"/>
        </w:rPr>
      </w:pPr>
    </w:p>
    <w:p w14:paraId="6A147CFE">
      <w:pPr>
        <w:pStyle w:val="24"/>
        <w:wordWrap w:val="0"/>
        <w:spacing w:after="0" w:line="360" w:lineRule="auto"/>
        <w:ind w:firstLine="420" w:firstLineChars="200"/>
        <w:rPr>
          <w:rFonts w:ascii="宋体" w:hAnsi="宋体"/>
          <w:color w:val="auto"/>
          <w:szCs w:val="21"/>
          <w:highlight w:val="none"/>
        </w:rPr>
      </w:pPr>
      <w:r>
        <w:rPr>
          <w:rFonts w:ascii="宋体" w:hAnsi="宋体"/>
          <w:color w:val="auto"/>
          <w:szCs w:val="21"/>
          <w:highlight w:val="none"/>
        </w:rPr>
        <w:t>代理人无转委托权。</w:t>
      </w:r>
    </w:p>
    <w:p w14:paraId="38380131">
      <w:pPr>
        <w:pStyle w:val="24"/>
        <w:wordWrap w:val="0"/>
        <w:spacing w:after="0" w:line="360" w:lineRule="auto"/>
        <w:rPr>
          <w:rFonts w:ascii="宋体" w:hAnsi="宋体"/>
          <w:color w:val="auto"/>
          <w:szCs w:val="21"/>
          <w:highlight w:val="none"/>
        </w:rPr>
      </w:pPr>
    </w:p>
    <w:p w14:paraId="1F538354">
      <w:pPr>
        <w:wordWrap w:val="0"/>
        <w:spacing w:line="360" w:lineRule="auto"/>
        <w:ind w:firstLine="420" w:firstLineChars="200"/>
        <w:rPr>
          <w:rFonts w:hAnsi="宋体"/>
          <w:bCs/>
          <w:color w:val="auto"/>
          <w:szCs w:val="21"/>
          <w:highlight w:val="none"/>
        </w:rPr>
      </w:pPr>
      <w:r>
        <w:rPr>
          <w:rFonts w:hAnsi="宋体"/>
          <w:bCs/>
          <w:color w:val="auto"/>
          <w:szCs w:val="21"/>
          <w:highlight w:val="none"/>
        </w:rPr>
        <w:t>附：法定代表人</w:t>
      </w:r>
      <w:r>
        <w:rPr>
          <w:rFonts w:hint="eastAsia" w:ascii="宋体" w:hAnsi="宋体" w:cs="宋体"/>
          <w:iCs/>
          <w:color w:val="auto"/>
          <w:szCs w:val="21"/>
          <w:highlight w:val="none"/>
        </w:rPr>
        <w:t>/负责人</w:t>
      </w:r>
      <w:r>
        <w:rPr>
          <w:rFonts w:hAnsi="宋体"/>
          <w:bCs/>
          <w:color w:val="auto"/>
          <w:szCs w:val="21"/>
          <w:highlight w:val="none"/>
        </w:rPr>
        <w:t>身份证</w:t>
      </w:r>
      <w:r>
        <w:rPr>
          <w:rFonts w:hint="eastAsia" w:hAnsi="宋体"/>
          <w:bCs/>
          <w:color w:val="auto"/>
          <w:szCs w:val="21"/>
          <w:highlight w:val="none"/>
          <w:lang w:eastAsia="zh-CN"/>
        </w:rPr>
        <w:t>复印件</w:t>
      </w:r>
      <w:r>
        <w:rPr>
          <w:rFonts w:hint="eastAsia" w:hAnsi="宋体"/>
          <w:bCs/>
          <w:color w:val="auto"/>
          <w:szCs w:val="21"/>
          <w:highlight w:val="none"/>
        </w:rPr>
        <w:t>、</w:t>
      </w:r>
      <w:r>
        <w:rPr>
          <w:rFonts w:hAnsi="宋体"/>
          <w:bCs/>
          <w:color w:val="auto"/>
          <w:szCs w:val="21"/>
          <w:highlight w:val="none"/>
        </w:rPr>
        <w:t>委托代理人身份证</w:t>
      </w:r>
      <w:r>
        <w:rPr>
          <w:rFonts w:hint="eastAsia" w:hAnsi="宋体"/>
          <w:bCs/>
          <w:color w:val="auto"/>
          <w:szCs w:val="21"/>
          <w:highlight w:val="none"/>
          <w:lang w:eastAsia="zh-CN"/>
        </w:rPr>
        <w:t>复印件</w:t>
      </w:r>
      <w:r>
        <w:rPr>
          <w:rFonts w:hint="eastAsia" w:hAnsi="宋体"/>
          <w:bCs/>
          <w:color w:val="auto"/>
          <w:szCs w:val="21"/>
          <w:highlight w:val="none"/>
        </w:rPr>
        <w:t>（此附件为授权委托书的必要组成部分，无此附件的授权委托书无效。</w:t>
      </w:r>
      <w:r>
        <w:rPr>
          <w:rFonts w:hAnsi="宋体"/>
          <w:bCs/>
          <w:color w:val="auto"/>
          <w:szCs w:val="21"/>
          <w:highlight w:val="none"/>
        </w:rPr>
        <w:t>法定代表人</w:t>
      </w:r>
      <w:r>
        <w:rPr>
          <w:rFonts w:hint="eastAsia" w:ascii="宋体" w:hAnsi="宋体" w:cs="宋体"/>
          <w:iCs/>
          <w:color w:val="auto"/>
          <w:szCs w:val="21"/>
          <w:highlight w:val="none"/>
        </w:rPr>
        <w:t>/负责人</w:t>
      </w:r>
      <w:r>
        <w:rPr>
          <w:rFonts w:hAnsi="宋体"/>
          <w:bCs/>
          <w:color w:val="auto"/>
          <w:szCs w:val="21"/>
          <w:highlight w:val="none"/>
        </w:rPr>
        <w:t>身份证</w:t>
      </w:r>
      <w:r>
        <w:rPr>
          <w:rFonts w:hint="eastAsia" w:hAnsi="宋体"/>
          <w:bCs/>
          <w:color w:val="auto"/>
          <w:szCs w:val="21"/>
          <w:highlight w:val="none"/>
          <w:lang w:eastAsia="zh-CN"/>
        </w:rPr>
        <w:t>复印件</w:t>
      </w:r>
      <w:r>
        <w:rPr>
          <w:rFonts w:hAnsi="宋体"/>
          <w:bCs/>
          <w:color w:val="auto"/>
          <w:szCs w:val="21"/>
          <w:highlight w:val="none"/>
        </w:rPr>
        <w:t>及委托代理人身份证</w:t>
      </w:r>
      <w:r>
        <w:rPr>
          <w:rFonts w:hint="eastAsia" w:hAnsi="宋体"/>
          <w:bCs/>
          <w:color w:val="auto"/>
          <w:szCs w:val="21"/>
          <w:highlight w:val="none"/>
          <w:lang w:eastAsia="zh-CN"/>
        </w:rPr>
        <w:t>复印件</w:t>
      </w:r>
      <w:r>
        <w:rPr>
          <w:rFonts w:hint="eastAsia" w:hAnsi="宋体"/>
          <w:bCs/>
          <w:color w:val="auto"/>
          <w:szCs w:val="21"/>
          <w:highlight w:val="none"/>
        </w:rPr>
        <w:t>可另附页，另附页时，</w:t>
      </w:r>
      <w:r>
        <w:rPr>
          <w:rFonts w:hint="eastAsia" w:hAnsi="宋体"/>
          <w:bCs/>
          <w:color w:val="auto"/>
          <w:szCs w:val="21"/>
          <w:highlight w:val="none"/>
          <w:lang w:eastAsia="zh-CN"/>
        </w:rPr>
        <w:t>复印件</w:t>
      </w:r>
      <w:r>
        <w:rPr>
          <w:rFonts w:hint="eastAsia" w:hAnsi="宋体"/>
          <w:bCs/>
          <w:color w:val="auto"/>
          <w:szCs w:val="21"/>
          <w:highlight w:val="none"/>
        </w:rPr>
        <w:t>须加盖单位公章。）</w:t>
      </w:r>
    </w:p>
    <w:p w14:paraId="12C14D38">
      <w:pPr>
        <w:wordWrap w:val="0"/>
        <w:spacing w:line="360" w:lineRule="auto"/>
        <w:ind w:firstLine="420" w:firstLineChars="200"/>
        <w:rPr>
          <w:rFonts w:hAnsi="宋体"/>
          <w:color w:val="auto"/>
          <w:szCs w:val="21"/>
          <w:highlight w:val="none"/>
        </w:rPr>
      </w:pPr>
    </w:p>
    <w:p w14:paraId="73D55D74">
      <w:pPr>
        <w:pStyle w:val="24"/>
        <w:wordWrap w:val="0"/>
        <w:spacing w:after="0" w:line="360" w:lineRule="auto"/>
        <w:rPr>
          <w:rFonts w:ascii="宋体" w:hAnsi="宋体"/>
          <w:color w:val="auto"/>
          <w:szCs w:val="21"/>
          <w:highlight w:val="none"/>
        </w:rPr>
      </w:pPr>
    </w:p>
    <w:p w14:paraId="6E5989CF">
      <w:pPr>
        <w:pStyle w:val="24"/>
        <w:wordWrap w:val="0"/>
        <w:spacing w:after="0" w:line="360" w:lineRule="auto"/>
        <w:rPr>
          <w:rFonts w:ascii="宋体" w:hAnsi="宋体"/>
          <w:color w:val="auto"/>
          <w:szCs w:val="21"/>
          <w:highlight w:val="none"/>
        </w:rPr>
      </w:pPr>
    </w:p>
    <w:p w14:paraId="549EBD50">
      <w:pPr>
        <w:pStyle w:val="24"/>
        <w:tabs>
          <w:tab w:val="left" w:pos="7241"/>
        </w:tabs>
        <w:wordWrap w:val="0"/>
        <w:spacing w:after="0" w:line="360" w:lineRule="auto"/>
        <w:rPr>
          <w:rFonts w:ascii="宋体" w:hAnsi="宋体"/>
          <w:color w:val="auto"/>
          <w:szCs w:val="21"/>
          <w:highlight w:val="none"/>
        </w:rPr>
      </w:pPr>
      <w:r>
        <w:rPr>
          <w:rFonts w:ascii="宋体" w:hAnsi="宋体"/>
          <w:color w:val="auto"/>
          <w:szCs w:val="21"/>
          <w:highlight w:val="none"/>
        </w:rPr>
        <w:t>投</w:t>
      </w:r>
      <w:r>
        <w:rPr>
          <w:rFonts w:hint="eastAsia" w:ascii="宋体" w:hAnsi="宋体"/>
          <w:color w:val="auto"/>
          <w:szCs w:val="21"/>
          <w:highlight w:val="none"/>
        </w:rPr>
        <w:t xml:space="preserve">  </w:t>
      </w:r>
      <w:r>
        <w:rPr>
          <w:rFonts w:ascii="宋体" w:hAnsi="宋体"/>
          <w:color w:val="auto"/>
          <w:szCs w:val="21"/>
          <w:highlight w:val="none"/>
        </w:rPr>
        <w:t>标</w:t>
      </w:r>
      <w:r>
        <w:rPr>
          <w:rFonts w:hint="eastAsia" w:ascii="宋体" w:hAnsi="宋体"/>
          <w:color w:val="auto"/>
          <w:szCs w:val="21"/>
          <w:highlight w:val="none"/>
        </w:rPr>
        <w:t xml:space="preserve">  </w:t>
      </w:r>
      <w:r>
        <w:rPr>
          <w:rFonts w:ascii="宋体" w:hAnsi="宋体"/>
          <w:color w:val="auto"/>
          <w:szCs w:val="21"/>
          <w:highlight w:val="none"/>
        </w:rPr>
        <w:t>人：</w:t>
      </w:r>
      <w:r>
        <w:rPr>
          <w:rFonts w:hint="eastAsia" w:ascii="宋体" w:hAnsi="宋体"/>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4386849A">
      <w:pPr>
        <w:pStyle w:val="24"/>
        <w:tabs>
          <w:tab w:val="left" w:pos="7661"/>
        </w:tabs>
        <w:wordWrap w:val="0"/>
        <w:spacing w:after="0" w:line="360" w:lineRule="auto"/>
        <w:rPr>
          <w:rFonts w:ascii="宋体" w:hAnsi="宋体"/>
          <w:color w:val="auto"/>
          <w:szCs w:val="21"/>
          <w:highlight w:val="none"/>
        </w:rPr>
      </w:pPr>
      <w:r>
        <w:rPr>
          <w:rFonts w:ascii="宋体" w:hAnsi="宋体"/>
          <w:color w:val="auto"/>
          <w:szCs w:val="21"/>
          <w:highlight w:val="none"/>
        </w:rPr>
        <w:t>法定代表人</w:t>
      </w:r>
      <w:r>
        <w:rPr>
          <w:rFonts w:hint="eastAsia" w:ascii="宋体" w:hAnsi="宋体" w:cs="宋体"/>
          <w:iCs/>
          <w:color w:val="auto"/>
          <w:szCs w:val="21"/>
          <w:highlight w:val="none"/>
        </w:rPr>
        <w:t>/负责人</w:t>
      </w:r>
      <w:r>
        <w:rPr>
          <w:rFonts w:ascii="宋体" w:hAnsi="宋体"/>
          <w:color w:val="auto"/>
          <w:szCs w:val="21"/>
          <w:highlight w:val="none"/>
        </w:rPr>
        <w:t>：</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0D83BEE2">
      <w:pPr>
        <w:pStyle w:val="24"/>
        <w:tabs>
          <w:tab w:val="left" w:pos="8549"/>
        </w:tabs>
        <w:wordWrap w:val="0"/>
        <w:spacing w:after="0" w:line="360" w:lineRule="auto"/>
        <w:rPr>
          <w:rFonts w:ascii="宋体" w:hAnsi="宋体"/>
          <w:color w:val="auto"/>
          <w:szCs w:val="21"/>
          <w:highlight w:val="none"/>
        </w:rPr>
      </w:pPr>
      <w:r>
        <w:rPr>
          <w:rFonts w:ascii="宋体" w:hAnsi="宋体"/>
          <w:color w:val="auto"/>
          <w:szCs w:val="21"/>
          <w:highlight w:val="none"/>
        </w:rPr>
        <w:t>身份证号码：</w:t>
      </w:r>
      <w:r>
        <w:rPr>
          <w:rFonts w:hint="eastAsia" w:ascii="宋体" w:hAnsi="宋体"/>
          <w:color w:val="auto"/>
          <w:szCs w:val="21"/>
          <w:highlight w:val="none"/>
          <w:u w:val="single"/>
        </w:rPr>
        <w:t xml:space="preserve">                                 </w:t>
      </w:r>
    </w:p>
    <w:p w14:paraId="20FE8EA4">
      <w:pPr>
        <w:pStyle w:val="24"/>
        <w:tabs>
          <w:tab w:val="left" w:pos="7661"/>
        </w:tabs>
        <w:wordWrap w:val="0"/>
        <w:spacing w:after="0" w:line="360" w:lineRule="auto"/>
        <w:rPr>
          <w:rFonts w:ascii="宋体" w:hAnsi="宋体"/>
          <w:color w:val="auto"/>
          <w:szCs w:val="21"/>
          <w:highlight w:val="none"/>
        </w:rPr>
      </w:pPr>
      <w:r>
        <w:rPr>
          <w:rFonts w:ascii="宋体" w:hAnsi="宋体"/>
          <w:color w:val="auto"/>
          <w:szCs w:val="21"/>
          <w:highlight w:val="none"/>
        </w:rPr>
        <w:t>委托代理人：</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20068F4A">
      <w:pPr>
        <w:pStyle w:val="24"/>
        <w:tabs>
          <w:tab w:val="left" w:pos="8549"/>
        </w:tabs>
        <w:wordWrap w:val="0"/>
        <w:spacing w:after="0" w:line="360" w:lineRule="auto"/>
        <w:rPr>
          <w:rFonts w:ascii="宋体" w:hAnsi="宋体"/>
          <w:color w:val="auto"/>
          <w:szCs w:val="21"/>
          <w:highlight w:val="none"/>
        </w:rPr>
      </w:pPr>
      <w:r>
        <w:rPr>
          <w:rFonts w:ascii="宋体" w:hAnsi="宋体"/>
          <w:color w:val="auto"/>
          <w:szCs w:val="21"/>
          <w:highlight w:val="none"/>
        </w:rPr>
        <w:t>身份证号码：</w:t>
      </w:r>
      <w:r>
        <w:rPr>
          <w:rFonts w:hint="eastAsia" w:ascii="宋体" w:hAnsi="宋体"/>
          <w:color w:val="auto"/>
          <w:szCs w:val="21"/>
          <w:highlight w:val="none"/>
          <w:u w:val="single"/>
        </w:rPr>
        <w:t xml:space="preserve">                                  </w:t>
      </w:r>
    </w:p>
    <w:p w14:paraId="7A5129C9">
      <w:pPr>
        <w:bidi w:val="0"/>
        <w:rPr>
          <w:rFonts w:hAnsi="宋体" w:cs="Arial"/>
          <w:color w:val="auto"/>
          <w:kern w:val="0"/>
          <w:szCs w:val="21"/>
          <w:highlight w:val="none"/>
        </w:rPr>
      </w:pPr>
      <w:r>
        <w:rPr>
          <w:rFonts w:hint="eastAsia" w:hAnsi="宋体" w:cs="Arial"/>
          <w:color w:val="auto"/>
          <w:kern w:val="0"/>
          <w:szCs w:val="21"/>
          <w:highlight w:val="none"/>
          <w:u w:val="single"/>
        </w:rPr>
        <w:t xml:space="preserve">     </w:t>
      </w:r>
      <w:r>
        <w:rPr>
          <w:rFonts w:hAnsi="宋体" w:cs="Arial"/>
          <w:color w:val="auto"/>
          <w:kern w:val="0"/>
          <w:szCs w:val="21"/>
          <w:highlight w:val="none"/>
        </w:rPr>
        <w:t>年</w:t>
      </w:r>
      <w:r>
        <w:rPr>
          <w:rFonts w:hint="eastAsia" w:hAnsi="宋体" w:cs="Arial"/>
          <w:color w:val="auto"/>
          <w:kern w:val="0"/>
          <w:szCs w:val="21"/>
          <w:highlight w:val="none"/>
          <w:u w:val="single"/>
        </w:rPr>
        <w:t xml:space="preserve"> </w:t>
      </w:r>
      <w:r>
        <w:rPr>
          <w:rFonts w:hint="eastAsia" w:hAnsi="宋体" w:cs="Arial"/>
          <w:color w:val="auto"/>
          <w:kern w:val="0"/>
          <w:szCs w:val="21"/>
          <w:highlight w:val="none"/>
          <w:u w:val="single"/>
          <w:lang w:val="en-US" w:eastAsia="zh-CN"/>
        </w:rPr>
        <w:t xml:space="preserve">   </w:t>
      </w:r>
      <w:r>
        <w:rPr>
          <w:rFonts w:hAnsi="宋体" w:cs="Arial"/>
          <w:color w:val="auto"/>
          <w:kern w:val="0"/>
          <w:szCs w:val="21"/>
          <w:highlight w:val="none"/>
        </w:rPr>
        <w:t>月</w:t>
      </w:r>
      <w:r>
        <w:rPr>
          <w:rFonts w:hint="eastAsia" w:hAnsi="宋体" w:cs="Arial"/>
          <w:color w:val="auto"/>
          <w:kern w:val="0"/>
          <w:szCs w:val="21"/>
          <w:highlight w:val="none"/>
          <w:u w:val="single"/>
        </w:rPr>
        <w:t xml:space="preserve">   </w:t>
      </w:r>
      <w:r>
        <w:rPr>
          <w:rFonts w:hAnsi="宋体" w:cs="Arial"/>
          <w:color w:val="auto"/>
          <w:kern w:val="0"/>
          <w:szCs w:val="21"/>
          <w:highlight w:val="none"/>
        </w:rPr>
        <w:t>日</w:t>
      </w:r>
    </w:p>
    <w:p w14:paraId="3322D301">
      <w:pPr>
        <w:bidi w:val="0"/>
        <w:rPr>
          <w:rFonts w:hAnsi="宋体" w:cs="Arial"/>
          <w:color w:val="auto"/>
          <w:kern w:val="0"/>
          <w:szCs w:val="21"/>
          <w:highlight w:val="none"/>
        </w:rPr>
      </w:pPr>
    </w:p>
    <w:p w14:paraId="24459D03">
      <w:pPr>
        <w:bidi w:val="0"/>
        <w:rPr>
          <w:rFonts w:hAnsi="宋体" w:cs="Arial"/>
          <w:color w:val="auto"/>
          <w:kern w:val="0"/>
          <w:szCs w:val="21"/>
          <w:highlight w:val="none"/>
        </w:rPr>
      </w:pPr>
    </w:p>
    <w:p w14:paraId="669BFF6C">
      <w:pPr>
        <w:bidi w:val="0"/>
        <w:rPr>
          <w:rFonts w:hAnsi="宋体" w:cs="Arial"/>
          <w:color w:val="auto"/>
          <w:kern w:val="0"/>
          <w:szCs w:val="21"/>
          <w:highlight w:val="none"/>
        </w:rPr>
      </w:pPr>
    </w:p>
    <w:p w14:paraId="16647ECC">
      <w:pPr>
        <w:bidi w:val="0"/>
        <w:rPr>
          <w:rFonts w:hAnsi="宋体" w:cs="Arial"/>
          <w:color w:val="auto"/>
          <w:kern w:val="0"/>
          <w:szCs w:val="21"/>
          <w:highlight w:val="none"/>
        </w:rPr>
      </w:pPr>
    </w:p>
    <w:p w14:paraId="4BD2F95D">
      <w:pPr>
        <w:bidi w:val="0"/>
        <w:spacing w:line="360" w:lineRule="auto"/>
        <w:ind w:firstLine="420" w:firstLineChars="200"/>
        <w:rPr>
          <w:color w:val="auto"/>
          <w:highlight w:val="none"/>
        </w:rPr>
      </w:pPr>
      <w:r>
        <w:rPr>
          <w:rFonts w:hint="eastAsia" w:ascii="宋体" w:hAnsi="宋体" w:eastAsia="宋体" w:cs="Times New Roman"/>
          <w:color w:val="auto"/>
          <w:sz w:val="21"/>
          <w:szCs w:val="21"/>
          <w:highlight w:val="none"/>
          <w:lang w:val="en-US" w:eastAsia="zh-CN"/>
        </w:rPr>
        <w:t>注：参加</w:t>
      </w:r>
      <w:r>
        <w:rPr>
          <w:rFonts w:hint="eastAsia" w:ascii="宋体" w:hAnsi="宋体" w:eastAsia="宋体" w:cs="Times New Roman"/>
          <w:color w:val="auto"/>
          <w:sz w:val="21"/>
          <w:szCs w:val="21"/>
          <w:highlight w:val="none"/>
        </w:rPr>
        <w:t>开标会议时，</w:t>
      </w:r>
      <w:r>
        <w:rPr>
          <w:rFonts w:hint="eastAsia" w:ascii="宋体" w:hAnsi="宋体" w:eastAsia="宋体" w:cs="Times New Roman"/>
          <w:color w:val="auto"/>
          <w:sz w:val="21"/>
          <w:szCs w:val="21"/>
          <w:highlight w:val="none"/>
          <w:lang w:val="en-US" w:eastAsia="zh-CN"/>
        </w:rPr>
        <w:t>如为投标人授权委托代理人参加投标，须</w:t>
      </w:r>
      <w:r>
        <w:rPr>
          <w:rFonts w:hint="eastAsia" w:ascii="宋体" w:hAnsi="宋体" w:eastAsia="宋体" w:cs="Times New Roman"/>
          <w:b/>
          <w:bCs/>
          <w:color w:val="auto"/>
          <w:sz w:val="21"/>
          <w:szCs w:val="21"/>
          <w:highlight w:val="none"/>
        </w:rPr>
        <w:t>持法定代表人身份证明原件</w:t>
      </w:r>
      <w:r>
        <w:rPr>
          <w:rFonts w:hint="eastAsia" w:ascii="宋体" w:hAnsi="宋体" w:eastAsia="宋体" w:cs="Times New Roman"/>
          <w:color w:val="auto"/>
          <w:sz w:val="21"/>
          <w:szCs w:val="21"/>
          <w:highlight w:val="none"/>
        </w:rPr>
        <w:t>、</w:t>
      </w:r>
      <w:r>
        <w:rPr>
          <w:rFonts w:hint="eastAsia" w:ascii="宋体" w:hAnsi="宋体" w:eastAsia="宋体" w:cs="Times New Roman"/>
          <w:b/>
          <w:bCs/>
          <w:color w:val="auto"/>
          <w:sz w:val="21"/>
          <w:szCs w:val="21"/>
          <w:highlight w:val="none"/>
        </w:rPr>
        <w:t>授权委托书原件</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b/>
          <w:bCs/>
          <w:color w:val="auto"/>
          <w:sz w:val="21"/>
          <w:szCs w:val="21"/>
          <w:highlight w:val="none"/>
        </w:rPr>
        <w:t>授权委托代理人身份证原件</w:t>
      </w:r>
      <w:r>
        <w:rPr>
          <w:rFonts w:hint="eastAsia" w:ascii="宋体" w:hAnsi="宋体" w:eastAsia="宋体" w:cs="Times New Roman"/>
          <w:color w:val="auto"/>
          <w:sz w:val="21"/>
          <w:szCs w:val="21"/>
          <w:highlight w:val="none"/>
        </w:rPr>
        <w:t>准时参加</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rPr>
        <w:t>不符合要求的，其投标文件将予以拒绝并退还给投标人。</w:t>
      </w:r>
      <w:r>
        <w:rPr>
          <w:color w:val="auto"/>
          <w:highlight w:val="none"/>
        </w:rPr>
        <w:br w:type="page"/>
      </w:r>
    </w:p>
    <w:p w14:paraId="590749F4">
      <w:pPr>
        <w:pStyle w:val="137"/>
        <w:tabs>
          <w:tab w:val="left" w:pos="4538"/>
          <w:tab w:val="left" w:pos="5484"/>
          <w:tab w:val="left" w:pos="6427"/>
        </w:tabs>
        <w:spacing w:before="0" w:line="360" w:lineRule="auto"/>
        <w:jc w:val="center"/>
        <w:rPr>
          <w:rFonts w:ascii="Calibri" w:cs="宋体"/>
          <w:color w:val="auto"/>
          <w:szCs w:val="28"/>
          <w:highlight w:val="none"/>
        </w:rPr>
      </w:pPr>
      <w:r>
        <w:rPr>
          <w:rFonts w:hint="eastAsia" w:ascii="Calibri" w:cs="宋体"/>
          <w:color w:val="auto"/>
          <w:szCs w:val="28"/>
          <w:highlight w:val="none"/>
          <w:lang w:val="en-US" w:eastAsia="zh-CN"/>
        </w:rPr>
        <w:t>六</w:t>
      </w:r>
      <w:r>
        <w:rPr>
          <w:rFonts w:hint="eastAsia" w:ascii="Calibri" w:cs="宋体"/>
          <w:color w:val="auto"/>
          <w:szCs w:val="28"/>
          <w:highlight w:val="none"/>
        </w:rPr>
        <w:t>、投标人具备投标资格的证明文件</w:t>
      </w:r>
    </w:p>
    <w:p w14:paraId="5A5EF8E5">
      <w:pPr>
        <w:wordWrap w:val="0"/>
        <w:spacing w:line="360" w:lineRule="auto"/>
        <w:ind w:firstLine="422" w:firstLineChars="200"/>
        <w:jc w:val="left"/>
        <w:rPr>
          <w:rFonts w:hAnsi="宋体" w:cs="宋体"/>
          <w:b/>
          <w:color w:val="auto"/>
          <w:szCs w:val="21"/>
          <w:highlight w:val="none"/>
        </w:rPr>
      </w:pPr>
    </w:p>
    <w:p w14:paraId="1DFFD303">
      <w:pPr>
        <w:wordWrap w:val="0"/>
        <w:spacing w:line="360" w:lineRule="auto"/>
        <w:ind w:firstLine="422" w:firstLineChars="200"/>
        <w:jc w:val="left"/>
        <w:rPr>
          <w:rFonts w:hAnsi="宋体" w:cs="宋体"/>
          <w:b/>
          <w:color w:val="auto"/>
          <w:szCs w:val="21"/>
          <w:highlight w:val="none"/>
        </w:rPr>
      </w:pPr>
      <w:r>
        <w:rPr>
          <w:rFonts w:hint="eastAsia" w:hAnsi="宋体" w:cs="宋体"/>
          <w:b/>
          <w:color w:val="auto"/>
          <w:szCs w:val="21"/>
          <w:highlight w:val="none"/>
        </w:rPr>
        <w:t>1、投标人须附下列资格证明文件：</w:t>
      </w:r>
    </w:p>
    <w:p w14:paraId="462CF98B">
      <w:pPr>
        <w:wordWrap w:val="0"/>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hAnsi="宋体" w:cs="宋体"/>
          <w:color w:val="auto"/>
          <w:szCs w:val="21"/>
          <w:highlight w:val="none"/>
        </w:rPr>
        <w:t>（1</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bCs/>
          <w:snapToGrid w:val="0"/>
          <w:color w:val="auto"/>
          <w:kern w:val="0"/>
          <w:szCs w:val="21"/>
          <w:highlight w:val="none"/>
        </w:rPr>
        <w:t>营业执照</w:t>
      </w:r>
      <w:r>
        <w:rPr>
          <w:rFonts w:hint="eastAsia" w:ascii="宋体" w:hAnsi="宋体" w:eastAsia="宋体" w:cs="宋体"/>
          <w:bCs/>
          <w:snapToGrid w:val="0"/>
          <w:color w:val="000000"/>
          <w:kern w:val="0"/>
          <w:szCs w:val="21"/>
          <w:highlight w:val="none"/>
          <w:lang w:val="en-US" w:eastAsia="zh-CN"/>
        </w:rPr>
        <w:t>(</w:t>
      </w:r>
      <w:r>
        <w:rPr>
          <w:rFonts w:hint="eastAsia" w:ascii="宋体" w:hAnsi="宋体" w:eastAsia="宋体" w:cs="宋体"/>
          <w:bCs/>
          <w:snapToGrid w:val="0"/>
          <w:color w:val="000000"/>
          <w:kern w:val="0"/>
          <w:szCs w:val="21"/>
          <w:highlight w:val="none"/>
        </w:rPr>
        <w:t>或法人登记证书</w:t>
      </w:r>
      <w:r>
        <w:rPr>
          <w:rFonts w:hint="eastAsia" w:ascii="宋体" w:hAnsi="宋体" w:eastAsia="宋体" w:cs="宋体"/>
          <w:bCs/>
          <w:snapToGrid w:val="0"/>
          <w:color w:val="000000"/>
          <w:kern w:val="0"/>
          <w:szCs w:val="21"/>
          <w:highlight w:val="none"/>
          <w:lang w:val="en-US" w:eastAsia="zh-CN"/>
        </w:rPr>
        <w:t>)</w:t>
      </w:r>
      <w:r>
        <w:rPr>
          <w:rFonts w:hint="eastAsia" w:ascii="宋体" w:hAnsi="宋体" w:eastAsia="宋体" w:cs="宋体"/>
          <w:color w:val="000000" w:themeColor="text1"/>
          <w:szCs w:val="21"/>
          <w:lang w:eastAsia="zh-CN"/>
          <w14:textFill>
            <w14:solidFill>
              <w14:schemeClr w14:val="tx1"/>
            </w14:solidFill>
          </w14:textFill>
        </w:rPr>
        <w:t>复印件</w:t>
      </w:r>
      <w:r>
        <w:rPr>
          <w:rFonts w:hint="eastAsia" w:ascii="宋体" w:hAnsi="宋体" w:eastAsia="宋体" w:cs="宋体"/>
          <w:color w:val="000000" w:themeColor="text1"/>
          <w:szCs w:val="21"/>
          <w14:textFill>
            <w14:solidFill>
              <w14:schemeClr w14:val="tx1"/>
            </w14:solidFill>
          </w14:textFill>
        </w:rPr>
        <w:t>；</w:t>
      </w:r>
    </w:p>
    <w:p w14:paraId="0B4DA271">
      <w:pPr>
        <w:wordWrap w:val="0"/>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）业绩相关要求证明文件；</w:t>
      </w:r>
    </w:p>
    <w:p w14:paraId="0F6BCF9B">
      <w:pPr>
        <w:wordWrap w:val="0"/>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3</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bCs/>
          <w:iCs/>
          <w:snapToGrid w:val="0"/>
          <w:color w:val="auto"/>
          <w:kern w:val="0"/>
          <w:szCs w:val="21"/>
          <w:highlight w:val="none"/>
          <w:lang w:eastAsia="zh-CN"/>
        </w:rPr>
        <w:t>投标人</w:t>
      </w:r>
      <w:r>
        <w:rPr>
          <w:rFonts w:ascii="宋体" w:hAnsi="宋体" w:eastAsia="宋体" w:cs="宋体"/>
          <w:bCs/>
          <w:iCs/>
          <w:snapToGrid w:val="0"/>
          <w:color w:val="auto"/>
          <w:kern w:val="0"/>
          <w:szCs w:val="21"/>
          <w:highlight w:val="none"/>
        </w:rPr>
        <w:t>须具备</w:t>
      </w:r>
      <w:r>
        <w:rPr>
          <w:rFonts w:hint="eastAsia" w:ascii="宋体" w:hAnsi="宋体" w:eastAsia="宋体" w:cs="宋体"/>
          <w:bCs/>
          <w:snapToGrid w:val="0"/>
          <w:color w:val="auto"/>
          <w:kern w:val="0"/>
          <w:sz w:val="21"/>
          <w:szCs w:val="21"/>
          <w:highlight w:val="none"/>
          <w:lang w:val="en-US" w:eastAsia="zh-CN" w:bidi="ar"/>
        </w:rPr>
        <w:t>国家卫生行政主管部门颁发的《医疗机构执业许可证》，许可证须在有效期内</w:t>
      </w:r>
      <w:r>
        <w:rPr>
          <w:rFonts w:hint="eastAsia" w:ascii="宋体" w:hAnsi="宋体" w:cs="宋体"/>
          <w:bCs/>
          <w:snapToGrid w:val="0"/>
          <w:color w:val="auto"/>
          <w:kern w:val="0"/>
          <w:sz w:val="21"/>
          <w:szCs w:val="21"/>
          <w:highlight w:val="none"/>
          <w:lang w:val="en-US" w:eastAsia="zh-CN" w:bidi="ar"/>
        </w:rPr>
        <w:t>；</w:t>
      </w:r>
    </w:p>
    <w:p w14:paraId="7A904B07">
      <w:pPr>
        <w:wordWrap w:val="0"/>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4</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snapToGrid w:val="0"/>
          <w:color w:val="000000" w:themeColor="text1"/>
          <w:kern w:val="0"/>
          <w:szCs w:val="21"/>
          <w14:textFill>
            <w14:solidFill>
              <w14:schemeClr w14:val="tx1"/>
            </w14:solidFill>
          </w14:textFill>
        </w:rPr>
        <w:t>投标人</w:t>
      </w:r>
      <w:r>
        <w:rPr>
          <w:rFonts w:hint="eastAsia" w:ascii="宋体" w:hAnsi="宋体" w:eastAsia="宋体" w:cs="宋体"/>
          <w:snapToGrid w:val="0"/>
          <w:color w:val="000000" w:themeColor="text1"/>
          <w:kern w:val="0"/>
          <w:szCs w:val="21"/>
          <w:lang w:val="en-US" w:eastAsia="zh-CN"/>
          <w14:textFill>
            <w14:solidFill>
              <w14:schemeClr w14:val="tx1"/>
            </w14:solidFill>
          </w14:textFill>
        </w:rPr>
        <w:t>未</w:t>
      </w:r>
      <w:r>
        <w:rPr>
          <w:rFonts w:hint="eastAsia" w:ascii="宋体" w:hAnsi="宋体" w:eastAsia="宋体" w:cs="宋体"/>
          <w:snapToGrid w:val="0"/>
          <w:color w:val="000000" w:themeColor="text1"/>
          <w:kern w:val="0"/>
          <w:szCs w:val="21"/>
          <w14:textFill>
            <w14:solidFill>
              <w14:schemeClr w14:val="tx1"/>
            </w14:solidFill>
          </w14:textFill>
        </w:rPr>
        <w:t>被“信用中国”网站</w:t>
      </w:r>
      <w:r>
        <w:rPr>
          <w:rFonts w:hint="eastAsia" w:ascii="宋体" w:hAnsi="宋体" w:eastAsia="宋体" w:cs="宋体"/>
          <w:snapToGrid w:val="0"/>
          <w:color w:val="000000" w:themeColor="text1"/>
          <w:kern w:val="0"/>
          <w:szCs w:val="21"/>
          <w:lang w:eastAsia="zh-CN"/>
          <w14:textFill>
            <w14:solidFill>
              <w14:schemeClr w14:val="tx1"/>
            </w14:solidFill>
          </w14:textFill>
        </w:rPr>
        <w:t>（</w:t>
      </w:r>
      <w:r>
        <w:rPr>
          <w:rFonts w:hint="eastAsia" w:ascii="宋体" w:hAnsi="宋体" w:eastAsia="宋体" w:cs="宋体"/>
          <w:snapToGrid w:val="0"/>
          <w:color w:val="000000" w:themeColor="text1"/>
          <w:kern w:val="0"/>
          <w:szCs w:val="21"/>
          <w14:textFill>
            <w14:solidFill>
              <w14:schemeClr w14:val="tx1"/>
            </w14:solidFill>
          </w14:textFill>
        </w:rPr>
        <w:t>www.creditchina.gov.cn</w:t>
      </w:r>
      <w:r>
        <w:rPr>
          <w:rFonts w:hint="eastAsia" w:ascii="宋体" w:hAnsi="宋体" w:eastAsia="宋体" w:cs="宋体"/>
          <w:snapToGrid w:val="0"/>
          <w:color w:val="000000" w:themeColor="text1"/>
          <w:kern w:val="0"/>
          <w:szCs w:val="21"/>
          <w:lang w:eastAsia="zh-CN"/>
          <w14:textFill>
            <w14:solidFill>
              <w14:schemeClr w14:val="tx1"/>
            </w14:solidFill>
          </w14:textFill>
        </w:rPr>
        <w:t>）</w:t>
      </w:r>
      <w:r>
        <w:rPr>
          <w:rFonts w:hint="eastAsia" w:ascii="宋体" w:hAnsi="宋体" w:eastAsia="宋体" w:cs="宋体"/>
          <w:snapToGrid w:val="0"/>
          <w:color w:val="000000" w:themeColor="text1"/>
          <w:kern w:val="0"/>
          <w:szCs w:val="21"/>
          <w14:textFill>
            <w14:solidFill>
              <w14:schemeClr w14:val="tx1"/>
            </w14:solidFill>
          </w14:textFill>
        </w:rPr>
        <w:t>列入失信被执行人和重大税收违法案件当事人名单</w:t>
      </w:r>
      <w:r>
        <w:rPr>
          <w:rFonts w:hint="eastAsia" w:ascii="宋体" w:hAnsi="宋体" w:eastAsia="宋体" w:cs="宋体"/>
          <w:snapToGrid w:val="0"/>
          <w:color w:val="000000" w:themeColor="text1"/>
          <w:kern w:val="0"/>
          <w:szCs w:val="21"/>
          <w:lang w:val="en-US" w:eastAsia="zh-CN"/>
          <w14:textFill>
            <w14:solidFill>
              <w14:schemeClr w14:val="tx1"/>
            </w14:solidFill>
          </w14:textFill>
        </w:rPr>
        <w:t>截图</w:t>
      </w:r>
      <w:r>
        <w:rPr>
          <w:rFonts w:hint="eastAsia" w:ascii="宋体" w:hAnsi="宋体" w:eastAsia="宋体" w:cs="宋体"/>
          <w:color w:val="000000" w:themeColor="text1"/>
          <w:szCs w:val="21"/>
          <w14:textFill>
            <w14:solidFill>
              <w14:schemeClr w14:val="tx1"/>
            </w14:solidFill>
          </w14:textFill>
        </w:rPr>
        <w:t>；</w:t>
      </w:r>
    </w:p>
    <w:p w14:paraId="219250CB">
      <w:pPr>
        <w:wordWrap w:val="0"/>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5</w:t>
      </w:r>
      <w:r>
        <w:rPr>
          <w:rFonts w:hint="eastAsia" w:ascii="宋体" w:hAnsi="宋体" w:eastAsia="宋体" w:cs="宋体"/>
          <w:color w:val="000000" w:themeColor="text1"/>
          <w:szCs w:val="21"/>
          <w14:textFill>
            <w14:solidFill>
              <w14:schemeClr w14:val="tx1"/>
            </w14:solidFill>
          </w14:textFill>
        </w:rPr>
        <w:t>）法定代表人身份证明或授权委托书</w:t>
      </w:r>
      <w:r>
        <w:rPr>
          <w:rFonts w:hint="eastAsia" w:ascii="宋体" w:hAnsi="宋体" w:eastAsia="宋体" w:cs="宋体"/>
          <w:color w:val="000000" w:themeColor="text1"/>
          <w:szCs w:val="21"/>
          <w:lang w:eastAsia="zh-CN"/>
          <w14:textFill>
            <w14:solidFill>
              <w14:schemeClr w14:val="tx1"/>
            </w14:solidFill>
          </w14:textFill>
        </w:rPr>
        <w:t>复印件</w:t>
      </w:r>
      <w:r>
        <w:rPr>
          <w:rFonts w:hint="eastAsia" w:ascii="宋体" w:hAnsi="宋体" w:eastAsia="宋体" w:cs="宋体"/>
          <w:color w:val="000000" w:themeColor="text1"/>
          <w:szCs w:val="21"/>
          <w14:textFill>
            <w14:solidFill>
              <w14:schemeClr w14:val="tx1"/>
            </w14:solidFill>
          </w14:textFill>
        </w:rPr>
        <w:t>（法定代表人及委托代理人签字或签章）。法定代表人身份证明或授权委托书应符合第六章“投标文件格式”的要求；</w:t>
      </w:r>
    </w:p>
    <w:p w14:paraId="21EC314A">
      <w:pPr>
        <w:wordWrap w:val="0"/>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6</w:t>
      </w:r>
      <w:r>
        <w:rPr>
          <w:rFonts w:hint="eastAsia" w:ascii="宋体" w:hAnsi="宋体" w:eastAsia="宋体" w:cs="宋体"/>
          <w:color w:val="000000" w:themeColor="text1"/>
          <w:szCs w:val="21"/>
          <w14:textFill>
            <w14:solidFill>
              <w14:schemeClr w14:val="tx1"/>
            </w14:solidFill>
          </w14:textFill>
        </w:rPr>
        <w:t>）投标人承诺函；</w:t>
      </w:r>
    </w:p>
    <w:p w14:paraId="217CE462">
      <w:pPr>
        <w:wordWrap w:val="0"/>
        <w:spacing w:line="360" w:lineRule="auto"/>
        <w:ind w:firstLine="42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7</w:t>
      </w: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招标文件要求的其他材料。</w:t>
      </w:r>
    </w:p>
    <w:p w14:paraId="4D9E05C6">
      <w:pPr>
        <w:wordWrap w:val="0"/>
        <w:spacing w:line="360" w:lineRule="auto"/>
        <w:ind w:firstLine="420" w:firstLineChars="200"/>
        <w:jc w:val="left"/>
        <w:rPr>
          <w:rFonts w:hAnsi="宋体" w:cs="宋体"/>
          <w:color w:val="auto"/>
          <w:szCs w:val="21"/>
          <w:highlight w:val="none"/>
        </w:rPr>
      </w:pPr>
    </w:p>
    <w:p w14:paraId="29CCEF29">
      <w:pPr>
        <w:wordWrap w:val="0"/>
        <w:spacing w:line="360" w:lineRule="auto"/>
        <w:ind w:firstLine="422" w:firstLineChars="200"/>
        <w:jc w:val="left"/>
        <w:rPr>
          <w:rFonts w:hAnsi="宋体" w:cs="宋体"/>
          <w:b/>
          <w:bCs/>
          <w:color w:val="auto"/>
          <w:szCs w:val="21"/>
          <w:highlight w:val="none"/>
        </w:rPr>
      </w:pPr>
      <w:r>
        <w:rPr>
          <w:rFonts w:hint="eastAsia" w:hAnsi="宋体" w:cs="宋体"/>
          <w:b/>
          <w:bCs/>
          <w:color w:val="auto"/>
          <w:szCs w:val="21"/>
          <w:highlight w:val="none"/>
        </w:rPr>
        <w:t>以上所有证明文件加盖投标人单位公章。</w:t>
      </w:r>
    </w:p>
    <w:p w14:paraId="3A7D7BF8">
      <w:pPr>
        <w:widowControl/>
        <w:ind w:firstLine="422" w:firstLineChars="200"/>
        <w:jc w:val="left"/>
        <w:rPr>
          <w:rFonts w:hAnsi="宋体" w:cs="宋体"/>
          <w:b/>
          <w:color w:val="auto"/>
          <w:szCs w:val="21"/>
          <w:highlight w:val="none"/>
        </w:rPr>
      </w:pPr>
    </w:p>
    <w:p w14:paraId="0E77E435">
      <w:pPr>
        <w:widowControl/>
        <w:ind w:firstLine="422" w:firstLineChars="200"/>
        <w:jc w:val="left"/>
        <w:rPr>
          <w:rFonts w:hAnsi="宋体" w:cs="宋体"/>
          <w:b/>
          <w:color w:val="auto"/>
          <w:szCs w:val="21"/>
          <w:highlight w:val="none"/>
        </w:rPr>
      </w:pPr>
      <w:r>
        <w:rPr>
          <w:rFonts w:hint="eastAsia" w:hAnsi="宋体" w:cs="宋体"/>
          <w:b/>
          <w:color w:val="auto"/>
          <w:szCs w:val="21"/>
          <w:highlight w:val="none"/>
        </w:rPr>
        <w:t>2、投标人须附下列文件（不作为资格审查依据）：</w:t>
      </w:r>
    </w:p>
    <w:p w14:paraId="0A99FE3B">
      <w:pPr>
        <w:wordWrap w:val="0"/>
        <w:spacing w:line="360" w:lineRule="auto"/>
        <w:ind w:firstLine="420" w:firstLineChars="200"/>
        <w:jc w:val="left"/>
        <w:rPr>
          <w:rFonts w:hAnsi="宋体" w:cs="宋体"/>
          <w:color w:val="auto"/>
          <w:szCs w:val="21"/>
          <w:highlight w:val="none"/>
        </w:rPr>
      </w:pPr>
      <w:r>
        <w:rPr>
          <w:rFonts w:hint="eastAsia" w:hAnsi="宋体"/>
          <w:color w:val="auto"/>
          <w:szCs w:val="21"/>
          <w:highlight w:val="none"/>
        </w:rPr>
        <w:t>（1）</w:t>
      </w:r>
      <w:r>
        <w:rPr>
          <w:rFonts w:hint="eastAsia"/>
          <w:color w:val="auto"/>
          <w:szCs w:val="21"/>
          <w:highlight w:val="none"/>
        </w:rPr>
        <w:t>投标人基本情况表</w:t>
      </w:r>
      <w:r>
        <w:rPr>
          <w:rFonts w:hint="eastAsia" w:hAnsi="宋体" w:cs="宋体"/>
          <w:color w:val="auto"/>
          <w:szCs w:val="21"/>
          <w:highlight w:val="none"/>
        </w:rPr>
        <w:t>（格式</w:t>
      </w:r>
      <w:r>
        <w:rPr>
          <w:rFonts w:hint="eastAsia" w:ascii="宋体" w:hAnsi="宋体" w:cs="宋体"/>
          <w:color w:val="auto"/>
          <w:szCs w:val="21"/>
          <w:highlight w:val="none"/>
        </w:rPr>
        <w:t>见附表</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-1）</w:t>
      </w:r>
    </w:p>
    <w:p w14:paraId="59BDA57A">
      <w:pPr>
        <w:wordWrap/>
        <w:spacing w:before="0" w:line="240" w:lineRule="auto"/>
        <w:jc w:val="left"/>
        <w:outlineLvl w:val="9"/>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3137B31B">
      <w:pPr>
        <w:pStyle w:val="24"/>
        <w:wordWrap w:val="0"/>
        <w:spacing w:after="0" w:line="360" w:lineRule="auto"/>
        <w:jc w:val="left"/>
        <w:rPr>
          <w:rFonts w:ascii="宋体" w:hAnsi="宋体" w:cs="宋体"/>
          <w:b/>
          <w:bCs/>
          <w:color w:val="auto"/>
          <w:sz w:val="28"/>
          <w:szCs w:val="28"/>
          <w:highlight w:val="none"/>
        </w:rPr>
      </w:pPr>
      <w:r>
        <w:rPr>
          <w:rFonts w:hint="eastAsia" w:ascii="宋体" w:hAnsi="宋体" w:cs="宋体"/>
          <w:b/>
          <w:bCs/>
          <w:color w:val="auto"/>
          <w:sz w:val="24"/>
          <w:szCs w:val="24"/>
          <w:highlight w:val="none"/>
        </w:rPr>
        <w:t>附表</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-1</w:t>
      </w:r>
    </w:p>
    <w:p w14:paraId="2ABCB7E6">
      <w:pPr>
        <w:wordWrap w:val="0"/>
        <w:spacing w:line="360" w:lineRule="auto"/>
        <w:jc w:val="center"/>
        <w:rPr>
          <w:rFonts w:hAnsi="宋体"/>
          <w:b/>
          <w:bCs/>
          <w:color w:val="auto"/>
          <w:sz w:val="28"/>
          <w:szCs w:val="28"/>
          <w:highlight w:val="none"/>
        </w:rPr>
      </w:pPr>
      <w:r>
        <w:rPr>
          <w:rFonts w:hint="eastAsia" w:hAnsi="宋体"/>
          <w:b/>
          <w:bCs/>
          <w:color w:val="auto"/>
          <w:sz w:val="28"/>
          <w:szCs w:val="28"/>
          <w:highlight w:val="none"/>
        </w:rPr>
        <w:t>投标人基本情况表</w:t>
      </w:r>
    </w:p>
    <w:tbl>
      <w:tblPr>
        <w:tblStyle w:val="64"/>
        <w:tblW w:w="8932"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2174"/>
        <w:gridCol w:w="944"/>
        <w:gridCol w:w="2410"/>
        <w:gridCol w:w="1135"/>
        <w:gridCol w:w="2269"/>
      </w:tblGrid>
      <w:tr w14:paraId="16CEAF8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7756E218">
            <w:pPr>
              <w:wordWrap w:val="0"/>
              <w:jc w:val="center"/>
              <w:rPr>
                <w:rFonts w:hAnsi="宋体"/>
                <w:color w:val="auto"/>
                <w:szCs w:val="21"/>
                <w:highlight w:val="none"/>
              </w:rPr>
            </w:pPr>
            <w:r>
              <w:rPr>
                <w:rFonts w:hint="eastAsia" w:hAnsi="宋体"/>
                <w:color w:val="auto"/>
                <w:szCs w:val="21"/>
                <w:highlight w:val="none"/>
              </w:rPr>
              <w:t>投标人名称</w:t>
            </w:r>
          </w:p>
        </w:tc>
        <w:tc>
          <w:tcPr>
            <w:tcW w:w="6758" w:type="dxa"/>
            <w:gridSpan w:val="4"/>
            <w:tcBorders>
              <w:tl2br w:val="nil"/>
              <w:tr2bl w:val="nil"/>
            </w:tcBorders>
            <w:vAlign w:val="center"/>
          </w:tcPr>
          <w:p w14:paraId="3F47D97A">
            <w:pPr>
              <w:wordWrap w:val="0"/>
              <w:jc w:val="center"/>
              <w:rPr>
                <w:rFonts w:hAnsi="宋体"/>
                <w:color w:val="auto"/>
                <w:szCs w:val="21"/>
                <w:highlight w:val="none"/>
              </w:rPr>
            </w:pPr>
          </w:p>
        </w:tc>
      </w:tr>
      <w:tr w14:paraId="4EC6908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65E8CC62">
            <w:pPr>
              <w:wordWrap w:val="0"/>
              <w:jc w:val="center"/>
              <w:rPr>
                <w:rFonts w:hAnsi="宋体"/>
                <w:color w:val="auto"/>
                <w:szCs w:val="21"/>
                <w:highlight w:val="none"/>
              </w:rPr>
            </w:pPr>
            <w:r>
              <w:rPr>
                <w:rFonts w:hint="eastAsia" w:hAnsi="宋体"/>
                <w:color w:val="auto"/>
                <w:szCs w:val="21"/>
                <w:highlight w:val="none"/>
              </w:rPr>
              <w:t>注册资金</w:t>
            </w:r>
          </w:p>
        </w:tc>
        <w:tc>
          <w:tcPr>
            <w:tcW w:w="3354" w:type="dxa"/>
            <w:gridSpan w:val="2"/>
            <w:tcBorders>
              <w:tl2br w:val="nil"/>
              <w:tr2bl w:val="nil"/>
            </w:tcBorders>
            <w:vAlign w:val="center"/>
          </w:tcPr>
          <w:p w14:paraId="2856E13E">
            <w:pPr>
              <w:wordWrap w:val="0"/>
              <w:jc w:val="center"/>
              <w:rPr>
                <w:rFonts w:hAnsi="宋体"/>
                <w:color w:val="auto"/>
                <w:szCs w:val="21"/>
                <w:highlight w:val="none"/>
              </w:rPr>
            </w:pPr>
          </w:p>
        </w:tc>
        <w:tc>
          <w:tcPr>
            <w:tcW w:w="1135" w:type="dxa"/>
            <w:tcBorders>
              <w:tl2br w:val="nil"/>
              <w:tr2bl w:val="nil"/>
            </w:tcBorders>
            <w:vAlign w:val="center"/>
          </w:tcPr>
          <w:p w14:paraId="1896688C">
            <w:pPr>
              <w:wordWrap w:val="0"/>
              <w:jc w:val="center"/>
              <w:rPr>
                <w:rFonts w:hAnsi="宋体"/>
                <w:color w:val="auto"/>
                <w:szCs w:val="21"/>
                <w:highlight w:val="none"/>
              </w:rPr>
            </w:pPr>
            <w:r>
              <w:rPr>
                <w:rFonts w:hint="eastAsia" w:hAnsi="宋体"/>
                <w:color w:val="auto"/>
                <w:szCs w:val="21"/>
                <w:highlight w:val="none"/>
              </w:rPr>
              <w:t>成立时间</w:t>
            </w:r>
          </w:p>
        </w:tc>
        <w:tc>
          <w:tcPr>
            <w:tcW w:w="2269" w:type="dxa"/>
            <w:tcBorders>
              <w:tl2br w:val="nil"/>
              <w:tr2bl w:val="nil"/>
            </w:tcBorders>
            <w:vAlign w:val="center"/>
          </w:tcPr>
          <w:p w14:paraId="68F0E286">
            <w:pPr>
              <w:wordWrap w:val="0"/>
              <w:jc w:val="center"/>
              <w:rPr>
                <w:rFonts w:hAnsi="宋体"/>
                <w:color w:val="auto"/>
                <w:szCs w:val="21"/>
                <w:highlight w:val="none"/>
              </w:rPr>
            </w:pPr>
          </w:p>
        </w:tc>
      </w:tr>
      <w:tr w14:paraId="69D53EB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6942D6D9">
            <w:pPr>
              <w:wordWrap w:val="0"/>
              <w:jc w:val="center"/>
              <w:rPr>
                <w:rFonts w:hAnsi="宋体"/>
                <w:color w:val="auto"/>
                <w:szCs w:val="21"/>
                <w:highlight w:val="none"/>
              </w:rPr>
            </w:pPr>
            <w:r>
              <w:rPr>
                <w:rFonts w:hint="eastAsia" w:hAnsi="宋体"/>
                <w:color w:val="auto"/>
                <w:szCs w:val="21"/>
                <w:highlight w:val="none"/>
              </w:rPr>
              <w:t>注册地址</w:t>
            </w:r>
          </w:p>
        </w:tc>
        <w:tc>
          <w:tcPr>
            <w:tcW w:w="6758" w:type="dxa"/>
            <w:gridSpan w:val="4"/>
            <w:tcBorders>
              <w:tl2br w:val="nil"/>
              <w:tr2bl w:val="nil"/>
            </w:tcBorders>
            <w:vAlign w:val="center"/>
          </w:tcPr>
          <w:p w14:paraId="036B4A58">
            <w:pPr>
              <w:wordWrap w:val="0"/>
              <w:jc w:val="center"/>
              <w:rPr>
                <w:rFonts w:hAnsi="宋体"/>
                <w:color w:val="auto"/>
                <w:szCs w:val="21"/>
                <w:highlight w:val="none"/>
              </w:rPr>
            </w:pPr>
          </w:p>
        </w:tc>
      </w:tr>
      <w:tr w14:paraId="06F46E1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43696E49">
            <w:pPr>
              <w:wordWrap w:val="0"/>
              <w:jc w:val="center"/>
              <w:rPr>
                <w:rFonts w:hAnsi="宋体"/>
                <w:color w:val="auto"/>
                <w:szCs w:val="21"/>
                <w:highlight w:val="none"/>
              </w:rPr>
            </w:pPr>
            <w:r>
              <w:rPr>
                <w:rFonts w:hint="eastAsia" w:hAnsi="宋体"/>
                <w:color w:val="auto"/>
                <w:szCs w:val="21"/>
                <w:highlight w:val="none"/>
              </w:rPr>
              <w:t>邮政编码</w:t>
            </w:r>
          </w:p>
        </w:tc>
        <w:tc>
          <w:tcPr>
            <w:tcW w:w="3354" w:type="dxa"/>
            <w:gridSpan w:val="2"/>
            <w:tcBorders>
              <w:tl2br w:val="nil"/>
              <w:tr2bl w:val="nil"/>
            </w:tcBorders>
            <w:vAlign w:val="center"/>
          </w:tcPr>
          <w:p w14:paraId="1B13F293">
            <w:pPr>
              <w:wordWrap w:val="0"/>
              <w:jc w:val="center"/>
              <w:rPr>
                <w:rFonts w:hAnsi="宋体"/>
                <w:color w:val="auto"/>
                <w:szCs w:val="21"/>
                <w:highlight w:val="none"/>
              </w:rPr>
            </w:pPr>
          </w:p>
        </w:tc>
        <w:tc>
          <w:tcPr>
            <w:tcW w:w="1135" w:type="dxa"/>
            <w:tcBorders>
              <w:tl2br w:val="nil"/>
              <w:tr2bl w:val="nil"/>
            </w:tcBorders>
            <w:vAlign w:val="center"/>
          </w:tcPr>
          <w:p w14:paraId="793B275E">
            <w:pPr>
              <w:wordWrap w:val="0"/>
              <w:jc w:val="center"/>
              <w:rPr>
                <w:rFonts w:hAnsi="宋体"/>
                <w:color w:val="auto"/>
                <w:szCs w:val="21"/>
                <w:highlight w:val="none"/>
              </w:rPr>
            </w:pPr>
            <w:r>
              <w:rPr>
                <w:rFonts w:hint="eastAsia" w:hAnsi="宋体"/>
                <w:color w:val="auto"/>
                <w:szCs w:val="21"/>
                <w:highlight w:val="none"/>
              </w:rPr>
              <w:t>员工总数</w:t>
            </w:r>
          </w:p>
        </w:tc>
        <w:tc>
          <w:tcPr>
            <w:tcW w:w="2269" w:type="dxa"/>
            <w:tcBorders>
              <w:tl2br w:val="nil"/>
              <w:tr2bl w:val="nil"/>
            </w:tcBorders>
            <w:vAlign w:val="center"/>
          </w:tcPr>
          <w:p w14:paraId="29CC278D">
            <w:pPr>
              <w:wordWrap w:val="0"/>
              <w:jc w:val="center"/>
              <w:rPr>
                <w:rFonts w:hAnsi="宋体"/>
                <w:color w:val="auto"/>
                <w:szCs w:val="21"/>
                <w:highlight w:val="none"/>
              </w:rPr>
            </w:pPr>
          </w:p>
        </w:tc>
      </w:tr>
      <w:tr w14:paraId="168B168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vMerge w:val="restart"/>
            <w:tcBorders>
              <w:tl2br w:val="nil"/>
              <w:tr2bl w:val="nil"/>
            </w:tcBorders>
            <w:vAlign w:val="center"/>
          </w:tcPr>
          <w:p w14:paraId="50A783D6">
            <w:pPr>
              <w:wordWrap w:val="0"/>
              <w:jc w:val="center"/>
              <w:rPr>
                <w:rFonts w:hAnsi="宋体"/>
                <w:color w:val="auto"/>
                <w:szCs w:val="21"/>
                <w:highlight w:val="none"/>
              </w:rPr>
            </w:pPr>
            <w:r>
              <w:rPr>
                <w:rFonts w:hint="eastAsia" w:hAnsi="宋体"/>
                <w:color w:val="auto"/>
                <w:szCs w:val="21"/>
                <w:highlight w:val="none"/>
              </w:rPr>
              <w:t>联系方式</w:t>
            </w:r>
          </w:p>
        </w:tc>
        <w:tc>
          <w:tcPr>
            <w:tcW w:w="944" w:type="dxa"/>
            <w:tcBorders>
              <w:tl2br w:val="nil"/>
              <w:tr2bl w:val="nil"/>
            </w:tcBorders>
            <w:vAlign w:val="center"/>
          </w:tcPr>
          <w:p w14:paraId="51FA6F38">
            <w:pPr>
              <w:wordWrap w:val="0"/>
              <w:jc w:val="center"/>
              <w:rPr>
                <w:rFonts w:hAnsi="宋体"/>
                <w:color w:val="auto"/>
                <w:szCs w:val="21"/>
                <w:highlight w:val="none"/>
              </w:rPr>
            </w:pPr>
            <w:r>
              <w:rPr>
                <w:rFonts w:hint="eastAsia" w:hAnsi="宋体"/>
                <w:color w:val="auto"/>
                <w:szCs w:val="21"/>
                <w:highlight w:val="none"/>
              </w:rPr>
              <w:t>联系人</w:t>
            </w:r>
          </w:p>
        </w:tc>
        <w:tc>
          <w:tcPr>
            <w:tcW w:w="2410" w:type="dxa"/>
            <w:tcBorders>
              <w:tl2br w:val="nil"/>
              <w:tr2bl w:val="nil"/>
            </w:tcBorders>
            <w:vAlign w:val="center"/>
          </w:tcPr>
          <w:p w14:paraId="019779CE">
            <w:pPr>
              <w:wordWrap w:val="0"/>
              <w:jc w:val="center"/>
              <w:rPr>
                <w:rFonts w:hAnsi="宋体"/>
                <w:color w:val="auto"/>
                <w:szCs w:val="21"/>
                <w:highlight w:val="none"/>
              </w:rPr>
            </w:pPr>
          </w:p>
        </w:tc>
        <w:tc>
          <w:tcPr>
            <w:tcW w:w="1135" w:type="dxa"/>
            <w:tcBorders>
              <w:tl2br w:val="nil"/>
              <w:tr2bl w:val="nil"/>
            </w:tcBorders>
            <w:vAlign w:val="center"/>
          </w:tcPr>
          <w:p w14:paraId="42F9406D">
            <w:pPr>
              <w:wordWrap w:val="0"/>
              <w:jc w:val="center"/>
              <w:rPr>
                <w:rFonts w:hAnsi="宋体"/>
                <w:color w:val="auto"/>
                <w:szCs w:val="21"/>
                <w:highlight w:val="none"/>
              </w:rPr>
            </w:pPr>
            <w:r>
              <w:rPr>
                <w:rFonts w:hint="eastAsia" w:hAnsi="宋体"/>
                <w:color w:val="auto"/>
                <w:szCs w:val="21"/>
                <w:highlight w:val="none"/>
              </w:rPr>
              <w:t>电话</w:t>
            </w:r>
          </w:p>
        </w:tc>
        <w:tc>
          <w:tcPr>
            <w:tcW w:w="2269" w:type="dxa"/>
            <w:tcBorders>
              <w:tl2br w:val="nil"/>
              <w:tr2bl w:val="nil"/>
            </w:tcBorders>
            <w:vAlign w:val="center"/>
          </w:tcPr>
          <w:p w14:paraId="66D991F0">
            <w:pPr>
              <w:wordWrap w:val="0"/>
              <w:jc w:val="center"/>
              <w:rPr>
                <w:rFonts w:hAnsi="宋体"/>
                <w:color w:val="auto"/>
                <w:szCs w:val="21"/>
                <w:highlight w:val="none"/>
              </w:rPr>
            </w:pPr>
          </w:p>
        </w:tc>
      </w:tr>
      <w:tr w14:paraId="50DECA0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vMerge w:val="continue"/>
            <w:tcBorders>
              <w:tl2br w:val="nil"/>
              <w:tr2bl w:val="nil"/>
            </w:tcBorders>
            <w:vAlign w:val="center"/>
          </w:tcPr>
          <w:p w14:paraId="68F44FBF">
            <w:pPr>
              <w:wordWrap w:val="0"/>
              <w:jc w:val="center"/>
              <w:rPr>
                <w:rFonts w:hAnsi="宋体"/>
                <w:color w:val="auto"/>
                <w:szCs w:val="21"/>
                <w:highlight w:val="none"/>
              </w:rPr>
            </w:pPr>
          </w:p>
        </w:tc>
        <w:tc>
          <w:tcPr>
            <w:tcW w:w="944" w:type="dxa"/>
            <w:tcBorders>
              <w:tl2br w:val="nil"/>
              <w:tr2bl w:val="nil"/>
            </w:tcBorders>
            <w:vAlign w:val="center"/>
          </w:tcPr>
          <w:p w14:paraId="501832DF">
            <w:pPr>
              <w:wordWrap w:val="0"/>
              <w:jc w:val="center"/>
              <w:rPr>
                <w:rFonts w:hAnsi="宋体"/>
                <w:color w:val="auto"/>
                <w:szCs w:val="21"/>
                <w:highlight w:val="none"/>
              </w:rPr>
            </w:pPr>
            <w:r>
              <w:rPr>
                <w:rFonts w:hint="eastAsia" w:hAnsi="宋体"/>
                <w:color w:val="auto"/>
                <w:szCs w:val="21"/>
                <w:highlight w:val="none"/>
              </w:rPr>
              <w:t>网址</w:t>
            </w:r>
          </w:p>
        </w:tc>
        <w:tc>
          <w:tcPr>
            <w:tcW w:w="2410" w:type="dxa"/>
            <w:tcBorders>
              <w:tl2br w:val="nil"/>
              <w:tr2bl w:val="nil"/>
            </w:tcBorders>
            <w:vAlign w:val="center"/>
          </w:tcPr>
          <w:p w14:paraId="03D6FBDE">
            <w:pPr>
              <w:wordWrap w:val="0"/>
              <w:jc w:val="center"/>
              <w:rPr>
                <w:rFonts w:hAnsi="宋体"/>
                <w:color w:val="auto"/>
                <w:szCs w:val="21"/>
                <w:highlight w:val="none"/>
              </w:rPr>
            </w:pPr>
          </w:p>
        </w:tc>
        <w:tc>
          <w:tcPr>
            <w:tcW w:w="1135" w:type="dxa"/>
            <w:tcBorders>
              <w:tl2br w:val="nil"/>
              <w:tr2bl w:val="nil"/>
            </w:tcBorders>
            <w:vAlign w:val="center"/>
          </w:tcPr>
          <w:p w14:paraId="1F15BB7C">
            <w:pPr>
              <w:wordWrap w:val="0"/>
              <w:jc w:val="center"/>
              <w:rPr>
                <w:rFonts w:hAnsi="宋体"/>
                <w:color w:val="auto"/>
                <w:szCs w:val="21"/>
                <w:highlight w:val="none"/>
              </w:rPr>
            </w:pPr>
            <w:r>
              <w:rPr>
                <w:rFonts w:hint="eastAsia" w:hAnsi="宋体"/>
                <w:color w:val="auto"/>
                <w:szCs w:val="21"/>
                <w:highlight w:val="none"/>
              </w:rPr>
              <w:t>传真</w:t>
            </w:r>
          </w:p>
        </w:tc>
        <w:tc>
          <w:tcPr>
            <w:tcW w:w="2269" w:type="dxa"/>
            <w:tcBorders>
              <w:tl2br w:val="nil"/>
              <w:tr2bl w:val="nil"/>
            </w:tcBorders>
            <w:vAlign w:val="center"/>
          </w:tcPr>
          <w:p w14:paraId="2F52DCED">
            <w:pPr>
              <w:wordWrap w:val="0"/>
              <w:jc w:val="center"/>
              <w:rPr>
                <w:rFonts w:hAnsi="宋体"/>
                <w:color w:val="auto"/>
                <w:szCs w:val="21"/>
                <w:highlight w:val="none"/>
              </w:rPr>
            </w:pPr>
          </w:p>
        </w:tc>
      </w:tr>
      <w:tr w14:paraId="270410D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90" w:hRule="exact"/>
          <w:jc w:val="center"/>
        </w:trPr>
        <w:tc>
          <w:tcPr>
            <w:tcW w:w="2174" w:type="dxa"/>
            <w:tcBorders>
              <w:tl2br w:val="nil"/>
              <w:tr2bl w:val="nil"/>
            </w:tcBorders>
            <w:vAlign w:val="center"/>
          </w:tcPr>
          <w:p w14:paraId="33328949">
            <w:pPr>
              <w:wordWrap w:val="0"/>
              <w:jc w:val="center"/>
              <w:rPr>
                <w:rFonts w:hAnsi="宋体"/>
                <w:color w:val="auto"/>
                <w:szCs w:val="21"/>
                <w:highlight w:val="none"/>
              </w:rPr>
            </w:pPr>
            <w:r>
              <w:rPr>
                <w:rFonts w:hint="eastAsia" w:hAnsi="宋体"/>
                <w:color w:val="auto"/>
                <w:szCs w:val="21"/>
                <w:highlight w:val="none"/>
              </w:rPr>
              <w:t>法定代表人</w:t>
            </w:r>
            <w:r>
              <w:rPr>
                <w:rFonts w:hint="eastAsia" w:ascii="宋体" w:hAnsi="宋体" w:cs="宋体"/>
                <w:iCs/>
                <w:color w:val="auto"/>
                <w:szCs w:val="21"/>
                <w:highlight w:val="none"/>
              </w:rPr>
              <w:t>/负责人</w:t>
            </w:r>
          </w:p>
        </w:tc>
        <w:tc>
          <w:tcPr>
            <w:tcW w:w="944" w:type="dxa"/>
            <w:tcBorders>
              <w:tl2br w:val="nil"/>
              <w:tr2bl w:val="nil"/>
            </w:tcBorders>
            <w:vAlign w:val="center"/>
          </w:tcPr>
          <w:p w14:paraId="0AD406B9">
            <w:pPr>
              <w:wordWrap w:val="0"/>
              <w:jc w:val="center"/>
              <w:rPr>
                <w:rFonts w:hAnsi="宋体"/>
                <w:color w:val="auto"/>
                <w:szCs w:val="21"/>
                <w:highlight w:val="none"/>
              </w:rPr>
            </w:pPr>
            <w:r>
              <w:rPr>
                <w:rFonts w:hint="eastAsia" w:hAnsi="宋体"/>
                <w:color w:val="auto"/>
                <w:szCs w:val="21"/>
                <w:highlight w:val="none"/>
              </w:rPr>
              <w:t>姓名</w:t>
            </w:r>
          </w:p>
        </w:tc>
        <w:tc>
          <w:tcPr>
            <w:tcW w:w="2410" w:type="dxa"/>
            <w:tcBorders>
              <w:tl2br w:val="nil"/>
              <w:tr2bl w:val="nil"/>
            </w:tcBorders>
            <w:vAlign w:val="center"/>
          </w:tcPr>
          <w:p w14:paraId="4B6B3780">
            <w:pPr>
              <w:wordWrap w:val="0"/>
              <w:jc w:val="center"/>
              <w:rPr>
                <w:rFonts w:hAnsi="宋体"/>
                <w:color w:val="auto"/>
                <w:szCs w:val="21"/>
                <w:highlight w:val="none"/>
              </w:rPr>
            </w:pPr>
          </w:p>
        </w:tc>
        <w:tc>
          <w:tcPr>
            <w:tcW w:w="1135" w:type="dxa"/>
            <w:tcBorders>
              <w:tl2br w:val="nil"/>
              <w:tr2bl w:val="nil"/>
            </w:tcBorders>
            <w:vAlign w:val="center"/>
          </w:tcPr>
          <w:p w14:paraId="455DB4AA">
            <w:pPr>
              <w:wordWrap w:val="0"/>
              <w:jc w:val="center"/>
              <w:rPr>
                <w:rFonts w:hAnsi="宋体"/>
                <w:color w:val="auto"/>
                <w:szCs w:val="21"/>
                <w:highlight w:val="none"/>
              </w:rPr>
            </w:pPr>
            <w:r>
              <w:rPr>
                <w:rFonts w:hint="eastAsia" w:hAnsi="宋体"/>
                <w:color w:val="auto"/>
                <w:szCs w:val="21"/>
                <w:highlight w:val="none"/>
              </w:rPr>
              <w:t>电话</w:t>
            </w:r>
          </w:p>
        </w:tc>
        <w:tc>
          <w:tcPr>
            <w:tcW w:w="2269" w:type="dxa"/>
            <w:tcBorders>
              <w:tl2br w:val="nil"/>
              <w:tr2bl w:val="nil"/>
            </w:tcBorders>
            <w:vAlign w:val="center"/>
          </w:tcPr>
          <w:p w14:paraId="27997AC9">
            <w:pPr>
              <w:wordWrap w:val="0"/>
              <w:jc w:val="center"/>
              <w:rPr>
                <w:rFonts w:hAnsi="宋体"/>
                <w:color w:val="auto"/>
                <w:szCs w:val="21"/>
                <w:highlight w:val="none"/>
              </w:rPr>
            </w:pPr>
          </w:p>
        </w:tc>
      </w:tr>
      <w:tr w14:paraId="788267D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0A1F4A18">
            <w:pPr>
              <w:wordWrap w:val="0"/>
              <w:jc w:val="center"/>
              <w:rPr>
                <w:rFonts w:hAnsi="宋体"/>
                <w:color w:val="auto"/>
                <w:szCs w:val="21"/>
                <w:highlight w:val="none"/>
              </w:rPr>
            </w:pPr>
            <w:r>
              <w:rPr>
                <w:rFonts w:hint="eastAsia" w:hAnsi="宋体"/>
                <w:color w:val="auto"/>
                <w:szCs w:val="21"/>
                <w:highlight w:val="none"/>
              </w:rPr>
              <w:t>基本账户开户银行</w:t>
            </w:r>
          </w:p>
        </w:tc>
        <w:tc>
          <w:tcPr>
            <w:tcW w:w="6758" w:type="dxa"/>
            <w:gridSpan w:val="4"/>
            <w:tcBorders>
              <w:tl2br w:val="nil"/>
              <w:tr2bl w:val="nil"/>
            </w:tcBorders>
            <w:vAlign w:val="center"/>
          </w:tcPr>
          <w:p w14:paraId="44F79AD6">
            <w:pPr>
              <w:wordWrap w:val="0"/>
              <w:jc w:val="center"/>
              <w:rPr>
                <w:rFonts w:hAnsi="宋体"/>
                <w:color w:val="auto"/>
                <w:szCs w:val="21"/>
                <w:highlight w:val="none"/>
              </w:rPr>
            </w:pPr>
          </w:p>
        </w:tc>
      </w:tr>
      <w:tr w14:paraId="24B7296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33D48C80">
            <w:pPr>
              <w:wordWrap w:val="0"/>
              <w:jc w:val="center"/>
              <w:rPr>
                <w:rFonts w:hAnsi="宋体"/>
                <w:color w:val="auto"/>
                <w:szCs w:val="21"/>
                <w:highlight w:val="none"/>
              </w:rPr>
            </w:pPr>
            <w:r>
              <w:rPr>
                <w:rFonts w:hint="eastAsia" w:hAnsi="宋体"/>
                <w:color w:val="auto"/>
                <w:szCs w:val="21"/>
                <w:highlight w:val="none"/>
              </w:rPr>
              <w:t>基本账户银行账号</w:t>
            </w:r>
          </w:p>
        </w:tc>
        <w:tc>
          <w:tcPr>
            <w:tcW w:w="6758" w:type="dxa"/>
            <w:gridSpan w:val="4"/>
            <w:tcBorders>
              <w:tl2br w:val="nil"/>
              <w:tr2bl w:val="nil"/>
            </w:tcBorders>
            <w:vAlign w:val="center"/>
          </w:tcPr>
          <w:p w14:paraId="13DFA295">
            <w:pPr>
              <w:wordWrap w:val="0"/>
              <w:jc w:val="center"/>
              <w:rPr>
                <w:rFonts w:hAnsi="宋体"/>
                <w:color w:val="auto"/>
                <w:szCs w:val="21"/>
                <w:highlight w:val="none"/>
              </w:rPr>
            </w:pPr>
          </w:p>
        </w:tc>
      </w:tr>
      <w:tr w14:paraId="3F2ABFB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3684D003">
            <w:pPr>
              <w:wordWrap w:val="0"/>
              <w:jc w:val="center"/>
              <w:rPr>
                <w:rFonts w:hAnsi="宋体"/>
                <w:color w:val="auto"/>
                <w:szCs w:val="21"/>
                <w:highlight w:val="none"/>
              </w:rPr>
            </w:pPr>
            <w:r>
              <w:rPr>
                <w:rFonts w:hint="eastAsia" w:hAnsi="宋体"/>
                <w:color w:val="auto"/>
                <w:szCs w:val="21"/>
                <w:highlight w:val="none"/>
              </w:rPr>
              <w:t>近三年营业额</w:t>
            </w:r>
          </w:p>
        </w:tc>
        <w:tc>
          <w:tcPr>
            <w:tcW w:w="6758" w:type="dxa"/>
            <w:gridSpan w:val="4"/>
            <w:tcBorders>
              <w:tl2br w:val="nil"/>
              <w:tr2bl w:val="nil"/>
            </w:tcBorders>
            <w:vAlign w:val="center"/>
          </w:tcPr>
          <w:p w14:paraId="554D9689">
            <w:pPr>
              <w:wordWrap w:val="0"/>
              <w:jc w:val="center"/>
              <w:rPr>
                <w:rFonts w:hAnsi="宋体"/>
                <w:color w:val="auto"/>
                <w:szCs w:val="21"/>
                <w:highlight w:val="none"/>
              </w:rPr>
            </w:pPr>
          </w:p>
        </w:tc>
      </w:tr>
      <w:tr w14:paraId="3020996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650" w:hRule="exact"/>
          <w:jc w:val="center"/>
        </w:trPr>
        <w:tc>
          <w:tcPr>
            <w:tcW w:w="2174" w:type="dxa"/>
            <w:tcBorders>
              <w:tl2br w:val="nil"/>
              <w:tr2bl w:val="nil"/>
            </w:tcBorders>
            <w:vAlign w:val="center"/>
          </w:tcPr>
          <w:p w14:paraId="67CB1001">
            <w:pPr>
              <w:wordWrap w:val="0"/>
              <w:jc w:val="center"/>
              <w:rPr>
                <w:rFonts w:hAnsi="宋体"/>
                <w:color w:val="auto"/>
                <w:szCs w:val="21"/>
                <w:highlight w:val="none"/>
              </w:rPr>
            </w:pPr>
            <w:r>
              <w:rPr>
                <w:rFonts w:hint="eastAsia" w:hAnsi="宋体"/>
                <w:color w:val="auto"/>
                <w:szCs w:val="21"/>
                <w:highlight w:val="none"/>
              </w:rPr>
              <w:t>投标人关联企业情况</w:t>
            </w:r>
          </w:p>
          <w:p w14:paraId="076109A7">
            <w:pPr>
              <w:wordWrap w:val="0"/>
              <w:jc w:val="center"/>
              <w:rPr>
                <w:rFonts w:hAnsi="宋体"/>
                <w:color w:val="auto"/>
                <w:szCs w:val="21"/>
                <w:highlight w:val="none"/>
              </w:rPr>
            </w:pPr>
            <w:r>
              <w:rPr>
                <w:rFonts w:hint="eastAsia" w:hAnsi="宋体"/>
                <w:color w:val="auto"/>
                <w:szCs w:val="21"/>
                <w:highlight w:val="none"/>
              </w:rPr>
              <w:t>（包括但不限于与投</w:t>
            </w:r>
            <w:r>
              <w:rPr>
                <w:rFonts w:hAnsi="宋体"/>
                <w:color w:val="auto"/>
                <w:szCs w:val="21"/>
                <w:highlight w:val="none"/>
              </w:rPr>
              <w:t xml:space="preserve"> </w:t>
            </w:r>
            <w:r>
              <w:rPr>
                <w:rFonts w:hint="eastAsia" w:hAnsi="宋体"/>
                <w:color w:val="auto"/>
                <w:szCs w:val="21"/>
                <w:highlight w:val="none"/>
              </w:rPr>
              <w:t>标人法定代表人为同一人或者存在控股、管理关系的不同单位）</w:t>
            </w:r>
          </w:p>
        </w:tc>
        <w:tc>
          <w:tcPr>
            <w:tcW w:w="6758" w:type="dxa"/>
            <w:gridSpan w:val="4"/>
            <w:tcBorders>
              <w:tl2br w:val="nil"/>
              <w:tr2bl w:val="nil"/>
            </w:tcBorders>
            <w:vAlign w:val="center"/>
          </w:tcPr>
          <w:p w14:paraId="66723AC1">
            <w:pPr>
              <w:wordWrap w:val="0"/>
              <w:jc w:val="center"/>
              <w:rPr>
                <w:rFonts w:hAnsi="宋体"/>
                <w:color w:val="auto"/>
                <w:szCs w:val="21"/>
                <w:highlight w:val="none"/>
              </w:rPr>
            </w:pPr>
          </w:p>
        </w:tc>
      </w:tr>
      <w:tr w14:paraId="4E285B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11" w:hRule="exact"/>
          <w:jc w:val="center"/>
        </w:trPr>
        <w:tc>
          <w:tcPr>
            <w:tcW w:w="2174" w:type="dxa"/>
            <w:tcBorders>
              <w:tl2br w:val="nil"/>
              <w:tr2bl w:val="nil"/>
            </w:tcBorders>
            <w:vAlign w:val="center"/>
          </w:tcPr>
          <w:p w14:paraId="476AF0F4">
            <w:pPr>
              <w:wordWrap w:val="0"/>
              <w:jc w:val="center"/>
              <w:rPr>
                <w:rFonts w:hAnsi="宋体"/>
                <w:color w:val="auto"/>
                <w:szCs w:val="21"/>
                <w:highlight w:val="none"/>
              </w:rPr>
            </w:pPr>
            <w:r>
              <w:rPr>
                <w:rFonts w:hint="eastAsia" w:hAnsi="宋体"/>
                <w:color w:val="auto"/>
                <w:szCs w:val="21"/>
                <w:highlight w:val="none"/>
              </w:rPr>
              <w:t>备注</w:t>
            </w:r>
          </w:p>
        </w:tc>
        <w:tc>
          <w:tcPr>
            <w:tcW w:w="6758" w:type="dxa"/>
            <w:gridSpan w:val="4"/>
            <w:tcBorders>
              <w:tl2br w:val="nil"/>
              <w:tr2bl w:val="nil"/>
            </w:tcBorders>
            <w:vAlign w:val="center"/>
          </w:tcPr>
          <w:p w14:paraId="7B3A611F">
            <w:pPr>
              <w:wordWrap w:val="0"/>
              <w:jc w:val="center"/>
              <w:rPr>
                <w:rFonts w:hAnsi="宋体"/>
                <w:color w:val="auto"/>
                <w:szCs w:val="21"/>
                <w:highlight w:val="none"/>
              </w:rPr>
            </w:pPr>
          </w:p>
        </w:tc>
      </w:tr>
    </w:tbl>
    <w:p w14:paraId="3892C526">
      <w:pPr>
        <w:wordWrap/>
        <w:spacing w:before="0" w:line="240" w:lineRule="auto"/>
        <w:jc w:val="left"/>
        <w:outlineLvl w:val="9"/>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2C327D72">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lang w:val="en-US" w:eastAsia="zh-CN"/>
        </w:rPr>
        <w:t>七</w:t>
      </w:r>
      <w:r>
        <w:rPr>
          <w:rFonts w:hint="eastAsia" w:ascii="Calibri" w:hAnsi="宋体" w:cs="宋体"/>
          <w:b/>
          <w:snapToGrid w:val="0"/>
          <w:color w:val="auto"/>
          <w:kern w:val="0"/>
          <w:sz w:val="28"/>
          <w:szCs w:val="28"/>
          <w:highlight w:val="none"/>
        </w:rPr>
        <w:t>、投标保证金</w:t>
      </w:r>
    </w:p>
    <w:p w14:paraId="5C2A7B17">
      <w:pPr>
        <w:wordWrap w:val="0"/>
        <w:snapToGrid w:val="0"/>
        <w:spacing w:line="360" w:lineRule="auto"/>
        <w:ind w:firstLine="420" w:firstLineChars="200"/>
        <w:rPr>
          <w:rFonts w:ascii="宋体" w:hAnsi="宋体"/>
          <w:color w:val="auto"/>
          <w:szCs w:val="21"/>
          <w:highlight w:val="none"/>
          <w:lang w:val="sq-AL"/>
        </w:rPr>
      </w:pPr>
    </w:p>
    <w:p w14:paraId="325BE050">
      <w:pPr>
        <w:wordWrap w:val="0"/>
        <w:snapToGrid w:val="0"/>
        <w:spacing w:line="360" w:lineRule="auto"/>
        <w:ind w:firstLine="420" w:firstLineChars="200"/>
        <w:rPr>
          <w:rFonts w:ascii="宋体" w:hAnsi="宋体"/>
          <w:color w:val="auto"/>
          <w:szCs w:val="21"/>
          <w:highlight w:val="none"/>
          <w:lang w:val="sq-AL"/>
        </w:rPr>
      </w:pPr>
      <w:r>
        <w:rPr>
          <w:rFonts w:hint="eastAsia" w:ascii="宋体" w:hAnsi="宋体"/>
          <w:color w:val="auto"/>
          <w:szCs w:val="21"/>
          <w:highlight w:val="none"/>
          <w:lang w:val="sq-AL"/>
        </w:rPr>
        <w:t>1、采用银行转帐的，请附投标人基本账户开户许可证复印件（或开户银行出具的基本账户证明）以及投标保证金转账凭证复印件；</w:t>
      </w:r>
    </w:p>
    <w:p w14:paraId="3634763B">
      <w:pPr>
        <w:wordWrap w:val="0"/>
        <w:spacing w:line="360" w:lineRule="auto"/>
        <w:ind w:firstLine="424" w:firstLineChars="202"/>
        <w:rPr>
          <w:rFonts w:hAnsi="宋体"/>
          <w:color w:val="auto"/>
          <w:szCs w:val="21"/>
          <w:highlight w:val="none"/>
        </w:rPr>
      </w:pPr>
      <w:r>
        <w:rPr>
          <w:rFonts w:hint="eastAsia" w:ascii="宋体" w:hAnsi="宋体"/>
          <w:color w:val="auto"/>
          <w:szCs w:val="21"/>
          <w:highlight w:val="none"/>
          <w:lang w:val="sq-AL"/>
        </w:rPr>
        <w:t>2、采用银行保函的，请附保函复印件；原</w:t>
      </w:r>
      <w:r>
        <w:rPr>
          <w:rFonts w:hint="eastAsia" w:ascii="宋体" w:hAnsi="宋体"/>
          <w:color w:val="auto"/>
          <w:szCs w:val="21"/>
          <w:highlight w:val="none"/>
        </w:rPr>
        <w:t>件</w:t>
      </w:r>
      <w:r>
        <w:rPr>
          <w:rFonts w:hint="eastAsia" w:ascii="宋体" w:hAnsi="宋体"/>
          <w:color w:val="auto"/>
          <w:szCs w:val="21"/>
          <w:highlight w:val="none"/>
          <w:lang w:val="sq-AL"/>
        </w:rPr>
        <w:t>按招标文件要求提交。</w:t>
      </w:r>
    </w:p>
    <w:p w14:paraId="7DC88441">
      <w:pPr>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08AFF757">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lang w:val="en-US" w:eastAsia="zh-CN"/>
        </w:rPr>
        <w:t>八</w:t>
      </w:r>
      <w:r>
        <w:rPr>
          <w:rFonts w:hint="eastAsia" w:ascii="Calibri" w:hAnsi="宋体" w:cs="宋体"/>
          <w:b/>
          <w:snapToGrid w:val="0"/>
          <w:color w:val="auto"/>
          <w:kern w:val="0"/>
          <w:sz w:val="28"/>
          <w:szCs w:val="28"/>
          <w:highlight w:val="none"/>
        </w:rPr>
        <w:t>、投标人承诺函</w:t>
      </w:r>
    </w:p>
    <w:p w14:paraId="7F99DB59">
      <w:pPr>
        <w:wordWrap w:val="0"/>
        <w:spacing w:line="360" w:lineRule="auto"/>
        <w:rPr>
          <w:rFonts w:ascii="Calibri" w:hAnsi="Calibri"/>
          <w:color w:val="auto"/>
          <w:szCs w:val="22"/>
          <w:highlight w:val="none"/>
          <w:u w:val="single"/>
        </w:rPr>
      </w:pPr>
    </w:p>
    <w:p w14:paraId="103C0848">
      <w:pPr>
        <w:wordWrap w:val="0"/>
        <w:spacing w:line="360" w:lineRule="auto"/>
        <w:rPr>
          <w:rFonts w:ascii="Calibri" w:hAnsi="Calibri"/>
          <w:color w:val="auto"/>
          <w:szCs w:val="22"/>
          <w:highlight w:val="none"/>
        </w:rPr>
      </w:pPr>
      <w:r>
        <w:rPr>
          <w:rFonts w:hint="eastAsia" w:ascii="Calibri" w:hAnsi="Calibri"/>
          <w:color w:val="auto"/>
          <w:szCs w:val="22"/>
          <w:highlight w:val="none"/>
          <w:u w:val="single"/>
        </w:rPr>
        <w:t xml:space="preserve">                      </w:t>
      </w:r>
      <w:r>
        <w:rPr>
          <w:rFonts w:hint="eastAsia" w:ascii="Calibri" w:hAnsi="Calibri"/>
          <w:color w:val="auto"/>
          <w:szCs w:val="22"/>
          <w:highlight w:val="none"/>
        </w:rPr>
        <w:t>（招标人名称）：</w:t>
      </w:r>
    </w:p>
    <w:p w14:paraId="1BEE936E">
      <w:pPr>
        <w:wordWrap w:val="0"/>
        <w:spacing w:line="360" w:lineRule="auto"/>
        <w:rPr>
          <w:rFonts w:ascii="Calibri" w:hAnsi="Calibri"/>
          <w:color w:val="auto"/>
          <w:szCs w:val="22"/>
          <w:highlight w:val="none"/>
        </w:rPr>
      </w:pPr>
      <w:r>
        <w:rPr>
          <w:rFonts w:hint="eastAsia" w:ascii="Calibri" w:hAnsi="Calibri"/>
          <w:color w:val="auto"/>
          <w:szCs w:val="22"/>
          <w:highlight w:val="none"/>
        </w:rPr>
        <w:t>我方在此声明：</w:t>
      </w:r>
    </w:p>
    <w:p w14:paraId="31D45E79">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1、我方不存在第二章“投标人须知”第1.4.</w:t>
      </w:r>
      <w:r>
        <w:rPr>
          <w:rFonts w:hint="eastAsia" w:ascii="宋体" w:hAnsi="宋体" w:cs="宋体"/>
          <w:color w:val="auto"/>
          <w:szCs w:val="22"/>
          <w:highlight w:val="none"/>
          <w:lang w:val="en-US" w:eastAsia="zh-CN"/>
        </w:rPr>
        <w:t>2</w:t>
      </w:r>
      <w:r>
        <w:rPr>
          <w:rFonts w:hint="eastAsia" w:ascii="宋体" w:hAnsi="宋体" w:cs="宋体"/>
          <w:color w:val="auto"/>
          <w:szCs w:val="22"/>
          <w:highlight w:val="none"/>
        </w:rPr>
        <w:t>项规定的任何一种情形。</w:t>
      </w:r>
    </w:p>
    <w:p w14:paraId="11D87CF3">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2、我方没有发生“</w:t>
      </w:r>
      <w:r>
        <w:rPr>
          <w:rFonts w:hint="eastAsia" w:ascii="宋体" w:hAnsi="宋体" w:cs="宋体"/>
          <w:color w:val="auto"/>
          <w:szCs w:val="21"/>
          <w:highlight w:val="none"/>
          <w:lang w:eastAsia="zh-CN"/>
        </w:rPr>
        <w:t>被长沙市轨道交通集团有限公司或长沙穗城轨道交通有限公司函告禁止在一定期限内参与轨道项目投标的单位按函告内容执行</w:t>
      </w:r>
      <w:r>
        <w:rPr>
          <w:rFonts w:hint="eastAsia" w:ascii="宋体" w:hAnsi="宋体" w:cs="宋体"/>
          <w:color w:val="auto"/>
          <w:szCs w:val="22"/>
          <w:highlight w:val="none"/>
        </w:rPr>
        <w:t>”此规定的情形。</w:t>
      </w:r>
    </w:p>
    <w:p w14:paraId="219827E7">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3、我方严格遵守相关法律法规规定，没有串通投标、资质挂靠等违法、违规行为。</w:t>
      </w:r>
    </w:p>
    <w:p w14:paraId="44BF91C2">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4、我方保证提供的资质、业绩等证明材料真实、合法、有效，并愿意承担因我方就此弄虚作假所引起的一切后果。</w:t>
      </w:r>
    </w:p>
    <w:p w14:paraId="30C8C447">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5、我方不参与不正当竞争，不向招标人、招标代理机构、交易中心、评标专家以及行业监督部门行贿以谋取不正当利益。</w:t>
      </w:r>
    </w:p>
    <w:p w14:paraId="14AB39C5">
      <w:pPr>
        <w:wordWrap w:val="0"/>
        <w:spacing w:line="360" w:lineRule="auto"/>
        <w:ind w:firstLine="420" w:firstLineChars="200"/>
        <w:rPr>
          <w:rFonts w:hAnsi="宋体" w:cs="宋体"/>
          <w:color w:val="auto"/>
          <w:szCs w:val="21"/>
          <w:highlight w:val="none"/>
        </w:rPr>
      </w:pPr>
      <w:r>
        <w:rPr>
          <w:rFonts w:hint="eastAsia" w:ascii="Calibri" w:hAnsi="Calibri"/>
          <w:color w:val="auto"/>
          <w:szCs w:val="22"/>
          <w:highlight w:val="none"/>
        </w:rPr>
        <w:t>特此承诺！</w:t>
      </w:r>
    </w:p>
    <w:p w14:paraId="2626E7D3">
      <w:pPr>
        <w:wordWrap w:val="0"/>
        <w:spacing w:line="360" w:lineRule="auto"/>
        <w:rPr>
          <w:rFonts w:hAnsi="宋体" w:cs="宋体"/>
          <w:color w:val="auto"/>
          <w:szCs w:val="21"/>
          <w:highlight w:val="none"/>
        </w:rPr>
      </w:pPr>
    </w:p>
    <w:p w14:paraId="7FAEB7CD">
      <w:pPr>
        <w:pStyle w:val="63"/>
        <w:wordWrap w:val="0"/>
        <w:rPr>
          <w:rFonts w:hAnsi="宋体" w:cs="宋体"/>
          <w:color w:val="auto"/>
          <w:szCs w:val="21"/>
          <w:highlight w:val="none"/>
        </w:rPr>
      </w:pPr>
    </w:p>
    <w:p w14:paraId="519056CB">
      <w:pPr>
        <w:pStyle w:val="5"/>
        <w:wordWrap w:val="0"/>
        <w:rPr>
          <w:color w:val="auto"/>
          <w:highlight w:val="none"/>
        </w:rPr>
      </w:pPr>
    </w:p>
    <w:p w14:paraId="5A8D9EE7">
      <w:pPr>
        <w:wordWrap w:val="0"/>
        <w:spacing w:line="360" w:lineRule="auto"/>
        <w:rPr>
          <w:rFonts w:hAnsi="宋体" w:cs="宋体"/>
          <w:color w:val="auto"/>
          <w:szCs w:val="21"/>
          <w:highlight w:val="non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060FBD85">
      <w:pPr>
        <w:wordWrap w:val="0"/>
        <w:adjustRightInd w:val="0"/>
        <w:snapToGrid w:val="0"/>
        <w:spacing w:line="280" w:lineRule="exact"/>
        <w:rPr>
          <w:rFonts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iCs/>
          <w:color w:val="auto"/>
          <w:szCs w:val="21"/>
          <w:highlight w:val="none"/>
        </w:rPr>
        <w:t>/负责人</w:t>
      </w:r>
      <w:r>
        <w:rPr>
          <w:rFonts w:hint="eastAsia" w:ascii="宋体" w:hAnsi="宋体" w:cs="宋体"/>
          <w:color w:val="auto"/>
          <w:szCs w:val="21"/>
          <w:highlight w:val="none"/>
        </w:rPr>
        <w:t>或其委托代理人</w:t>
      </w:r>
      <w:r>
        <w:rPr>
          <w:rFonts w:hint="eastAsia" w:ascii="宋体" w:hAnsi="宋体" w:cs="宋体"/>
          <w:color w:val="auto"/>
          <w:szCs w:val="21"/>
          <w:highlight w:val="none"/>
          <w:lang w:eastAsia="zh-CN"/>
        </w:rPr>
        <w:t>（</w:t>
      </w:r>
      <w:r>
        <w:rPr>
          <w:rFonts w:hint="eastAsia" w:ascii="宋体" w:hAnsi="宋体" w:cs="宋体"/>
          <w:color w:val="auto"/>
          <w:szCs w:val="21"/>
          <w:highlight w:val="none"/>
        </w:rPr>
        <w:t>签字或盖章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_</w:t>
      </w:r>
    </w:p>
    <w:p w14:paraId="6300DEA3">
      <w:pPr>
        <w:wordWrap w:val="0"/>
        <w:spacing w:line="360" w:lineRule="auto"/>
        <w:rPr>
          <w:rFonts w:hAnsi="宋体" w:cs="宋体"/>
          <w:color w:val="auto"/>
          <w:szCs w:val="21"/>
          <w:highlight w:val="none"/>
        </w:rPr>
      </w:pPr>
      <w:r>
        <w:rPr>
          <w:rFonts w:hint="eastAsia" w:hAnsi="宋体" w:cs="宋体"/>
          <w:color w:val="auto"/>
          <w:szCs w:val="21"/>
          <w:highlight w:val="none"/>
          <w:u w:val="single"/>
        </w:rPr>
        <w:t xml:space="preserve">       </w:t>
      </w:r>
      <w:r>
        <w:rPr>
          <w:rFonts w:hint="eastAsia" w:hAnsi="宋体" w:cs="宋体"/>
          <w:color w:val="auto"/>
          <w:szCs w:val="21"/>
          <w:highlight w:val="none"/>
        </w:rPr>
        <w:t>年</w:t>
      </w:r>
      <w:r>
        <w:rPr>
          <w:rFonts w:hint="eastAsia" w:hAnsi="宋体" w:cs="宋体"/>
          <w:color w:val="auto"/>
          <w:szCs w:val="21"/>
          <w:highlight w:val="none"/>
          <w:u w:val="single"/>
        </w:rPr>
        <w:t xml:space="preserve">    </w:t>
      </w:r>
      <w:r>
        <w:rPr>
          <w:rFonts w:hint="eastAsia" w:hAnsi="宋体" w:cs="宋体"/>
          <w:color w:val="auto"/>
          <w:szCs w:val="21"/>
          <w:highlight w:val="none"/>
        </w:rPr>
        <w:t>月</w:t>
      </w:r>
      <w:r>
        <w:rPr>
          <w:rFonts w:hint="eastAsia" w:hAnsi="宋体" w:cs="宋体"/>
          <w:color w:val="auto"/>
          <w:szCs w:val="21"/>
          <w:highlight w:val="none"/>
          <w:u w:val="single"/>
        </w:rPr>
        <w:t xml:space="preserve">     </w:t>
      </w:r>
      <w:r>
        <w:rPr>
          <w:rFonts w:hint="eastAsia" w:hAnsi="宋体" w:cs="宋体"/>
          <w:color w:val="auto"/>
          <w:szCs w:val="21"/>
          <w:highlight w:val="none"/>
        </w:rPr>
        <w:t>日</w:t>
      </w:r>
    </w:p>
    <w:p w14:paraId="23E3972E">
      <w:pPr>
        <w:pStyle w:val="5"/>
        <w:wordWrap w:val="0"/>
        <w:spacing w:line="360" w:lineRule="auto"/>
        <w:ind w:firstLine="0"/>
        <w:rPr>
          <w:color w:val="auto"/>
          <w:highlight w:val="none"/>
        </w:rPr>
      </w:pPr>
      <w:r>
        <w:rPr>
          <w:color w:val="auto"/>
          <w:highlight w:val="none"/>
        </w:rPr>
        <w:br w:type="page"/>
      </w:r>
    </w:p>
    <w:p w14:paraId="417F7B9A">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lang w:val="en-US" w:eastAsia="zh-CN"/>
        </w:rPr>
        <w:t>九</w:t>
      </w:r>
      <w:r>
        <w:rPr>
          <w:rFonts w:hint="eastAsia" w:ascii="Calibri" w:hAnsi="宋体" w:cs="宋体"/>
          <w:b/>
          <w:snapToGrid w:val="0"/>
          <w:color w:val="auto"/>
          <w:kern w:val="0"/>
          <w:sz w:val="28"/>
          <w:szCs w:val="28"/>
          <w:highlight w:val="none"/>
        </w:rPr>
        <w:t>、实质性条款（标注“★”符号）响应表</w:t>
      </w:r>
    </w:p>
    <w:p w14:paraId="523BCAB5">
      <w:pPr>
        <w:wordWrap w:val="0"/>
        <w:adjustRightInd w:val="0"/>
        <w:snapToGrid w:val="0"/>
        <w:rPr>
          <w:rFonts w:hint="eastAsia" w:hAnsi="宋体" w:eastAsia="宋体" w:cs="宋体"/>
          <w:b/>
          <w:bCs/>
          <w:color w:val="auto"/>
          <w:szCs w:val="21"/>
          <w:highlight w:val="none"/>
          <w:u w:val="single"/>
          <w:lang w:eastAsia="zh-CN"/>
        </w:rPr>
      </w:pPr>
      <w:r>
        <w:rPr>
          <w:rFonts w:hint="eastAsia" w:hAnsi="宋体" w:cs="宋体"/>
          <w:b/>
          <w:bCs/>
          <w:color w:val="auto"/>
          <w:szCs w:val="21"/>
          <w:highlight w:val="none"/>
        </w:rPr>
        <w:t>项目名称：</w:t>
      </w:r>
      <w:r>
        <w:rPr>
          <w:rFonts w:hint="eastAsia" w:ascii="宋体" w:hAnsi="宋体" w:cs="宋体"/>
          <w:b/>
          <w:bCs/>
          <w:color w:val="auto"/>
          <w:szCs w:val="21"/>
          <w:highlight w:val="none"/>
          <w:lang w:eastAsia="zh-CN"/>
        </w:rPr>
        <w:t>2025年长沙穗城轨道交通有限公司年度员工体检项目</w:t>
      </w:r>
    </w:p>
    <w:tbl>
      <w:tblPr>
        <w:tblStyle w:val="64"/>
        <w:tblW w:w="48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1"/>
        <w:gridCol w:w="3804"/>
        <w:gridCol w:w="2783"/>
        <w:gridCol w:w="2319"/>
      </w:tblGrid>
      <w:tr w14:paraId="2439D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atLeast"/>
        </w:trPr>
        <w:tc>
          <w:tcPr>
            <w:tcW w:w="394" w:type="pct"/>
            <w:vAlign w:val="center"/>
          </w:tcPr>
          <w:p w14:paraId="528E1180">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967" w:type="pct"/>
            <w:vAlign w:val="center"/>
          </w:tcPr>
          <w:p w14:paraId="5E4D3E3D">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招标文件实质性</w:t>
            </w:r>
          </w:p>
          <w:p w14:paraId="66A63305">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条款号及内容</w:t>
            </w:r>
          </w:p>
        </w:tc>
        <w:tc>
          <w:tcPr>
            <w:tcW w:w="1439" w:type="pct"/>
            <w:vAlign w:val="center"/>
          </w:tcPr>
          <w:p w14:paraId="7AE792C1">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投标文件响应</w:t>
            </w:r>
          </w:p>
          <w:p w14:paraId="0539C10A">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条款号及内容</w:t>
            </w:r>
          </w:p>
        </w:tc>
        <w:tc>
          <w:tcPr>
            <w:tcW w:w="1199" w:type="pct"/>
            <w:vAlign w:val="center"/>
          </w:tcPr>
          <w:p w14:paraId="1D5C4162">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响应情况</w:t>
            </w:r>
          </w:p>
          <w:p w14:paraId="3C5E3318">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（响应/不响应）</w:t>
            </w:r>
          </w:p>
        </w:tc>
      </w:tr>
      <w:tr w14:paraId="42BA0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394" w:type="pct"/>
            <w:vAlign w:val="center"/>
          </w:tcPr>
          <w:p w14:paraId="2540CAC2">
            <w:pPr>
              <w:wordWrap w:val="0"/>
              <w:jc w:val="center"/>
              <w:rPr>
                <w:rFonts w:ascii="宋体" w:hAnsi="宋体" w:cs="宋体"/>
                <w:color w:val="auto"/>
                <w:szCs w:val="21"/>
                <w:highlight w:val="none"/>
              </w:rPr>
            </w:pPr>
            <w:r>
              <w:rPr>
                <w:rFonts w:hint="eastAsia" w:ascii="宋体" w:hAnsi="宋体" w:cs="宋体"/>
                <w:color w:val="auto"/>
                <w:szCs w:val="21"/>
                <w:highlight w:val="none"/>
              </w:rPr>
              <w:t>1</w:t>
            </w:r>
          </w:p>
        </w:tc>
        <w:tc>
          <w:tcPr>
            <w:tcW w:w="1967" w:type="pct"/>
            <w:vAlign w:val="center"/>
          </w:tcPr>
          <w:p w14:paraId="183638FD">
            <w:pPr>
              <w:wordWrap w:val="0"/>
              <w:jc w:val="center"/>
              <w:rPr>
                <w:rFonts w:hint="default" w:ascii="宋体" w:hAnsi="宋体" w:eastAsia="宋体" w:cs="宋体"/>
                <w:color w:val="auto"/>
                <w:szCs w:val="21"/>
                <w:highlight w:val="none"/>
                <w:lang w:val="en-US" w:eastAsia="zh-CN"/>
              </w:rPr>
            </w:pPr>
          </w:p>
        </w:tc>
        <w:tc>
          <w:tcPr>
            <w:tcW w:w="1439" w:type="pct"/>
            <w:vAlign w:val="center"/>
          </w:tcPr>
          <w:p w14:paraId="02A6909C">
            <w:pPr>
              <w:wordWrap w:val="0"/>
              <w:jc w:val="center"/>
              <w:rPr>
                <w:rFonts w:ascii="宋体" w:hAnsi="宋体" w:cs="宋体"/>
                <w:color w:val="auto"/>
                <w:szCs w:val="21"/>
                <w:highlight w:val="none"/>
              </w:rPr>
            </w:pPr>
          </w:p>
        </w:tc>
        <w:tc>
          <w:tcPr>
            <w:tcW w:w="1199" w:type="pct"/>
            <w:vAlign w:val="center"/>
          </w:tcPr>
          <w:p w14:paraId="6B9018D6">
            <w:pPr>
              <w:wordWrap w:val="0"/>
              <w:jc w:val="center"/>
              <w:rPr>
                <w:rFonts w:ascii="宋体" w:hAnsi="宋体" w:cs="宋体"/>
                <w:color w:val="auto"/>
                <w:szCs w:val="21"/>
                <w:highlight w:val="none"/>
              </w:rPr>
            </w:pPr>
          </w:p>
        </w:tc>
      </w:tr>
      <w:tr w14:paraId="1EB5E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4" w:type="pct"/>
            <w:vAlign w:val="center"/>
          </w:tcPr>
          <w:p w14:paraId="792D9E5E">
            <w:pPr>
              <w:wordWrap w:val="0"/>
              <w:jc w:val="center"/>
              <w:rPr>
                <w:rFonts w:ascii="宋体" w:hAnsi="宋体" w:cs="宋体"/>
                <w:color w:val="auto"/>
                <w:szCs w:val="21"/>
                <w:highlight w:val="none"/>
              </w:rPr>
            </w:pPr>
            <w:r>
              <w:rPr>
                <w:rFonts w:hint="eastAsia" w:ascii="宋体" w:hAnsi="宋体" w:cs="宋体"/>
                <w:color w:val="auto"/>
                <w:szCs w:val="21"/>
                <w:highlight w:val="none"/>
              </w:rPr>
              <w:t>2</w:t>
            </w:r>
          </w:p>
        </w:tc>
        <w:tc>
          <w:tcPr>
            <w:tcW w:w="1967" w:type="pct"/>
            <w:vAlign w:val="center"/>
          </w:tcPr>
          <w:p w14:paraId="48565292">
            <w:pPr>
              <w:wordWrap w:val="0"/>
              <w:jc w:val="center"/>
              <w:rPr>
                <w:rFonts w:hint="default" w:ascii="宋体" w:hAnsi="宋体" w:cs="宋体"/>
                <w:color w:val="auto"/>
                <w:szCs w:val="21"/>
                <w:highlight w:val="none"/>
                <w:lang w:val="en-US"/>
              </w:rPr>
            </w:pPr>
          </w:p>
        </w:tc>
        <w:tc>
          <w:tcPr>
            <w:tcW w:w="1439" w:type="pct"/>
            <w:vAlign w:val="center"/>
          </w:tcPr>
          <w:p w14:paraId="162F0F32">
            <w:pPr>
              <w:wordWrap w:val="0"/>
              <w:jc w:val="center"/>
              <w:rPr>
                <w:rFonts w:ascii="宋体" w:hAnsi="宋体" w:cs="宋体"/>
                <w:color w:val="auto"/>
                <w:szCs w:val="21"/>
                <w:highlight w:val="none"/>
              </w:rPr>
            </w:pPr>
          </w:p>
        </w:tc>
        <w:tc>
          <w:tcPr>
            <w:tcW w:w="1199" w:type="pct"/>
            <w:vAlign w:val="center"/>
          </w:tcPr>
          <w:p w14:paraId="1C5C2EBD">
            <w:pPr>
              <w:wordWrap w:val="0"/>
              <w:jc w:val="center"/>
              <w:rPr>
                <w:rFonts w:ascii="宋体" w:hAnsi="宋体" w:cs="宋体"/>
                <w:color w:val="auto"/>
                <w:szCs w:val="21"/>
                <w:highlight w:val="none"/>
              </w:rPr>
            </w:pPr>
          </w:p>
        </w:tc>
      </w:tr>
      <w:tr w14:paraId="1C696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4" w:type="pct"/>
            <w:vAlign w:val="center"/>
          </w:tcPr>
          <w:p w14:paraId="7D140CC7">
            <w:pPr>
              <w:wordWrap w:val="0"/>
              <w:jc w:val="center"/>
              <w:rPr>
                <w:rFonts w:ascii="宋体" w:hAnsi="宋体" w:cs="宋体"/>
                <w:color w:val="auto"/>
                <w:szCs w:val="21"/>
                <w:highlight w:val="none"/>
              </w:rPr>
            </w:pPr>
            <w:r>
              <w:rPr>
                <w:rFonts w:hint="eastAsia" w:ascii="宋体" w:hAnsi="宋体" w:cs="宋体"/>
                <w:color w:val="auto"/>
                <w:szCs w:val="21"/>
                <w:highlight w:val="none"/>
              </w:rPr>
              <w:t>3</w:t>
            </w:r>
          </w:p>
        </w:tc>
        <w:tc>
          <w:tcPr>
            <w:tcW w:w="1967" w:type="pct"/>
            <w:vAlign w:val="center"/>
          </w:tcPr>
          <w:p w14:paraId="78FAD103">
            <w:pPr>
              <w:wordWrap w:val="0"/>
              <w:jc w:val="center"/>
              <w:rPr>
                <w:rFonts w:hint="default" w:ascii="宋体" w:hAnsi="宋体" w:cs="宋体"/>
                <w:color w:val="auto"/>
                <w:szCs w:val="21"/>
                <w:highlight w:val="none"/>
                <w:lang w:val="en-US"/>
              </w:rPr>
            </w:pPr>
          </w:p>
        </w:tc>
        <w:tc>
          <w:tcPr>
            <w:tcW w:w="1439" w:type="pct"/>
            <w:vAlign w:val="center"/>
          </w:tcPr>
          <w:p w14:paraId="2C81CEB4">
            <w:pPr>
              <w:wordWrap w:val="0"/>
              <w:jc w:val="center"/>
              <w:rPr>
                <w:rFonts w:ascii="宋体" w:hAnsi="宋体" w:cs="宋体"/>
                <w:color w:val="auto"/>
                <w:szCs w:val="21"/>
                <w:highlight w:val="none"/>
              </w:rPr>
            </w:pPr>
          </w:p>
        </w:tc>
        <w:tc>
          <w:tcPr>
            <w:tcW w:w="1199" w:type="pct"/>
            <w:vAlign w:val="center"/>
          </w:tcPr>
          <w:p w14:paraId="78A4B1EF">
            <w:pPr>
              <w:wordWrap w:val="0"/>
              <w:jc w:val="center"/>
              <w:rPr>
                <w:rFonts w:ascii="宋体" w:hAnsi="宋体" w:cs="宋体"/>
                <w:color w:val="auto"/>
                <w:szCs w:val="21"/>
                <w:highlight w:val="none"/>
              </w:rPr>
            </w:pPr>
          </w:p>
        </w:tc>
      </w:tr>
      <w:tr w14:paraId="2FCC7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4" w:type="pct"/>
            <w:vAlign w:val="center"/>
          </w:tcPr>
          <w:p w14:paraId="0ACF6ACB">
            <w:pPr>
              <w:wordWrap w:val="0"/>
              <w:jc w:val="center"/>
              <w:rPr>
                <w:rFonts w:ascii="宋体" w:hAnsi="宋体" w:cs="宋体"/>
                <w:color w:val="auto"/>
                <w:szCs w:val="21"/>
                <w:highlight w:val="none"/>
              </w:rPr>
            </w:pPr>
            <w:r>
              <w:rPr>
                <w:rFonts w:hint="eastAsia" w:ascii="宋体" w:hAnsi="宋体" w:cs="宋体"/>
                <w:color w:val="auto"/>
                <w:szCs w:val="21"/>
                <w:highlight w:val="none"/>
              </w:rPr>
              <w:t>4</w:t>
            </w:r>
          </w:p>
        </w:tc>
        <w:tc>
          <w:tcPr>
            <w:tcW w:w="1967" w:type="pct"/>
            <w:vAlign w:val="center"/>
          </w:tcPr>
          <w:p w14:paraId="77C5EDD6">
            <w:pPr>
              <w:wordWrap w:val="0"/>
              <w:jc w:val="center"/>
              <w:rPr>
                <w:rFonts w:hint="default" w:ascii="宋体" w:hAnsi="宋体" w:cs="宋体"/>
                <w:color w:val="auto"/>
                <w:szCs w:val="21"/>
                <w:highlight w:val="none"/>
                <w:lang w:val="en-US"/>
              </w:rPr>
            </w:pPr>
          </w:p>
        </w:tc>
        <w:tc>
          <w:tcPr>
            <w:tcW w:w="1439" w:type="pct"/>
            <w:vAlign w:val="center"/>
          </w:tcPr>
          <w:p w14:paraId="4AD7CC32">
            <w:pPr>
              <w:wordWrap w:val="0"/>
              <w:jc w:val="center"/>
              <w:rPr>
                <w:rFonts w:ascii="宋体" w:hAnsi="宋体" w:cs="宋体"/>
                <w:color w:val="auto"/>
                <w:szCs w:val="21"/>
                <w:highlight w:val="none"/>
              </w:rPr>
            </w:pPr>
          </w:p>
        </w:tc>
        <w:tc>
          <w:tcPr>
            <w:tcW w:w="1199" w:type="pct"/>
            <w:vAlign w:val="center"/>
          </w:tcPr>
          <w:p w14:paraId="4F0CB78C">
            <w:pPr>
              <w:wordWrap w:val="0"/>
              <w:jc w:val="center"/>
              <w:rPr>
                <w:rFonts w:ascii="宋体" w:hAnsi="宋体" w:cs="宋体"/>
                <w:color w:val="auto"/>
                <w:szCs w:val="21"/>
                <w:highlight w:val="none"/>
              </w:rPr>
            </w:pPr>
          </w:p>
        </w:tc>
      </w:tr>
      <w:tr w14:paraId="11D9E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4" w:type="pct"/>
            <w:vAlign w:val="center"/>
          </w:tcPr>
          <w:p w14:paraId="1FAF5FCB">
            <w:pPr>
              <w:wordWrap w:val="0"/>
              <w:jc w:val="center"/>
              <w:rPr>
                <w:rFonts w:ascii="宋体" w:hAnsi="宋体" w:cs="宋体"/>
                <w:color w:val="auto"/>
                <w:szCs w:val="21"/>
                <w:highlight w:val="none"/>
              </w:rPr>
            </w:pPr>
            <w:r>
              <w:rPr>
                <w:rFonts w:hint="eastAsia" w:ascii="宋体" w:hAnsi="宋体" w:cs="宋体"/>
                <w:color w:val="auto"/>
                <w:szCs w:val="21"/>
                <w:highlight w:val="none"/>
              </w:rPr>
              <w:t>5</w:t>
            </w:r>
          </w:p>
        </w:tc>
        <w:tc>
          <w:tcPr>
            <w:tcW w:w="1967" w:type="pct"/>
            <w:vAlign w:val="center"/>
          </w:tcPr>
          <w:p w14:paraId="1CF5F69A">
            <w:pPr>
              <w:wordWrap w:val="0"/>
              <w:jc w:val="center"/>
              <w:rPr>
                <w:rFonts w:hint="default" w:ascii="宋体" w:hAnsi="宋体" w:cs="宋体"/>
                <w:color w:val="auto"/>
                <w:szCs w:val="21"/>
                <w:highlight w:val="none"/>
                <w:lang w:val="en-US"/>
              </w:rPr>
            </w:pPr>
          </w:p>
        </w:tc>
        <w:tc>
          <w:tcPr>
            <w:tcW w:w="1439" w:type="pct"/>
            <w:vAlign w:val="center"/>
          </w:tcPr>
          <w:p w14:paraId="5AD09F44">
            <w:pPr>
              <w:wordWrap w:val="0"/>
              <w:jc w:val="center"/>
              <w:rPr>
                <w:rFonts w:ascii="宋体" w:hAnsi="宋体" w:cs="宋体"/>
                <w:color w:val="auto"/>
                <w:szCs w:val="21"/>
                <w:highlight w:val="none"/>
              </w:rPr>
            </w:pPr>
          </w:p>
        </w:tc>
        <w:tc>
          <w:tcPr>
            <w:tcW w:w="1199" w:type="pct"/>
            <w:vAlign w:val="center"/>
          </w:tcPr>
          <w:p w14:paraId="29874C01">
            <w:pPr>
              <w:wordWrap w:val="0"/>
              <w:jc w:val="center"/>
              <w:rPr>
                <w:rFonts w:ascii="宋体" w:hAnsi="宋体" w:cs="宋体"/>
                <w:color w:val="auto"/>
                <w:szCs w:val="21"/>
                <w:highlight w:val="none"/>
              </w:rPr>
            </w:pPr>
          </w:p>
        </w:tc>
      </w:tr>
      <w:tr w14:paraId="37118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4" w:type="pct"/>
            <w:vAlign w:val="center"/>
          </w:tcPr>
          <w:p w14:paraId="244E0945">
            <w:pPr>
              <w:wordWrap w:val="0"/>
              <w:jc w:val="center"/>
              <w:rPr>
                <w:rFonts w:ascii="宋体" w:hAnsi="宋体" w:cs="宋体"/>
                <w:color w:val="auto"/>
                <w:szCs w:val="21"/>
                <w:highlight w:val="none"/>
              </w:rPr>
            </w:pPr>
            <w:r>
              <w:rPr>
                <w:rFonts w:hint="eastAsia" w:ascii="宋体" w:hAnsi="宋体" w:cs="宋体"/>
                <w:color w:val="auto"/>
                <w:szCs w:val="21"/>
                <w:highlight w:val="none"/>
              </w:rPr>
              <w:t>6</w:t>
            </w:r>
          </w:p>
        </w:tc>
        <w:tc>
          <w:tcPr>
            <w:tcW w:w="1967" w:type="pct"/>
            <w:vAlign w:val="center"/>
          </w:tcPr>
          <w:p w14:paraId="6F83480D">
            <w:pPr>
              <w:wordWrap w:val="0"/>
              <w:jc w:val="center"/>
              <w:rPr>
                <w:rFonts w:hint="default" w:ascii="宋体" w:hAnsi="宋体" w:cs="宋体"/>
                <w:color w:val="auto"/>
                <w:szCs w:val="21"/>
                <w:highlight w:val="none"/>
                <w:lang w:val="en-US"/>
              </w:rPr>
            </w:pPr>
          </w:p>
        </w:tc>
        <w:tc>
          <w:tcPr>
            <w:tcW w:w="1439" w:type="pct"/>
            <w:vAlign w:val="center"/>
          </w:tcPr>
          <w:p w14:paraId="1F4D430F">
            <w:pPr>
              <w:wordWrap w:val="0"/>
              <w:jc w:val="center"/>
              <w:rPr>
                <w:rFonts w:ascii="宋体" w:hAnsi="宋体" w:cs="宋体"/>
                <w:color w:val="auto"/>
                <w:szCs w:val="21"/>
                <w:highlight w:val="none"/>
              </w:rPr>
            </w:pPr>
          </w:p>
          <w:p w14:paraId="206A24AA">
            <w:pPr>
              <w:rPr>
                <w:color w:val="auto"/>
                <w:highlight w:val="none"/>
              </w:rPr>
            </w:pPr>
          </w:p>
        </w:tc>
        <w:tc>
          <w:tcPr>
            <w:tcW w:w="1199" w:type="pct"/>
            <w:vAlign w:val="center"/>
          </w:tcPr>
          <w:p w14:paraId="1E4E75A3">
            <w:pPr>
              <w:wordWrap w:val="0"/>
              <w:jc w:val="center"/>
              <w:rPr>
                <w:rFonts w:ascii="宋体" w:hAnsi="宋体" w:cs="宋体"/>
                <w:color w:val="auto"/>
                <w:szCs w:val="21"/>
                <w:highlight w:val="none"/>
              </w:rPr>
            </w:pPr>
          </w:p>
        </w:tc>
      </w:tr>
    </w:tbl>
    <w:p w14:paraId="0A53E85F">
      <w:pPr>
        <w:wordWrap w:val="0"/>
        <w:adjustRightInd w:val="0"/>
        <w:snapToGrid w:val="0"/>
        <w:rPr>
          <w:rFonts w:hint="eastAsia" w:hAnsi="宋体" w:cs="宋体"/>
          <w:color w:val="auto"/>
          <w:szCs w:val="21"/>
          <w:highlight w:val="none"/>
          <w:u w:val="single"/>
        </w:rPr>
      </w:pPr>
    </w:p>
    <w:p w14:paraId="1490252D">
      <w:pPr>
        <w:wordWrap w:val="0"/>
        <w:adjustRightInd w:val="0"/>
        <w:snapToGrid w:val="0"/>
        <w:rPr>
          <w:rFonts w:hint="eastAsia" w:hAnsi="宋体" w:cs="宋体"/>
          <w:color w:val="auto"/>
          <w:szCs w:val="21"/>
          <w:highlight w:val="none"/>
          <w:u w:val="single"/>
        </w:rPr>
      </w:pPr>
    </w:p>
    <w:p w14:paraId="3302B57D">
      <w:pPr>
        <w:wordWrap w:val="0"/>
        <w:spacing w:line="360" w:lineRule="auto"/>
        <w:rPr>
          <w:rFonts w:hAnsi="宋体" w:cs="宋体"/>
          <w:b/>
          <w:color w:val="auto"/>
          <w:szCs w:val="21"/>
          <w:highlight w:val="none"/>
        </w:rPr>
      </w:pPr>
      <w:r>
        <w:rPr>
          <w:rFonts w:hint="eastAsia" w:hAnsi="宋体" w:cs="宋体"/>
          <w:b/>
          <w:color w:val="auto"/>
          <w:szCs w:val="21"/>
          <w:highlight w:val="none"/>
        </w:rPr>
        <w:t>备注：</w:t>
      </w:r>
    </w:p>
    <w:p w14:paraId="55546F9A">
      <w:pPr>
        <w:wordWrap w:val="0"/>
        <w:spacing w:line="360" w:lineRule="auto"/>
        <w:rPr>
          <w:rFonts w:hAnsi="宋体" w:cs="宋体"/>
          <w:b/>
          <w:color w:val="auto"/>
          <w:szCs w:val="21"/>
          <w:highlight w:val="none"/>
        </w:rPr>
      </w:pPr>
      <w:r>
        <w:rPr>
          <w:rFonts w:hint="eastAsia" w:hAnsi="宋体" w:cs="宋体"/>
          <w:b/>
          <w:color w:val="auto"/>
          <w:szCs w:val="21"/>
          <w:highlight w:val="none"/>
        </w:rPr>
        <w:t>1、“招标文件实质性条款号及内容”栏中所列内容均为实质性条款，投标文件对实质性条款的响应存在缺项、漏项或者任意一项不响应招标文件的，投标将被否决。</w:t>
      </w:r>
    </w:p>
    <w:p w14:paraId="60A79DD8">
      <w:pPr>
        <w:wordWrap w:val="0"/>
        <w:spacing w:line="360" w:lineRule="auto"/>
        <w:rPr>
          <w:rFonts w:hAnsi="宋体" w:cs="宋体"/>
          <w:color w:val="auto"/>
          <w:szCs w:val="21"/>
          <w:highlight w:val="none"/>
        </w:rPr>
      </w:pPr>
      <w:r>
        <w:rPr>
          <w:rFonts w:hint="eastAsia" w:hAnsi="宋体" w:cs="宋体"/>
          <w:b/>
          <w:color w:val="auto"/>
          <w:szCs w:val="21"/>
          <w:highlight w:val="none"/>
        </w:rPr>
        <w:t>2、“投标文件响应条款号及内容”格式可以自行扩展，如需附页，附页内容须加盖投标人单位公章。</w:t>
      </w:r>
    </w:p>
    <w:p w14:paraId="7CA29C77">
      <w:pPr>
        <w:wordWrap w:val="0"/>
        <w:spacing w:line="360" w:lineRule="auto"/>
        <w:rPr>
          <w:rFonts w:hAnsi="宋体" w:cs="宋体"/>
          <w:color w:val="auto"/>
          <w:szCs w:val="21"/>
          <w:highlight w:val="none"/>
        </w:rPr>
      </w:pPr>
    </w:p>
    <w:p w14:paraId="00CD5C1E">
      <w:pPr>
        <w:wordWrap w:val="0"/>
        <w:spacing w:line="360" w:lineRule="auto"/>
        <w:rPr>
          <w:rFonts w:hAnsi="宋体" w:cs="宋体"/>
          <w:color w:val="auto"/>
          <w:szCs w:val="21"/>
          <w:highlight w:val="none"/>
        </w:rPr>
      </w:pPr>
    </w:p>
    <w:p w14:paraId="09A7CEE8">
      <w:pPr>
        <w:pStyle w:val="63"/>
        <w:wordWrap w:val="0"/>
        <w:rPr>
          <w:color w:val="auto"/>
          <w:highlight w:val="none"/>
        </w:rPr>
      </w:pPr>
    </w:p>
    <w:p w14:paraId="7E4B223B">
      <w:pPr>
        <w:wordWrap w:val="0"/>
        <w:spacing w:line="360" w:lineRule="auto"/>
        <w:rPr>
          <w:rFonts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62FA6A05">
      <w:pPr>
        <w:tabs>
          <w:tab w:val="center" w:pos="4365"/>
        </w:tabs>
        <w:wordWrap w:val="0"/>
        <w:spacing w:line="360" w:lineRule="auto"/>
        <w:rPr>
          <w:rFonts w:hAnsi="宋体" w:cs="宋体"/>
          <w:color w:val="auto"/>
          <w:szCs w:val="21"/>
          <w:highlight w:val="none"/>
        </w:r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59C75A63">
      <w:pPr>
        <w:wordWrap/>
        <w:spacing w:before="0" w:line="240" w:lineRule="auto"/>
        <w:jc w:val="left"/>
        <w:outlineLvl w:val="9"/>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2FBED2F6">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十、商务和技术偏差表</w:t>
      </w:r>
    </w:p>
    <w:p w14:paraId="70AAEBF1">
      <w:pPr>
        <w:wordWrap w:val="0"/>
        <w:adjustRightInd w:val="0"/>
        <w:snapToGrid w:val="0"/>
        <w:spacing w:line="360" w:lineRule="auto"/>
        <w:rPr>
          <w:rFonts w:hint="eastAsia" w:ascii="宋体" w:hAnsi="宋体" w:eastAsia="宋体"/>
          <w:b/>
          <w:color w:val="auto"/>
          <w:szCs w:val="21"/>
          <w:highlight w:val="none"/>
          <w:lang w:eastAsia="zh-CN"/>
        </w:rPr>
      </w:pPr>
      <w:r>
        <w:rPr>
          <w:rFonts w:hint="eastAsia" w:hAnsi="宋体" w:cs="宋体"/>
          <w:b/>
          <w:bCs/>
          <w:color w:val="auto"/>
          <w:szCs w:val="21"/>
          <w:highlight w:val="none"/>
        </w:rPr>
        <w:t>项目名称：</w:t>
      </w:r>
      <w:r>
        <w:rPr>
          <w:rFonts w:hint="eastAsia" w:ascii="宋体" w:hAnsi="宋体" w:cs="宋体"/>
          <w:b/>
          <w:bCs/>
          <w:color w:val="auto"/>
          <w:szCs w:val="21"/>
          <w:highlight w:val="none"/>
          <w:lang w:eastAsia="zh-CN"/>
        </w:rPr>
        <w:t>2025年长沙穗城轨道交通有限公司年度员工体检项目</w:t>
      </w:r>
    </w:p>
    <w:tbl>
      <w:tblPr>
        <w:tblStyle w:val="6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31"/>
        <w:gridCol w:w="3251"/>
        <w:gridCol w:w="3407"/>
        <w:gridCol w:w="1134"/>
        <w:gridCol w:w="1029"/>
      </w:tblGrid>
      <w:tr w14:paraId="1191D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exact"/>
        </w:trPr>
        <w:tc>
          <w:tcPr>
            <w:tcW w:w="477" w:type="pct"/>
            <w:vAlign w:val="center"/>
          </w:tcPr>
          <w:p w14:paraId="49DBCC60">
            <w:pPr>
              <w:wordWrap w:val="0"/>
              <w:jc w:val="center"/>
              <w:rPr>
                <w:rFonts w:ascii="Calibri" w:hAnsi="Calibri"/>
                <w:b/>
                <w:color w:val="auto"/>
                <w:sz w:val="22"/>
                <w:szCs w:val="22"/>
                <w:highlight w:val="none"/>
              </w:rPr>
            </w:pPr>
            <w:r>
              <w:rPr>
                <w:rFonts w:hint="eastAsia" w:ascii="Calibri" w:hAnsi="Calibri"/>
                <w:b/>
                <w:color w:val="auto"/>
                <w:sz w:val="22"/>
                <w:szCs w:val="22"/>
                <w:highlight w:val="none"/>
              </w:rPr>
              <w:t>序号</w:t>
            </w:r>
          </w:p>
        </w:tc>
        <w:tc>
          <w:tcPr>
            <w:tcW w:w="1666" w:type="pct"/>
            <w:vAlign w:val="center"/>
          </w:tcPr>
          <w:p w14:paraId="3153532D">
            <w:pPr>
              <w:wordWrap w:val="0"/>
              <w:jc w:val="center"/>
              <w:rPr>
                <w:rFonts w:ascii="Calibri" w:hAnsi="Calibri"/>
                <w:b/>
                <w:color w:val="auto"/>
                <w:sz w:val="22"/>
                <w:szCs w:val="22"/>
                <w:highlight w:val="none"/>
              </w:rPr>
            </w:pPr>
            <w:r>
              <w:rPr>
                <w:rFonts w:hint="eastAsia" w:ascii="Calibri" w:hAnsi="Calibri"/>
                <w:b/>
                <w:color w:val="auto"/>
                <w:sz w:val="22"/>
                <w:szCs w:val="22"/>
                <w:highlight w:val="none"/>
              </w:rPr>
              <w:t>招标文件章节及条款号</w:t>
            </w:r>
          </w:p>
        </w:tc>
        <w:tc>
          <w:tcPr>
            <w:tcW w:w="1746" w:type="pct"/>
            <w:vAlign w:val="center"/>
          </w:tcPr>
          <w:p w14:paraId="1C7B32CC">
            <w:pPr>
              <w:wordWrap w:val="0"/>
              <w:jc w:val="center"/>
              <w:rPr>
                <w:rFonts w:ascii="Calibri" w:hAnsi="Calibri"/>
                <w:b/>
                <w:color w:val="auto"/>
                <w:sz w:val="22"/>
                <w:szCs w:val="22"/>
                <w:highlight w:val="none"/>
              </w:rPr>
            </w:pPr>
            <w:r>
              <w:rPr>
                <w:rFonts w:hint="eastAsia" w:ascii="Calibri" w:hAnsi="Calibri"/>
                <w:b/>
                <w:color w:val="auto"/>
                <w:sz w:val="22"/>
                <w:szCs w:val="22"/>
                <w:highlight w:val="none"/>
              </w:rPr>
              <w:t>投标文件章节及条款号</w:t>
            </w:r>
          </w:p>
        </w:tc>
        <w:tc>
          <w:tcPr>
            <w:tcW w:w="581" w:type="pct"/>
            <w:tcBorders>
              <w:right w:val="single" w:color="auto" w:sz="4" w:space="0"/>
            </w:tcBorders>
            <w:vAlign w:val="center"/>
          </w:tcPr>
          <w:p w14:paraId="566C597E">
            <w:pPr>
              <w:wordWrap w:val="0"/>
              <w:jc w:val="center"/>
              <w:rPr>
                <w:rFonts w:ascii="Calibri" w:hAnsi="Calibri"/>
                <w:b/>
                <w:color w:val="auto"/>
                <w:sz w:val="22"/>
                <w:szCs w:val="22"/>
                <w:highlight w:val="none"/>
              </w:rPr>
            </w:pPr>
            <w:r>
              <w:rPr>
                <w:rFonts w:hint="eastAsia" w:ascii="Calibri" w:hAnsi="Calibri"/>
                <w:b/>
                <w:color w:val="auto"/>
                <w:sz w:val="22"/>
                <w:szCs w:val="22"/>
                <w:highlight w:val="none"/>
              </w:rPr>
              <w:t>响应/偏差</w:t>
            </w:r>
          </w:p>
        </w:tc>
        <w:tc>
          <w:tcPr>
            <w:tcW w:w="527" w:type="pct"/>
            <w:tcBorders>
              <w:left w:val="single" w:color="auto" w:sz="4" w:space="0"/>
            </w:tcBorders>
            <w:vAlign w:val="center"/>
          </w:tcPr>
          <w:p w14:paraId="112A0185">
            <w:pPr>
              <w:wordWrap w:val="0"/>
              <w:jc w:val="center"/>
              <w:rPr>
                <w:rFonts w:ascii="Calibri" w:hAnsi="Calibri"/>
                <w:b/>
                <w:color w:val="auto"/>
                <w:sz w:val="22"/>
                <w:szCs w:val="22"/>
                <w:highlight w:val="none"/>
              </w:rPr>
            </w:pPr>
            <w:r>
              <w:rPr>
                <w:rFonts w:hint="eastAsia" w:ascii="Calibri" w:hAnsi="Calibri"/>
                <w:b/>
                <w:color w:val="auto"/>
                <w:sz w:val="22"/>
                <w:szCs w:val="22"/>
                <w:highlight w:val="none"/>
              </w:rPr>
              <w:t>说明</w:t>
            </w:r>
          </w:p>
        </w:tc>
      </w:tr>
      <w:tr w14:paraId="28D32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477" w:type="pct"/>
            <w:vAlign w:val="center"/>
          </w:tcPr>
          <w:p w14:paraId="3B77785D">
            <w:pPr>
              <w:wordWrap w:val="0"/>
              <w:rPr>
                <w:rFonts w:ascii="Calibri" w:hAnsi="Calibri"/>
                <w:color w:val="auto"/>
                <w:sz w:val="22"/>
                <w:szCs w:val="22"/>
                <w:highlight w:val="none"/>
              </w:rPr>
            </w:pPr>
          </w:p>
          <w:p w14:paraId="7E9819F3">
            <w:pPr>
              <w:wordWrap w:val="0"/>
              <w:rPr>
                <w:rFonts w:ascii="Calibri" w:hAnsi="Calibri"/>
                <w:color w:val="auto"/>
                <w:sz w:val="22"/>
                <w:szCs w:val="22"/>
                <w:highlight w:val="none"/>
              </w:rPr>
            </w:pPr>
          </w:p>
        </w:tc>
        <w:tc>
          <w:tcPr>
            <w:tcW w:w="1666" w:type="pct"/>
            <w:vAlign w:val="center"/>
          </w:tcPr>
          <w:p w14:paraId="7F8E9BFC">
            <w:pPr>
              <w:wordWrap w:val="0"/>
              <w:rPr>
                <w:rFonts w:ascii="Calibri" w:hAnsi="Calibri"/>
                <w:color w:val="auto"/>
                <w:sz w:val="22"/>
                <w:szCs w:val="22"/>
                <w:highlight w:val="none"/>
              </w:rPr>
            </w:pPr>
          </w:p>
        </w:tc>
        <w:tc>
          <w:tcPr>
            <w:tcW w:w="1746" w:type="pct"/>
            <w:vAlign w:val="center"/>
          </w:tcPr>
          <w:p w14:paraId="630AADB4">
            <w:pPr>
              <w:wordWrap w:val="0"/>
              <w:rPr>
                <w:rFonts w:ascii="Calibri" w:hAnsi="Calibri"/>
                <w:color w:val="auto"/>
                <w:sz w:val="22"/>
                <w:szCs w:val="22"/>
                <w:highlight w:val="none"/>
              </w:rPr>
            </w:pPr>
          </w:p>
        </w:tc>
        <w:tc>
          <w:tcPr>
            <w:tcW w:w="581" w:type="pct"/>
            <w:tcBorders>
              <w:right w:val="single" w:color="auto" w:sz="4" w:space="0"/>
            </w:tcBorders>
            <w:vAlign w:val="center"/>
          </w:tcPr>
          <w:p w14:paraId="412C8F99">
            <w:pPr>
              <w:wordWrap w:val="0"/>
              <w:rPr>
                <w:rFonts w:ascii="Calibri" w:hAnsi="Calibri"/>
                <w:color w:val="auto"/>
                <w:sz w:val="22"/>
                <w:szCs w:val="22"/>
                <w:highlight w:val="none"/>
              </w:rPr>
            </w:pPr>
          </w:p>
        </w:tc>
        <w:tc>
          <w:tcPr>
            <w:tcW w:w="527" w:type="pct"/>
            <w:tcBorders>
              <w:left w:val="single" w:color="auto" w:sz="4" w:space="0"/>
            </w:tcBorders>
            <w:vAlign w:val="center"/>
          </w:tcPr>
          <w:p w14:paraId="4FF7A4ED">
            <w:pPr>
              <w:wordWrap w:val="0"/>
              <w:rPr>
                <w:rFonts w:ascii="Calibri" w:hAnsi="Calibri"/>
                <w:color w:val="auto"/>
                <w:sz w:val="22"/>
                <w:szCs w:val="22"/>
                <w:highlight w:val="none"/>
              </w:rPr>
            </w:pPr>
          </w:p>
        </w:tc>
      </w:tr>
      <w:tr w14:paraId="074D4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3539DFEA">
            <w:pPr>
              <w:wordWrap w:val="0"/>
              <w:rPr>
                <w:rFonts w:ascii="Calibri" w:hAnsi="Calibri"/>
                <w:color w:val="auto"/>
                <w:sz w:val="22"/>
                <w:szCs w:val="22"/>
                <w:highlight w:val="none"/>
              </w:rPr>
            </w:pPr>
          </w:p>
          <w:p w14:paraId="554CDC07">
            <w:pPr>
              <w:wordWrap w:val="0"/>
              <w:rPr>
                <w:rFonts w:ascii="Calibri" w:hAnsi="Calibri"/>
                <w:color w:val="auto"/>
                <w:sz w:val="22"/>
                <w:szCs w:val="22"/>
                <w:highlight w:val="none"/>
              </w:rPr>
            </w:pPr>
          </w:p>
        </w:tc>
        <w:tc>
          <w:tcPr>
            <w:tcW w:w="1666" w:type="pct"/>
            <w:vAlign w:val="center"/>
          </w:tcPr>
          <w:p w14:paraId="1BE4C915">
            <w:pPr>
              <w:wordWrap w:val="0"/>
              <w:rPr>
                <w:rFonts w:ascii="Calibri" w:hAnsi="Calibri"/>
                <w:color w:val="auto"/>
                <w:sz w:val="22"/>
                <w:szCs w:val="22"/>
                <w:highlight w:val="none"/>
              </w:rPr>
            </w:pPr>
          </w:p>
        </w:tc>
        <w:tc>
          <w:tcPr>
            <w:tcW w:w="1746" w:type="pct"/>
            <w:vAlign w:val="center"/>
          </w:tcPr>
          <w:p w14:paraId="57D4A24C">
            <w:pPr>
              <w:wordWrap w:val="0"/>
              <w:rPr>
                <w:rFonts w:ascii="Calibri" w:hAnsi="Calibri"/>
                <w:color w:val="auto"/>
                <w:sz w:val="22"/>
                <w:szCs w:val="22"/>
                <w:highlight w:val="none"/>
              </w:rPr>
            </w:pPr>
          </w:p>
        </w:tc>
        <w:tc>
          <w:tcPr>
            <w:tcW w:w="581" w:type="pct"/>
            <w:tcBorders>
              <w:right w:val="single" w:color="auto" w:sz="4" w:space="0"/>
            </w:tcBorders>
            <w:vAlign w:val="center"/>
          </w:tcPr>
          <w:p w14:paraId="75738E45">
            <w:pPr>
              <w:wordWrap w:val="0"/>
              <w:rPr>
                <w:rFonts w:ascii="Calibri" w:hAnsi="Calibri"/>
                <w:color w:val="auto"/>
                <w:sz w:val="22"/>
                <w:szCs w:val="22"/>
                <w:highlight w:val="none"/>
              </w:rPr>
            </w:pPr>
          </w:p>
        </w:tc>
        <w:tc>
          <w:tcPr>
            <w:tcW w:w="527" w:type="pct"/>
            <w:tcBorders>
              <w:left w:val="single" w:color="auto" w:sz="4" w:space="0"/>
            </w:tcBorders>
            <w:vAlign w:val="center"/>
          </w:tcPr>
          <w:p w14:paraId="42187B89">
            <w:pPr>
              <w:wordWrap w:val="0"/>
              <w:rPr>
                <w:rFonts w:ascii="Calibri" w:hAnsi="Calibri"/>
                <w:color w:val="auto"/>
                <w:sz w:val="22"/>
                <w:szCs w:val="22"/>
                <w:highlight w:val="none"/>
              </w:rPr>
            </w:pPr>
          </w:p>
        </w:tc>
      </w:tr>
      <w:tr w14:paraId="7965B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5C026719">
            <w:pPr>
              <w:wordWrap w:val="0"/>
              <w:rPr>
                <w:rFonts w:ascii="Calibri" w:hAnsi="Calibri"/>
                <w:color w:val="auto"/>
                <w:sz w:val="22"/>
                <w:szCs w:val="22"/>
                <w:highlight w:val="none"/>
              </w:rPr>
            </w:pPr>
          </w:p>
          <w:p w14:paraId="01055736">
            <w:pPr>
              <w:wordWrap w:val="0"/>
              <w:rPr>
                <w:rFonts w:ascii="Calibri" w:hAnsi="Calibri"/>
                <w:color w:val="auto"/>
                <w:sz w:val="22"/>
                <w:szCs w:val="22"/>
                <w:highlight w:val="none"/>
              </w:rPr>
            </w:pPr>
          </w:p>
        </w:tc>
        <w:tc>
          <w:tcPr>
            <w:tcW w:w="1666" w:type="pct"/>
            <w:vAlign w:val="center"/>
          </w:tcPr>
          <w:p w14:paraId="387B4447">
            <w:pPr>
              <w:wordWrap w:val="0"/>
              <w:rPr>
                <w:rFonts w:ascii="Calibri" w:hAnsi="Calibri"/>
                <w:color w:val="auto"/>
                <w:sz w:val="22"/>
                <w:szCs w:val="22"/>
                <w:highlight w:val="none"/>
              </w:rPr>
            </w:pPr>
          </w:p>
        </w:tc>
        <w:tc>
          <w:tcPr>
            <w:tcW w:w="1746" w:type="pct"/>
            <w:vAlign w:val="center"/>
          </w:tcPr>
          <w:p w14:paraId="07A23B0A">
            <w:pPr>
              <w:wordWrap w:val="0"/>
              <w:rPr>
                <w:rFonts w:ascii="Calibri" w:hAnsi="Calibri"/>
                <w:color w:val="auto"/>
                <w:sz w:val="22"/>
                <w:szCs w:val="22"/>
                <w:highlight w:val="none"/>
              </w:rPr>
            </w:pPr>
          </w:p>
        </w:tc>
        <w:tc>
          <w:tcPr>
            <w:tcW w:w="581" w:type="pct"/>
            <w:tcBorders>
              <w:right w:val="single" w:color="auto" w:sz="4" w:space="0"/>
            </w:tcBorders>
            <w:vAlign w:val="center"/>
          </w:tcPr>
          <w:p w14:paraId="06903F52">
            <w:pPr>
              <w:wordWrap w:val="0"/>
              <w:rPr>
                <w:rFonts w:ascii="Calibri" w:hAnsi="Calibri"/>
                <w:color w:val="auto"/>
                <w:sz w:val="22"/>
                <w:szCs w:val="22"/>
                <w:highlight w:val="none"/>
              </w:rPr>
            </w:pPr>
          </w:p>
        </w:tc>
        <w:tc>
          <w:tcPr>
            <w:tcW w:w="527" w:type="pct"/>
            <w:tcBorders>
              <w:left w:val="single" w:color="auto" w:sz="4" w:space="0"/>
            </w:tcBorders>
            <w:vAlign w:val="center"/>
          </w:tcPr>
          <w:p w14:paraId="2651A429">
            <w:pPr>
              <w:wordWrap w:val="0"/>
              <w:rPr>
                <w:rFonts w:ascii="Calibri" w:hAnsi="Calibri"/>
                <w:color w:val="auto"/>
                <w:sz w:val="22"/>
                <w:szCs w:val="22"/>
                <w:highlight w:val="none"/>
              </w:rPr>
            </w:pPr>
          </w:p>
        </w:tc>
      </w:tr>
      <w:tr w14:paraId="23769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exact"/>
        </w:trPr>
        <w:tc>
          <w:tcPr>
            <w:tcW w:w="477" w:type="pct"/>
            <w:vAlign w:val="center"/>
          </w:tcPr>
          <w:p w14:paraId="6760ABF4">
            <w:pPr>
              <w:wordWrap w:val="0"/>
              <w:rPr>
                <w:rFonts w:ascii="Calibri" w:hAnsi="Calibri"/>
                <w:color w:val="auto"/>
                <w:sz w:val="22"/>
                <w:szCs w:val="22"/>
                <w:highlight w:val="none"/>
              </w:rPr>
            </w:pPr>
          </w:p>
          <w:p w14:paraId="7C400668">
            <w:pPr>
              <w:wordWrap w:val="0"/>
              <w:rPr>
                <w:rFonts w:ascii="Calibri" w:hAnsi="Calibri"/>
                <w:color w:val="auto"/>
                <w:sz w:val="22"/>
                <w:szCs w:val="22"/>
                <w:highlight w:val="none"/>
              </w:rPr>
            </w:pPr>
          </w:p>
        </w:tc>
        <w:tc>
          <w:tcPr>
            <w:tcW w:w="1666" w:type="pct"/>
            <w:vAlign w:val="center"/>
          </w:tcPr>
          <w:p w14:paraId="6BD48DC9">
            <w:pPr>
              <w:wordWrap w:val="0"/>
              <w:rPr>
                <w:rFonts w:ascii="Calibri" w:hAnsi="Calibri"/>
                <w:color w:val="auto"/>
                <w:sz w:val="22"/>
                <w:szCs w:val="22"/>
                <w:highlight w:val="none"/>
              </w:rPr>
            </w:pPr>
          </w:p>
        </w:tc>
        <w:tc>
          <w:tcPr>
            <w:tcW w:w="1746" w:type="pct"/>
            <w:vAlign w:val="center"/>
          </w:tcPr>
          <w:p w14:paraId="469136FA">
            <w:pPr>
              <w:wordWrap w:val="0"/>
              <w:rPr>
                <w:rFonts w:ascii="Calibri" w:hAnsi="Calibri"/>
                <w:color w:val="auto"/>
                <w:sz w:val="22"/>
                <w:szCs w:val="22"/>
                <w:highlight w:val="none"/>
              </w:rPr>
            </w:pPr>
          </w:p>
        </w:tc>
        <w:tc>
          <w:tcPr>
            <w:tcW w:w="581" w:type="pct"/>
            <w:tcBorders>
              <w:right w:val="single" w:color="auto" w:sz="4" w:space="0"/>
            </w:tcBorders>
            <w:vAlign w:val="center"/>
          </w:tcPr>
          <w:p w14:paraId="1DBFF599">
            <w:pPr>
              <w:wordWrap w:val="0"/>
              <w:rPr>
                <w:rFonts w:ascii="Calibri" w:hAnsi="Calibri"/>
                <w:color w:val="auto"/>
                <w:sz w:val="22"/>
                <w:szCs w:val="22"/>
                <w:highlight w:val="none"/>
              </w:rPr>
            </w:pPr>
          </w:p>
        </w:tc>
        <w:tc>
          <w:tcPr>
            <w:tcW w:w="527" w:type="pct"/>
            <w:tcBorders>
              <w:left w:val="single" w:color="auto" w:sz="4" w:space="0"/>
            </w:tcBorders>
            <w:vAlign w:val="center"/>
          </w:tcPr>
          <w:p w14:paraId="7DEA1910">
            <w:pPr>
              <w:wordWrap w:val="0"/>
              <w:rPr>
                <w:rFonts w:ascii="Calibri" w:hAnsi="Calibri"/>
                <w:color w:val="auto"/>
                <w:sz w:val="22"/>
                <w:szCs w:val="22"/>
                <w:highlight w:val="none"/>
              </w:rPr>
            </w:pPr>
          </w:p>
        </w:tc>
      </w:tr>
      <w:tr w14:paraId="0C7B7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1C81F520">
            <w:pPr>
              <w:wordWrap w:val="0"/>
              <w:rPr>
                <w:rFonts w:ascii="Calibri" w:hAnsi="Calibri"/>
                <w:color w:val="auto"/>
                <w:sz w:val="22"/>
                <w:szCs w:val="22"/>
                <w:highlight w:val="none"/>
              </w:rPr>
            </w:pPr>
          </w:p>
          <w:p w14:paraId="176164F3">
            <w:pPr>
              <w:wordWrap w:val="0"/>
              <w:rPr>
                <w:rFonts w:ascii="Calibri" w:hAnsi="Calibri"/>
                <w:color w:val="auto"/>
                <w:sz w:val="22"/>
                <w:szCs w:val="22"/>
                <w:highlight w:val="none"/>
              </w:rPr>
            </w:pPr>
          </w:p>
        </w:tc>
        <w:tc>
          <w:tcPr>
            <w:tcW w:w="1666" w:type="pct"/>
            <w:vAlign w:val="center"/>
          </w:tcPr>
          <w:p w14:paraId="017C097D">
            <w:pPr>
              <w:wordWrap w:val="0"/>
              <w:rPr>
                <w:rFonts w:ascii="Calibri" w:hAnsi="Calibri"/>
                <w:color w:val="auto"/>
                <w:sz w:val="22"/>
                <w:szCs w:val="22"/>
                <w:highlight w:val="none"/>
              </w:rPr>
            </w:pPr>
          </w:p>
        </w:tc>
        <w:tc>
          <w:tcPr>
            <w:tcW w:w="1746" w:type="pct"/>
            <w:vAlign w:val="center"/>
          </w:tcPr>
          <w:p w14:paraId="2CDF8376">
            <w:pPr>
              <w:wordWrap w:val="0"/>
              <w:rPr>
                <w:rFonts w:ascii="Calibri" w:hAnsi="Calibri"/>
                <w:color w:val="auto"/>
                <w:sz w:val="22"/>
                <w:szCs w:val="22"/>
                <w:highlight w:val="none"/>
              </w:rPr>
            </w:pPr>
          </w:p>
        </w:tc>
        <w:tc>
          <w:tcPr>
            <w:tcW w:w="581" w:type="pct"/>
            <w:tcBorders>
              <w:right w:val="single" w:color="auto" w:sz="4" w:space="0"/>
            </w:tcBorders>
            <w:vAlign w:val="center"/>
          </w:tcPr>
          <w:p w14:paraId="7FDC809F">
            <w:pPr>
              <w:wordWrap w:val="0"/>
              <w:rPr>
                <w:rFonts w:ascii="Calibri" w:hAnsi="Calibri"/>
                <w:color w:val="auto"/>
                <w:sz w:val="22"/>
                <w:szCs w:val="22"/>
                <w:highlight w:val="none"/>
              </w:rPr>
            </w:pPr>
          </w:p>
        </w:tc>
        <w:tc>
          <w:tcPr>
            <w:tcW w:w="527" w:type="pct"/>
            <w:tcBorders>
              <w:left w:val="single" w:color="auto" w:sz="4" w:space="0"/>
            </w:tcBorders>
            <w:vAlign w:val="center"/>
          </w:tcPr>
          <w:p w14:paraId="000BD864">
            <w:pPr>
              <w:wordWrap w:val="0"/>
              <w:rPr>
                <w:rFonts w:ascii="Calibri" w:hAnsi="Calibri"/>
                <w:color w:val="auto"/>
                <w:sz w:val="22"/>
                <w:szCs w:val="22"/>
                <w:highlight w:val="none"/>
              </w:rPr>
            </w:pPr>
          </w:p>
        </w:tc>
      </w:tr>
      <w:tr w14:paraId="5BD9C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6" w:hRule="exact"/>
        </w:trPr>
        <w:tc>
          <w:tcPr>
            <w:tcW w:w="477" w:type="pct"/>
            <w:vAlign w:val="center"/>
          </w:tcPr>
          <w:p w14:paraId="6745AFB3">
            <w:pPr>
              <w:wordWrap w:val="0"/>
              <w:rPr>
                <w:rFonts w:ascii="Calibri" w:hAnsi="Calibri"/>
                <w:color w:val="auto"/>
                <w:sz w:val="22"/>
                <w:szCs w:val="22"/>
                <w:highlight w:val="none"/>
              </w:rPr>
            </w:pPr>
          </w:p>
          <w:p w14:paraId="36246876">
            <w:pPr>
              <w:wordWrap w:val="0"/>
              <w:rPr>
                <w:rFonts w:ascii="Calibri" w:hAnsi="Calibri"/>
                <w:color w:val="auto"/>
                <w:sz w:val="22"/>
                <w:szCs w:val="22"/>
                <w:highlight w:val="none"/>
              </w:rPr>
            </w:pPr>
            <w:r>
              <w:rPr>
                <w:rFonts w:ascii="Calibri" w:hAnsi="Calibri"/>
                <w:color w:val="auto"/>
                <w:sz w:val="22"/>
                <w:szCs w:val="22"/>
                <w:highlight w:val="none"/>
              </w:rPr>
              <w:t>……</w:t>
            </w:r>
          </w:p>
        </w:tc>
        <w:tc>
          <w:tcPr>
            <w:tcW w:w="1666" w:type="pct"/>
            <w:vAlign w:val="center"/>
          </w:tcPr>
          <w:p w14:paraId="23288FC1">
            <w:pPr>
              <w:wordWrap w:val="0"/>
              <w:rPr>
                <w:rFonts w:ascii="Calibri" w:hAnsi="Calibri"/>
                <w:color w:val="auto"/>
                <w:sz w:val="22"/>
                <w:szCs w:val="22"/>
                <w:highlight w:val="none"/>
              </w:rPr>
            </w:pPr>
          </w:p>
        </w:tc>
        <w:tc>
          <w:tcPr>
            <w:tcW w:w="1746" w:type="pct"/>
            <w:vAlign w:val="center"/>
          </w:tcPr>
          <w:p w14:paraId="49E9CCD9">
            <w:pPr>
              <w:wordWrap w:val="0"/>
              <w:rPr>
                <w:rFonts w:ascii="Calibri" w:hAnsi="Calibri"/>
                <w:color w:val="auto"/>
                <w:sz w:val="22"/>
                <w:szCs w:val="22"/>
                <w:highlight w:val="none"/>
              </w:rPr>
            </w:pPr>
          </w:p>
        </w:tc>
        <w:tc>
          <w:tcPr>
            <w:tcW w:w="581" w:type="pct"/>
            <w:tcBorders>
              <w:right w:val="single" w:color="auto" w:sz="4" w:space="0"/>
            </w:tcBorders>
            <w:vAlign w:val="center"/>
          </w:tcPr>
          <w:p w14:paraId="16F06A2A">
            <w:pPr>
              <w:wordWrap w:val="0"/>
              <w:rPr>
                <w:rFonts w:ascii="Calibri" w:hAnsi="Calibri"/>
                <w:color w:val="auto"/>
                <w:sz w:val="22"/>
                <w:szCs w:val="22"/>
                <w:highlight w:val="none"/>
              </w:rPr>
            </w:pPr>
          </w:p>
        </w:tc>
        <w:tc>
          <w:tcPr>
            <w:tcW w:w="527" w:type="pct"/>
            <w:tcBorders>
              <w:left w:val="single" w:color="auto" w:sz="4" w:space="0"/>
            </w:tcBorders>
            <w:vAlign w:val="center"/>
          </w:tcPr>
          <w:p w14:paraId="26C0B530">
            <w:pPr>
              <w:wordWrap w:val="0"/>
              <w:rPr>
                <w:rFonts w:ascii="Calibri" w:hAnsi="Calibri"/>
                <w:color w:val="auto"/>
                <w:sz w:val="22"/>
                <w:szCs w:val="22"/>
                <w:highlight w:val="none"/>
              </w:rPr>
            </w:pPr>
          </w:p>
        </w:tc>
      </w:tr>
    </w:tbl>
    <w:p w14:paraId="67B97EDE">
      <w:pPr>
        <w:wordWrap w:val="0"/>
        <w:spacing w:line="360" w:lineRule="auto"/>
        <w:rPr>
          <w:rFonts w:hAnsi="宋体" w:cs="宋体"/>
          <w:color w:val="auto"/>
          <w:szCs w:val="21"/>
          <w:highlight w:val="none"/>
        </w:rPr>
      </w:pPr>
      <w:r>
        <w:rPr>
          <w:rFonts w:hint="eastAsia" w:hAnsi="宋体" w:cs="宋体"/>
          <w:b/>
          <w:color w:val="auto"/>
          <w:szCs w:val="21"/>
          <w:highlight w:val="none"/>
        </w:rPr>
        <w:t>备注：</w:t>
      </w:r>
      <w:r>
        <w:rPr>
          <w:rFonts w:hint="eastAsia" w:hAnsi="宋体" w:cs="宋体"/>
          <w:color w:val="auto"/>
          <w:szCs w:val="21"/>
          <w:highlight w:val="none"/>
        </w:rPr>
        <w:t>1、按招标文件规定，投标人在本表中仅列明对非实质性要求和条件的有偏差的内容。</w:t>
      </w:r>
    </w:p>
    <w:p w14:paraId="39572935">
      <w:pPr>
        <w:wordWrap w:val="0"/>
        <w:spacing w:line="360" w:lineRule="auto"/>
        <w:ind w:firstLine="630" w:firstLineChars="300"/>
        <w:rPr>
          <w:rFonts w:hAnsi="宋体" w:cs="宋体"/>
          <w:color w:val="auto"/>
          <w:szCs w:val="21"/>
          <w:highlight w:val="none"/>
        </w:rPr>
      </w:pPr>
      <w:r>
        <w:rPr>
          <w:rFonts w:hint="eastAsia" w:hAnsi="宋体" w:cs="宋体"/>
          <w:color w:val="auto"/>
          <w:szCs w:val="21"/>
          <w:highlight w:val="none"/>
        </w:rPr>
        <w:t>2、除本表列明的偏差内容外，视为投标人响应招标文件的全部要求和条件。若投标文件中有偏差内容未在本表中列明的，评标委员会有权</w:t>
      </w:r>
      <w:r>
        <w:rPr>
          <w:rFonts w:hint="eastAsia" w:hAnsi="宋体" w:cs="宋体"/>
          <w:b/>
          <w:bCs/>
          <w:color w:val="auto"/>
          <w:szCs w:val="21"/>
          <w:highlight w:val="none"/>
        </w:rPr>
        <w:t>否决</w:t>
      </w:r>
      <w:r>
        <w:rPr>
          <w:rFonts w:hint="eastAsia" w:hAnsi="宋体" w:cs="宋体"/>
          <w:color w:val="auto"/>
          <w:szCs w:val="21"/>
          <w:highlight w:val="none"/>
        </w:rPr>
        <w:t>其投标或招标人有权取消其中标资格。</w:t>
      </w:r>
    </w:p>
    <w:p w14:paraId="6EB480F3">
      <w:pPr>
        <w:wordWrap w:val="0"/>
        <w:spacing w:line="360" w:lineRule="auto"/>
        <w:ind w:firstLine="630" w:firstLineChars="300"/>
        <w:rPr>
          <w:rFonts w:hAnsi="宋体" w:cs="宋体"/>
          <w:color w:val="auto"/>
          <w:szCs w:val="21"/>
          <w:highlight w:val="none"/>
        </w:rPr>
      </w:pPr>
      <w:r>
        <w:rPr>
          <w:rFonts w:hint="eastAsia" w:hAnsi="宋体" w:cs="宋体"/>
          <w:color w:val="auto"/>
          <w:szCs w:val="21"/>
          <w:highlight w:val="none"/>
        </w:rPr>
        <w:t>3、若投标人完全响应招标文件商务、技术要求，无任何偏差内容，应在本表“偏差说明”中注明“完全响应，无偏差”，其他内容无须填写。</w:t>
      </w:r>
    </w:p>
    <w:p w14:paraId="15F8AA57">
      <w:pPr>
        <w:wordWrap w:val="0"/>
        <w:spacing w:line="360" w:lineRule="auto"/>
        <w:rPr>
          <w:rFonts w:hAnsi="宋体" w:cs="宋体"/>
          <w:color w:val="auto"/>
          <w:szCs w:val="21"/>
          <w:highlight w:val="none"/>
        </w:rPr>
      </w:pPr>
    </w:p>
    <w:p w14:paraId="665271DE">
      <w:pPr>
        <w:wordWrap w:val="0"/>
        <w:spacing w:line="360" w:lineRule="auto"/>
        <w:rPr>
          <w:rFonts w:hAnsi="宋体" w:cs="宋体"/>
          <w:color w:val="auto"/>
          <w:szCs w:val="21"/>
          <w:highlight w:val="none"/>
        </w:rPr>
      </w:pPr>
    </w:p>
    <w:p w14:paraId="38AD1F1F">
      <w:pPr>
        <w:wordWrap w:val="0"/>
        <w:spacing w:line="360" w:lineRule="auto"/>
        <w:rPr>
          <w:rFonts w:hAnsi="宋体" w:cs="宋体"/>
          <w:color w:val="auto"/>
          <w:szCs w:val="21"/>
          <w:highlight w:val="none"/>
        </w:rPr>
      </w:pPr>
    </w:p>
    <w:p w14:paraId="6A6C6D74">
      <w:pPr>
        <w:wordWrap w:val="0"/>
        <w:spacing w:line="360" w:lineRule="auto"/>
        <w:outlineLvl w:val="9"/>
        <w:rPr>
          <w:rFonts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59251263">
      <w:pPr>
        <w:wordWrap w:val="0"/>
        <w:spacing w:line="360" w:lineRule="auto"/>
        <w:jc w:val="both"/>
        <w:outlineLvl w:val="9"/>
        <w:rPr>
          <w:rFonts w:hint="eastAsia" w:hAnsi="宋体" w:cs="宋体"/>
          <w:bCs/>
          <w:color w:val="auto"/>
          <w:szCs w:val="21"/>
          <w:highlight w:val="none"/>
        </w:r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319C0419">
      <w:pPr>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br w:type="page"/>
      </w:r>
    </w:p>
    <w:p w14:paraId="0445E69F">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w:t>
      </w:r>
      <w:r>
        <w:rPr>
          <w:rFonts w:hint="eastAsia" w:ascii="Calibri" w:hAnsi="宋体" w:cs="宋体"/>
          <w:b/>
          <w:snapToGrid w:val="0"/>
          <w:color w:val="auto"/>
          <w:kern w:val="0"/>
          <w:sz w:val="28"/>
          <w:szCs w:val="28"/>
          <w:highlight w:val="none"/>
          <w:lang w:val="en-US" w:eastAsia="zh-CN"/>
        </w:rPr>
        <w:t>一</w:t>
      </w:r>
      <w:r>
        <w:rPr>
          <w:rFonts w:hint="eastAsia" w:ascii="Calibri" w:hAnsi="宋体" w:cs="宋体"/>
          <w:b/>
          <w:snapToGrid w:val="0"/>
          <w:color w:val="auto"/>
          <w:kern w:val="0"/>
          <w:sz w:val="28"/>
          <w:szCs w:val="28"/>
          <w:highlight w:val="none"/>
        </w:rPr>
        <w:t>、</w:t>
      </w:r>
      <w:r>
        <w:rPr>
          <w:rFonts w:hint="eastAsia" w:ascii="Calibri" w:hAnsi="宋体" w:cs="宋体"/>
          <w:b/>
          <w:snapToGrid w:val="0"/>
          <w:color w:val="auto"/>
          <w:kern w:val="0"/>
          <w:sz w:val="28"/>
          <w:szCs w:val="28"/>
          <w:highlight w:val="none"/>
          <w:lang w:val="en-US" w:eastAsia="zh-CN"/>
        </w:rPr>
        <w:t>投标人类似业绩</w:t>
      </w:r>
    </w:p>
    <w:p w14:paraId="43D1723C">
      <w:pPr>
        <w:wordWrap w:val="0"/>
        <w:adjustRightInd w:val="0"/>
        <w:snapToGrid w:val="0"/>
        <w:spacing w:line="360" w:lineRule="auto"/>
        <w:rPr>
          <w:rFonts w:hint="eastAsia" w:ascii="宋体" w:hAnsi="宋体" w:eastAsia="宋体" w:cs="宋体"/>
          <w:b/>
          <w:bCs/>
          <w:color w:val="auto"/>
          <w:szCs w:val="21"/>
          <w:highlight w:val="none"/>
          <w:lang w:eastAsia="zh-CN"/>
        </w:rPr>
      </w:pPr>
      <w:r>
        <w:rPr>
          <w:rFonts w:hint="eastAsia" w:hAnsi="宋体" w:cs="宋体"/>
          <w:b/>
          <w:bCs/>
          <w:color w:val="auto"/>
          <w:szCs w:val="21"/>
          <w:highlight w:val="none"/>
        </w:rPr>
        <w:t>项目名称：</w:t>
      </w:r>
      <w:r>
        <w:rPr>
          <w:rFonts w:hint="eastAsia" w:ascii="宋体" w:hAnsi="宋体" w:cs="宋体"/>
          <w:b/>
          <w:bCs/>
          <w:color w:val="auto"/>
          <w:szCs w:val="21"/>
          <w:highlight w:val="none"/>
          <w:u w:val="single"/>
          <w:lang w:eastAsia="zh-CN"/>
        </w:rPr>
        <w:t>2025年长沙穗城轨道交通有限公司年度员工体检项目</w:t>
      </w:r>
    </w:p>
    <w:tbl>
      <w:tblPr>
        <w:tblStyle w:val="64"/>
        <w:tblW w:w="894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92"/>
        <w:gridCol w:w="2400"/>
        <w:gridCol w:w="2188"/>
        <w:gridCol w:w="1657"/>
        <w:gridCol w:w="1006"/>
      </w:tblGrid>
      <w:tr w14:paraId="4460CB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1692" w:type="dxa"/>
            <w:tcBorders>
              <w:tl2br w:val="nil"/>
              <w:tr2bl w:val="nil"/>
            </w:tcBorders>
            <w:vAlign w:val="center"/>
          </w:tcPr>
          <w:p w14:paraId="4A4ED173">
            <w:pPr>
              <w:ind w:left="315" w:leftChars="0" w:right="-10" w:rightChars="-5" w:hanging="315" w:hangingChars="150"/>
              <w:jc w:val="center"/>
              <w:rPr>
                <w:rFonts w:ascii="Times New Roman" w:hAnsi="宋体" w:eastAsia="宋体" w:cs="宋体"/>
                <w:color w:val="auto"/>
                <w:szCs w:val="21"/>
                <w:highlight w:val="none"/>
              </w:rPr>
            </w:pPr>
            <w:r>
              <w:rPr>
                <w:rFonts w:hint="eastAsia" w:ascii="宋体" w:hAnsi="宋体" w:cs="宋体"/>
                <w:color w:val="auto"/>
                <w:szCs w:val="21"/>
                <w:highlight w:val="none"/>
              </w:rPr>
              <w:t>项目名称</w:t>
            </w:r>
          </w:p>
        </w:tc>
        <w:tc>
          <w:tcPr>
            <w:tcW w:w="2400" w:type="dxa"/>
            <w:tcBorders>
              <w:tl2br w:val="nil"/>
              <w:tr2bl w:val="nil"/>
            </w:tcBorders>
            <w:vAlign w:val="center"/>
          </w:tcPr>
          <w:p w14:paraId="7587E444">
            <w:pPr>
              <w:ind w:left="315" w:leftChars="0" w:right="-10" w:rightChars="-5" w:hanging="315" w:hangingChars="150"/>
              <w:jc w:val="center"/>
              <w:rPr>
                <w:rFonts w:ascii="Times New Roman" w:hAnsi="宋体" w:eastAsia="宋体" w:cs="宋体"/>
                <w:color w:val="auto"/>
                <w:szCs w:val="21"/>
                <w:highlight w:val="none"/>
              </w:rPr>
            </w:pPr>
            <w:r>
              <w:rPr>
                <w:rFonts w:hint="eastAsia" w:hAnsi="宋体" w:cs="宋体"/>
                <w:color w:val="auto"/>
                <w:szCs w:val="21"/>
                <w:highlight w:val="none"/>
              </w:rPr>
              <w:t>招标人名称</w:t>
            </w:r>
          </w:p>
        </w:tc>
        <w:tc>
          <w:tcPr>
            <w:tcW w:w="2188" w:type="dxa"/>
            <w:tcBorders>
              <w:tl2br w:val="nil"/>
              <w:tr2bl w:val="nil"/>
            </w:tcBorders>
            <w:vAlign w:val="center"/>
          </w:tcPr>
          <w:p w14:paraId="5AB48698">
            <w:pPr>
              <w:ind w:left="315" w:leftChars="0" w:right="-10" w:rightChars="-5" w:hanging="315" w:hangingChars="150"/>
              <w:jc w:val="center"/>
              <w:rPr>
                <w:rFonts w:hint="default" w:ascii="Times New Roman"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单项合同金额（元）</w:t>
            </w:r>
          </w:p>
        </w:tc>
        <w:tc>
          <w:tcPr>
            <w:tcW w:w="1657" w:type="dxa"/>
            <w:tcBorders>
              <w:tl2br w:val="nil"/>
              <w:tr2bl w:val="nil"/>
            </w:tcBorders>
            <w:vAlign w:val="center"/>
          </w:tcPr>
          <w:p w14:paraId="479E50DD">
            <w:pPr>
              <w:ind w:left="315" w:leftChars="0" w:right="-10" w:rightChars="-5" w:hanging="315" w:hangingChars="150"/>
              <w:jc w:val="center"/>
              <w:rPr>
                <w:rFonts w:ascii="Times New Roman" w:hAnsi="宋体" w:eastAsia="宋体" w:cs="宋体"/>
                <w:color w:val="auto"/>
                <w:szCs w:val="21"/>
                <w:highlight w:val="none"/>
              </w:rPr>
            </w:pPr>
            <w:r>
              <w:rPr>
                <w:rFonts w:hint="eastAsia" w:hAnsi="宋体" w:cs="宋体"/>
                <w:color w:val="auto"/>
                <w:szCs w:val="21"/>
                <w:highlight w:val="none"/>
              </w:rPr>
              <w:t>合同签订时间</w:t>
            </w:r>
          </w:p>
        </w:tc>
        <w:tc>
          <w:tcPr>
            <w:tcW w:w="1006" w:type="dxa"/>
            <w:tcBorders>
              <w:tl2br w:val="nil"/>
              <w:tr2bl w:val="nil"/>
            </w:tcBorders>
            <w:vAlign w:val="center"/>
          </w:tcPr>
          <w:p w14:paraId="167109D0">
            <w:pPr>
              <w:ind w:left="315" w:leftChars="0" w:right="-10" w:rightChars="-5" w:hanging="315" w:hangingChars="150"/>
              <w:rPr>
                <w:rFonts w:hint="eastAsia" w:ascii="Times New Roman" w:hAnsi="宋体" w:eastAsia="宋体" w:cs="宋体"/>
                <w:color w:val="auto"/>
                <w:szCs w:val="21"/>
                <w:highlight w:val="none"/>
                <w:lang w:val="en-US" w:eastAsia="zh-CN"/>
              </w:rPr>
            </w:pPr>
            <w:r>
              <w:rPr>
                <w:rFonts w:hint="eastAsia" w:ascii="Times New Roman" w:hAnsi="宋体" w:eastAsia="宋体" w:cs="宋体"/>
                <w:color w:val="auto"/>
                <w:szCs w:val="21"/>
                <w:highlight w:val="none"/>
                <w:lang w:val="en-US" w:eastAsia="zh-CN"/>
              </w:rPr>
              <w:t>备注</w:t>
            </w:r>
          </w:p>
        </w:tc>
      </w:tr>
      <w:tr w14:paraId="09FB31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692" w:type="dxa"/>
            <w:tcBorders>
              <w:tl2br w:val="nil"/>
              <w:tr2bl w:val="nil"/>
            </w:tcBorders>
            <w:vAlign w:val="center"/>
          </w:tcPr>
          <w:p w14:paraId="32EB73C3">
            <w:pPr>
              <w:wordWrap w:val="0"/>
              <w:jc w:val="center"/>
              <w:rPr>
                <w:rFonts w:ascii="Times New Roman" w:hAnsi="宋体" w:eastAsia="宋体" w:cs="宋体"/>
                <w:color w:val="auto"/>
                <w:szCs w:val="21"/>
                <w:highlight w:val="none"/>
              </w:rPr>
            </w:pPr>
          </w:p>
        </w:tc>
        <w:tc>
          <w:tcPr>
            <w:tcW w:w="2400" w:type="dxa"/>
            <w:tcBorders>
              <w:tl2br w:val="nil"/>
              <w:tr2bl w:val="nil"/>
            </w:tcBorders>
          </w:tcPr>
          <w:p w14:paraId="755A311F">
            <w:pPr>
              <w:wordWrap w:val="0"/>
              <w:jc w:val="center"/>
              <w:rPr>
                <w:rFonts w:ascii="Times New Roman" w:hAnsi="宋体" w:eastAsia="宋体" w:cs="宋体"/>
                <w:color w:val="auto"/>
                <w:szCs w:val="21"/>
                <w:highlight w:val="none"/>
              </w:rPr>
            </w:pPr>
          </w:p>
        </w:tc>
        <w:tc>
          <w:tcPr>
            <w:tcW w:w="2188" w:type="dxa"/>
            <w:tcBorders>
              <w:tl2br w:val="nil"/>
              <w:tr2bl w:val="nil"/>
            </w:tcBorders>
            <w:vAlign w:val="center"/>
          </w:tcPr>
          <w:p w14:paraId="65B16C80">
            <w:pPr>
              <w:wordWrap w:val="0"/>
              <w:jc w:val="center"/>
              <w:rPr>
                <w:rFonts w:ascii="Times New Roman" w:hAnsi="宋体" w:eastAsia="宋体" w:cs="宋体"/>
                <w:color w:val="auto"/>
                <w:szCs w:val="21"/>
                <w:highlight w:val="none"/>
              </w:rPr>
            </w:pPr>
          </w:p>
        </w:tc>
        <w:tc>
          <w:tcPr>
            <w:tcW w:w="1657" w:type="dxa"/>
            <w:tcBorders>
              <w:tl2br w:val="nil"/>
              <w:tr2bl w:val="nil"/>
            </w:tcBorders>
            <w:vAlign w:val="center"/>
          </w:tcPr>
          <w:p w14:paraId="56618CD1">
            <w:pPr>
              <w:wordWrap w:val="0"/>
              <w:jc w:val="center"/>
              <w:rPr>
                <w:rFonts w:ascii="Times New Roman" w:hAnsi="宋体" w:eastAsia="宋体" w:cs="宋体"/>
                <w:color w:val="auto"/>
                <w:szCs w:val="21"/>
                <w:highlight w:val="none"/>
              </w:rPr>
            </w:pPr>
          </w:p>
        </w:tc>
        <w:tc>
          <w:tcPr>
            <w:tcW w:w="1006" w:type="dxa"/>
            <w:tcBorders>
              <w:tl2br w:val="nil"/>
              <w:tr2bl w:val="nil"/>
            </w:tcBorders>
          </w:tcPr>
          <w:p w14:paraId="27974D5D">
            <w:pPr>
              <w:wordWrap w:val="0"/>
              <w:jc w:val="center"/>
              <w:rPr>
                <w:rFonts w:ascii="Times New Roman" w:hAnsi="宋体" w:eastAsia="宋体" w:cs="宋体"/>
                <w:color w:val="auto"/>
                <w:szCs w:val="21"/>
                <w:highlight w:val="none"/>
              </w:rPr>
            </w:pPr>
          </w:p>
        </w:tc>
      </w:tr>
      <w:tr w14:paraId="72E035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2" w:type="dxa"/>
            <w:tcBorders>
              <w:tl2br w:val="nil"/>
              <w:tr2bl w:val="nil"/>
            </w:tcBorders>
            <w:vAlign w:val="center"/>
          </w:tcPr>
          <w:p w14:paraId="58A61F84">
            <w:pPr>
              <w:wordWrap w:val="0"/>
              <w:jc w:val="center"/>
              <w:rPr>
                <w:rFonts w:ascii="Times New Roman" w:hAnsi="宋体" w:eastAsia="宋体" w:cs="宋体"/>
                <w:color w:val="auto"/>
                <w:szCs w:val="21"/>
                <w:highlight w:val="none"/>
              </w:rPr>
            </w:pPr>
          </w:p>
        </w:tc>
        <w:tc>
          <w:tcPr>
            <w:tcW w:w="2400" w:type="dxa"/>
            <w:tcBorders>
              <w:tl2br w:val="nil"/>
              <w:tr2bl w:val="nil"/>
            </w:tcBorders>
          </w:tcPr>
          <w:p w14:paraId="596E3FEA">
            <w:pPr>
              <w:wordWrap w:val="0"/>
              <w:jc w:val="center"/>
              <w:rPr>
                <w:rFonts w:ascii="Times New Roman" w:hAnsi="宋体" w:eastAsia="宋体" w:cs="宋体"/>
                <w:color w:val="auto"/>
                <w:szCs w:val="21"/>
                <w:highlight w:val="none"/>
              </w:rPr>
            </w:pPr>
          </w:p>
        </w:tc>
        <w:tc>
          <w:tcPr>
            <w:tcW w:w="2188" w:type="dxa"/>
            <w:tcBorders>
              <w:tl2br w:val="nil"/>
              <w:tr2bl w:val="nil"/>
            </w:tcBorders>
            <w:vAlign w:val="center"/>
          </w:tcPr>
          <w:p w14:paraId="5CA8BAA7">
            <w:pPr>
              <w:wordWrap w:val="0"/>
              <w:jc w:val="center"/>
              <w:rPr>
                <w:rFonts w:ascii="Times New Roman" w:hAnsi="宋体" w:eastAsia="宋体" w:cs="宋体"/>
                <w:color w:val="auto"/>
                <w:szCs w:val="21"/>
                <w:highlight w:val="none"/>
              </w:rPr>
            </w:pPr>
          </w:p>
        </w:tc>
        <w:tc>
          <w:tcPr>
            <w:tcW w:w="1657" w:type="dxa"/>
            <w:tcBorders>
              <w:tl2br w:val="nil"/>
              <w:tr2bl w:val="nil"/>
            </w:tcBorders>
            <w:vAlign w:val="center"/>
          </w:tcPr>
          <w:p w14:paraId="5E2E4769">
            <w:pPr>
              <w:wordWrap w:val="0"/>
              <w:jc w:val="center"/>
              <w:rPr>
                <w:rFonts w:ascii="Times New Roman" w:hAnsi="宋体" w:eastAsia="宋体" w:cs="宋体"/>
                <w:color w:val="auto"/>
                <w:szCs w:val="21"/>
                <w:highlight w:val="none"/>
              </w:rPr>
            </w:pPr>
          </w:p>
        </w:tc>
        <w:tc>
          <w:tcPr>
            <w:tcW w:w="1006" w:type="dxa"/>
            <w:tcBorders>
              <w:tl2br w:val="nil"/>
              <w:tr2bl w:val="nil"/>
            </w:tcBorders>
          </w:tcPr>
          <w:p w14:paraId="2B55ED87">
            <w:pPr>
              <w:wordWrap w:val="0"/>
              <w:jc w:val="center"/>
              <w:rPr>
                <w:rFonts w:ascii="Times New Roman" w:hAnsi="宋体" w:eastAsia="宋体" w:cs="宋体"/>
                <w:color w:val="auto"/>
                <w:szCs w:val="21"/>
                <w:highlight w:val="none"/>
              </w:rPr>
            </w:pPr>
          </w:p>
        </w:tc>
      </w:tr>
      <w:tr w14:paraId="5F4CF0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2" w:type="dxa"/>
            <w:tcBorders>
              <w:tl2br w:val="nil"/>
              <w:tr2bl w:val="nil"/>
            </w:tcBorders>
            <w:vAlign w:val="center"/>
          </w:tcPr>
          <w:p w14:paraId="25BE20D1">
            <w:pPr>
              <w:wordWrap w:val="0"/>
              <w:jc w:val="center"/>
              <w:rPr>
                <w:rFonts w:ascii="Times New Roman" w:hAnsi="宋体" w:eastAsia="宋体" w:cs="宋体"/>
                <w:color w:val="auto"/>
                <w:szCs w:val="21"/>
                <w:highlight w:val="none"/>
              </w:rPr>
            </w:pPr>
          </w:p>
        </w:tc>
        <w:tc>
          <w:tcPr>
            <w:tcW w:w="2400" w:type="dxa"/>
            <w:tcBorders>
              <w:tl2br w:val="nil"/>
              <w:tr2bl w:val="nil"/>
            </w:tcBorders>
          </w:tcPr>
          <w:p w14:paraId="665EE6E7">
            <w:pPr>
              <w:wordWrap w:val="0"/>
              <w:jc w:val="center"/>
              <w:rPr>
                <w:rFonts w:ascii="Times New Roman" w:hAnsi="宋体" w:eastAsia="宋体" w:cs="宋体"/>
                <w:color w:val="auto"/>
                <w:szCs w:val="21"/>
                <w:highlight w:val="none"/>
              </w:rPr>
            </w:pPr>
          </w:p>
        </w:tc>
        <w:tc>
          <w:tcPr>
            <w:tcW w:w="2188" w:type="dxa"/>
            <w:tcBorders>
              <w:tl2br w:val="nil"/>
              <w:tr2bl w:val="nil"/>
            </w:tcBorders>
            <w:vAlign w:val="center"/>
          </w:tcPr>
          <w:p w14:paraId="29417EE4">
            <w:pPr>
              <w:wordWrap w:val="0"/>
              <w:jc w:val="center"/>
              <w:rPr>
                <w:rFonts w:ascii="Times New Roman" w:hAnsi="宋体" w:eastAsia="宋体" w:cs="宋体"/>
                <w:color w:val="auto"/>
                <w:szCs w:val="21"/>
                <w:highlight w:val="none"/>
              </w:rPr>
            </w:pPr>
          </w:p>
        </w:tc>
        <w:tc>
          <w:tcPr>
            <w:tcW w:w="1657" w:type="dxa"/>
            <w:tcBorders>
              <w:tl2br w:val="nil"/>
              <w:tr2bl w:val="nil"/>
            </w:tcBorders>
            <w:vAlign w:val="center"/>
          </w:tcPr>
          <w:p w14:paraId="43926B0B">
            <w:pPr>
              <w:wordWrap w:val="0"/>
              <w:jc w:val="center"/>
              <w:rPr>
                <w:rFonts w:ascii="Times New Roman" w:hAnsi="宋体" w:eastAsia="宋体" w:cs="宋体"/>
                <w:color w:val="auto"/>
                <w:szCs w:val="21"/>
                <w:highlight w:val="none"/>
              </w:rPr>
            </w:pPr>
          </w:p>
        </w:tc>
        <w:tc>
          <w:tcPr>
            <w:tcW w:w="1006" w:type="dxa"/>
            <w:tcBorders>
              <w:tl2br w:val="nil"/>
              <w:tr2bl w:val="nil"/>
            </w:tcBorders>
          </w:tcPr>
          <w:p w14:paraId="67FEC3B5">
            <w:pPr>
              <w:wordWrap w:val="0"/>
              <w:jc w:val="center"/>
              <w:rPr>
                <w:rFonts w:ascii="Times New Roman" w:hAnsi="宋体" w:eastAsia="宋体" w:cs="宋体"/>
                <w:color w:val="auto"/>
                <w:szCs w:val="21"/>
                <w:highlight w:val="none"/>
              </w:rPr>
            </w:pPr>
          </w:p>
        </w:tc>
      </w:tr>
      <w:tr w14:paraId="17B9D5E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692" w:type="dxa"/>
            <w:tcBorders>
              <w:tl2br w:val="nil"/>
              <w:tr2bl w:val="nil"/>
            </w:tcBorders>
            <w:vAlign w:val="center"/>
          </w:tcPr>
          <w:p w14:paraId="66DD490D">
            <w:pPr>
              <w:wordWrap w:val="0"/>
              <w:jc w:val="center"/>
              <w:rPr>
                <w:rFonts w:ascii="Times New Roman" w:hAnsi="宋体" w:eastAsia="宋体" w:cs="宋体"/>
                <w:color w:val="auto"/>
                <w:szCs w:val="21"/>
                <w:highlight w:val="none"/>
              </w:rPr>
            </w:pPr>
          </w:p>
        </w:tc>
        <w:tc>
          <w:tcPr>
            <w:tcW w:w="2400" w:type="dxa"/>
            <w:tcBorders>
              <w:tl2br w:val="nil"/>
              <w:tr2bl w:val="nil"/>
            </w:tcBorders>
          </w:tcPr>
          <w:p w14:paraId="366FDBF9">
            <w:pPr>
              <w:wordWrap w:val="0"/>
              <w:jc w:val="center"/>
              <w:rPr>
                <w:rFonts w:ascii="Times New Roman" w:hAnsi="宋体" w:eastAsia="宋体" w:cs="宋体"/>
                <w:color w:val="auto"/>
                <w:szCs w:val="21"/>
                <w:highlight w:val="none"/>
              </w:rPr>
            </w:pPr>
          </w:p>
        </w:tc>
        <w:tc>
          <w:tcPr>
            <w:tcW w:w="2188" w:type="dxa"/>
            <w:tcBorders>
              <w:tl2br w:val="nil"/>
              <w:tr2bl w:val="nil"/>
            </w:tcBorders>
            <w:vAlign w:val="center"/>
          </w:tcPr>
          <w:p w14:paraId="7DEF9FD8">
            <w:pPr>
              <w:wordWrap w:val="0"/>
              <w:jc w:val="center"/>
              <w:rPr>
                <w:rFonts w:ascii="Times New Roman" w:hAnsi="宋体" w:eastAsia="宋体" w:cs="宋体"/>
                <w:color w:val="auto"/>
                <w:szCs w:val="21"/>
                <w:highlight w:val="none"/>
              </w:rPr>
            </w:pPr>
          </w:p>
        </w:tc>
        <w:tc>
          <w:tcPr>
            <w:tcW w:w="1657" w:type="dxa"/>
            <w:tcBorders>
              <w:tl2br w:val="nil"/>
              <w:tr2bl w:val="nil"/>
            </w:tcBorders>
            <w:vAlign w:val="center"/>
          </w:tcPr>
          <w:p w14:paraId="445F0C6B">
            <w:pPr>
              <w:wordWrap w:val="0"/>
              <w:jc w:val="center"/>
              <w:rPr>
                <w:rFonts w:ascii="Times New Roman" w:hAnsi="宋体" w:eastAsia="宋体" w:cs="宋体"/>
                <w:color w:val="auto"/>
                <w:szCs w:val="21"/>
                <w:highlight w:val="none"/>
              </w:rPr>
            </w:pPr>
          </w:p>
        </w:tc>
        <w:tc>
          <w:tcPr>
            <w:tcW w:w="1006" w:type="dxa"/>
            <w:tcBorders>
              <w:tl2br w:val="nil"/>
              <w:tr2bl w:val="nil"/>
            </w:tcBorders>
          </w:tcPr>
          <w:p w14:paraId="363C39F8">
            <w:pPr>
              <w:wordWrap w:val="0"/>
              <w:jc w:val="center"/>
              <w:rPr>
                <w:rFonts w:ascii="Times New Roman" w:hAnsi="宋体" w:eastAsia="宋体" w:cs="宋体"/>
                <w:color w:val="auto"/>
                <w:szCs w:val="21"/>
                <w:highlight w:val="none"/>
              </w:rPr>
            </w:pPr>
          </w:p>
        </w:tc>
      </w:tr>
    </w:tbl>
    <w:p w14:paraId="3384ABAD">
      <w:pPr>
        <w:wordWrap w:val="0"/>
        <w:adjustRightInd w:val="0"/>
        <w:snapToGrid w:val="0"/>
        <w:spacing w:line="360" w:lineRule="auto"/>
        <w:rPr>
          <w:rFonts w:hint="eastAsia" w:ascii="宋体" w:hAnsi="宋体" w:cs="宋体"/>
          <w:bCs/>
          <w:color w:val="auto"/>
          <w:szCs w:val="21"/>
          <w:highlight w:val="none"/>
        </w:rPr>
      </w:pPr>
    </w:p>
    <w:p w14:paraId="665CEEC7">
      <w:pPr>
        <w:wordWrap w:val="0"/>
        <w:spacing w:line="360" w:lineRule="auto"/>
        <w:rPr>
          <w:rFonts w:ascii="宋体" w:hAnsi="宋体" w:cs="宋体"/>
          <w:bCs/>
          <w:color w:val="auto"/>
          <w:szCs w:val="21"/>
          <w:highlight w:val="none"/>
        </w:rPr>
      </w:pPr>
      <w:r>
        <w:rPr>
          <w:rFonts w:hint="eastAsia" w:hAnsi="宋体" w:cs="宋体"/>
          <w:b/>
          <w:color w:val="auto"/>
          <w:szCs w:val="21"/>
          <w:highlight w:val="none"/>
        </w:rPr>
        <w:t>注：</w:t>
      </w:r>
      <w:r>
        <w:rPr>
          <w:rFonts w:hint="eastAsia" w:ascii="宋体" w:hAnsi="宋体" w:cs="宋体"/>
          <w:bCs/>
          <w:color w:val="auto"/>
          <w:szCs w:val="21"/>
          <w:highlight w:val="none"/>
        </w:rPr>
        <w:t>1、投标人应将提交的业绩情况按上表格式进行汇总填写，本表情况应与投标文件中所述情况一致，如投标人未如实、详细、正确填写本表，所造成一切后果由投标人自行承担。</w:t>
      </w:r>
    </w:p>
    <w:p w14:paraId="7C02027D">
      <w:pPr>
        <w:wordWrap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2、投标人业绩须按招标文件要求提供相关业绩证明材料，本表后须附业绩证明材料，具体要求按招标文件执行。</w:t>
      </w:r>
    </w:p>
    <w:p w14:paraId="13EBD715">
      <w:pPr>
        <w:wordWrap w:val="0"/>
        <w:spacing w:line="360" w:lineRule="auto"/>
        <w:ind w:firstLine="420" w:firstLineChars="200"/>
        <w:rPr>
          <w:rFonts w:ascii="宋体" w:hAnsi="宋体" w:cs="宋体"/>
          <w:bCs/>
          <w:color w:val="auto"/>
          <w:szCs w:val="21"/>
          <w:highlight w:val="none"/>
        </w:rPr>
      </w:pPr>
      <w:r>
        <w:rPr>
          <w:rFonts w:ascii="宋体" w:hAnsi="宋体" w:cs="宋体"/>
          <w:bCs/>
          <w:color w:val="auto"/>
          <w:szCs w:val="21"/>
          <w:highlight w:val="none"/>
        </w:rPr>
        <w:t>3</w:t>
      </w:r>
      <w:r>
        <w:rPr>
          <w:rFonts w:hint="eastAsia" w:ascii="宋体" w:hAnsi="宋体" w:cs="宋体"/>
          <w:bCs/>
          <w:color w:val="auto"/>
          <w:szCs w:val="21"/>
          <w:highlight w:val="none"/>
        </w:rPr>
        <w:t>、投标人必须将各项内容填写在投标文件各自相对应的目录中，未按要求填写的，相应责任由投标人自行承担。</w:t>
      </w:r>
    </w:p>
    <w:p w14:paraId="6439C65B">
      <w:pPr>
        <w:wordWrap w:val="0"/>
        <w:spacing w:after="120" w:line="360" w:lineRule="auto"/>
        <w:rPr>
          <w:color w:val="auto"/>
          <w:highlight w:val="none"/>
        </w:rPr>
      </w:pPr>
    </w:p>
    <w:p w14:paraId="2B50EB8E">
      <w:pPr>
        <w:wordWrap w:val="0"/>
        <w:spacing w:line="360" w:lineRule="auto"/>
        <w:rPr>
          <w:rFonts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2349A271">
      <w:pPr>
        <w:tabs>
          <w:tab w:val="center" w:pos="4365"/>
        </w:tabs>
        <w:wordWrap w:val="0"/>
        <w:spacing w:line="360" w:lineRule="auto"/>
        <w:rPr>
          <w:rFonts w:ascii="宋体" w:hAnsi="宋体"/>
          <w:bCs/>
          <w:color w:val="auto"/>
          <w:szCs w:val="21"/>
          <w:highlight w:val="none"/>
        </w:r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0BDA239F">
      <w:pPr>
        <w:wordWrap/>
        <w:spacing w:before="0" w:line="240" w:lineRule="auto"/>
        <w:jc w:val="left"/>
        <w:outlineLvl w:val="9"/>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08B01ED1">
      <w:pPr>
        <w:spacing w:before="37"/>
        <w:jc w:val="center"/>
        <w:outlineLvl w:val="1"/>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t>十二、</w:t>
      </w:r>
      <w:r>
        <w:rPr>
          <w:rFonts w:hint="eastAsia" w:hAnsi="宋体" w:cs="宋体"/>
          <w:b/>
          <w:color w:val="auto"/>
          <w:sz w:val="28"/>
          <w:szCs w:val="28"/>
          <w:highlight w:val="none"/>
          <w:lang w:val="en-US" w:eastAsia="zh-CN"/>
        </w:rPr>
        <w:t>投标人资质</w:t>
      </w:r>
    </w:p>
    <w:p w14:paraId="073CB497">
      <w:pPr>
        <w:wordWrap w:val="0"/>
        <w:adjustRightInd w:val="0"/>
        <w:snapToGrid w:val="0"/>
        <w:spacing w:line="360" w:lineRule="auto"/>
        <w:rPr>
          <w:rFonts w:hint="eastAsia" w:ascii="宋体" w:hAnsi="宋体" w:eastAsia="宋体" w:cs="宋体"/>
          <w:b/>
          <w:bCs/>
          <w:color w:val="auto"/>
          <w:szCs w:val="21"/>
          <w:highlight w:val="none"/>
          <w:lang w:eastAsia="zh-CN"/>
        </w:rPr>
      </w:pPr>
      <w:r>
        <w:rPr>
          <w:rFonts w:hint="eastAsia" w:hAnsi="宋体" w:cs="宋体"/>
          <w:b/>
          <w:bCs/>
          <w:color w:val="auto"/>
          <w:szCs w:val="21"/>
          <w:highlight w:val="none"/>
        </w:rPr>
        <w:t>项目名称：</w:t>
      </w:r>
      <w:r>
        <w:rPr>
          <w:rFonts w:hint="eastAsia" w:ascii="宋体" w:hAnsi="宋体" w:cs="宋体"/>
          <w:b/>
          <w:bCs/>
          <w:color w:val="auto"/>
          <w:szCs w:val="21"/>
          <w:highlight w:val="none"/>
          <w:u w:val="single"/>
          <w:lang w:eastAsia="zh-CN"/>
        </w:rPr>
        <w:t>2025年长沙穗城轨道交通有限公司年度员工体检项目</w:t>
      </w:r>
    </w:p>
    <w:p w14:paraId="504038AE">
      <w:pPr>
        <w:pStyle w:val="24"/>
        <w:wordWrap w:val="0"/>
        <w:spacing w:after="0" w:line="360" w:lineRule="auto"/>
        <w:ind w:right="105" w:firstLine="420" w:firstLineChars="200"/>
        <w:jc w:val="left"/>
        <w:rPr>
          <w:color w:val="auto"/>
          <w:highlight w:val="none"/>
        </w:rPr>
      </w:pPr>
      <w:r>
        <w:rPr>
          <w:rFonts w:hint="eastAsia"/>
          <w:color w:val="auto"/>
          <w:highlight w:val="none"/>
        </w:rPr>
        <w:t>投标人应根据评标办法中“商务详细评分标准”中的“</w:t>
      </w:r>
      <w:r>
        <w:rPr>
          <w:rFonts w:hint="eastAsia"/>
          <w:color w:val="auto"/>
          <w:highlight w:val="none"/>
          <w:lang w:val="en-US" w:eastAsia="zh-CN"/>
        </w:rPr>
        <w:t>投标人资质</w:t>
      </w:r>
      <w:r>
        <w:rPr>
          <w:rFonts w:hint="eastAsia"/>
          <w:color w:val="auto"/>
          <w:highlight w:val="none"/>
        </w:rPr>
        <w:t>”的</w:t>
      </w:r>
      <w:r>
        <w:rPr>
          <w:color w:val="auto"/>
          <w:highlight w:val="none"/>
        </w:rPr>
        <w:t>评分标准提供证明文件</w:t>
      </w:r>
      <w:r>
        <w:rPr>
          <w:rFonts w:hint="eastAsia"/>
          <w:color w:val="auto"/>
          <w:highlight w:val="none"/>
        </w:rPr>
        <w:t>。</w:t>
      </w:r>
    </w:p>
    <w:p w14:paraId="51000A95">
      <w:pPr>
        <w:pStyle w:val="24"/>
        <w:wordWrap w:val="0"/>
        <w:spacing w:after="0" w:line="360" w:lineRule="auto"/>
        <w:ind w:right="105" w:firstLine="422" w:firstLineChars="200"/>
        <w:jc w:val="left"/>
        <w:rPr>
          <w:rFonts w:hint="eastAsia" w:ascii="宋体" w:hAnsi="宋体"/>
          <w:b/>
          <w:color w:val="auto"/>
          <w:szCs w:val="21"/>
          <w:highlight w:val="none"/>
        </w:rPr>
      </w:pPr>
    </w:p>
    <w:p w14:paraId="2E21EAA1">
      <w:pPr>
        <w:pStyle w:val="24"/>
        <w:wordWrap w:val="0"/>
        <w:spacing w:after="0" w:line="360" w:lineRule="auto"/>
        <w:ind w:right="105" w:firstLine="422" w:firstLineChars="200"/>
        <w:jc w:val="left"/>
        <w:rPr>
          <w:rFonts w:hint="eastAsia" w:ascii="宋体" w:hAnsi="宋体"/>
          <w:b/>
          <w:color w:val="auto"/>
          <w:szCs w:val="21"/>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p>
    <w:p w14:paraId="53EDAD6D">
      <w:pPr>
        <w:pStyle w:val="63"/>
        <w:rPr>
          <w:color w:val="auto"/>
          <w:highlight w:val="none"/>
        </w:rPr>
      </w:pPr>
      <w:r>
        <w:rPr>
          <w:color w:val="auto"/>
          <w:highlight w:val="none"/>
        </w:rPr>
        <w:br w:type="page"/>
      </w:r>
    </w:p>
    <w:p w14:paraId="178D0E3E">
      <w:pPr>
        <w:spacing w:before="37"/>
        <w:jc w:val="center"/>
        <w:outlineLvl w:val="1"/>
        <w:rPr>
          <w:rFonts w:hint="eastAsia" w:ascii="Times New Roman" w:hAnsi="宋体" w:eastAsia="宋体" w:cs="宋体"/>
          <w:b/>
          <w:color w:val="auto"/>
          <w:sz w:val="28"/>
          <w:szCs w:val="28"/>
          <w:highlight w:val="none"/>
        </w:rPr>
      </w:pPr>
      <w:r>
        <w:rPr>
          <w:rFonts w:hint="eastAsia" w:ascii="Times New Roman" w:hAnsi="宋体" w:eastAsia="宋体" w:cs="宋体"/>
          <w:b/>
          <w:color w:val="auto"/>
          <w:sz w:val="28"/>
          <w:szCs w:val="28"/>
          <w:highlight w:val="none"/>
          <w:lang w:val="en-US" w:eastAsia="zh-CN"/>
        </w:rPr>
        <w:t>十三、</w:t>
      </w:r>
      <w:r>
        <w:rPr>
          <w:rFonts w:hint="eastAsia" w:hAnsi="宋体" w:cs="宋体"/>
          <w:b/>
          <w:color w:val="auto"/>
          <w:sz w:val="28"/>
          <w:szCs w:val="28"/>
          <w:highlight w:val="none"/>
          <w:lang w:val="en-US" w:eastAsia="zh-CN"/>
        </w:rPr>
        <w:t>健康管理平台</w:t>
      </w:r>
    </w:p>
    <w:p w14:paraId="3EC75F00">
      <w:pPr>
        <w:wordWrap w:val="0"/>
        <w:adjustRightInd w:val="0"/>
        <w:snapToGrid w:val="0"/>
        <w:spacing w:after="312" w:afterLines="100" w:line="360" w:lineRule="auto"/>
        <w:rPr>
          <w:rFonts w:hint="eastAsia" w:ascii="宋体" w:hAnsi="宋体" w:eastAsia="宋体"/>
          <w:b/>
          <w:color w:val="auto"/>
          <w:szCs w:val="21"/>
          <w:highlight w:val="none"/>
          <w:lang w:eastAsia="zh-CN"/>
        </w:rPr>
      </w:pPr>
      <w:r>
        <w:rPr>
          <w:rFonts w:hint="eastAsia" w:hAnsi="宋体" w:cs="宋体"/>
          <w:b/>
          <w:bCs/>
          <w:color w:val="auto"/>
          <w:szCs w:val="21"/>
          <w:highlight w:val="none"/>
        </w:rPr>
        <w:t>项目名称：</w:t>
      </w:r>
      <w:r>
        <w:rPr>
          <w:rFonts w:hint="eastAsia" w:ascii="宋体" w:hAnsi="宋体" w:cs="宋体"/>
          <w:b/>
          <w:bCs/>
          <w:color w:val="auto"/>
          <w:szCs w:val="21"/>
          <w:highlight w:val="none"/>
          <w:u w:val="single"/>
          <w:lang w:eastAsia="zh-CN"/>
        </w:rPr>
        <w:t>2025年长沙穗城轨道交通有限公司年度员工体检项目</w:t>
      </w:r>
    </w:p>
    <w:p w14:paraId="116AA105">
      <w:pPr>
        <w:pStyle w:val="24"/>
        <w:wordWrap w:val="0"/>
        <w:spacing w:after="0" w:line="360" w:lineRule="auto"/>
        <w:ind w:right="105" w:firstLine="420" w:firstLineChars="200"/>
        <w:jc w:val="left"/>
        <w:rPr>
          <w:color w:val="auto"/>
          <w:highlight w:val="none"/>
        </w:rPr>
      </w:pPr>
      <w:r>
        <w:rPr>
          <w:rFonts w:hint="eastAsia"/>
          <w:color w:val="auto"/>
          <w:highlight w:val="none"/>
        </w:rPr>
        <w:t>投标人应根据评标办法中“商务详细评分标准”中的“</w:t>
      </w:r>
      <w:r>
        <w:rPr>
          <w:rFonts w:hint="eastAsia"/>
          <w:color w:val="auto"/>
          <w:highlight w:val="none"/>
          <w:lang w:val="en-US" w:eastAsia="zh-CN"/>
        </w:rPr>
        <w:t>健康管理平台</w:t>
      </w:r>
      <w:r>
        <w:rPr>
          <w:rFonts w:hint="eastAsia"/>
          <w:color w:val="auto"/>
          <w:highlight w:val="none"/>
        </w:rPr>
        <w:t>”的</w:t>
      </w:r>
      <w:r>
        <w:rPr>
          <w:color w:val="auto"/>
          <w:highlight w:val="none"/>
        </w:rPr>
        <w:t>评分标准提供证明文件</w:t>
      </w:r>
      <w:r>
        <w:rPr>
          <w:rFonts w:hint="eastAsia"/>
          <w:color w:val="auto"/>
          <w:highlight w:val="none"/>
        </w:rPr>
        <w:t>。</w:t>
      </w:r>
    </w:p>
    <w:p w14:paraId="1BAA3D1B">
      <w:pPr>
        <w:pStyle w:val="24"/>
        <w:wordWrap w:val="0"/>
        <w:spacing w:after="0" w:line="360" w:lineRule="auto"/>
        <w:ind w:right="105" w:firstLine="422" w:firstLineChars="200"/>
        <w:jc w:val="left"/>
        <w:rPr>
          <w:rFonts w:hint="eastAsia" w:ascii="宋体" w:hAnsi="宋体"/>
          <w:b/>
          <w:color w:val="auto"/>
          <w:szCs w:val="21"/>
          <w:highlight w:val="none"/>
        </w:rPr>
      </w:pPr>
    </w:p>
    <w:p w14:paraId="42C22571">
      <w:pPr>
        <w:pStyle w:val="24"/>
        <w:wordWrap w:val="0"/>
        <w:spacing w:after="0" w:line="360" w:lineRule="auto"/>
        <w:ind w:right="105" w:firstLine="422" w:firstLineChars="200"/>
        <w:jc w:val="left"/>
        <w:rPr>
          <w:color w:val="auto"/>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r>
        <w:rPr>
          <w:color w:val="auto"/>
          <w:highlight w:val="none"/>
        </w:rPr>
        <w:br w:type="page"/>
      </w:r>
    </w:p>
    <w:p w14:paraId="6154A54A">
      <w:pPr>
        <w:spacing w:before="37"/>
        <w:jc w:val="center"/>
        <w:outlineLvl w:val="1"/>
        <w:rPr>
          <w:rFonts w:hint="eastAsia" w:ascii="Times New Roman" w:hAnsi="宋体" w:eastAsia="宋体" w:cs="宋体"/>
          <w:b/>
          <w:color w:val="auto"/>
          <w:sz w:val="28"/>
          <w:szCs w:val="28"/>
          <w:highlight w:val="none"/>
        </w:rPr>
      </w:pPr>
      <w:r>
        <w:rPr>
          <w:rFonts w:hint="eastAsia" w:ascii="Times New Roman" w:hAnsi="宋体" w:eastAsia="宋体" w:cs="宋体"/>
          <w:b/>
          <w:color w:val="auto"/>
          <w:sz w:val="28"/>
          <w:szCs w:val="28"/>
          <w:highlight w:val="none"/>
          <w:lang w:val="en-US" w:eastAsia="zh-CN"/>
        </w:rPr>
        <w:t>十四、体检场所面积</w:t>
      </w:r>
    </w:p>
    <w:p w14:paraId="48795A0E">
      <w:pPr>
        <w:wordWrap w:val="0"/>
        <w:adjustRightInd w:val="0"/>
        <w:snapToGrid w:val="0"/>
        <w:spacing w:after="312" w:afterLines="100" w:line="360" w:lineRule="auto"/>
        <w:rPr>
          <w:rFonts w:hint="eastAsia" w:ascii="宋体" w:hAnsi="宋体" w:eastAsia="宋体" w:cs="Times New Roman"/>
          <w:b/>
          <w:color w:val="auto"/>
          <w:szCs w:val="21"/>
          <w:highlight w:val="none"/>
          <w:lang w:eastAsia="zh-CN"/>
        </w:rPr>
      </w:pPr>
      <w:r>
        <w:rPr>
          <w:rFonts w:hint="eastAsia" w:ascii="Times New Roman" w:hAnsi="宋体" w:eastAsia="宋体" w:cs="宋体"/>
          <w:b/>
          <w:bCs/>
          <w:color w:val="auto"/>
          <w:szCs w:val="21"/>
          <w:highlight w:val="none"/>
        </w:rPr>
        <w:t>项目名称：</w:t>
      </w:r>
      <w:r>
        <w:rPr>
          <w:rFonts w:hint="eastAsia" w:ascii="宋体" w:hAnsi="宋体" w:eastAsia="宋体" w:cs="宋体"/>
          <w:b/>
          <w:bCs/>
          <w:color w:val="auto"/>
          <w:szCs w:val="21"/>
          <w:highlight w:val="none"/>
          <w:u w:val="single"/>
          <w:lang w:eastAsia="zh-CN"/>
        </w:rPr>
        <w:t>2025年长沙穗城轨道交通有限公司年度员工体检项目</w:t>
      </w:r>
    </w:p>
    <w:p w14:paraId="635A9EAC">
      <w:pPr>
        <w:widowControl w:val="0"/>
        <w:wordWrap w:val="0"/>
        <w:spacing w:after="0" w:line="360" w:lineRule="auto"/>
        <w:ind w:right="105" w:firstLine="420" w:firstLineChars="200"/>
        <w:jc w:val="left"/>
        <w:rPr>
          <w:rFonts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kern w:val="2"/>
          <w:sz w:val="21"/>
          <w:highlight w:val="none"/>
          <w:lang w:val="en-US" w:eastAsia="zh-CN" w:bidi="ar-SA"/>
        </w:rPr>
        <w:t>投标人应根据评标办法中“商务详细评分标准”中的“体检场所面积”的</w:t>
      </w:r>
      <w:r>
        <w:rPr>
          <w:rFonts w:ascii="Times New Roman" w:hAnsi="Times New Roman" w:eastAsia="宋体" w:cs="Times New Roman"/>
          <w:color w:val="auto"/>
          <w:kern w:val="2"/>
          <w:sz w:val="21"/>
          <w:highlight w:val="none"/>
          <w:lang w:val="en-US" w:eastAsia="zh-CN" w:bidi="ar-SA"/>
        </w:rPr>
        <w:t>评分标准提供证明文件</w:t>
      </w:r>
      <w:r>
        <w:rPr>
          <w:rFonts w:hint="eastAsia" w:ascii="Times New Roman" w:hAnsi="Times New Roman" w:eastAsia="宋体" w:cs="Times New Roman"/>
          <w:color w:val="auto"/>
          <w:kern w:val="2"/>
          <w:sz w:val="21"/>
          <w:highlight w:val="none"/>
          <w:lang w:val="en-US" w:eastAsia="zh-CN" w:bidi="ar-SA"/>
        </w:rPr>
        <w:t>。</w:t>
      </w:r>
    </w:p>
    <w:p w14:paraId="524EB26F">
      <w:pPr>
        <w:widowControl w:val="0"/>
        <w:wordWrap w:val="0"/>
        <w:spacing w:after="0" w:line="360" w:lineRule="auto"/>
        <w:ind w:right="105" w:firstLine="422" w:firstLineChars="200"/>
        <w:jc w:val="left"/>
        <w:rPr>
          <w:rFonts w:hint="eastAsia" w:ascii="宋体" w:hAnsi="宋体" w:eastAsia="宋体" w:cs="Times New Roman"/>
          <w:b/>
          <w:color w:val="auto"/>
          <w:kern w:val="2"/>
          <w:sz w:val="21"/>
          <w:szCs w:val="21"/>
          <w:highlight w:val="none"/>
          <w:lang w:val="en-US" w:eastAsia="zh-CN" w:bidi="ar-SA"/>
        </w:rPr>
      </w:pPr>
    </w:p>
    <w:p w14:paraId="6A8BC92D">
      <w:pPr>
        <w:widowControl w:val="0"/>
        <w:wordWrap w:val="0"/>
        <w:spacing w:after="0" w:line="360" w:lineRule="auto"/>
        <w:ind w:right="105" w:firstLine="422" w:firstLineChars="200"/>
        <w:jc w:val="left"/>
        <w:rPr>
          <w:rFonts w:hint="eastAsia" w:ascii="宋体" w:hAnsi="宋体" w:eastAsia="宋体" w:cs="Times New Roman"/>
          <w:bCs/>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注：</w:t>
      </w:r>
      <w:r>
        <w:rPr>
          <w:rFonts w:hint="eastAsia" w:ascii="宋体" w:hAnsi="宋体" w:eastAsia="宋体" w:cs="Times New Roman"/>
          <w:bCs/>
          <w:color w:val="auto"/>
          <w:kern w:val="2"/>
          <w:sz w:val="21"/>
          <w:szCs w:val="21"/>
          <w:highlight w:val="none"/>
          <w:lang w:val="en-US" w:eastAsia="zh-CN" w:bidi="ar-SA"/>
        </w:rPr>
        <w:t>投标人必须将各项内容填写在投标文件各自相对应的目录中，未按要求填写的，相应责任由投标人自行承担。</w:t>
      </w:r>
    </w:p>
    <w:p w14:paraId="7D8A18E8">
      <w:pPr>
        <w:rPr>
          <w:rFonts w:hint="eastAsia" w:ascii="宋体" w:hAnsi="宋体" w:eastAsia="宋体" w:cs="Times New Roman"/>
          <w:bCs/>
          <w:color w:val="auto"/>
          <w:kern w:val="2"/>
          <w:sz w:val="21"/>
          <w:szCs w:val="21"/>
          <w:highlight w:val="none"/>
          <w:lang w:val="en-US" w:eastAsia="zh-CN" w:bidi="ar-SA"/>
        </w:rPr>
      </w:pPr>
      <w:r>
        <w:rPr>
          <w:rFonts w:hint="eastAsia" w:ascii="宋体" w:hAnsi="宋体" w:eastAsia="宋体" w:cs="Times New Roman"/>
          <w:bCs/>
          <w:color w:val="auto"/>
          <w:kern w:val="2"/>
          <w:sz w:val="21"/>
          <w:szCs w:val="21"/>
          <w:highlight w:val="none"/>
          <w:lang w:val="en-US" w:eastAsia="zh-CN" w:bidi="ar-SA"/>
        </w:rPr>
        <w:br w:type="page"/>
      </w:r>
    </w:p>
    <w:p w14:paraId="7AAB327E">
      <w:pPr>
        <w:spacing w:before="37"/>
        <w:jc w:val="center"/>
        <w:outlineLvl w:val="1"/>
        <w:rPr>
          <w:rFonts w:hint="eastAsia" w:ascii="Times New Roman" w:hAnsi="宋体" w:eastAsia="宋体" w:cs="宋体"/>
          <w:b/>
          <w:color w:val="auto"/>
          <w:sz w:val="28"/>
          <w:szCs w:val="28"/>
          <w:highlight w:val="none"/>
        </w:rPr>
      </w:pPr>
      <w:r>
        <w:rPr>
          <w:rFonts w:hint="eastAsia" w:ascii="Times New Roman" w:hAnsi="宋体" w:eastAsia="宋体" w:cs="宋体"/>
          <w:b/>
          <w:color w:val="auto"/>
          <w:sz w:val="28"/>
          <w:szCs w:val="28"/>
          <w:highlight w:val="none"/>
          <w:lang w:val="en-US" w:eastAsia="zh-CN"/>
        </w:rPr>
        <w:t>十五、体检服务整体性</w:t>
      </w:r>
    </w:p>
    <w:p w14:paraId="78ECBCBE">
      <w:pPr>
        <w:wordWrap w:val="0"/>
        <w:adjustRightInd w:val="0"/>
        <w:snapToGrid w:val="0"/>
        <w:spacing w:after="312" w:afterLines="100" w:line="360" w:lineRule="auto"/>
        <w:rPr>
          <w:rFonts w:hint="eastAsia" w:ascii="宋体" w:hAnsi="宋体" w:eastAsia="宋体" w:cs="Times New Roman"/>
          <w:b/>
          <w:color w:val="auto"/>
          <w:szCs w:val="21"/>
          <w:highlight w:val="none"/>
          <w:lang w:eastAsia="zh-CN"/>
        </w:rPr>
      </w:pPr>
      <w:r>
        <w:rPr>
          <w:rFonts w:hint="eastAsia" w:ascii="Times New Roman" w:hAnsi="宋体" w:eastAsia="宋体" w:cs="宋体"/>
          <w:b/>
          <w:bCs/>
          <w:color w:val="auto"/>
          <w:szCs w:val="21"/>
          <w:highlight w:val="none"/>
        </w:rPr>
        <w:t>项目名称：</w:t>
      </w:r>
      <w:r>
        <w:rPr>
          <w:rFonts w:hint="eastAsia" w:ascii="宋体" w:hAnsi="宋体" w:eastAsia="宋体" w:cs="宋体"/>
          <w:b/>
          <w:bCs/>
          <w:color w:val="auto"/>
          <w:szCs w:val="21"/>
          <w:highlight w:val="none"/>
          <w:u w:val="single"/>
          <w:lang w:eastAsia="zh-CN"/>
        </w:rPr>
        <w:t>2025年长沙穗城轨道交通有限公司年度员工体检项目</w:t>
      </w:r>
    </w:p>
    <w:p w14:paraId="23D5513C">
      <w:pPr>
        <w:widowControl w:val="0"/>
        <w:wordWrap w:val="0"/>
        <w:spacing w:after="0" w:line="360" w:lineRule="auto"/>
        <w:ind w:right="105" w:firstLine="420" w:firstLineChars="200"/>
        <w:jc w:val="left"/>
        <w:rPr>
          <w:rFonts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kern w:val="2"/>
          <w:sz w:val="21"/>
          <w:highlight w:val="none"/>
          <w:lang w:val="en-US" w:eastAsia="zh-CN" w:bidi="ar-SA"/>
        </w:rPr>
        <w:t>投标人应根据评标办法中“商务详细评分标准”中的“体检服务整体性”的</w:t>
      </w:r>
      <w:r>
        <w:rPr>
          <w:rFonts w:ascii="Times New Roman" w:hAnsi="Times New Roman" w:eastAsia="宋体" w:cs="Times New Roman"/>
          <w:color w:val="auto"/>
          <w:kern w:val="2"/>
          <w:sz w:val="21"/>
          <w:highlight w:val="none"/>
          <w:lang w:val="en-US" w:eastAsia="zh-CN" w:bidi="ar-SA"/>
        </w:rPr>
        <w:t>评分标准提供证明文件</w:t>
      </w:r>
      <w:r>
        <w:rPr>
          <w:rFonts w:hint="eastAsia" w:ascii="Times New Roman" w:hAnsi="Times New Roman" w:eastAsia="宋体" w:cs="Times New Roman"/>
          <w:color w:val="auto"/>
          <w:kern w:val="2"/>
          <w:sz w:val="21"/>
          <w:highlight w:val="none"/>
          <w:lang w:val="en-US" w:eastAsia="zh-CN" w:bidi="ar-SA"/>
        </w:rPr>
        <w:t>。</w:t>
      </w:r>
    </w:p>
    <w:p w14:paraId="4B2F5D4C">
      <w:pPr>
        <w:widowControl w:val="0"/>
        <w:wordWrap w:val="0"/>
        <w:spacing w:after="0" w:line="360" w:lineRule="auto"/>
        <w:ind w:right="105" w:firstLine="422" w:firstLineChars="200"/>
        <w:jc w:val="left"/>
        <w:rPr>
          <w:rFonts w:hint="eastAsia" w:ascii="宋体" w:hAnsi="宋体" w:eastAsia="宋体" w:cs="Times New Roman"/>
          <w:b/>
          <w:color w:val="auto"/>
          <w:kern w:val="2"/>
          <w:sz w:val="21"/>
          <w:szCs w:val="21"/>
          <w:highlight w:val="none"/>
          <w:lang w:val="en-US" w:eastAsia="zh-CN" w:bidi="ar-SA"/>
        </w:rPr>
      </w:pPr>
    </w:p>
    <w:p w14:paraId="4D004D4C">
      <w:pPr>
        <w:widowControl w:val="0"/>
        <w:wordWrap w:val="0"/>
        <w:spacing w:after="0" w:line="360" w:lineRule="auto"/>
        <w:ind w:right="105" w:firstLine="422" w:firstLineChars="200"/>
        <w:jc w:val="left"/>
        <w:rPr>
          <w:rFonts w:hint="eastAsia"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注：</w:t>
      </w:r>
      <w:r>
        <w:rPr>
          <w:rFonts w:hint="eastAsia" w:ascii="宋体" w:hAnsi="宋体" w:eastAsia="宋体" w:cs="Times New Roman"/>
          <w:bCs/>
          <w:color w:val="auto"/>
          <w:kern w:val="2"/>
          <w:sz w:val="21"/>
          <w:szCs w:val="21"/>
          <w:highlight w:val="none"/>
          <w:lang w:val="en-US" w:eastAsia="zh-CN" w:bidi="ar-SA"/>
        </w:rPr>
        <w:t>投标人必须将各项内容填写在投标文件各自相对应的目录中，未按要求填写的，相应责任由投标人自行承担。</w:t>
      </w:r>
    </w:p>
    <w:p w14:paraId="60E59B0C">
      <w:pPr>
        <w:widowControl w:val="0"/>
        <w:wordWrap w:val="0"/>
        <w:spacing w:after="0" w:line="360" w:lineRule="auto"/>
        <w:ind w:right="105" w:firstLine="420" w:firstLineChars="200"/>
        <w:jc w:val="left"/>
        <w:rPr>
          <w:rFonts w:hint="eastAsia" w:ascii="宋体" w:hAnsi="宋体" w:eastAsia="宋体" w:cs="Times New Roman"/>
          <w:bCs/>
          <w:color w:val="auto"/>
          <w:kern w:val="2"/>
          <w:sz w:val="21"/>
          <w:szCs w:val="21"/>
          <w:highlight w:val="none"/>
          <w:lang w:val="en-US" w:eastAsia="zh-CN" w:bidi="ar-SA"/>
        </w:rPr>
      </w:pPr>
    </w:p>
    <w:p w14:paraId="161996DC">
      <w:pPr>
        <w:pStyle w:val="5"/>
      </w:pPr>
    </w:p>
    <w:p w14:paraId="3AACB3D9">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18211149">
      <w:pPr>
        <w:jc w:val="center"/>
        <w:outlineLvl w:val="1"/>
        <w:rPr>
          <w:rFonts w:hAnsi="宋体" w:cs="宋体"/>
          <w:b/>
          <w:color w:val="auto"/>
          <w:sz w:val="28"/>
          <w:szCs w:val="28"/>
          <w:highlight w:val="none"/>
        </w:rPr>
      </w:pPr>
      <w:r>
        <w:rPr>
          <w:rFonts w:hint="eastAsia" w:hAnsi="宋体" w:cs="宋体"/>
          <w:b/>
          <w:color w:val="auto"/>
          <w:sz w:val="28"/>
          <w:szCs w:val="28"/>
          <w:highlight w:val="none"/>
        </w:rPr>
        <w:t>十</w:t>
      </w:r>
      <w:r>
        <w:rPr>
          <w:rFonts w:hint="eastAsia" w:hAnsi="宋体" w:cs="宋体"/>
          <w:b/>
          <w:color w:val="auto"/>
          <w:sz w:val="28"/>
          <w:szCs w:val="28"/>
          <w:highlight w:val="none"/>
          <w:lang w:val="en-US" w:eastAsia="zh-CN"/>
        </w:rPr>
        <w:t>六</w:t>
      </w:r>
      <w:r>
        <w:rPr>
          <w:rFonts w:hAnsi="宋体" w:cs="宋体"/>
          <w:b/>
          <w:color w:val="auto"/>
          <w:sz w:val="28"/>
          <w:szCs w:val="28"/>
          <w:highlight w:val="none"/>
        </w:rPr>
        <w:t>、</w:t>
      </w:r>
      <w:r>
        <w:rPr>
          <w:rFonts w:hint="eastAsia" w:ascii="Times New Roman" w:hAnsi="宋体" w:eastAsia="宋体" w:cs="宋体"/>
          <w:b/>
          <w:color w:val="auto"/>
          <w:sz w:val="28"/>
          <w:szCs w:val="28"/>
          <w:highlight w:val="none"/>
        </w:rPr>
        <w:t>投标</w:t>
      </w:r>
      <w:r>
        <w:rPr>
          <w:rFonts w:hint="eastAsia" w:hAnsi="宋体" w:cs="宋体"/>
          <w:b/>
          <w:color w:val="auto"/>
          <w:sz w:val="28"/>
          <w:szCs w:val="28"/>
          <w:highlight w:val="none"/>
        </w:rPr>
        <w:t>人</w:t>
      </w:r>
      <w:r>
        <w:rPr>
          <w:rFonts w:hint="eastAsia" w:ascii="Times New Roman" w:hAnsi="宋体" w:eastAsia="宋体" w:cs="宋体"/>
          <w:b/>
          <w:color w:val="auto"/>
          <w:sz w:val="28"/>
          <w:szCs w:val="28"/>
          <w:highlight w:val="none"/>
        </w:rPr>
        <w:t>认为</w:t>
      </w:r>
      <w:r>
        <w:rPr>
          <w:rFonts w:hint="eastAsia" w:hAnsi="宋体" w:cs="宋体"/>
          <w:b/>
          <w:color w:val="auto"/>
          <w:sz w:val="28"/>
          <w:szCs w:val="28"/>
          <w:highlight w:val="none"/>
        </w:rPr>
        <w:t>需提供</w:t>
      </w:r>
      <w:r>
        <w:rPr>
          <w:rFonts w:hint="eastAsia" w:ascii="Times New Roman" w:hAnsi="宋体" w:eastAsia="宋体" w:cs="宋体"/>
          <w:b/>
          <w:color w:val="auto"/>
          <w:sz w:val="28"/>
          <w:szCs w:val="28"/>
          <w:highlight w:val="none"/>
        </w:rPr>
        <w:t>的</w:t>
      </w:r>
      <w:r>
        <w:rPr>
          <w:rFonts w:hint="eastAsia" w:ascii="Times New Roman" w:hAnsi="宋体" w:eastAsia="宋体" w:cs="宋体"/>
          <w:b/>
          <w:color w:val="auto"/>
          <w:sz w:val="28"/>
          <w:szCs w:val="28"/>
          <w:highlight w:val="none"/>
          <w:lang w:eastAsia="zh-CN"/>
        </w:rPr>
        <w:t>其他</w:t>
      </w:r>
      <w:r>
        <w:rPr>
          <w:rFonts w:hint="eastAsia" w:ascii="Times New Roman" w:hAnsi="宋体" w:eastAsia="宋体" w:cs="宋体"/>
          <w:b/>
          <w:color w:val="auto"/>
          <w:sz w:val="28"/>
          <w:szCs w:val="28"/>
          <w:highlight w:val="none"/>
        </w:rPr>
        <w:t>商务评审资料</w:t>
      </w:r>
    </w:p>
    <w:p w14:paraId="19633A1C">
      <w:pPr>
        <w:wordWrap w:val="0"/>
        <w:adjustRightInd w:val="0"/>
        <w:snapToGrid w:val="0"/>
        <w:spacing w:after="312" w:afterLines="100" w:line="360" w:lineRule="auto"/>
        <w:rPr>
          <w:rFonts w:hint="eastAsia" w:ascii="宋体" w:hAnsi="宋体" w:eastAsia="宋体"/>
          <w:b/>
          <w:color w:val="auto"/>
          <w:szCs w:val="21"/>
          <w:highlight w:val="none"/>
          <w:lang w:eastAsia="zh-CN"/>
        </w:rPr>
      </w:pPr>
      <w:r>
        <w:rPr>
          <w:rFonts w:hint="eastAsia" w:hAnsi="宋体" w:cs="宋体"/>
          <w:b/>
          <w:bCs/>
          <w:color w:val="auto"/>
          <w:szCs w:val="21"/>
          <w:highlight w:val="none"/>
        </w:rPr>
        <w:t>项目名称：</w:t>
      </w:r>
      <w:r>
        <w:rPr>
          <w:rFonts w:hint="eastAsia" w:ascii="宋体" w:hAnsi="宋体" w:cs="宋体"/>
          <w:b/>
          <w:bCs/>
          <w:color w:val="auto"/>
          <w:szCs w:val="21"/>
          <w:highlight w:val="none"/>
          <w:u w:val="single"/>
          <w:lang w:eastAsia="zh-CN"/>
        </w:rPr>
        <w:t>2025年长沙穗城轨道交通有限公司年度员工体检项目</w:t>
      </w:r>
    </w:p>
    <w:p w14:paraId="0E53CB19">
      <w:pPr>
        <w:wordWrap w:val="0"/>
        <w:spacing w:line="360" w:lineRule="auto"/>
        <w:rPr>
          <w:rFonts w:ascii="Calibri" w:cs="宋体"/>
          <w:color w:val="auto"/>
          <w:szCs w:val="28"/>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p>
    <w:p w14:paraId="23C5DBB2">
      <w:pPr>
        <w:jc w:val="left"/>
        <w:outlineLvl w:val="9"/>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br w:type="page"/>
      </w:r>
    </w:p>
    <w:p w14:paraId="2859EAAA">
      <w:pPr>
        <w:jc w:val="center"/>
        <w:outlineLvl w:val="1"/>
        <w:rPr>
          <w:rFonts w:hint="eastAsia" w:ascii="Times New Roman" w:hAnsi="宋体" w:eastAsia="宋体" w:cs="宋体"/>
          <w:b/>
          <w:color w:val="auto"/>
          <w:sz w:val="28"/>
          <w:szCs w:val="28"/>
          <w:highlight w:val="none"/>
        </w:rPr>
      </w:pPr>
      <w:r>
        <w:rPr>
          <w:rFonts w:hint="eastAsia" w:ascii="Times New Roman" w:hAnsi="宋体" w:eastAsia="宋体" w:cs="宋体"/>
          <w:b/>
          <w:color w:val="auto"/>
          <w:sz w:val="28"/>
          <w:szCs w:val="28"/>
          <w:highlight w:val="none"/>
          <w:lang w:val="en-US" w:eastAsia="zh-CN"/>
        </w:rPr>
        <w:t>十</w:t>
      </w:r>
      <w:r>
        <w:rPr>
          <w:rFonts w:hint="eastAsia" w:hAnsi="宋体" w:cs="宋体"/>
          <w:b/>
          <w:color w:val="auto"/>
          <w:sz w:val="28"/>
          <w:szCs w:val="28"/>
          <w:highlight w:val="none"/>
          <w:lang w:val="en-US" w:eastAsia="zh-CN"/>
        </w:rPr>
        <w:t>七</w:t>
      </w:r>
      <w:r>
        <w:rPr>
          <w:rFonts w:hint="eastAsia" w:ascii="Times New Roman" w:hAnsi="宋体" w:eastAsia="宋体" w:cs="宋体"/>
          <w:b/>
          <w:color w:val="auto"/>
          <w:sz w:val="28"/>
          <w:szCs w:val="28"/>
          <w:highlight w:val="none"/>
          <w:lang w:val="en-US" w:eastAsia="zh-CN"/>
        </w:rPr>
        <w:t>、</w:t>
      </w:r>
      <w:r>
        <w:rPr>
          <w:rFonts w:hint="eastAsia" w:ascii="Times New Roman" w:hAnsi="宋体" w:eastAsia="宋体" w:cs="宋体"/>
          <w:b/>
          <w:color w:val="auto"/>
          <w:sz w:val="28"/>
          <w:szCs w:val="28"/>
          <w:highlight w:val="none"/>
        </w:rPr>
        <w:t>体检场地交通便利性</w:t>
      </w:r>
    </w:p>
    <w:p w14:paraId="0BD93C9E">
      <w:pPr>
        <w:adjustRightInd w:val="0"/>
        <w:snapToGrid w:val="0"/>
        <w:spacing w:after="312" w:afterLines="100"/>
        <w:rPr>
          <w:rFonts w:hint="eastAsia" w:ascii="宋体" w:hAnsi="宋体" w:eastAsia="宋体" w:cs="宋体"/>
          <w:b/>
          <w:bCs/>
          <w:color w:val="auto"/>
          <w:szCs w:val="21"/>
          <w:highlight w:val="none"/>
          <w:u w:val="single"/>
          <w:lang w:eastAsia="zh-CN"/>
        </w:rPr>
      </w:pPr>
      <w:r>
        <w:rPr>
          <w:rFonts w:hint="eastAsia" w:hAnsi="宋体" w:cs="宋体"/>
          <w:b/>
          <w:bCs/>
          <w:color w:val="auto"/>
          <w:szCs w:val="21"/>
          <w:highlight w:val="none"/>
        </w:rPr>
        <w:t>项目名称：</w:t>
      </w:r>
      <w:r>
        <w:rPr>
          <w:rFonts w:hint="eastAsia" w:ascii="宋体" w:hAnsi="宋体" w:cs="宋体"/>
          <w:b/>
          <w:bCs/>
          <w:color w:val="auto"/>
          <w:szCs w:val="21"/>
          <w:highlight w:val="none"/>
          <w:u w:val="single"/>
          <w:lang w:eastAsia="zh-CN"/>
        </w:rPr>
        <w:t>2025年长沙穗城轨道交通有限公司年度员工体检项目</w:t>
      </w:r>
    </w:p>
    <w:p w14:paraId="04923643">
      <w:pPr>
        <w:widowControl w:val="0"/>
        <w:wordWrap w:val="0"/>
        <w:spacing w:after="0" w:line="360" w:lineRule="auto"/>
        <w:ind w:right="105" w:firstLine="420" w:firstLineChars="200"/>
        <w:jc w:val="left"/>
        <w:rPr>
          <w:rFonts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kern w:val="2"/>
          <w:sz w:val="21"/>
          <w:highlight w:val="none"/>
          <w:lang w:val="en-US" w:eastAsia="zh-CN" w:bidi="ar-SA"/>
        </w:rPr>
        <w:t>投标人应根据评标办法中“技术部分详细评分标准”中的“</w:t>
      </w:r>
      <w:r>
        <w:rPr>
          <w:rFonts w:hint="eastAsia" w:ascii="宋体" w:hAnsi="宋体" w:eastAsia="宋体" w:cs="Times New Roman"/>
          <w:color w:val="auto"/>
          <w:sz w:val="21"/>
          <w:szCs w:val="21"/>
          <w:highlight w:val="none"/>
          <w:lang w:val="en-US" w:eastAsia="zh-CN"/>
        </w:rPr>
        <w:t>体检场地交通便利性</w:t>
      </w:r>
      <w:r>
        <w:rPr>
          <w:rFonts w:hint="eastAsia" w:ascii="Times New Roman" w:hAnsi="Times New Roman" w:eastAsia="宋体" w:cs="Times New Roman"/>
          <w:color w:val="auto"/>
          <w:kern w:val="2"/>
          <w:sz w:val="21"/>
          <w:highlight w:val="none"/>
          <w:lang w:val="en-US" w:eastAsia="zh-CN" w:bidi="ar-SA"/>
        </w:rPr>
        <w:t>”的</w:t>
      </w:r>
      <w:r>
        <w:rPr>
          <w:rFonts w:ascii="Times New Roman" w:hAnsi="Times New Roman" w:eastAsia="宋体" w:cs="Times New Roman"/>
          <w:color w:val="auto"/>
          <w:kern w:val="2"/>
          <w:sz w:val="21"/>
          <w:highlight w:val="none"/>
          <w:lang w:val="en-US" w:eastAsia="zh-CN" w:bidi="ar-SA"/>
        </w:rPr>
        <w:t>评分标准提供证明文件</w:t>
      </w:r>
      <w:r>
        <w:rPr>
          <w:rFonts w:hint="eastAsia" w:ascii="Times New Roman" w:hAnsi="Times New Roman" w:eastAsia="宋体" w:cs="Times New Roman"/>
          <w:color w:val="auto"/>
          <w:kern w:val="2"/>
          <w:sz w:val="21"/>
          <w:highlight w:val="none"/>
          <w:lang w:val="en-US" w:eastAsia="zh-CN" w:bidi="ar-SA"/>
        </w:rPr>
        <w:t>。</w:t>
      </w:r>
    </w:p>
    <w:p w14:paraId="6277A915">
      <w:pPr>
        <w:widowControl w:val="0"/>
        <w:wordWrap w:val="0"/>
        <w:spacing w:after="0" w:line="360" w:lineRule="auto"/>
        <w:ind w:right="105" w:firstLine="422" w:firstLineChars="200"/>
        <w:jc w:val="left"/>
        <w:rPr>
          <w:rFonts w:hint="eastAsia" w:ascii="宋体" w:hAnsi="宋体" w:eastAsia="宋体" w:cs="Times New Roman"/>
          <w:b/>
          <w:color w:val="auto"/>
          <w:kern w:val="2"/>
          <w:sz w:val="21"/>
          <w:szCs w:val="21"/>
          <w:highlight w:val="none"/>
          <w:lang w:val="en-US" w:eastAsia="zh-CN" w:bidi="ar-SA"/>
        </w:rPr>
      </w:pPr>
    </w:p>
    <w:p w14:paraId="2CA80D52">
      <w:pPr>
        <w:bidi w:val="0"/>
        <w:spacing w:line="360" w:lineRule="auto"/>
        <w:ind w:firstLine="422" w:firstLineChars="200"/>
        <w:rPr>
          <w:color w:val="auto"/>
          <w:highlight w:val="none"/>
        </w:rPr>
      </w:pPr>
      <w:r>
        <w:rPr>
          <w:rFonts w:hint="eastAsia" w:ascii="宋体" w:hAnsi="宋体" w:eastAsia="宋体" w:cs="Times New Roman"/>
          <w:b/>
          <w:color w:val="auto"/>
          <w:kern w:val="2"/>
          <w:sz w:val="21"/>
          <w:szCs w:val="21"/>
          <w:highlight w:val="none"/>
          <w:lang w:val="en-US" w:eastAsia="zh-CN" w:bidi="ar-SA"/>
        </w:rPr>
        <w:t>注：</w:t>
      </w:r>
      <w:r>
        <w:rPr>
          <w:rFonts w:hint="eastAsia" w:ascii="宋体" w:hAnsi="宋体" w:eastAsia="宋体" w:cs="Times New Roman"/>
          <w:bCs/>
          <w:color w:val="auto"/>
          <w:kern w:val="2"/>
          <w:sz w:val="21"/>
          <w:szCs w:val="21"/>
          <w:highlight w:val="none"/>
          <w:lang w:val="en-US" w:eastAsia="zh-CN" w:bidi="ar-SA"/>
        </w:rPr>
        <w:t>投标人必须将各项内容填写在投标文件各自相对应的目录中，未按要求填写的，相应责任由投标人自行承担。</w:t>
      </w:r>
      <w:r>
        <w:rPr>
          <w:color w:val="auto"/>
          <w:highlight w:val="none"/>
        </w:rPr>
        <w:br w:type="page"/>
      </w:r>
    </w:p>
    <w:p w14:paraId="6198A490">
      <w:pPr>
        <w:jc w:val="center"/>
        <w:outlineLvl w:val="1"/>
        <w:rPr>
          <w:rFonts w:hint="eastAsia" w:ascii="Times New Roman" w:hAnsi="宋体" w:eastAsia="宋体" w:cs="宋体"/>
          <w:b/>
          <w:color w:val="auto"/>
          <w:sz w:val="28"/>
          <w:szCs w:val="28"/>
          <w:highlight w:val="none"/>
        </w:rPr>
      </w:pPr>
      <w:r>
        <w:rPr>
          <w:rFonts w:hint="eastAsia" w:ascii="Times New Roman" w:hAnsi="宋体" w:eastAsia="宋体" w:cs="宋体"/>
          <w:b/>
          <w:color w:val="auto"/>
          <w:sz w:val="28"/>
          <w:szCs w:val="28"/>
          <w:highlight w:val="none"/>
          <w:lang w:val="en-US" w:eastAsia="zh-CN"/>
        </w:rPr>
        <w:t>十八、增值服务</w:t>
      </w:r>
    </w:p>
    <w:p w14:paraId="6E55667B">
      <w:pPr>
        <w:adjustRightInd w:val="0"/>
        <w:snapToGrid w:val="0"/>
        <w:spacing w:after="312" w:afterLines="100"/>
        <w:rPr>
          <w:rFonts w:hint="eastAsia" w:ascii="宋体" w:hAnsi="宋体" w:eastAsia="宋体" w:cs="宋体"/>
          <w:b/>
          <w:bCs/>
          <w:color w:val="auto"/>
          <w:szCs w:val="21"/>
          <w:highlight w:val="none"/>
          <w:u w:val="single"/>
          <w:lang w:eastAsia="zh-CN"/>
        </w:rPr>
      </w:pPr>
      <w:r>
        <w:rPr>
          <w:rFonts w:hint="eastAsia" w:ascii="Times New Roman" w:hAnsi="宋体" w:eastAsia="宋体" w:cs="宋体"/>
          <w:b/>
          <w:bCs/>
          <w:color w:val="auto"/>
          <w:szCs w:val="21"/>
          <w:highlight w:val="none"/>
        </w:rPr>
        <w:t>项目名称：</w:t>
      </w:r>
      <w:r>
        <w:rPr>
          <w:rFonts w:hint="eastAsia" w:ascii="宋体" w:hAnsi="宋体" w:eastAsia="宋体" w:cs="宋体"/>
          <w:b/>
          <w:bCs/>
          <w:color w:val="auto"/>
          <w:szCs w:val="21"/>
          <w:highlight w:val="none"/>
          <w:u w:val="single"/>
          <w:lang w:eastAsia="zh-CN"/>
        </w:rPr>
        <w:t>2025年长沙穗城轨道交通有限公司年度员工体检项目</w:t>
      </w:r>
    </w:p>
    <w:p w14:paraId="140E9E73">
      <w:pPr>
        <w:widowControl w:val="0"/>
        <w:wordWrap w:val="0"/>
        <w:spacing w:after="0" w:line="360" w:lineRule="auto"/>
        <w:ind w:right="105" w:firstLine="420" w:firstLineChars="200"/>
        <w:jc w:val="left"/>
        <w:rPr>
          <w:rFonts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kern w:val="2"/>
          <w:sz w:val="21"/>
          <w:highlight w:val="none"/>
          <w:lang w:val="en-US" w:eastAsia="zh-CN" w:bidi="ar-SA"/>
        </w:rPr>
        <w:t>投标人应根据评标办法中“技术部分详细评分标准”中的“</w:t>
      </w:r>
      <w:r>
        <w:rPr>
          <w:rFonts w:hint="eastAsia" w:ascii="宋体" w:hAnsi="宋体" w:eastAsia="宋体" w:cs="宋体"/>
          <w:color w:val="auto"/>
          <w:szCs w:val="21"/>
          <w:lang w:val="en-US" w:eastAsia="zh-CN" w:bidi="ar"/>
        </w:rPr>
        <w:t>增值</w:t>
      </w:r>
      <w:r>
        <w:rPr>
          <w:rFonts w:hint="eastAsia" w:ascii="宋体" w:hAnsi="宋体" w:eastAsia="宋体" w:cs="宋体"/>
          <w:color w:val="auto"/>
          <w:szCs w:val="21"/>
          <w:lang w:bidi="ar"/>
        </w:rPr>
        <w:t>服务</w:t>
      </w:r>
      <w:r>
        <w:rPr>
          <w:rFonts w:hint="eastAsia" w:ascii="Times New Roman" w:hAnsi="Times New Roman" w:eastAsia="宋体" w:cs="Times New Roman"/>
          <w:color w:val="auto"/>
          <w:kern w:val="2"/>
          <w:sz w:val="21"/>
          <w:highlight w:val="none"/>
          <w:lang w:val="en-US" w:eastAsia="zh-CN" w:bidi="ar-SA"/>
        </w:rPr>
        <w:t>”的</w:t>
      </w:r>
      <w:r>
        <w:rPr>
          <w:rFonts w:ascii="Times New Roman" w:hAnsi="Times New Roman" w:eastAsia="宋体" w:cs="Times New Roman"/>
          <w:color w:val="auto"/>
          <w:kern w:val="2"/>
          <w:sz w:val="21"/>
          <w:highlight w:val="none"/>
          <w:lang w:val="en-US" w:eastAsia="zh-CN" w:bidi="ar-SA"/>
        </w:rPr>
        <w:t>评分标准提供</w:t>
      </w:r>
      <w:r>
        <w:rPr>
          <w:rFonts w:hint="eastAsia" w:ascii="Times New Roman" w:hAnsi="Times New Roman" w:eastAsia="宋体" w:cs="Times New Roman"/>
          <w:color w:val="auto"/>
          <w:kern w:val="2"/>
          <w:sz w:val="21"/>
          <w:highlight w:val="none"/>
          <w:lang w:val="en-US" w:eastAsia="zh-CN" w:bidi="ar-SA"/>
        </w:rPr>
        <w:t>承诺函。</w:t>
      </w:r>
    </w:p>
    <w:p w14:paraId="4F19F7DE">
      <w:pPr>
        <w:widowControl w:val="0"/>
        <w:wordWrap w:val="0"/>
        <w:spacing w:after="0" w:line="360" w:lineRule="auto"/>
        <w:ind w:right="105" w:firstLine="422" w:firstLineChars="200"/>
        <w:jc w:val="left"/>
        <w:rPr>
          <w:rFonts w:hint="eastAsia" w:ascii="宋体" w:hAnsi="宋体" w:eastAsia="宋体" w:cs="Times New Roman"/>
          <w:b/>
          <w:color w:val="auto"/>
          <w:kern w:val="2"/>
          <w:sz w:val="21"/>
          <w:szCs w:val="21"/>
          <w:highlight w:val="none"/>
          <w:lang w:val="en-US" w:eastAsia="zh-CN" w:bidi="ar-SA"/>
        </w:rPr>
      </w:pPr>
    </w:p>
    <w:p w14:paraId="3191B3B0">
      <w:pPr>
        <w:rPr>
          <w:rFonts w:hint="eastAsia" w:ascii="Times New Roman" w:hAnsi="宋体" w:eastAsia="宋体" w:cs="宋体"/>
          <w:b/>
          <w:color w:val="auto"/>
          <w:sz w:val="28"/>
          <w:szCs w:val="28"/>
          <w:highlight w:val="none"/>
        </w:rPr>
      </w:pPr>
      <w:r>
        <w:rPr>
          <w:rFonts w:hint="eastAsia" w:ascii="宋体" w:hAnsi="宋体" w:eastAsia="宋体" w:cs="Times New Roman"/>
          <w:b/>
          <w:color w:val="auto"/>
          <w:kern w:val="2"/>
          <w:sz w:val="21"/>
          <w:szCs w:val="21"/>
          <w:highlight w:val="none"/>
          <w:lang w:val="en-US" w:eastAsia="zh-CN" w:bidi="ar-SA"/>
        </w:rPr>
        <w:t>注：</w:t>
      </w:r>
      <w:r>
        <w:rPr>
          <w:rFonts w:hint="eastAsia" w:ascii="宋体" w:hAnsi="宋体" w:eastAsia="宋体" w:cs="Times New Roman"/>
          <w:bCs/>
          <w:color w:val="auto"/>
          <w:kern w:val="2"/>
          <w:sz w:val="21"/>
          <w:szCs w:val="21"/>
          <w:highlight w:val="none"/>
          <w:lang w:val="en-US" w:eastAsia="zh-CN" w:bidi="ar-SA"/>
        </w:rPr>
        <w:t>投标人必须将各项内容填写在投标文件各自相对应的目录中，未按要求填写的，相应责任由投标人自行承担。</w:t>
      </w:r>
      <w:r>
        <w:rPr>
          <w:rFonts w:hint="eastAsia" w:ascii="Times New Roman" w:hAnsi="宋体" w:eastAsia="宋体" w:cs="宋体"/>
          <w:b/>
          <w:color w:val="auto"/>
          <w:sz w:val="28"/>
          <w:szCs w:val="28"/>
          <w:highlight w:val="none"/>
        </w:rPr>
        <w:br w:type="page"/>
      </w:r>
    </w:p>
    <w:p w14:paraId="10FE040B">
      <w:pPr>
        <w:jc w:val="center"/>
        <w:outlineLvl w:val="1"/>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rPr>
        <w:t>十</w:t>
      </w:r>
      <w:r>
        <w:rPr>
          <w:rFonts w:hint="eastAsia" w:hAnsi="宋体" w:cs="宋体"/>
          <w:b/>
          <w:color w:val="auto"/>
          <w:sz w:val="28"/>
          <w:szCs w:val="28"/>
          <w:highlight w:val="none"/>
          <w:lang w:val="en-US" w:eastAsia="zh-CN"/>
        </w:rPr>
        <w:t>九</w:t>
      </w:r>
      <w:r>
        <w:rPr>
          <w:rFonts w:hint="eastAsia" w:ascii="Times New Roman" w:hAnsi="宋体" w:eastAsia="宋体" w:cs="宋体"/>
          <w:b/>
          <w:color w:val="auto"/>
          <w:sz w:val="28"/>
          <w:szCs w:val="28"/>
          <w:highlight w:val="none"/>
        </w:rPr>
        <w:t>、</w:t>
      </w:r>
      <w:r>
        <w:rPr>
          <w:rFonts w:hint="eastAsia" w:ascii="Times New Roman" w:hAnsi="宋体" w:eastAsia="宋体" w:cs="宋体"/>
          <w:b/>
          <w:color w:val="auto"/>
          <w:sz w:val="28"/>
          <w:szCs w:val="28"/>
          <w:highlight w:val="none"/>
          <w:lang w:val="en-US" w:eastAsia="zh-CN"/>
        </w:rPr>
        <w:t>体检服务方案</w:t>
      </w:r>
    </w:p>
    <w:p w14:paraId="0A5615BE">
      <w:pPr>
        <w:adjustRightInd w:val="0"/>
        <w:snapToGrid w:val="0"/>
        <w:spacing w:after="312" w:afterLines="100"/>
        <w:rPr>
          <w:rFonts w:hint="eastAsia" w:ascii="宋体" w:hAnsi="宋体" w:eastAsia="宋体" w:cs="宋体"/>
          <w:b/>
          <w:bCs/>
          <w:color w:val="auto"/>
          <w:szCs w:val="21"/>
          <w:highlight w:val="none"/>
          <w:u w:val="single"/>
          <w:lang w:eastAsia="zh-CN"/>
        </w:rPr>
      </w:pPr>
      <w:r>
        <w:rPr>
          <w:rFonts w:hint="eastAsia" w:hAnsi="宋体" w:cs="宋体"/>
          <w:b/>
          <w:bCs/>
          <w:color w:val="auto"/>
          <w:szCs w:val="21"/>
          <w:highlight w:val="none"/>
        </w:rPr>
        <w:t>项目名称：</w:t>
      </w:r>
      <w:r>
        <w:rPr>
          <w:rFonts w:hint="eastAsia" w:ascii="宋体" w:hAnsi="宋体" w:cs="宋体"/>
          <w:b/>
          <w:bCs/>
          <w:color w:val="auto"/>
          <w:szCs w:val="21"/>
          <w:highlight w:val="none"/>
          <w:u w:val="single"/>
          <w:lang w:eastAsia="zh-CN"/>
        </w:rPr>
        <w:t>2025年长沙穗城轨道交通有限公司年度员工体检项目</w:t>
      </w:r>
    </w:p>
    <w:p w14:paraId="321CDE43">
      <w:pPr>
        <w:adjustRightInd w:val="0"/>
        <w:snapToGrid w:val="0"/>
        <w:spacing w:after="0" w:afterLines="0" w:line="360" w:lineRule="auto"/>
        <w:ind w:firstLine="420" w:firstLineChars="200"/>
        <w:rPr>
          <w:rFonts w:hint="eastAsia" w:eastAsia="宋体"/>
          <w:color w:val="auto"/>
          <w:highlight w:val="none"/>
          <w:lang w:eastAsia="zh-CN"/>
        </w:rPr>
      </w:pPr>
      <w:r>
        <w:rPr>
          <w:rFonts w:hint="eastAsia" w:ascii="宋体" w:hAnsi="宋体" w:cs="宋体"/>
          <w:color w:val="auto"/>
          <w:szCs w:val="21"/>
          <w:highlight w:val="none"/>
          <w:lang w:val="en-US" w:eastAsia="zh-CN"/>
        </w:rPr>
        <w:t>投标人针对本项目采购需求制定体检服务方案，（方案内容包含但不限于：体检计划方案、体检流程安排、服务团队人员配置、质量控制措施、体检环境、体检结果、跟踪服务等内容），文字格式自拟</w:t>
      </w:r>
      <w:r>
        <w:rPr>
          <w:rFonts w:hint="eastAsia"/>
          <w:color w:val="auto"/>
          <w:highlight w:val="none"/>
          <w:lang w:eastAsia="zh-CN"/>
        </w:rPr>
        <w:t>。</w:t>
      </w:r>
    </w:p>
    <w:p w14:paraId="0361E625">
      <w:pPr>
        <w:bidi w:val="0"/>
        <w:rPr>
          <w:rFonts w:hint="eastAsia" w:ascii="宋体" w:hAnsi="宋体"/>
          <w:b/>
          <w:color w:val="auto"/>
          <w:szCs w:val="21"/>
          <w:highlight w:val="none"/>
        </w:rPr>
      </w:pPr>
    </w:p>
    <w:p w14:paraId="2C5E93DF">
      <w:pPr>
        <w:bidi w:val="0"/>
        <w:rPr>
          <w:color w:val="auto"/>
          <w:highlight w:val="none"/>
        </w:rPr>
      </w:pPr>
      <w:r>
        <w:rPr>
          <w:rFonts w:hint="eastAsia" w:ascii="Times New Roman" w:hAnsi="Times New Roman" w:eastAsia="宋体" w:cs="Times New Roman"/>
          <w:b w:val="0"/>
          <w:color w:val="auto"/>
          <w:szCs w:val="20"/>
          <w:highlight w:val="none"/>
        </w:rPr>
        <w:t>注</w:t>
      </w:r>
      <w:r>
        <w:rPr>
          <w:rFonts w:hint="eastAsia" w:ascii="宋体" w:hAnsi="宋体" w:eastAsia="宋体" w:cs="Times New Roman"/>
          <w:b w:val="0"/>
          <w:bCs/>
          <w:color w:val="auto"/>
          <w:szCs w:val="21"/>
          <w:highlight w:val="none"/>
        </w:rPr>
        <w:t>：在编制上述方案时，投标人必须将各项内容填写在投标文件各自相对应的目录中，未按要求填写的，相应责任由投标人自行承担。</w:t>
      </w:r>
      <w:r>
        <w:rPr>
          <w:color w:val="auto"/>
          <w:highlight w:val="none"/>
        </w:rPr>
        <w:br w:type="page"/>
      </w:r>
    </w:p>
    <w:p w14:paraId="5C8BA7AF">
      <w:pPr>
        <w:jc w:val="center"/>
        <w:outlineLvl w:val="1"/>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t>二十</w:t>
      </w:r>
      <w:r>
        <w:rPr>
          <w:rFonts w:hint="eastAsia" w:ascii="Times New Roman" w:hAnsi="宋体" w:eastAsia="宋体" w:cs="宋体"/>
          <w:b/>
          <w:color w:val="auto"/>
          <w:sz w:val="28"/>
          <w:szCs w:val="28"/>
          <w:highlight w:val="none"/>
        </w:rPr>
        <w:t>、</w:t>
      </w:r>
      <w:r>
        <w:rPr>
          <w:rFonts w:hint="eastAsia" w:ascii="Times New Roman" w:hAnsi="宋体" w:eastAsia="宋体" w:cs="宋体"/>
          <w:b/>
          <w:color w:val="auto"/>
          <w:sz w:val="28"/>
          <w:szCs w:val="28"/>
          <w:highlight w:val="none"/>
          <w:lang w:val="en-US" w:eastAsia="zh-CN"/>
        </w:rPr>
        <w:t>应急预案方案</w:t>
      </w:r>
    </w:p>
    <w:p w14:paraId="4A31E4C5">
      <w:pPr>
        <w:adjustRightInd w:val="0"/>
        <w:snapToGrid w:val="0"/>
        <w:spacing w:after="312" w:afterLines="100"/>
        <w:rPr>
          <w:rFonts w:hint="eastAsia" w:ascii="宋体" w:hAnsi="宋体" w:eastAsia="宋体" w:cs="宋体"/>
          <w:b/>
          <w:bCs/>
          <w:color w:val="auto"/>
          <w:szCs w:val="21"/>
          <w:highlight w:val="none"/>
          <w:u w:val="single"/>
          <w:lang w:eastAsia="zh-CN"/>
        </w:rPr>
      </w:pPr>
      <w:r>
        <w:rPr>
          <w:rFonts w:hint="eastAsia" w:ascii="Times New Roman" w:hAnsi="宋体" w:eastAsia="宋体" w:cs="宋体"/>
          <w:b/>
          <w:bCs/>
          <w:color w:val="auto"/>
          <w:szCs w:val="21"/>
          <w:highlight w:val="none"/>
        </w:rPr>
        <w:t>项目名称：</w:t>
      </w:r>
      <w:r>
        <w:rPr>
          <w:rFonts w:hint="eastAsia" w:ascii="宋体" w:hAnsi="宋体" w:eastAsia="宋体" w:cs="宋体"/>
          <w:b/>
          <w:bCs/>
          <w:color w:val="auto"/>
          <w:szCs w:val="21"/>
          <w:highlight w:val="none"/>
          <w:u w:val="single"/>
          <w:lang w:eastAsia="zh-CN"/>
        </w:rPr>
        <w:t>2025年长沙穗城轨道交通有限公司年度员工体检项目</w:t>
      </w:r>
    </w:p>
    <w:p w14:paraId="1F760BE7">
      <w:pPr>
        <w:adjustRightInd w:val="0"/>
        <w:snapToGrid w:val="0"/>
        <w:spacing w:after="0" w:afterLines="0" w:line="360" w:lineRule="auto"/>
        <w:ind w:firstLine="420" w:firstLineChars="200"/>
        <w:rPr>
          <w:rFonts w:hint="eastAsia" w:ascii="Times New Roman" w:hAnsi="Times New Roman" w:eastAsia="宋体" w:cs="Times New Roman"/>
          <w:color w:val="auto"/>
          <w:highlight w:val="none"/>
          <w:lang w:eastAsia="zh-CN"/>
        </w:rPr>
      </w:pPr>
      <w:r>
        <w:rPr>
          <w:rFonts w:hint="eastAsia" w:ascii="宋体" w:hAnsi="宋体" w:eastAsia="宋体" w:cs="宋体"/>
          <w:color w:val="auto"/>
          <w:szCs w:val="21"/>
          <w:highlight w:val="none"/>
          <w:lang w:val="en-US" w:eastAsia="zh-CN"/>
        </w:rPr>
        <w:t>投标人针对本项目采购需求制定应急预案，（方案内容包含但不限于：健康体检突发事件处置、受检者晕针晕血处理、受检者突发心脑血管急病处理、高血压急症处理、其他急症处理等内容），文字格式自拟</w:t>
      </w:r>
      <w:r>
        <w:rPr>
          <w:rFonts w:hint="eastAsia" w:ascii="Times New Roman" w:hAnsi="Times New Roman" w:eastAsia="宋体" w:cs="Times New Roman"/>
          <w:color w:val="auto"/>
          <w:highlight w:val="none"/>
          <w:lang w:eastAsia="zh-CN"/>
        </w:rPr>
        <w:t>。</w:t>
      </w:r>
    </w:p>
    <w:p w14:paraId="6D54FAEF">
      <w:pPr>
        <w:bidi w:val="0"/>
        <w:outlineLvl w:val="9"/>
        <w:rPr>
          <w:rFonts w:hint="eastAsia" w:ascii="宋体" w:hAnsi="宋体" w:eastAsia="宋体" w:cs="Times New Roman"/>
          <w:b/>
          <w:color w:val="auto"/>
          <w:szCs w:val="21"/>
          <w:highlight w:val="none"/>
        </w:rPr>
      </w:pPr>
    </w:p>
    <w:p w14:paraId="4E909305">
      <w:pPr>
        <w:jc w:val="left"/>
        <w:outlineLvl w:val="9"/>
        <w:rPr>
          <w:rFonts w:hint="eastAsia" w:ascii="宋体" w:hAnsi="宋体" w:eastAsia="宋体" w:cs="Times New Roman"/>
          <w:b w:val="0"/>
          <w:bCs/>
          <w:color w:val="auto"/>
          <w:szCs w:val="21"/>
          <w:highlight w:val="none"/>
        </w:rPr>
      </w:pPr>
      <w:r>
        <w:rPr>
          <w:rFonts w:hint="eastAsia" w:ascii="Times New Roman" w:hAnsi="Times New Roman" w:eastAsia="宋体" w:cs="Times New Roman"/>
          <w:b w:val="0"/>
          <w:color w:val="auto"/>
          <w:szCs w:val="20"/>
          <w:highlight w:val="none"/>
        </w:rPr>
        <w:t>注</w:t>
      </w:r>
      <w:r>
        <w:rPr>
          <w:rFonts w:hint="eastAsia" w:ascii="宋体" w:hAnsi="宋体" w:eastAsia="宋体" w:cs="Times New Roman"/>
          <w:b w:val="0"/>
          <w:bCs/>
          <w:color w:val="auto"/>
          <w:szCs w:val="21"/>
          <w:highlight w:val="none"/>
        </w:rPr>
        <w:t>：在编制上述方案时，投标人必须将各项内容填写在投标文件各自相对应的目录中，未按要求填写的，相应责任由投标人自行承担。</w:t>
      </w:r>
    </w:p>
    <w:p w14:paraId="42B8CECC">
      <w:pPr>
        <w:jc w:val="center"/>
        <w:outlineLvl w:val="9"/>
        <w:rPr>
          <w:rFonts w:hint="eastAsia" w:ascii="宋体" w:hAnsi="宋体" w:eastAsia="宋体" w:cs="Times New Roman"/>
          <w:b w:val="0"/>
          <w:bCs/>
          <w:color w:val="auto"/>
          <w:szCs w:val="21"/>
          <w:highlight w:val="none"/>
        </w:rPr>
      </w:pPr>
    </w:p>
    <w:p w14:paraId="7DC1246B">
      <w:pPr>
        <w:outlineLvl w:val="9"/>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br w:type="page"/>
      </w:r>
    </w:p>
    <w:p w14:paraId="1B6EC8B1">
      <w:pPr>
        <w:jc w:val="center"/>
        <w:outlineLvl w:val="1"/>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t>二十一</w:t>
      </w:r>
      <w:r>
        <w:rPr>
          <w:rFonts w:hint="eastAsia" w:ascii="Times New Roman" w:hAnsi="宋体" w:eastAsia="宋体" w:cs="宋体"/>
          <w:b/>
          <w:color w:val="auto"/>
          <w:sz w:val="28"/>
          <w:szCs w:val="28"/>
          <w:highlight w:val="none"/>
        </w:rPr>
        <w:t>、</w:t>
      </w:r>
      <w:r>
        <w:rPr>
          <w:rFonts w:hint="eastAsia" w:ascii="Times New Roman" w:hAnsi="宋体" w:eastAsia="宋体" w:cs="宋体"/>
          <w:b/>
          <w:color w:val="auto"/>
          <w:sz w:val="28"/>
          <w:szCs w:val="28"/>
          <w:highlight w:val="none"/>
          <w:lang w:val="en-US" w:eastAsia="zh-CN"/>
        </w:rPr>
        <w:t>就诊服务方案</w:t>
      </w:r>
    </w:p>
    <w:p w14:paraId="7B407AC6">
      <w:pPr>
        <w:adjustRightInd w:val="0"/>
        <w:snapToGrid w:val="0"/>
        <w:spacing w:after="312" w:afterLines="100"/>
        <w:rPr>
          <w:rFonts w:hint="eastAsia" w:ascii="宋体" w:hAnsi="宋体" w:eastAsia="宋体" w:cs="宋体"/>
          <w:b/>
          <w:bCs/>
          <w:color w:val="auto"/>
          <w:szCs w:val="21"/>
          <w:highlight w:val="none"/>
          <w:u w:val="single"/>
          <w:lang w:eastAsia="zh-CN"/>
        </w:rPr>
      </w:pPr>
      <w:r>
        <w:rPr>
          <w:rFonts w:hint="eastAsia" w:ascii="Times New Roman" w:hAnsi="宋体" w:eastAsia="宋体" w:cs="宋体"/>
          <w:b/>
          <w:bCs/>
          <w:color w:val="auto"/>
          <w:szCs w:val="21"/>
          <w:highlight w:val="none"/>
        </w:rPr>
        <w:t>项目名称：</w:t>
      </w:r>
      <w:r>
        <w:rPr>
          <w:rFonts w:hint="eastAsia" w:ascii="宋体" w:hAnsi="宋体" w:eastAsia="宋体" w:cs="宋体"/>
          <w:b/>
          <w:bCs/>
          <w:color w:val="auto"/>
          <w:szCs w:val="21"/>
          <w:highlight w:val="none"/>
          <w:u w:val="single"/>
          <w:lang w:eastAsia="zh-CN"/>
        </w:rPr>
        <w:t>2025年长沙穗城轨道交通有限公司年度员工体检项目</w:t>
      </w:r>
    </w:p>
    <w:p w14:paraId="5CC8AA61">
      <w:pPr>
        <w:adjustRightInd w:val="0"/>
        <w:snapToGrid w:val="0"/>
        <w:spacing w:after="0" w:afterLines="0" w:line="360" w:lineRule="auto"/>
        <w:ind w:firstLine="420" w:firstLineChars="200"/>
        <w:rPr>
          <w:rFonts w:hint="eastAsia" w:ascii="Times New Roman" w:hAnsi="Times New Roman" w:eastAsia="宋体" w:cs="Times New Roman"/>
          <w:color w:val="auto"/>
          <w:highlight w:val="none"/>
          <w:lang w:eastAsia="zh-CN"/>
        </w:rPr>
      </w:pPr>
      <w:r>
        <w:rPr>
          <w:rFonts w:hint="eastAsia" w:ascii="宋体" w:hAnsi="宋体" w:eastAsia="宋体" w:cs="宋体"/>
          <w:color w:val="auto"/>
          <w:szCs w:val="21"/>
          <w:highlight w:val="none"/>
          <w:lang w:val="en-US" w:eastAsia="zh-CN"/>
        </w:rPr>
        <w:t>投标人针对本项目采购需求提供就诊时免费咨询、开通急诊、入院绿色通道、衔接床位等服务方案，文字格式自拟</w:t>
      </w:r>
      <w:r>
        <w:rPr>
          <w:rFonts w:hint="eastAsia" w:ascii="Times New Roman" w:hAnsi="Times New Roman" w:eastAsia="宋体" w:cs="Times New Roman"/>
          <w:color w:val="auto"/>
          <w:highlight w:val="none"/>
          <w:lang w:eastAsia="zh-CN"/>
        </w:rPr>
        <w:t>。</w:t>
      </w:r>
    </w:p>
    <w:p w14:paraId="21B1EF15">
      <w:pPr>
        <w:bidi w:val="0"/>
        <w:rPr>
          <w:rFonts w:hint="eastAsia" w:ascii="宋体" w:hAnsi="宋体" w:eastAsia="宋体" w:cs="Times New Roman"/>
          <w:b/>
          <w:color w:val="auto"/>
          <w:szCs w:val="21"/>
          <w:highlight w:val="none"/>
        </w:rPr>
      </w:pPr>
    </w:p>
    <w:p w14:paraId="69120BA1">
      <w:pPr>
        <w:jc w:val="left"/>
        <w:outlineLvl w:val="9"/>
        <w:rPr>
          <w:rFonts w:hint="eastAsia" w:ascii="宋体" w:hAnsi="宋体" w:eastAsia="宋体" w:cs="Times New Roman"/>
          <w:b w:val="0"/>
          <w:bCs/>
          <w:color w:val="auto"/>
          <w:szCs w:val="21"/>
          <w:highlight w:val="none"/>
        </w:rPr>
      </w:pPr>
      <w:r>
        <w:rPr>
          <w:rFonts w:hint="eastAsia" w:ascii="Times New Roman" w:hAnsi="Times New Roman" w:eastAsia="宋体" w:cs="Times New Roman"/>
          <w:b w:val="0"/>
          <w:color w:val="auto"/>
          <w:szCs w:val="20"/>
          <w:highlight w:val="none"/>
        </w:rPr>
        <w:t>注</w:t>
      </w:r>
      <w:r>
        <w:rPr>
          <w:rFonts w:hint="eastAsia" w:ascii="宋体" w:hAnsi="宋体" w:eastAsia="宋体" w:cs="Times New Roman"/>
          <w:b w:val="0"/>
          <w:bCs/>
          <w:color w:val="auto"/>
          <w:szCs w:val="21"/>
          <w:highlight w:val="none"/>
        </w:rPr>
        <w:t>：在编制上述方案时，投标人必须将各项内容填写在投标文件各自相对应的目录中，未按要求填写的，相应责任由投标人自行承担。</w:t>
      </w:r>
    </w:p>
    <w:p w14:paraId="1EA35312">
      <w:pPr>
        <w:jc w:val="center"/>
        <w:outlineLvl w:val="9"/>
        <w:rPr>
          <w:rFonts w:hint="eastAsia" w:ascii="Times New Roman" w:hAnsi="宋体" w:eastAsia="宋体" w:cs="宋体"/>
          <w:b/>
          <w:color w:val="auto"/>
          <w:sz w:val="28"/>
          <w:szCs w:val="28"/>
          <w:highlight w:val="none"/>
          <w:lang w:val="en-US" w:eastAsia="zh-CN"/>
        </w:rPr>
      </w:pPr>
    </w:p>
    <w:p w14:paraId="0F070BE7">
      <w:pPr>
        <w:outlineLvl w:val="9"/>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br w:type="page"/>
      </w:r>
    </w:p>
    <w:p w14:paraId="7965307D">
      <w:pPr>
        <w:jc w:val="center"/>
        <w:outlineLvl w:val="1"/>
        <w:rPr>
          <w:rFonts w:hint="eastAsia" w:ascii="Times New Roman" w:hAnsi="宋体" w:eastAsia="宋体" w:cs="宋体"/>
          <w:b/>
          <w:color w:val="auto"/>
          <w:sz w:val="28"/>
          <w:szCs w:val="28"/>
          <w:highlight w:val="none"/>
        </w:rPr>
      </w:pPr>
      <w:r>
        <w:rPr>
          <w:rFonts w:hint="eastAsia" w:hAnsi="宋体" w:cs="宋体"/>
          <w:b/>
          <w:color w:val="auto"/>
          <w:sz w:val="28"/>
          <w:szCs w:val="28"/>
          <w:highlight w:val="none"/>
          <w:lang w:val="en-US" w:eastAsia="zh-CN"/>
        </w:rPr>
        <w:t>二十二</w:t>
      </w:r>
      <w:r>
        <w:rPr>
          <w:rFonts w:hint="eastAsia" w:ascii="Times New Roman" w:hAnsi="宋体" w:eastAsia="宋体" w:cs="宋体"/>
          <w:b/>
          <w:color w:val="auto"/>
          <w:sz w:val="28"/>
          <w:szCs w:val="28"/>
          <w:highlight w:val="none"/>
          <w:lang w:val="en-US" w:eastAsia="zh-CN"/>
        </w:rPr>
        <w:t>、</w:t>
      </w:r>
      <w:r>
        <w:rPr>
          <w:rFonts w:hint="eastAsia" w:ascii="Times New Roman" w:hAnsi="宋体" w:eastAsia="宋体" w:cs="宋体"/>
          <w:b/>
          <w:color w:val="auto"/>
          <w:sz w:val="28"/>
          <w:szCs w:val="28"/>
          <w:highlight w:val="none"/>
        </w:rPr>
        <w:t>投标人认为需提供的</w:t>
      </w:r>
      <w:r>
        <w:rPr>
          <w:rFonts w:hint="eastAsia" w:ascii="Times New Roman" w:hAnsi="宋体" w:eastAsia="宋体" w:cs="宋体"/>
          <w:b/>
          <w:color w:val="auto"/>
          <w:sz w:val="28"/>
          <w:szCs w:val="28"/>
          <w:highlight w:val="none"/>
          <w:lang w:eastAsia="zh-CN"/>
        </w:rPr>
        <w:t>其他</w:t>
      </w:r>
      <w:r>
        <w:rPr>
          <w:rFonts w:hint="eastAsia" w:ascii="Times New Roman" w:hAnsi="宋体" w:eastAsia="宋体" w:cs="宋体"/>
          <w:b/>
          <w:color w:val="auto"/>
          <w:sz w:val="28"/>
          <w:szCs w:val="28"/>
          <w:highlight w:val="none"/>
          <w:lang w:val="en-US" w:eastAsia="zh-CN"/>
        </w:rPr>
        <w:t>技术</w:t>
      </w:r>
      <w:r>
        <w:rPr>
          <w:rFonts w:hint="eastAsia" w:ascii="Times New Roman" w:hAnsi="宋体" w:eastAsia="宋体" w:cs="宋体"/>
          <w:b/>
          <w:color w:val="auto"/>
          <w:sz w:val="28"/>
          <w:szCs w:val="28"/>
          <w:highlight w:val="none"/>
        </w:rPr>
        <w:t>评审资料</w:t>
      </w:r>
    </w:p>
    <w:p w14:paraId="39B51FFC">
      <w:pPr>
        <w:adjustRightInd w:val="0"/>
        <w:snapToGrid w:val="0"/>
        <w:spacing w:after="312" w:afterLines="100"/>
        <w:rPr>
          <w:rFonts w:hint="eastAsia" w:ascii="宋体" w:hAnsi="宋体" w:eastAsia="宋体" w:cs="宋体"/>
          <w:b/>
          <w:bCs/>
          <w:color w:val="auto"/>
          <w:szCs w:val="21"/>
          <w:highlight w:val="none"/>
          <w:u w:val="single"/>
          <w:lang w:eastAsia="zh-CN"/>
        </w:rPr>
      </w:pPr>
      <w:r>
        <w:rPr>
          <w:rFonts w:hint="eastAsia" w:hAnsi="宋体" w:cs="宋体"/>
          <w:b/>
          <w:bCs/>
          <w:color w:val="auto"/>
          <w:szCs w:val="21"/>
          <w:highlight w:val="none"/>
        </w:rPr>
        <w:t>项目名称：</w:t>
      </w:r>
      <w:r>
        <w:rPr>
          <w:rFonts w:hint="eastAsia" w:ascii="宋体" w:hAnsi="宋体" w:cs="宋体"/>
          <w:b/>
          <w:bCs/>
          <w:color w:val="auto"/>
          <w:szCs w:val="21"/>
          <w:highlight w:val="none"/>
          <w:u w:val="single"/>
          <w:lang w:eastAsia="zh-CN"/>
        </w:rPr>
        <w:t>2025年长沙穗城轨道交通有限公司年度员工体检项目</w:t>
      </w:r>
    </w:p>
    <w:bookmarkEnd w:id="0"/>
    <w:p w14:paraId="1D57A735">
      <w:pPr>
        <w:bidi w:val="0"/>
        <w:rPr>
          <w:color w:val="auto"/>
          <w:highlight w:val="none"/>
        </w:rPr>
      </w:pPr>
    </w:p>
    <w:sectPr>
      <w:headerReference r:id="rId3" w:type="default"/>
      <w:footerReference r:id="rId4"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F0C0FF0-DBBC-4B1A-ADD0-1250CD1CE271}"/>
  </w:font>
  <w:font w:name="黑体">
    <w:panose1 w:val="02010609060101010101"/>
    <w:charset w:val="86"/>
    <w:family w:val="auto"/>
    <w:pitch w:val="default"/>
    <w:sig w:usb0="800002BF" w:usb1="38CF7CFA" w:usb2="00000016" w:usb3="00000000" w:csb0="00040001" w:csb1="00000000"/>
    <w:embedRegular r:id="rId2" w:fontKey="{56817E94-6668-43EA-93BD-0F6A0F135948}"/>
  </w:font>
  <w:font w:name="Courier New">
    <w:panose1 w:val="02070309020205020404"/>
    <w:charset w:val="01"/>
    <w:family w:val="modern"/>
    <w:pitch w:val="default"/>
    <w:sig w:usb0="E0002EFF" w:usb1="C0007843" w:usb2="00000009" w:usb3="00000000" w:csb0="400001FF" w:csb1="FFFF0000"/>
    <w:embedRegular r:id="rId3" w:fontKey="{A9B9E8B6-50A7-4E47-BB59-F5EA07E784D7}"/>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5B5132AD-C513-4BDC-A1EC-88A7D163DEB1}"/>
  </w:font>
  <w:font w:name="MS Sans Serif">
    <w:altName w:val="Arial"/>
    <w:panose1 w:val="020B0500000000000000"/>
    <w:charset w:val="00"/>
    <w:family w:val="swiss"/>
    <w:pitch w:val="default"/>
    <w:sig w:usb0="00000000" w:usb1="00000000" w:usb2="00000000" w:usb3="00000000" w:csb0="00000001"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sto MT">
    <w:altName w:val="Segoe Print"/>
    <w:panose1 w:val="02040603050505030304"/>
    <w:charset w:val="00"/>
    <w:family w:val="roman"/>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5" w:fontKey="{0010996D-9C5A-4EAE-930C-0494FF241ED1}"/>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FuturaA Bk BT">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Invensys Andale">
    <w:altName w:val="Franklin Gothic Medium"/>
    <w:panose1 w:val="00000000000000000000"/>
    <w:charset w:val="00"/>
    <w:family w:val="swiss"/>
    <w:pitch w:val="default"/>
    <w:sig w:usb0="00000000" w:usb1="00000000" w:usb2="00000000" w:usb3="00000000" w:csb0="00000001" w:csb1="00000000"/>
  </w:font>
  <w:font w:name="Franklin Gothic Medium">
    <w:panose1 w:val="020B0603020102020204"/>
    <w:charset w:val="00"/>
    <w:family w:val="auto"/>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Arial Narrow">
    <w:panose1 w:val="020B0606020202030204"/>
    <w:charset w:val="00"/>
    <w:family w:val="swiss"/>
    <w:pitch w:val="default"/>
    <w:sig w:usb0="00000287" w:usb1="00000800" w:usb2="00000000" w:usb3="00000000" w:csb0="2000009F" w:csb1="DFD70000"/>
  </w:font>
  <w:font w:name="MS UI Gothic">
    <w:panose1 w:val="020B0600070205080204"/>
    <w:charset w:val="80"/>
    <w:family w:val="swiss"/>
    <w:pitch w:val="default"/>
    <w:sig w:usb0="E00002FF" w:usb1="6AC7FDFB" w:usb2="08000012" w:usb3="00000000" w:csb0="4002009F" w:csb1="DFD70000"/>
  </w:font>
  <w:font w:name="隶书">
    <w:panose1 w:val="02010509060101010101"/>
    <w:charset w:val="86"/>
    <w:family w:val="modern"/>
    <w:pitch w:val="default"/>
    <w:sig w:usb0="00000001" w:usb1="080E0000" w:usb2="00000000" w:usb3="00000000" w:csb0="00040000" w:csb1="00000000"/>
  </w:font>
  <w:font w:name="华文彩云">
    <w:panose1 w:val="02010800040101010101"/>
    <w:charset w:val="86"/>
    <w:family w:val="auto"/>
    <w:pitch w:val="default"/>
    <w:sig w:usb0="00000001" w:usb1="080F0000" w:usb2="00000000" w:usb3="00000000" w:csb0="00040000" w:csb1="00000000"/>
  </w:font>
  <w:font w:name="Swis721 BlkOul BT">
    <w:altName w:val="Segoe Print"/>
    <w:panose1 w:val="00000000000000000000"/>
    <w:charset w:val="00"/>
    <w:family w:val="decorative"/>
    <w:pitch w:val="default"/>
    <w:sig w:usb0="00000000" w:usb1="00000000" w:usb2="00000000" w:usb3="00000000" w:csb0="0000001B" w:csb1="00000000"/>
  </w:font>
  <w:font w:name="Sim Sun">
    <w:altName w:val="宋体"/>
    <w:panose1 w:val="00000000000000000000"/>
    <w:charset w:val="86"/>
    <w:family w:val="auto"/>
    <w:pitch w:val="default"/>
    <w:sig w:usb0="00000000" w:usb1="00000000" w:usb2="00000010" w:usb3="00000000" w:csb0="00040000" w:csb1="00000000"/>
  </w:font>
  <w:font w:name="Lucida Grande">
    <w:altName w:val="Times New Roman"/>
    <w:panose1 w:val="00000000000000000000"/>
    <w:charset w:val="00"/>
    <w:family w:val="roman"/>
    <w:pitch w:val="default"/>
    <w:sig w:usb0="00000000" w:usb1="00000000" w:usb2="00000000" w:usb3="00000000" w:csb0="00000001"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Courier">
    <w:altName w:val="Courier New"/>
    <w:panose1 w:val="02070409020205020404"/>
    <w:charset w:val="00"/>
    <w:family w:val="modern"/>
    <w:pitch w:val="default"/>
    <w:sig w:usb0="00000000" w:usb1="00000000" w:usb2="00000000" w:usb3="00000000" w:csb0="00000001" w:csb1="00000000"/>
  </w:font>
  <w:font w:name="_GB2312">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embedRegular r:id="rId6" w:fontKey="{2D4748BC-32F8-45F0-B491-B4D67A90491A}"/>
  </w:font>
  <w:font w:name="方正小标宋简体">
    <w:panose1 w:val="03000509000000000000"/>
    <w:charset w:val="86"/>
    <w:family w:val="auto"/>
    <w:pitch w:val="default"/>
    <w:sig w:usb0="00000001" w:usb1="080E0000" w:usb2="00000000" w:usb3="00000000" w:csb0="00040000" w:csb1="00000000"/>
    <w:embedRegular r:id="rId7" w:fontKey="{49BCF0F2-25C4-4572-836C-4CEF6BCEFD36}"/>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7221A">
    <w:pPr>
      <w:pStyle w:val="4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11095C">
                          <w:pPr>
                            <w:pStyle w:val="4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511095C">
                    <w:pPr>
                      <w:pStyle w:val="4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26E04">
    <w:pPr>
      <w:pStyle w:val="4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40BA99"/>
    <w:multiLevelType w:val="multilevel"/>
    <w:tmpl w:val="C040BA99"/>
    <w:lvl w:ilvl="0" w:tentative="0">
      <w:start w:val="1"/>
      <w:numFmt w:val="decimal"/>
      <w:lvlText w:val="（%1）"/>
      <w:lvlJc w:val="left"/>
      <w:pPr>
        <w:tabs>
          <w:tab w:val="left" w:pos="857"/>
        </w:tabs>
        <w:ind w:left="1141" w:hanging="574"/>
      </w:pPr>
      <w:rPr>
        <w:rFonts w:hint="eastAsia"/>
      </w:rPr>
    </w:lvl>
    <w:lvl w:ilvl="1" w:tentative="0">
      <w:start w:val="1"/>
      <w:numFmt w:val="lowerLetter"/>
      <w:lvlText w:val="%2."/>
      <w:lvlJc w:val="left"/>
      <w:pPr>
        <w:tabs>
          <w:tab w:val="left" w:pos="927"/>
        </w:tabs>
        <w:ind w:left="927" w:hanging="360"/>
      </w:pPr>
      <w:rPr>
        <w:rFonts w:hint="eastAsia"/>
      </w:rPr>
    </w:lvl>
    <w:lvl w:ilvl="2" w:tentative="0">
      <w:start w:val="1"/>
      <w:numFmt w:val="lowerRoman"/>
      <w:lvlText w:val="%3."/>
      <w:lvlJc w:val="right"/>
      <w:pPr>
        <w:tabs>
          <w:tab w:val="left" w:pos="1407"/>
        </w:tabs>
        <w:ind w:left="1407" w:hanging="420"/>
      </w:pPr>
      <w:rPr>
        <w:rFonts w:hint="eastAsia"/>
      </w:rPr>
    </w:lvl>
    <w:lvl w:ilvl="3" w:tentative="0">
      <w:start w:val="1"/>
      <w:numFmt w:val="decimal"/>
      <w:lvlText w:val="%4."/>
      <w:lvlJc w:val="left"/>
      <w:pPr>
        <w:tabs>
          <w:tab w:val="left" w:pos="1827"/>
        </w:tabs>
        <w:ind w:left="1827" w:hanging="420"/>
      </w:pPr>
      <w:rPr>
        <w:rFonts w:hint="eastAsia"/>
      </w:rPr>
    </w:lvl>
    <w:lvl w:ilvl="4" w:tentative="0">
      <w:start w:val="1"/>
      <w:numFmt w:val="lowerLetter"/>
      <w:lvlText w:val="%5)"/>
      <w:lvlJc w:val="left"/>
      <w:pPr>
        <w:tabs>
          <w:tab w:val="left" w:pos="2247"/>
        </w:tabs>
        <w:ind w:left="2247" w:hanging="420"/>
      </w:pPr>
      <w:rPr>
        <w:rFonts w:hint="eastAsia"/>
      </w:rPr>
    </w:lvl>
    <w:lvl w:ilvl="5" w:tentative="0">
      <w:start w:val="1"/>
      <w:numFmt w:val="lowerRoman"/>
      <w:lvlText w:val="%6."/>
      <w:lvlJc w:val="right"/>
      <w:pPr>
        <w:tabs>
          <w:tab w:val="left" w:pos="2667"/>
        </w:tabs>
        <w:ind w:left="2667" w:hanging="420"/>
      </w:pPr>
      <w:rPr>
        <w:rFonts w:hint="eastAsia"/>
      </w:rPr>
    </w:lvl>
    <w:lvl w:ilvl="6" w:tentative="0">
      <w:start w:val="1"/>
      <w:numFmt w:val="decimal"/>
      <w:lvlText w:val="%7."/>
      <w:lvlJc w:val="left"/>
      <w:pPr>
        <w:tabs>
          <w:tab w:val="left" w:pos="3087"/>
        </w:tabs>
        <w:ind w:left="3087" w:hanging="420"/>
      </w:pPr>
      <w:rPr>
        <w:rFonts w:hint="eastAsia"/>
      </w:rPr>
    </w:lvl>
    <w:lvl w:ilvl="7" w:tentative="0">
      <w:start w:val="1"/>
      <w:numFmt w:val="lowerLetter"/>
      <w:lvlText w:val="%8)"/>
      <w:lvlJc w:val="left"/>
      <w:pPr>
        <w:tabs>
          <w:tab w:val="left" w:pos="3507"/>
        </w:tabs>
        <w:ind w:left="3507" w:hanging="420"/>
      </w:pPr>
      <w:rPr>
        <w:rFonts w:hint="eastAsia"/>
      </w:rPr>
    </w:lvl>
    <w:lvl w:ilvl="8" w:tentative="0">
      <w:start w:val="1"/>
      <w:numFmt w:val="lowerRoman"/>
      <w:lvlText w:val="%9."/>
      <w:lvlJc w:val="right"/>
      <w:pPr>
        <w:tabs>
          <w:tab w:val="left" w:pos="3927"/>
        </w:tabs>
        <w:ind w:left="3927" w:hanging="420"/>
      </w:pPr>
      <w:rPr>
        <w:rFonts w:hint="eastAsia"/>
      </w:rPr>
    </w:lvl>
  </w:abstractNum>
  <w:abstractNum w:abstractNumId="1">
    <w:nsid w:val="00000001"/>
    <w:multiLevelType w:val="singleLevel"/>
    <w:tmpl w:val="00000001"/>
    <w:lvl w:ilvl="0" w:tentative="0">
      <w:start w:val="2"/>
      <w:numFmt w:val="chineseCounting"/>
      <w:pStyle w:val="135"/>
      <w:suff w:val="nothing"/>
      <w:lvlText w:val="%1、"/>
      <w:lvlJc w:val="left"/>
    </w:lvl>
  </w:abstractNum>
  <w:abstractNum w:abstractNumId="2">
    <w:nsid w:val="01553948"/>
    <w:multiLevelType w:val="multilevel"/>
    <w:tmpl w:val="01553948"/>
    <w:lvl w:ilvl="0" w:tentative="0">
      <w:start w:val="1"/>
      <w:numFmt w:val="decimal"/>
      <w:lvlText w:val="（%1）"/>
      <w:lvlJc w:val="left"/>
      <w:pPr>
        <w:tabs>
          <w:tab w:val="left" w:pos="945"/>
        </w:tabs>
        <w:ind w:left="945" w:hanging="420"/>
      </w:pPr>
      <w:rPr>
        <w:rFonts w:hint="eastAsia"/>
        <w:lang w:val="en-US"/>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3">
    <w:nsid w:val="039227CA"/>
    <w:multiLevelType w:val="multilevel"/>
    <w:tmpl w:val="039227CA"/>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4">
    <w:nsid w:val="15FF16AE"/>
    <w:multiLevelType w:val="multilevel"/>
    <w:tmpl w:val="15FF16AE"/>
    <w:lvl w:ilvl="0" w:tentative="0">
      <w:start w:val="1"/>
      <w:numFmt w:val="decimal"/>
      <w:lvlText w:val="（%1）"/>
      <w:lvlJc w:val="left"/>
      <w:pPr>
        <w:tabs>
          <w:tab w:val="left" w:pos="857"/>
        </w:tabs>
        <w:ind w:left="1141" w:hanging="574"/>
      </w:pPr>
      <w:rPr>
        <w:rFonts w:hint="eastAsia"/>
      </w:rPr>
    </w:lvl>
    <w:lvl w:ilvl="1" w:tentative="0">
      <w:start w:val="1"/>
      <w:numFmt w:val="lowerLetter"/>
      <w:lvlText w:val="%2."/>
      <w:lvlJc w:val="left"/>
      <w:pPr>
        <w:tabs>
          <w:tab w:val="left" w:pos="927"/>
        </w:tabs>
        <w:ind w:left="927" w:hanging="360"/>
      </w:pPr>
      <w:rPr>
        <w:rFonts w:hint="eastAsia"/>
      </w:rPr>
    </w:lvl>
    <w:lvl w:ilvl="2" w:tentative="0">
      <w:start w:val="1"/>
      <w:numFmt w:val="lowerRoman"/>
      <w:lvlText w:val="%3."/>
      <w:lvlJc w:val="right"/>
      <w:pPr>
        <w:tabs>
          <w:tab w:val="left" w:pos="1407"/>
        </w:tabs>
        <w:ind w:left="1407" w:hanging="420"/>
      </w:pPr>
      <w:rPr>
        <w:rFonts w:hint="eastAsia"/>
      </w:rPr>
    </w:lvl>
    <w:lvl w:ilvl="3" w:tentative="0">
      <w:start w:val="1"/>
      <w:numFmt w:val="decimal"/>
      <w:lvlText w:val="%4."/>
      <w:lvlJc w:val="left"/>
      <w:pPr>
        <w:tabs>
          <w:tab w:val="left" w:pos="1827"/>
        </w:tabs>
        <w:ind w:left="1827" w:hanging="420"/>
      </w:pPr>
      <w:rPr>
        <w:rFonts w:hint="eastAsia"/>
      </w:rPr>
    </w:lvl>
    <w:lvl w:ilvl="4" w:tentative="0">
      <w:start w:val="1"/>
      <w:numFmt w:val="lowerLetter"/>
      <w:lvlText w:val="%5)"/>
      <w:lvlJc w:val="left"/>
      <w:pPr>
        <w:tabs>
          <w:tab w:val="left" w:pos="2247"/>
        </w:tabs>
        <w:ind w:left="2247" w:hanging="420"/>
      </w:pPr>
      <w:rPr>
        <w:rFonts w:hint="eastAsia"/>
      </w:rPr>
    </w:lvl>
    <w:lvl w:ilvl="5" w:tentative="0">
      <w:start w:val="1"/>
      <w:numFmt w:val="lowerRoman"/>
      <w:lvlText w:val="%6."/>
      <w:lvlJc w:val="right"/>
      <w:pPr>
        <w:tabs>
          <w:tab w:val="left" w:pos="2667"/>
        </w:tabs>
        <w:ind w:left="2667" w:hanging="420"/>
      </w:pPr>
      <w:rPr>
        <w:rFonts w:hint="eastAsia"/>
      </w:rPr>
    </w:lvl>
    <w:lvl w:ilvl="6" w:tentative="0">
      <w:start w:val="1"/>
      <w:numFmt w:val="decimal"/>
      <w:lvlText w:val="%7."/>
      <w:lvlJc w:val="left"/>
      <w:pPr>
        <w:tabs>
          <w:tab w:val="left" w:pos="3087"/>
        </w:tabs>
        <w:ind w:left="3087" w:hanging="420"/>
      </w:pPr>
      <w:rPr>
        <w:rFonts w:hint="eastAsia"/>
      </w:rPr>
    </w:lvl>
    <w:lvl w:ilvl="7" w:tentative="0">
      <w:start w:val="1"/>
      <w:numFmt w:val="lowerLetter"/>
      <w:lvlText w:val="%8)"/>
      <w:lvlJc w:val="left"/>
      <w:pPr>
        <w:tabs>
          <w:tab w:val="left" w:pos="3507"/>
        </w:tabs>
        <w:ind w:left="3507" w:hanging="420"/>
      </w:pPr>
      <w:rPr>
        <w:rFonts w:hint="eastAsia"/>
      </w:rPr>
    </w:lvl>
    <w:lvl w:ilvl="8" w:tentative="0">
      <w:start w:val="1"/>
      <w:numFmt w:val="lowerRoman"/>
      <w:lvlText w:val="%9."/>
      <w:lvlJc w:val="right"/>
      <w:pPr>
        <w:tabs>
          <w:tab w:val="left" w:pos="3927"/>
        </w:tabs>
        <w:ind w:left="3927" w:hanging="420"/>
      </w:pPr>
      <w:rPr>
        <w:rFonts w:hint="eastAsia"/>
      </w:rPr>
    </w:lvl>
  </w:abstractNum>
  <w:abstractNum w:abstractNumId="5">
    <w:nsid w:val="1F385935"/>
    <w:multiLevelType w:val="multilevel"/>
    <w:tmpl w:val="1F385935"/>
    <w:lvl w:ilvl="0" w:tentative="0">
      <w:start w:val="1"/>
      <w:numFmt w:val="bullet"/>
      <w:pStyle w:val="885"/>
      <w:lvlText w:val=""/>
      <w:lvlJc w:val="left"/>
      <w:pPr>
        <w:tabs>
          <w:tab w:val="left" w:pos="2896"/>
        </w:tabs>
        <w:ind w:left="2896" w:hanging="420"/>
      </w:pPr>
      <w:rPr>
        <w:rFonts w:hint="default" w:ascii="Wingdings" w:hAnsi="Wingdings"/>
      </w:rPr>
    </w:lvl>
    <w:lvl w:ilvl="1" w:tentative="0">
      <w:start w:val="1"/>
      <w:numFmt w:val="bullet"/>
      <w:lvlText w:val=""/>
      <w:lvlJc w:val="left"/>
      <w:pPr>
        <w:tabs>
          <w:tab w:val="left" w:pos="3316"/>
        </w:tabs>
        <w:ind w:left="3316" w:hanging="420"/>
      </w:pPr>
      <w:rPr>
        <w:rFonts w:hint="default" w:ascii="Wingdings" w:hAnsi="Wingdings"/>
      </w:rPr>
    </w:lvl>
    <w:lvl w:ilvl="2" w:tentative="0">
      <w:start w:val="1"/>
      <w:numFmt w:val="bullet"/>
      <w:lvlText w:val=""/>
      <w:lvlJc w:val="left"/>
      <w:pPr>
        <w:tabs>
          <w:tab w:val="left" w:pos="3736"/>
        </w:tabs>
        <w:ind w:left="3736" w:hanging="420"/>
      </w:pPr>
      <w:rPr>
        <w:rFonts w:hint="default" w:ascii="Wingdings" w:hAnsi="Wingdings"/>
      </w:rPr>
    </w:lvl>
    <w:lvl w:ilvl="3" w:tentative="0">
      <w:start w:val="1"/>
      <w:numFmt w:val="bullet"/>
      <w:lvlText w:val=""/>
      <w:lvlJc w:val="left"/>
      <w:pPr>
        <w:tabs>
          <w:tab w:val="left" w:pos="4156"/>
        </w:tabs>
        <w:ind w:left="4156" w:hanging="420"/>
      </w:pPr>
      <w:rPr>
        <w:rFonts w:hint="default" w:ascii="Wingdings" w:hAnsi="Wingdings"/>
      </w:rPr>
    </w:lvl>
    <w:lvl w:ilvl="4" w:tentative="0">
      <w:start w:val="1"/>
      <w:numFmt w:val="bullet"/>
      <w:lvlText w:val=""/>
      <w:lvlJc w:val="left"/>
      <w:pPr>
        <w:tabs>
          <w:tab w:val="left" w:pos="4576"/>
        </w:tabs>
        <w:ind w:left="4576" w:hanging="420"/>
      </w:pPr>
      <w:rPr>
        <w:rFonts w:hint="default" w:ascii="Wingdings" w:hAnsi="Wingdings"/>
      </w:rPr>
    </w:lvl>
    <w:lvl w:ilvl="5" w:tentative="0">
      <w:start w:val="1"/>
      <w:numFmt w:val="bullet"/>
      <w:lvlText w:val=""/>
      <w:lvlJc w:val="left"/>
      <w:pPr>
        <w:tabs>
          <w:tab w:val="left" w:pos="4996"/>
        </w:tabs>
        <w:ind w:left="4996" w:hanging="420"/>
      </w:pPr>
      <w:rPr>
        <w:rFonts w:hint="default" w:ascii="Wingdings" w:hAnsi="Wingdings"/>
      </w:rPr>
    </w:lvl>
    <w:lvl w:ilvl="6" w:tentative="0">
      <w:start w:val="1"/>
      <w:numFmt w:val="bullet"/>
      <w:lvlText w:val=""/>
      <w:lvlJc w:val="left"/>
      <w:pPr>
        <w:tabs>
          <w:tab w:val="left" w:pos="5416"/>
        </w:tabs>
        <w:ind w:left="5416" w:hanging="420"/>
      </w:pPr>
      <w:rPr>
        <w:rFonts w:hint="default" w:ascii="Wingdings" w:hAnsi="Wingdings"/>
      </w:rPr>
    </w:lvl>
    <w:lvl w:ilvl="7" w:tentative="0">
      <w:start w:val="1"/>
      <w:numFmt w:val="bullet"/>
      <w:lvlText w:val=""/>
      <w:lvlJc w:val="left"/>
      <w:pPr>
        <w:tabs>
          <w:tab w:val="left" w:pos="5836"/>
        </w:tabs>
        <w:ind w:left="5836" w:hanging="420"/>
      </w:pPr>
      <w:rPr>
        <w:rFonts w:hint="default" w:ascii="Wingdings" w:hAnsi="Wingdings"/>
      </w:rPr>
    </w:lvl>
    <w:lvl w:ilvl="8" w:tentative="0">
      <w:start w:val="1"/>
      <w:numFmt w:val="bullet"/>
      <w:lvlText w:val=""/>
      <w:lvlJc w:val="left"/>
      <w:pPr>
        <w:tabs>
          <w:tab w:val="left" w:pos="6256"/>
        </w:tabs>
        <w:ind w:left="6256" w:hanging="420"/>
      </w:pPr>
      <w:rPr>
        <w:rFonts w:hint="default" w:ascii="Wingdings" w:hAnsi="Wingdings"/>
      </w:rPr>
    </w:lvl>
  </w:abstractNum>
  <w:abstractNum w:abstractNumId="6">
    <w:nsid w:val="25822848"/>
    <w:multiLevelType w:val="multilevel"/>
    <w:tmpl w:val="25822848"/>
    <w:lvl w:ilvl="0" w:tentative="0">
      <w:start w:val="1"/>
      <w:numFmt w:val="decimal"/>
      <w:lvlText w:val="%1、"/>
      <w:lvlJc w:val="left"/>
      <w:pPr>
        <w:tabs>
          <w:tab w:val="left" w:pos="1200"/>
        </w:tabs>
        <w:ind w:left="120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98B64A2"/>
    <w:multiLevelType w:val="multilevel"/>
    <w:tmpl w:val="298B64A2"/>
    <w:lvl w:ilvl="0" w:tentative="0">
      <w:start w:val="1"/>
      <w:numFmt w:val="bullet"/>
      <w:pStyle w:val="805"/>
      <w:lvlText w:val=""/>
      <w:lvlJc w:val="left"/>
      <w:pPr>
        <w:tabs>
          <w:tab w:val="left" w:pos="2297"/>
        </w:tabs>
        <w:ind w:left="2297" w:hanging="420"/>
      </w:pPr>
      <w:rPr>
        <w:rFonts w:hint="default" w:ascii="Wingdings" w:hAnsi="Wingdings"/>
      </w:rPr>
    </w:lvl>
    <w:lvl w:ilvl="1" w:tentative="0">
      <w:start w:val="1"/>
      <w:numFmt w:val="bullet"/>
      <w:lvlText w:val=""/>
      <w:lvlJc w:val="left"/>
      <w:pPr>
        <w:tabs>
          <w:tab w:val="left" w:pos="2717"/>
        </w:tabs>
        <w:ind w:left="2717" w:hanging="420"/>
      </w:pPr>
      <w:rPr>
        <w:rFonts w:hint="default" w:ascii="Wingdings" w:hAnsi="Wingdings"/>
      </w:rPr>
    </w:lvl>
    <w:lvl w:ilvl="2" w:tentative="0">
      <w:start w:val="1"/>
      <w:numFmt w:val="bullet"/>
      <w:lvlText w:val=""/>
      <w:lvlJc w:val="left"/>
      <w:pPr>
        <w:tabs>
          <w:tab w:val="left" w:pos="3137"/>
        </w:tabs>
        <w:ind w:left="3137" w:hanging="420"/>
      </w:pPr>
      <w:rPr>
        <w:rFonts w:hint="default" w:ascii="Wingdings" w:hAnsi="Wingdings"/>
      </w:rPr>
    </w:lvl>
    <w:lvl w:ilvl="3" w:tentative="0">
      <w:start w:val="1"/>
      <w:numFmt w:val="bullet"/>
      <w:lvlText w:val=""/>
      <w:lvlJc w:val="left"/>
      <w:pPr>
        <w:tabs>
          <w:tab w:val="left" w:pos="3557"/>
        </w:tabs>
        <w:ind w:left="3557" w:hanging="420"/>
      </w:pPr>
      <w:rPr>
        <w:rFonts w:hint="default" w:ascii="Wingdings" w:hAnsi="Wingdings"/>
      </w:rPr>
    </w:lvl>
    <w:lvl w:ilvl="4" w:tentative="0">
      <w:start w:val="1"/>
      <w:numFmt w:val="bullet"/>
      <w:lvlText w:val=""/>
      <w:lvlJc w:val="left"/>
      <w:pPr>
        <w:tabs>
          <w:tab w:val="left" w:pos="3977"/>
        </w:tabs>
        <w:ind w:left="3977" w:hanging="420"/>
      </w:pPr>
      <w:rPr>
        <w:rFonts w:hint="default" w:ascii="Wingdings" w:hAnsi="Wingdings"/>
      </w:rPr>
    </w:lvl>
    <w:lvl w:ilvl="5" w:tentative="0">
      <w:start w:val="1"/>
      <w:numFmt w:val="bullet"/>
      <w:lvlText w:val=""/>
      <w:lvlJc w:val="left"/>
      <w:pPr>
        <w:tabs>
          <w:tab w:val="left" w:pos="4397"/>
        </w:tabs>
        <w:ind w:left="4397" w:hanging="420"/>
      </w:pPr>
      <w:rPr>
        <w:rFonts w:hint="default" w:ascii="Wingdings" w:hAnsi="Wingdings"/>
      </w:rPr>
    </w:lvl>
    <w:lvl w:ilvl="6" w:tentative="0">
      <w:start w:val="1"/>
      <w:numFmt w:val="bullet"/>
      <w:lvlText w:val=""/>
      <w:lvlJc w:val="left"/>
      <w:pPr>
        <w:tabs>
          <w:tab w:val="left" w:pos="4817"/>
        </w:tabs>
        <w:ind w:left="4817" w:hanging="420"/>
      </w:pPr>
      <w:rPr>
        <w:rFonts w:hint="default" w:ascii="Wingdings" w:hAnsi="Wingdings"/>
      </w:rPr>
    </w:lvl>
    <w:lvl w:ilvl="7" w:tentative="0">
      <w:start w:val="1"/>
      <w:numFmt w:val="bullet"/>
      <w:lvlText w:val=""/>
      <w:lvlJc w:val="left"/>
      <w:pPr>
        <w:tabs>
          <w:tab w:val="left" w:pos="5237"/>
        </w:tabs>
        <w:ind w:left="5237" w:hanging="420"/>
      </w:pPr>
      <w:rPr>
        <w:rFonts w:hint="default" w:ascii="Wingdings" w:hAnsi="Wingdings"/>
      </w:rPr>
    </w:lvl>
    <w:lvl w:ilvl="8" w:tentative="0">
      <w:start w:val="1"/>
      <w:numFmt w:val="bullet"/>
      <w:lvlText w:val=""/>
      <w:lvlJc w:val="left"/>
      <w:pPr>
        <w:tabs>
          <w:tab w:val="left" w:pos="5657"/>
        </w:tabs>
        <w:ind w:left="5657" w:hanging="420"/>
      </w:pPr>
      <w:rPr>
        <w:rFonts w:hint="default" w:ascii="Wingdings" w:hAnsi="Wingdings"/>
      </w:rPr>
    </w:lvl>
  </w:abstractNum>
  <w:abstractNum w:abstractNumId="8">
    <w:nsid w:val="2C5917C3"/>
    <w:multiLevelType w:val="multilevel"/>
    <w:tmpl w:val="2C5917C3"/>
    <w:lvl w:ilvl="0" w:tentative="0">
      <w:start w:val="1"/>
      <w:numFmt w:val="none"/>
      <w:pStyle w:val="1232"/>
      <w:suff w:val="nothing"/>
      <w:lvlText w:val="%1——"/>
      <w:lvlJc w:val="left"/>
      <w:pPr>
        <w:ind w:left="833" w:hanging="408"/>
      </w:pPr>
      <w:rPr>
        <w:rFonts w:hint="eastAsia"/>
      </w:rPr>
    </w:lvl>
    <w:lvl w:ilvl="1" w:tentative="0">
      <w:start w:val="1"/>
      <w:numFmt w:val="bullet"/>
      <w:pStyle w:val="1130"/>
      <w:lvlText w:val=""/>
      <w:lvlJc w:val="left"/>
      <w:pPr>
        <w:tabs>
          <w:tab w:val="left" w:pos="760"/>
        </w:tabs>
        <w:ind w:left="1264" w:hanging="413"/>
      </w:pPr>
      <w:rPr>
        <w:rFonts w:hint="default" w:ascii="Symbol" w:hAnsi="Symbol"/>
        <w:color w:val="auto"/>
      </w:rPr>
    </w:lvl>
    <w:lvl w:ilvl="2" w:tentative="0">
      <w:start w:val="1"/>
      <w:numFmt w:val="bullet"/>
      <w:pStyle w:val="752"/>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9">
    <w:nsid w:val="34805B96"/>
    <w:multiLevelType w:val="singleLevel"/>
    <w:tmpl w:val="34805B96"/>
    <w:lvl w:ilvl="0" w:tentative="0">
      <w:start w:val="0"/>
      <w:numFmt w:val="bullet"/>
      <w:pStyle w:val="912"/>
      <w:lvlText w:val=""/>
      <w:lvlJc w:val="left"/>
      <w:pPr>
        <w:tabs>
          <w:tab w:val="left" w:pos="644"/>
        </w:tabs>
        <w:ind w:left="0" w:firstLine="284"/>
      </w:pPr>
      <w:rPr>
        <w:rFonts w:hint="default" w:ascii="Symbol" w:hAnsi="Symbol"/>
      </w:rPr>
    </w:lvl>
  </w:abstractNum>
  <w:abstractNum w:abstractNumId="10">
    <w:nsid w:val="44C50F90"/>
    <w:multiLevelType w:val="multilevel"/>
    <w:tmpl w:val="44C50F90"/>
    <w:lvl w:ilvl="0" w:tentative="0">
      <w:start w:val="1"/>
      <w:numFmt w:val="lowerLetter"/>
      <w:pStyle w:val="770"/>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1233"/>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1234"/>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11">
    <w:nsid w:val="47D62287"/>
    <w:multiLevelType w:val="multilevel"/>
    <w:tmpl w:val="47D62287"/>
    <w:lvl w:ilvl="0" w:tentative="0">
      <w:start w:val="1"/>
      <w:numFmt w:val="decimal"/>
      <w:lvlText w:val="（%1）"/>
      <w:lvlJc w:val="left"/>
      <w:pPr>
        <w:tabs>
          <w:tab w:val="left" w:pos="857"/>
        </w:tabs>
        <w:ind w:left="1141" w:hanging="574"/>
      </w:pPr>
      <w:rPr>
        <w:rFonts w:hint="eastAsia"/>
      </w:rPr>
    </w:lvl>
    <w:lvl w:ilvl="1" w:tentative="0">
      <w:start w:val="1"/>
      <w:numFmt w:val="lowerLetter"/>
      <w:lvlText w:val="%2."/>
      <w:lvlJc w:val="left"/>
      <w:pPr>
        <w:tabs>
          <w:tab w:val="left" w:pos="927"/>
        </w:tabs>
        <w:ind w:left="927" w:hanging="360"/>
      </w:pPr>
      <w:rPr>
        <w:rFonts w:hint="eastAsia"/>
      </w:rPr>
    </w:lvl>
    <w:lvl w:ilvl="2" w:tentative="0">
      <w:start w:val="1"/>
      <w:numFmt w:val="lowerRoman"/>
      <w:lvlText w:val="%3."/>
      <w:lvlJc w:val="right"/>
      <w:pPr>
        <w:tabs>
          <w:tab w:val="left" w:pos="1407"/>
        </w:tabs>
        <w:ind w:left="1407" w:hanging="420"/>
      </w:pPr>
      <w:rPr>
        <w:rFonts w:hint="eastAsia"/>
      </w:rPr>
    </w:lvl>
    <w:lvl w:ilvl="3" w:tentative="0">
      <w:start w:val="1"/>
      <w:numFmt w:val="decimal"/>
      <w:lvlText w:val="%4."/>
      <w:lvlJc w:val="left"/>
      <w:pPr>
        <w:tabs>
          <w:tab w:val="left" w:pos="1827"/>
        </w:tabs>
        <w:ind w:left="1827" w:hanging="420"/>
      </w:pPr>
      <w:rPr>
        <w:rFonts w:hint="eastAsia"/>
      </w:rPr>
    </w:lvl>
    <w:lvl w:ilvl="4" w:tentative="0">
      <w:start w:val="1"/>
      <w:numFmt w:val="lowerLetter"/>
      <w:lvlText w:val="%5)"/>
      <w:lvlJc w:val="left"/>
      <w:pPr>
        <w:tabs>
          <w:tab w:val="left" w:pos="2247"/>
        </w:tabs>
        <w:ind w:left="2247" w:hanging="420"/>
      </w:pPr>
      <w:rPr>
        <w:rFonts w:hint="eastAsia"/>
      </w:rPr>
    </w:lvl>
    <w:lvl w:ilvl="5" w:tentative="0">
      <w:start w:val="1"/>
      <w:numFmt w:val="lowerRoman"/>
      <w:lvlText w:val="%6."/>
      <w:lvlJc w:val="right"/>
      <w:pPr>
        <w:tabs>
          <w:tab w:val="left" w:pos="2667"/>
        </w:tabs>
        <w:ind w:left="2667" w:hanging="420"/>
      </w:pPr>
      <w:rPr>
        <w:rFonts w:hint="eastAsia"/>
      </w:rPr>
    </w:lvl>
    <w:lvl w:ilvl="6" w:tentative="0">
      <w:start w:val="1"/>
      <w:numFmt w:val="decimal"/>
      <w:lvlText w:val="%7."/>
      <w:lvlJc w:val="left"/>
      <w:pPr>
        <w:tabs>
          <w:tab w:val="left" w:pos="3087"/>
        </w:tabs>
        <w:ind w:left="3087" w:hanging="420"/>
      </w:pPr>
      <w:rPr>
        <w:rFonts w:hint="eastAsia"/>
      </w:rPr>
    </w:lvl>
    <w:lvl w:ilvl="7" w:tentative="0">
      <w:start w:val="1"/>
      <w:numFmt w:val="lowerLetter"/>
      <w:lvlText w:val="%8)"/>
      <w:lvlJc w:val="left"/>
      <w:pPr>
        <w:tabs>
          <w:tab w:val="left" w:pos="3507"/>
        </w:tabs>
        <w:ind w:left="3507" w:hanging="420"/>
      </w:pPr>
      <w:rPr>
        <w:rFonts w:hint="eastAsia"/>
      </w:rPr>
    </w:lvl>
    <w:lvl w:ilvl="8" w:tentative="0">
      <w:start w:val="1"/>
      <w:numFmt w:val="lowerRoman"/>
      <w:lvlText w:val="%9."/>
      <w:lvlJc w:val="right"/>
      <w:pPr>
        <w:tabs>
          <w:tab w:val="left" w:pos="3927"/>
        </w:tabs>
        <w:ind w:left="3927" w:hanging="420"/>
      </w:pPr>
      <w:rPr>
        <w:rFonts w:hint="eastAsia"/>
      </w:rPr>
    </w:lvl>
  </w:abstractNum>
  <w:abstractNum w:abstractNumId="12">
    <w:nsid w:val="49310F0C"/>
    <w:multiLevelType w:val="multilevel"/>
    <w:tmpl w:val="49310F0C"/>
    <w:lvl w:ilvl="0" w:tentative="0">
      <w:start w:val="1"/>
      <w:numFmt w:val="bullet"/>
      <w:pStyle w:val="382"/>
      <w:lvlText w:val=""/>
      <w:lvlJc w:val="left"/>
      <w:pPr>
        <w:tabs>
          <w:tab w:val="left" w:pos="1134"/>
        </w:tabs>
        <w:ind w:left="1134" w:hanging="567"/>
      </w:pPr>
      <w:rPr>
        <w:rFonts w:hint="default" w:ascii="Wingdings" w:hAnsi="Wingdings"/>
      </w:rPr>
    </w:lvl>
    <w:lvl w:ilvl="1" w:tentative="0">
      <w:start w:val="1"/>
      <w:numFmt w:val="bullet"/>
      <w:lvlText w:val=""/>
      <w:lvlJc w:val="left"/>
      <w:pPr>
        <w:tabs>
          <w:tab w:val="left" w:pos="2100"/>
        </w:tabs>
        <w:ind w:left="2100" w:hanging="420"/>
      </w:pPr>
      <w:rPr>
        <w:rFonts w:hint="default" w:ascii="Wingdings" w:hAnsi="Wingdings"/>
      </w:rPr>
    </w:lvl>
    <w:lvl w:ilvl="2" w:tentative="0">
      <w:start w:val="1"/>
      <w:numFmt w:val="bullet"/>
      <w:lvlText w:val=""/>
      <w:lvlJc w:val="left"/>
      <w:pPr>
        <w:tabs>
          <w:tab w:val="left" w:pos="2520"/>
        </w:tabs>
        <w:ind w:left="2520" w:hanging="420"/>
      </w:pPr>
      <w:rPr>
        <w:rFonts w:hint="default" w:ascii="Wingdings" w:hAnsi="Wingdings"/>
      </w:rPr>
    </w:lvl>
    <w:lvl w:ilvl="3" w:tentative="0">
      <w:start w:val="1"/>
      <w:numFmt w:val="bullet"/>
      <w:lvlText w:val=""/>
      <w:lvlJc w:val="left"/>
      <w:pPr>
        <w:tabs>
          <w:tab w:val="left" w:pos="2940"/>
        </w:tabs>
        <w:ind w:left="2940" w:hanging="420"/>
      </w:pPr>
      <w:rPr>
        <w:rFonts w:hint="default" w:ascii="Wingdings" w:hAnsi="Wingdings"/>
      </w:rPr>
    </w:lvl>
    <w:lvl w:ilvl="4" w:tentative="0">
      <w:start w:val="1"/>
      <w:numFmt w:val="bullet"/>
      <w:lvlText w:val=""/>
      <w:lvlJc w:val="left"/>
      <w:pPr>
        <w:tabs>
          <w:tab w:val="left" w:pos="3360"/>
        </w:tabs>
        <w:ind w:left="3360" w:hanging="420"/>
      </w:pPr>
      <w:rPr>
        <w:rFonts w:hint="default" w:ascii="Wingdings" w:hAnsi="Wingdings"/>
      </w:rPr>
    </w:lvl>
    <w:lvl w:ilvl="5" w:tentative="0">
      <w:start w:val="1"/>
      <w:numFmt w:val="bullet"/>
      <w:lvlText w:val=""/>
      <w:lvlJc w:val="left"/>
      <w:pPr>
        <w:tabs>
          <w:tab w:val="left" w:pos="3780"/>
        </w:tabs>
        <w:ind w:left="3780" w:hanging="420"/>
      </w:pPr>
      <w:rPr>
        <w:rFonts w:hint="default" w:ascii="Wingdings" w:hAnsi="Wingdings"/>
      </w:rPr>
    </w:lvl>
    <w:lvl w:ilvl="6" w:tentative="0">
      <w:start w:val="1"/>
      <w:numFmt w:val="bullet"/>
      <w:lvlText w:val=""/>
      <w:lvlJc w:val="left"/>
      <w:pPr>
        <w:tabs>
          <w:tab w:val="left" w:pos="4200"/>
        </w:tabs>
        <w:ind w:left="4200" w:hanging="420"/>
      </w:pPr>
      <w:rPr>
        <w:rFonts w:hint="default" w:ascii="Wingdings" w:hAnsi="Wingdings"/>
      </w:rPr>
    </w:lvl>
    <w:lvl w:ilvl="7" w:tentative="0">
      <w:start w:val="1"/>
      <w:numFmt w:val="bullet"/>
      <w:lvlText w:val=""/>
      <w:lvlJc w:val="left"/>
      <w:pPr>
        <w:tabs>
          <w:tab w:val="left" w:pos="4620"/>
        </w:tabs>
        <w:ind w:left="4620" w:hanging="420"/>
      </w:pPr>
      <w:rPr>
        <w:rFonts w:hint="default" w:ascii="Wingdings" w:hAnsi="Wingdings"/>
      </w:rPr>
    </w:lvl>
    <w:lvl w:ilvl="8" w:tentative="0">
      <w:start w:val="1"/>
      <w:numFmt w:val="bullet"/>
      <w:lvlText w:val=""/>
      <w:lvlJc w:val="left"/>
      <w:pPr>
        <w:tabs>
          <w:tab w:val="left" w:pos="5040"/>
        </w:tabs>
        <w:ind w:left="5040" w:hanging="420"/>
      </w:pPr>
      <w:rPr>
        <w:rFonts w:hint="default" w:ascii="Wingdings" w:hAnsi="Wingdings"/>
      </w:rPr>
    </w:lvl>
  </w:abstractNum>
  <w:abstractNum w:abstractNumId="13">
    <w:nsid w:val="532D24A0"/>
    <w:multiLevelType w:val="multilevel"/>
    <w:tmpl w:val="532D24A0"/>
    <w:lvl w:ilvl="0" w:tentative="0">
      <w:start w:val="1"/>
      <w:numFmt w:val="bullet"/>
      <w:pStyle w:val="840"/>
      <w:lvlText w:val=""/>
      <w:lvlJc w:val="left"/>
      <w:pPr>
        <w:tabs>
          <w:tab w:val="left" w:pos="1687"/>
        </w:tabs>
        <w:ind w:left="16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14">
    <w:nsid w:val="581B406F"/>
    <w:multiLevelType w:val="multilevel"/>
    <w:tmpl w:val="581B406F"/>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1134"/>
        </w:tabs>
        <w:ind w:left="1134" w:hanging="567"/>
      </w:pPr>
      <w:rPr>
        <w:rFonts w:hint="eastAsia"/>
        <w:color w:val="00000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1560"/>
        </w:tabs>
        <w:ind w:left="1560"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5">
    <w:nsid w:val="5EFF1E7E"/>
    <w:multiLevelType w:val="multilevel"/>
    <w:tmpl w:val="5EFF1E7E"/>
    <w:lvl w:ilvl="0" w:tentative="0">
      <w:start w:val="1"/>
      <w:numFmt w:val="decimal"/>
      <w:pStyle w:val="806"/>
      <w:lvlText w:val="%1"/>
      <w:lvlJc w:val="left"/>
      <w:pPr>
        <w:tabs>
          <w:tab w:val="left" w:pos="425"/>
        </w:tabs>
        <w:ind w:left="425" w:hanging="425"/>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16"/>
        <w:szCs w:val="0"/>
        <w:u w:val="none" w:color="000000"/>
        <w:shd w:val="clear" w:color="000000" w:fill="000000"/>
        <w:vertAlign w:val="baseline"/>
      </w:r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6">
    <w:nsid w:val="76E90DCF"/>
    <w:multiLevelType w:val="multilevel"/>
    <w:tmpl w:val="76E90DCF"/>
    <w:lvl w:ilvl="0" w:tentative="0">
      <w:start w:val="1"/>
      <w:numFmt w:val="bullet"/>
      <w:pStyle w:val="1155"/>
      <w:lvlText w:val=""/>
      <w:lvlJc w:val="left"/>
      <w:pPr>
        <w:tabs>
          <w:tab w:val="left" w:pos="1500"/>
        </w:tabs>
        <w:ind w:left="1500" w:hanging="420"/>
      </w:pPr>
      <w:rPr>
        <w:rFonts w:hint="default" w:ascii="Wingdings" w:hAnsi="Wingdings"/>
      </w:rPr>
    </w:lvl>
    <w:lvl w:ilvl="1" w:tentative="0">
      <w:start w:val="1"/>
      <w:numFmt w:val="bullet"/>
      <w:lvlText w:val=""/>
      <w:lvlJc w:val="left"/>
      <w:pPr>
        <w:tabs>
          <w:tab w:val="left" w:pos="1640"/>
        </w:tabs>
        <w:ind w:left="1640" w:hanging="420"/>
      </w:pPr>
      <w:rPr>
        <w:rFonts w:hint="default" w:ascii="Wingdings" w:hAnsi="Wingdings"/>
      </w:rPr>
    </w:lvl>
    <w:lvl w:ilvl="2" w:tentative="0">
      <w:start w:val="1"/>
      <w:numFmt w:val="bullet"/>
      <w:lvlText w:val=""/>
      <w:lvlJc w:val="left"/>
      <w:pPr>
        <w:tabs>
          <w:tab w:val="left" w:pos="2060"/>
        </w:tabs>
        <w:ind w:left="2060" w:hanging="420"/>
      </w:pPr>
      <w:rPr>
        <w:rFonts w:hint="default" w:ascii="Wingdings" w:hAnsi="Wingdings"/>
      </w:rPr>
    </w:lvl>
    <w:lvl w:ilvl="3" w:tentative="0">
      <w:start w:val="1"/>
      <w:numFmt w:val="bullet"/>
      <w:lvlText w:val=""/>
      <w:lvlJc w:val="left"/>
      <w:pPr>
        <w:tabs>
          <w:tab w:val="left" w:pos="2480"/>
        </w:tabs>
        <w:ind w:left="2480" w:hanging="420"/>
      </w:pPr>
      <w:rPr>
        <w:rFonts w:hint="default" w:ascii="Wingdings" w:hAnsi="Wingdings"/>
      </w:rPr>
    </w:lvl>
    <w:lvl w:ilvl="4" w:tentative="0">
      <w:start w:val="1"/>
      <w:numFmt w:val="bullet"/>
      <w:lvlText w:val=""/>
      <w:lvlJc w:val="left"/>
      <w:pPr>
        <w:tabs>
          <w:tab w:val="left" w:pos="2900"/>
        </w:tabs>
        <w:ind w:left="2900" w:hanging="420"/>
      </w:pPr>
      <w:rPr>
        <w:rFonts w:hint="default" w:ascii="Wingdings" w:hAnsi="Wingdings"/>
      </w:rPr>
    </w:lvl>
    <w:lvl w:ilvl="5" w:tentative="0">
      <w:start w:val="1"/>
      <w:numFmt w:val="bullet"/>
      <w:lvlText w:val=""/>
      <w:lvlJc w:val="left"/>
      <w:pPr>
        <w:tabs>
          <w:tab w:val="left" w:pos="3320"/>
        </w:tabs>
        <w:ind w:left="3320" w:hanging="420"/>
      </w:pPr>
      <w:rPr>
        <w:rFonts w:hint="default" w:ascii="Wingdings" w:hAnsi="Wingdings"/>
      </w:rPr>
    </w:lvl>
    <w:lvl w:ilvl="6" w:tentative="0">
      <w:start w:val="1"/>
      <w:numFmt w:val="bullet"/>
      <w:lvlText w:val=""/>
      <w:lvlJc w:val="left"/>
      <w:pPr>
        <w:tabs>
          <w:tab w:val="left" w:pos="3740"/>
        </w:tabs>
        <w:ind w:left="3740" w:hanging="420"/>
      </w:pPr>
      <w:rPr>
        <w:rFonts w:hint="default" w:ascii="Wingdings" w:hAnsi="Wingdings"/>
      </w:rPr>
    </w:lvl>
    <w:lvl w:ilvl="7" w:tentative="0">
      <w:start w:val="1"/>
      <w:numFmt w:val="bullet"/>
      <w:lvlText w:val=""/>
      <w:lvlJc w:val="left"/>
      <w:pPr>
        <w:tabs>
          <w:tab w:val="left" w:pos="4160"/>
        </w:tabs>
        <w:ind w:left="4160" w:hanging="420"/>
      </w:pPr>
      <w:rPr>
        <w:rFonts w:hint="default" w:ascii="Wingdings" w:hAnsi="Wingdings"/>
      </w:rPr>
    </w:lvl>
    <w:lvl w:ilvl="8" w:tentative="0">
      <w:start w:val="1"/>
      <w:numFmt w:val="bullet"/>
      <w:lvlText w:val=""/>
      <w:lvlJc w:val="left"/>
      <w:pPr>
        <w:tabs>
          <w:tab w:val="left" w:pos="4580"/>
        </w:tabs>
        <w:ind w:left="4580" w:hanging="420"/>
      </w:pPr>
      <w:rPr>
        <w:rFonts w:hint="default" w:ascii="Wingdings" w:hAnsi="Wingdings"/>
      </w:rPr>
    </w:lvl>
  </w:abstractNum>
  <w:abstractNum w:abstractNumId="17">
    <w:nsid w:val="7DC129B6"/>
    <w:multiLevelType w:val="multilevel"/>
    <w:tmpl w:val="7DC129B6"/>
    <w:lvl w:ilvl="0" w:tentative="0">
      <w:start w:val="1"/>
      <w:numFmt w:val="decimal"/>
      <w:lvlText w:val="%1"/>
      <w:lvlJc w:val="left"/>
      <w:pPr>
        <w:tabs>
          <w:tab w:val="left" w:pos="0"/>
        </w:tabs>
        <w:ind w:left="425" w:hanging="425"/>
      </w:pPr>
      <w:rPr>
        <w:rFonts w:hint="default"/>
      </w:rPr>
    </w:lvl>
    <w:lvl w:ilvl="1" w:tentative="0">
      <w:start w:val="1"/>
      <w:numFmt w:val="decimal"/>
      <w:pStyle w:val="1235"/>
      <w:lvlText w:val="%1.%2"/>
      <w:lvlJc w:val="left"/>
      <w:pPr>
        <w:tabs>
          <w:tab w:val="left" w:pos="0"/>
        </w:tabs>
        <w:ind w:left="0" w:firstLine="0"/>
      </w:pPr>
      <w:rPr>
        <w:rFonts w:hint="default"/>
      </w:rPr>
    </w:lvl>
    <w:lvl w:ilvl="2" w:tentative="0">
      <w:start w:val="1"/>
      <w:numFmt w:val="decimal"/>
      <w:lvlText w:val="%1.%2.%3"/>
      <w:lvlJc w:val="left"/>
      <w:pPr>
        <w:tabs>
          <w:tab w:val="left" w:pos="0"/>
        </w:tabs>
        <w:ind w:left="1418" w:hanging="1418"/>
      </w:pPr>
      <w:rPr>
        <w:rFonts w:hint="default"/>
      </w:rPr>
    </w:lvl>
    <w:lvl w:ilvl="3" w:tentative="0">
      <w:start w:val="1"/>
      <w:numFmt w:val="decimal"/>
      <w:lvlText w:val="%1.%2.%3.%4"/>
      <w:lvlJc w:val="left"/>
      <w:pPr>
        <w:tabs>
          <w:tab w:val="left" w:pos="0"/>
        </w:tabs>
        <w:ind w:left="1984" w:hanging="708"/>
      </w:pPr>
      <w:rPr>
        <w:rFonts w:hint="default"/>
      </w:rPr>
    </w:lvl>
    <w:lvl w:ilvl="4" w:tentative="0">
      <w:start w:val="1"/>
      <w:numFmt w:val="decimal"/>
      <w:lvlText w:val="%1.%2.%3.%4.%5"/>
      <w:lvlJc w:val="left"/>
      <w:pPr>
        <w:tabs>
          <w:tab w:val="left" w:pos="0"/>
        </w:tabs>
        <w:ind w:left="2551" w:hanging="850"/>
      </w:pPr>
      <w:rPr>
        <w:rFonts w:hint="default"/>
      </w:rPr>
    </w:lvl>
    <w:lvl w:ilvl="5" w:tentative="0">
      <w:start w:val="1"/>
      <w:numFmt w:val="decimal"/>
      <w:lvlText w:val="%1.%2.%3.%4.%5.%6"/>
      <w:lvlJc w:val="left"/>
      <w:pPr>
        <w:tabs>
          <w:tab w:val="left" w:pos="0"/>
        </w:tabs>
        <w:ind w:left="3260" w:hanging="1134"/>
      </w:pPr>
      <w:rPr>
        <w:rFonts w:hint="default"/>
      </w:rPr>
    </w:lvl>
    <w:lvl w:ilvl="6" w:tentative="0">
      <w:start w:val="1"/>
      <w:numFmt w:val="decimal"/>
      <w:lvlText w:val="%1.%2.%3.%4.%5.%6.%7"/>
      <w:lvlJc w:val="left"/>
      <w:pPr>
        <w:tabs>
          <w:tab w:val="left" w:pos="0"/>
        </w:tabs>
        <w:ind w:left="3827" w:hanging="1276"/>
      </w:pPr>
      <w:rPr>
        <w:rFonts w:hint="default"/>
      </w:rPr>
    </w:lvl>
    <w:lvl w:ilvl="7" w:tentative="0">
      <w:start w:val="1"/>
      <w:numFmt w:val="decimal"/>
      <w:lvlText w:val="%1.%2.%3.%4.%5.%6.%7.%8"/>
      <w:lvlJc w:val="left"/>
      <w:pPr>
        <w:tabs>
          <w:tab w:val="left" w:pos="0"/>
        </w:tabs>
        <w:ind w:left="4394" w:hanging="1418"/>
      </w:pPr>
      <w:rPr>
        <w:rFonts w:hint="default"/>
      </w:rPr>
    </w:lvl>
    <w:lvl w:ilvl="8" w:tentative="0">
      <w:start w:val="1"/>
      <w:numFmt w:val="decimal"/>
      <w:lvlText w:val="%1.%2.%3.%4.%5.%6.%7.%8.%9"/>
      <w:lvlJc w:val="left"/>
      <w:pPr>
        <w:tabs>
          <w:tab w:val="left" w:pos="0"/>
        </w:tabs>
        <w:ind w:left="5102" w:hanging="1700"/>
      </w:pPr>
      <w:rPr>
        <w:rFonts w:hint="default"/>
      </w:rPr>
    </w:lvl>
  </w:abstractNum>
  <w:num w:numId="1">
    <w:abstractNumId w:val="1"/>
  </w:num>
  <w:num w:numId="2">
    <w:abstractNumId w:val="12"/>
  </w:num>
  <w:num w:numId="3">
    <w:abstractNumId w:val="8"/>
  </w:num>
  <w:num w:numId="4">
    <w:abstractNumId w:val="10"/>
  </w:num>
  <w:num w:numId="5">
    <w:abstractNumId w:val="7"/>
  </w:num>
  <w:num w:numId="6">
    <w:abstractNumId w:val="15"/>
  </w:num>
  <w:num w:numId="7">
    <w:abstractNumId w:val="13"/>
  </w:num>
  <w:num w:numId="8">
    <w:abstractNumId w:val="5"/>
  </w:num>
  <w:num w:numId="9">
    <w:abstractNumId w:val="9"/>
  </w:num>
  <w:num w:numId="10">
    <w:abstractNumId w:val="16"/>
  </w:num>
  <w:num w:numId="11">
    <w:abstractNumId w:val="17"/>
  </w:num>
  <w:num w:numId="12">
    <w:abstractNumId w:val="14"/>
  </w:num>
  <w:num w:numId="13">
    <w:abstractNumId w:val="3"/>
  </w:num>
  <w:num w:numId="14">
    <w:abstractNumId w:val="4"/>
  </w:num>
  <w:num w:numId="15">
    <w:abstractNumId w:val="11"/>
  </w:num>
  <w:num w:numId="16">
    <w:abstractNumId w:val="0"/>
  </w:num>
  <w:num w:numId="17">
    <w:abstractNumId w:val="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TrueTypeFonts/>
  <w:saveSubsetFonts/>
  <w:bordersDoNotSurroundHeader w:val="0"/>
  <w:bordersDoNotSurroundFooter w:val="0"/>
  <w:documentProtection w:edit="trackedChanges"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lNDliOWQwZjYwNWE5ZDVlZjlkODM3NjUwM2UwNTgifQ=="/>
  </w:docVars>
  <w:rsids>
    <w:rsidRoot w:val="000812E4"/>
    <w:rsid w:val="00000AAF"/>
    <w:rsid w:val="00000F70"/>
    <w:rsid w:val="000022E1"/>
    <w:rsid w:val="00003096"/>
    <w:rsid w:val="00003681"/>
    <w:rsid w:val="00003C3C"/>
    <w:rsid w:val="000101CC"/>
    <w:rsid w:val="000110C4"/>
    <w:rsid w:val="00011612"/>
    <w:rsid w:val="00012241"/>
    <w:rsid w:val="0001391D"/>
    <w:rsid w:val="00014A63"/>
    <w:rsid w:val="00016DBC"/>
    <w:rsid w:val="00017B34"/>
    <w:rsid w:val="0002132F"/>
    <w:rsid w:val="00021944"/>
    <w:rsid w:val="00021A9A"/>
    <w:rsid w:val="00021BAC"/>
    <w:rsid w:val="00022C71"/>
    <w:rsid w:val="00024265"/>
    <w:rsid w:val="00025EF0"/>
    <w:rsid w:val="00026089"/>
    <w:rsid w:val="000266ED"/>
    <w:rsid w:val="00027C96"/>
    <w:rsid w:val="00030862"/>
    <w:rsid w:val="0003734E"/>
    <w:rsid w:val="000405DB"/>
    <w:rsid w:val="00040BAD"/>
    <w:rsid w:val="000426DB"/>
    <w:rsid w:val="000433B1"/>
    <w:rsid w:val="00043901"/>
    <w:rsid w:val="00045086"/>
    <w:rsid w:val="0004756B"/>
    <w:rsid w:val="00051AF6"/>
    <w:rsid w:val="00051F16"/>
    <w:rsid w:val="000534F5"/>
    <w:rsid w:val="00055B63"/>
    <w:rsid w:val="0005602B"/>
    <w:rsid w:val="000560EA"/>
    <w:rsid w:val="0006468A"/>
    <w:rsid w:val="0006562C"/>
    <w:rsid w:val="00071451"/>
    <w:rsid w:val="00072D82"/>
    <w:rsid w:val="00073B28"/>
    <w:rsid w:val="00075372"/>
    <w:rsid w:val="0008042D"/>
    <w:rsid w:val="000812E4"/>
    <w:rsid w:val="00081DC6"/>
    <w:rsid w:val="000829AA"/>
    <w:rsid w:val="000835BF"/>
    <w:rsid w:val="00083C9D"/>
    <w:rsid w:val="00086BC7"/>
    <w:rsid w:val="00091688"/>
    <w:rsid w:val="000962CE"/>
    <w:rsid w:val="00096E1A"/>
    <w:rsid w:val="000A13EA"/>
    <w:rsid w:val="000A1673"/>
    <w:rsid w:val="000A1814"/>
    <w:rsid w:val="000A1C83"/>
    <w:rsid w:val="000A3388"/>
    <w:rsid w:val="000A3C61"/>
    <w:rsid w:val="000A6168"/>
    <w:rsid w:val="000A6210"/>
    <w:rsid w:val="000A6CFA"/>
    <w:rsid w:val="000A71EC"/>
    <w:rsid w:val="000B0A46"/>
    <w:rsid w:val="000B0B4F"/>
    <w:rsid w:val="000B0FB9"/>
    <w:rsid w:val="000B2D74"/>
    <w:rsid w:val="000B3055"/>
    <w:rsid w:val="000B32A5"/>
    <w:rsid w:val="000B39DC"/>
    <w:rsid w:val="000B75E5"/>
    <w:rsid w:val="000B7B69"/>
    <w:rsid w:val="000C0209"/>
    <w:rsid w:val="000C1F8C"/>
    <w:rsid w:val="000C2FA5"/>
    <w:rsid w:val="000C4DD9"/>
    <w:rsid w:val="000C5370"/>
    <w:rsid w:val="000C6E3D"/>
    <w:rsid w:val="000C7087"/>
    <w:rsid w:val="000D08F2"/>
    <w:rsid w:val="000D4359"/>
    <w:rsid w:val="000D4A52"/>
    <w:rsid w:val="000D4E4D"/>
    <w:rsid w:val="000D557D"/>
    <w:rsid w:val="000D7576"/>
    <w:rsid w:val="000D777E"/>
    <w:rsid w:val="000D7BFF"/>
    <w:rsid w:val="000E071E"/>
    <w:rsid w:val="000E0DB7"/>
    <w:rsid w:val="000E4B21"/>
    <w:rsid w:val="000E5BFF"/>
    <w:rsid w:val="000E5DA2"/>
    <w:rsid w:val="000E761F"/>
    <w:rsid w:val="000F0CE8"/>
    <w:rsid w:val="000F0E7C"/>
    <w:rsid w:val="000F383F"/>
    <w:rsid w:val="000F3DB5"/>
    <w:rsid w:val="000F5EB8"/>
    <w:rsid w:val="000F6DEA"/>
    <w:rsid w:val="000F7655"/>
    <w:rsid w:val="000F7670"/>
    <w:rsid w:val="000F7EC8"/>
    <w:rsid w:val="00101707"/>
    <w:rsid w:val="00104E99"/>
    <w:rsid w:val="00106FC1"/>
    <w:rsid w:val="00107CE0"/>
    <w:rsid w:val="00111273"/>
    <w:rsid w:val="0011179B"/>
    <w:rsid w:val="00115476"/>
    <w:rsid w:val="00117DD7"/>
    <w:rsid w:val="00120027"/>
    <w:rsid w:val="001205E2"/>
    <w:rsid w:val="00124445"/>
    <w:rsid w:val="00125186"/>
    <w:rsid w:val="00125E93"/>
    <w:rsid w:val="00126602"/>
    <w:rsid w:val="00127754"/>
    <w:rsid w:val="00130D94"/>
    <w:rsid w:val="00131347"/>
    <w:rsid w:val="0013340D"/>
    <w:rsid w:val="00135CD1"/>
    <w:rsid w:val="00136C33"/>
    <w:rsid w:val="00136EB2"/>
    <w:rsid w:val="00137C68"/>
    <w:rsid w:val="001408EC"/>
    <w:rsid w:val="00145B1F"/>
    <w:rsid w:val="001467B6"/>
    <w:rsid w:val="00147087"/>
    <w:rsid w:val="00150C9D"/>
    <w:rsid w:val="00152AF2"/>
    <w:rsid w:val="00153BA2"/>
    <w:rsid w:val="00156A13"/>
    <w:rsid w:val="0016106D"/>
    <w:rsid w:val="00161F12"/>
    <w:rsid w:val="00162E82"/>
    <w:rsid w:val="0016460C"/>
    <w:rsid w:val="00164919"/>
    <w:rsid w:val="001653CB"/>
    <w:rsid w:val="0016713F"/>
    <w:rsid w:val="00167AC3"/>
    <w:rsid w:val="00172FEB"/>
    <w:rsid w:val="00176B9D"/>
    <w:rsid w:val="00177BB3"/>
    <w:rsid w:val="00180F32"/>
    <w:rsid w:val="0019361F"/>
    <w:rsid w:val="00193635"/>
    <w:rsid w:val="00195ACA"/>
    <w:rsid w:val="00195CAB"/>
    <w:rsid w:val="001960E2"/>
    <w:rsid w:val="00196551"/>
    <w:rsid w:val="001A1C7C"/>
    <w:rsid w:val="001A238B"/>
    <w:rsid w:val="001A2852"/>
    <w:rsid w:val="001A2959"/>
    <w:rsid w:val="001A3A09"/>
    <w:rsid w:val="001A69FC"/>
    <w:rsid w:val="001B0C16"/>
    <w:rsid w:val="001B16A1"/>
    <w:rsid w:val="001B31D4"/>
    <w:rsid w:val="001B549D"/>
    <w:rsid w:val="001C011F"/>
    <w:rsid w:val="001C2D13"/>
    <w:rsid w:val="001C37DB"/>
    <w:rsid w:val="001C4565"/>
    <w:rsid w:val="001C5895"/>
    <w:rsid w:val="001D17A4"/>
    <w:rsid w:val="001D18BE"/>
    <w:rsid w:val="001D2035"/>
    <w:rsid w:val="001D246B"/>
    <w:rsid w:val="001D2E93"/>
    <w:rsid w:val="001D2EF0"/>
    <w:rsid w:val="001D6E82"/>
    <w:rsid w:val="001E10FA"/>
    <w:rsid w:val="001E2396"/>
    <w:rsid w:val="001E5157"/>
    <w:rsid w:val="001E6D87"/>
    <w:rsid w:val="001F03BB"/>
    <w:rsid w:val="001F2B65"/>
    <w:rsid w:val="001F3A29"/>
    <w:rsid w:val="001F4DC3"/>
    <w:rsid w:val="001F747F"/>
    <w:rsid w:val="001F79E3"/>
    <w:rsid w:val="001F7BBE"/>
    <w:rsid w:val="00201785"/>
    <w:rsid w:val="00202032"/>
    <w:rsid w:val="00203E1A"/>
    <w:rsid w:val="00205052"/>
    <w:rsid w:val="002060BC"/>
    <w:rsid w:val="0020652D"/>
    <w:rsid w:val="00213C4C"/>
    <w:rsid w:val="00217999"/>
    <w:rsid w:val="00220207"/>
    <w:rsid w:val="00220668"/>
    <w:rsid w:val="0022320C"/>
    <w:rsid w:val="00223528"/>
    <w:rsid w:val="0022598C"/>
    <w:rsid w:val="00225F7D"/>
    <w:rsid w:val="00226468"/>
    <w:rsid w:val="00227EF6"/>
    <w:rsid w:val="0023128A"/>
    <w:rsid w:val="0023167E"/>
    <w:rsid w:val="00231749"/>
    <w:rsid w:val="00234220"/>
    <w:rsid w:val="00234D8F"/>
    <w:rsid w:val="00236EE0"/>
    <w:rsid w:val="00237804"/>
    <w:rsid w:val="00241A49"/>
    <w:rsid w:val="00241A4E"/>
    <w:rsid w:val="00241FD2"/>
    <w:rsid w:val="00242F9C"/>
    <w:rsid w:val="00243714"/>
    <w:rsid w:val="002459DB"/>
    <w:rsid w:val="0025208A"/>
    <w:rsid w:val="002545D1"/>
    <w:rsid w:val="0025488F"/>
    <w:rsid w:val="00255608"/>
    <w:rsid w:val="002556D6"/>
    <w:rsid w:val="002560D2"/>
    <w:rsid w:val="00256C99"/>
    <w:rsid w:val="0025780B"/>
    <w:rsid w:val="00260093"/>
    <w:rsid w:val="002613D2"/>
    <w:rsid w:val="00261AEB"/>
    <w:rsid w:val="002647A8"/>
    <w:rsid w:val="002657F2"/>
    <w:rsid w:val="002664D6"/>
    <w:rsid w:val="00266C9F"/>
    <w:rsid w:val="00267E5F"/>
    <w:rsid w:val="00270CCF"/>
    <w:rsid w:val="00271339"/>
    <w:rsid w:val="00272B5E"/>
    <w:rsid w:val="0027383A"/>
    <w:rsid w:val="00274AEB"/>
    <w:rsid w:val="00275B89"/>
    <w:rsid w:val="00277757"/>
    <w:rsid w:val="0028077F"/>
    <w:rsid w:val="002812EA"/>
    <w:rsid w:val="00281312"/>
    <w:rsid w:val="00282288"/>
    <w:rsid w:val="00282759"/>
    <w:rsid w:val="00282949"/>
    <w:rsid w:val="002836D4"/>
    <w:rsid w:val="0028388B"/>
    <w:rsid w:val="002839A5"/>
    <w:rsid w:val="00284853"/>
    <w:rsid w:val="00285506"/>
    <w:rsid w:val="00286B96"/>
    <w:rsid w:val="00287461"/>
    <w:rsid w:val="00287DD2"/>
    <w:rsid w:val="002905AB"/>
    <w:rsid w:val="00291778"/>
    <w:rsid w:val="00291B7B"/>
    <w:rsid w:val="0029429E"/>
    <w:rsid w:val="0029712C"/>
    <w:rsid w:val="002A06EA"/>
    <w:rsid w:val="002A3C02"/>
    <w:rsid w:val="002A54C2"/>
    <w:rsid w:val="002A7E96"/>
    <w:rsid w:val="002B1454"/>
    <w:rsid w:val="002B3B5A"/>
    <w:rsid w:val="002B7DC8"/>
    <w:rsid w:val="002C0258"/>
    <w:rsid w:val="002C3FDD"/>
    <w:rsid w:val="002C7F6B"/>
    <w:rsid w:val="002D109B"/>
    <w:rsid w:val="002D140A"/>
    <w:rsid w:val="002D1579"/>
    <w:rsid w:val="002D181D"/>
    <w:rsid w:val="002D3961"/>
    <w:rsid w:val="002D4E6B"/>
    <w:rsid w:val="002D56FA"/>
    <w:rsid w:val="002D582D"/>
    <w:rsid w:val="002D63C7"/>
    <w:rsid w:val="002D647B"/>
    <w:rsid w:val="002D6A78"/>
    <w:rsid w:val="002D7D85"/>
    <w:rsid w:val="002D7EA3"/>
    <w:rsid w:val="002E03DF"/>
    <w:rsid w:val="002E2B6A"/>
    <w:rsid w:val="002E2F4F"/>
    <w:rsid w:val="002E41AD"/>
    <w:rsid w:val="002E5F31"/>
    <w:rsid w:val="002E68E3"/>
    <w:rsid w:val="002F2C9E"/>
    <w:rsid w:val="002F3415"/>
    <w:rsid w:val="002F4C6A"/>
    <w:rsid w:val="002F6509"/>
    <w:rsid w:val="002F6B89"/>
    <w:rsid w:val="002F7FE5"/>
    <w:rsid w:val="00302638"/>
    <w:rsid w:val="00302C29"/>
    <w:rsid w:val="00304AEC"/>
    <w:rsid w:val="00304BCF"/>
    <w:rsid w:val="00304CB9"/>
    <w:rsid w:val="00304DFA"/>
    <w:rsid w:val="0030653F"/>
    <w:rsid w:val="003118CB"/>
    <w:rsid w:val="0031249D"/>
    <w:rsid w:val="00312DDC"/>
    <w:rsid w:val="003151C3"/>
    <w:rsid w:val="003155F9"/>
    <w:rsid w:val="003156B0"/>
    <w:rsid w:val="003161D1"/>
    <w:rsid w:val="00316B68"/>
    <w:rsid w:val="003177B5"/>
    <w:rsid w:val="00325AE2"/>
    <w:rsid w:val="003275CD"/>
    <w:rsid w:val="0033253A"/>
    <w:rsid w:val="00332A37"/>
    <w:rsid w:val="00333A5E"/>
    <w:rsid w:val="003400FD"/>
    <w:rsid w:val="00341640"/>
    <w:rsid w:val="0034243B"/>
    <w:rsid w:val="00342440"/>
    <w:rsid w:val="00344567"/>
    <w:rsid w:val="003456C3"/>
    <w:rsid w:val="00345D2C"/>
    <w:rsid w:val="00347D7A"/>
    <w:rsid w:val="00350685"/>
    <w:rsid w:val="0035075E"/>
    <w:rsid w:val="00350EC3"/>
    <w:rsid w:val="003515B8"/>
    <w:rsid w:val="003520B1"/>
    <w:rsid w:val="003543BD"/>
    <w:rsid w:val="003552BB"/>
    <w:rsid w:val="0035568A"/>
    <w:rsid w:val="00355C0A"/>
    <w:rsid w:val="00355F5F"/>
    <w:rsid w:val="00357B24"/>
    <w:rsid w:val="00360AB3"/>
    <w:rsid w:val="0036173C"/>
    <w:rsid w:val="00362233"/>
    <w:rsid w:val="003624A0"/>
    <w:rsid w:val="00362D38"/>
    <w:rsid w:val="00363113"/>
    <w:rsid w:val="00365CB3"/>
    <w:rsid w:val="003668B4"/>
    <w:rsid w:val="00367BE2"/>
    <w:rsid w:val="00367CDF"/>
    <w:rsid w:val="00375045"/>
    <w:rsid w:val="003752C7"/>
    <w:rsid w:val="00375A59"/>
    <w:rsid w:val="00375BCD"/>
    <w:rsid w:val="00375FD8"/>
    <w:rsid w:val="00376FAF"/>
    <w:rsid w:val="00384C41"/>
    <w:rsid w:val="00384FA5"/>
    <w:rsid w:val="00386715"/>
    <w:rsid w:val="00387000"/>
    <w:rsid w:val="0038780A"/>
    <w:rsid w:val="00390690"/>
    <w:rsid w:val="003918D8"/>
    <w:rsid w:val="0039254D"/>
    <w:rsid w:val="00392A0E"/>
    <w:rsid w:val="0039528F"/>
    <w:rsid w:val="00396BD2"/>
    <w:rsid w:val="00396F86"/>
    <w:rsid w:val="00397A75"/>
    <w:rsid w:val="00397D5A"/>
    <w:rsid w:val="003A25EC"/>
    <w:rsid w:val="003A2C16"/>
    <w:rsid w:val="003A3A2E"/>
    <w:rsid w:val="003A3B88"/>
    <w:rsid w:val="003A3DEF"/>
    <w:rsid w:val="003A4216"/>
    <w:rsid w:val="003A5C82"/>
    <w:rsid w:val="003A69D5"/>
    <w:rsid w:val="003B3CDC"/>
    <w:rsid w:val="003B4B2B"/>
    <w:rsid w:val="003B6162"/>
    <w:rsid w:val="003B7D04"/>
    <w:rsid w:val="003C084D"/>
    <w:rsid w:val="003C2C9B"/>
    <w:rsid w:val="003C4E5A"/>
    <w:rsid w:val="003C52AC"/>
    <w:rsid w:val="003C7CDD"/>
    <w:rsid w:val="003D0F5D"/>
    <w:rsid w:val="003D0FB2"/>
    <w:rsid w:val="003D432F"/>
    <w:rsid w:val="003D48A7"/>
    <w:rsid w:val="003E30D5"/>
    <w:rsid w:val="003E3400"/>
    <w:rsid w:val="003E37E3"/>
    <w:rsid w:val="003E54A3"/>
    <w:rsid w:val="003E665B"/>
    <w:rsid w:val="003E7425"/>
    <w:rsid w:val="003F1470"/>
    <w:rsid w:val="003F1999"/>
    <w:rsid w:val="003F1AE9"/>
    <w:rsid w:val="003F2B9B"/>
    <w:rsid w:val="003F2FD8"/>
    <w:rsid w:val="003F332B"/>
    <w:rsid w:val="003F3433"/>
    <w:rsid w:val="003F3441"/>
    <w:rsid w:val="003F54FD"/>
    <w:rsid w:val="003F5E33"/>
    <w:rsid w:val="003F6F19"/>
    <w:rsid w:val="003F72F1"/>
    <w:rsid w:val="004023CA"/>
    <w:rsid w:val="00402B73"/>
    <w:rsid w:val="00402BD5"/>
    <w:rsid w:val="00402C9C"/>
    <w:rsid w:val="00411361"/>
    <w:rsid w:val="00411E8F"/>
    <w:rsid w:val="00414057"/>
    <w:rsid w:val="0041463D"/>
    <w:rsid w:val="00414AD4"/>
    <w:rsid w:val="004156C6"/>
    <w:rsid w:val="00416F2C"/>
    <w:rsid w:val="00417D42"/>
    <w:rsid w:val="004201BE"/>
    <w:rsid w:val="00421207"/>
    <w:rsid w:val="00421389"/>
    <w:rsid w:val="0042275C"/>
    <w:rsid w:val="004231CF"/>
    <w:rsid w:val="0042533E"/>
    <w:rsid w:val="00426507"/>
    <w:rsid w:val="00427A52"/>
    <w:rsid w:val="0043048E"/>
    <w:rsid w:val="0043506D"/>
    <w:rsid w:val="0043586B"/>
    <w:rsid w:val="00436918"/>
    <w:rsid w:val="004412A7"/>
    <w:rsid w:val="00442749"/>
    <w:rsid w:val="00443B17"/>
    <w:rsid w:val="00444DF8"/>
    <w:rsid w:val="00450313"/>
    <w:rsid w:val="00450A1A"/>
    <w:rsid w:val="004521DB"/>
    <w:rsid w:val="00453829"/>
    <w:rsid w:val="004550E0"/>
    <w:rsid w:val="00455106"/>
    <w:rsid w:val="00455B59"/>
    <w:rsid w:val="0045725A"/>
    <w:rsid w:val="0046049F"/>
    <w:rsid w:val="004606B9"/>
    <w:rsid w:val="00460BE1"/>
    <w:rsid w:val="004620E7"/>
    <w:rsid w:val="00462BCE"/>
    <w:rsid w:val="00463832"/>
    <w:rsid w:val="0046439B"/>
    <w:rsid w:val="004664E3"/>
    <w:rsid w:val="0046661C"/>
    <w:rsid w:val="00467C6A"/>
    <w:rsid w:val="00470EBB"/>
    <w:rsid w:val="00471926"/>
    <w:rsid w:val="00472A5F"/>
    <w:rsid w:val="00472CB3"/>
    <w:rsid w:val="00472E9E"/>
    <w:rsid w:val="00475B2E"/>
    <w:rsid w:val="0048128B"/>
    <w:rsid w:val="00483820"/>
    <w:rsid w:val="00484170"/>
    <w:rsid w:val="00487AF0"/>
    <w:rsid w:val="004906FB"/>
    <w:rsid w:val="00492FE1"/>
    <w:rsid w:val="0049540C"/>
    <w:rsid w:val="00495A87"/>
    <w:rsid w:val="004966C6"/>
    <w:rsid w:val="00496C00"/>
    <w:rsid w:val="00496CBC"/>
    <w:rsid w:val="00497544"/>
    <w:rsid w:val="004A1F4E"/>
    <w:rsid w:val="004A2BF9"/>
    <w:rsid w:val="004A48D8"/>
    <w:rsid w:val="004A5FF2"/>
    <w:rsid w:val="004B0533"/>
    <w:rsid w:val="004B3F74"/>
    <w:rsid w:val="004B484E"/>
    <w:rsid w:val="004B52A2"/>
    <w:rsid w:val="004B7577"/>
    <w:rsid w:val="004C3D4A"/>
    <w:rsid w:val="004C46D3"/>
    <w:rsid w:val="004C4C81"/>
    <w:rsid w:val="004D05A9"/>
    <w:rsid w:val="004D05FE"/>
    <w:rsid w:val="004D0663"/>
    <w:rsid w:val="004D19C8"/>
    <w:rsid w:val="004D3C0E"/>
    <w:rsid w:val="004D4F29"/>
    <w:rsid w:val="004D5A29"/>
    <w:rsid w:val="004D7203"/>
    <w:rsid w:val="004D7821"/>
    <w:rsid w:val="004E3642"/>
    <w:rsid w:val="004E67E6"/>
    <w:rsid w:val="004E78F9"/>
    <w:rsid w:val="004F20FE"/>
    <w:rsid w:val="004F5021"/>
    <w:rsid w:val="004F5D95"/>
    <w:rsid w:val="004F611B"/>
    <w:rsid w:val="005002F2"/>
    <w:rsid w:val="0050072A"/>
    <w:rsid w:val="00501E25"/>
    <w:rsid w:val="00504733"/>
    <w:rsid w:val="00504803"/>
    <w:rsid w:val="00504E43"/>
    <w:rsid w:val="00506708"/>
    <w:rsid w:val="00506C73"/>
    <w:rsid w:val="0051227F"/>
    <w:rsid w:val="00512901"/>
    <w:rsid w:val="00512EE5"/>
    <w:rsid w:val="0051348C"/>
    <w:rsid w:val="00513924"/>
    <w:rsid w:val="00514BFE"/>
    <w:rsid w:val="00514F63"/>
    <w:rsid w:val="00515962"/>
    <w:rsid w:val="00517F7B"/>
    <w:rsid w:val="00520D25"/>
    <w:rsid w:val="00521325"/>
    <w:rsid w:val="00522100"/>
    <w:rsid w:val="00522A47"/>
    <w:rsid w:val="0052356B"/>
    <w:rsid w:val="00525752"/>
    <w:rsid w:val="00527787"/>
    <w:rsid w:val="00530338"/>
    <w:rsid w:val="005317E8"/>
    <w:rsid w:val="0053247B"/>
    <w:rsid w:val="005324A0"/>
    <w:rsid w:val="00534246"/>
    <w:rsid w:val="00534CF1"/>
    <w:rsid w:val="00536E30"/>
    <w:rsid w:val="00536EC4"/>
    <w:rsid w:val="00540F76"/>
    <w:rsid w:val="00544E41"/>
    <w:rsid w:val="00545A17"/>
    <w:rsid w:val="005505D4"/>
    <w:rsid w:val="00551A79"/>
    <w:rsid w:val="005557B4"/>
    <w:rsid w:val="00556C6F"/>
    <w:rsid w:val="0056065C"/>
    <w:rsid w:val="00561F9C"/>
    <w:rsid w:val="0056288D"/>
    <w:rsid w:val="00563BC9"/>
    <w:rsid w:val="00565EAE"/>
    <w:rsid w:val="00566AF3"/>
    <w:rsid w:val="00567779"/>
    <w:rsid w:val="0057103A"/>
    <w:rsid w:val="00572CEC"/>
    <w:rsid w:val="005756DD"/>
    <w:rsid w:val="0057610E"/>
    <w:rsid w:val="00577076"/>
    <w:rsid w:val="0058106E"/>
    <w:rsid w:val="005825C6"/>
    <w:rsid w:val="00584568"/>
    <w:rsid w:val="00585DF4"/>
    <w:rsid w:val="00590B5D"/>
    <w:rsid w:val="00590E50"/>
    <w:rsid w:val="005929BB"/>
    <w:rsid w:val="005A0823"/>
    <w:rsid w:val="005A0FE7"/>
    <w:rsid w:val="005A1A48"/>
    <w:rsid w:val="005A2D78"/>
    <w:rsid w:val="005A30F9"/>
    <w:rsid w:val="005A40BC"/>
    <w:rsid w:val="005B0087"/>
    <w:rsid w:val="005B0503"/>
    <w:rsid w:val="005B2A83"/>
    <w:rsid w:val="005B65C8"/>
    <w:rsid w:val="005B74EC"/>
    <w:rsid w:val="005B7834"/>
    <w:rsid w:val="005C1E62"/>
    <w:rsid w:val="005C3467"/>
    <w:rsid w:val="005C3A8F"/>
    <w:rsid w:val="005C44B9"/>
    <w:rsid w:val="005C4A53"/>
    <w:rsid w:val="005C6975"/>
    <w:rsid w:val="005D1322"/>
    <w:rsid w:val="005D1956"/>
    <w:rsid w:val="005D1F3B"/>
    <w:rsid w:val="005D2294"/>
    <w:rsid w:val="005D26A0"/>
    <w:rsid w:val="005D2DD6"/>
    <w:rsid w:val="005D4506"/>
    <w:rsid w:val="005D4D95"/>
    <w:rsid w:val="005D5749"/>
    <w:rsid w:val="005D6ADB"/>
    <w:rsid w:val="005E2CE0"/>
    <w:rsid w:val="005E38B6"/>
    <w:rsid w:val="005E569F"/>
    <w:rsid w:val="005E5B11"/>
    <w:rsid w:val="005F4926"/>
    <w:rsid w:val="005F502D"/>
    <w:rsid w:val="005F5358"/>
    <w:rsid w:val="005F615C"/>
    <w:rsid w:val="0060082B"/>
    <w:rsid w:val="00602DD3"/>
    <w:rsid w:val="00603B62"/>
    <w:rsid w:val="006056B0"/>
    <w:rsid w:val="00606C2C"/>
    <w:rsid w:val="00607F22"/>
    <w:rsid w:val="00611FB4"/>
    <w:rsid w:val="0061332C"/>
    <w:rsid w:val="00613D40"/>
    <w:rsid w:val="00613DE6"/>
    <w:rsid w:val="00615354"/>
    <w:rsid w:val="00615D29"/>
    <w:rsid w:val="00616933"/>
    <w:rsid w:val="00617296"/>
    <w:rsid w:val="00617E8F"/>
    <w:rsid w:val="006215CB"/>
    <w:rsid w:val="00623291"/>
    <w:rsid w:val="00623F80"/>
    <w:rsid w:val="00625472"/>
    <w:rsid w:val="00625571"/>
    <w:rsid w:val="006255F7"/>
    <w:rsid w:val="00625BBA"/>
    <w:rsid w:val="00626641"/>
    <w:rsid w:val="00630AF9"/>
    <w:rsid w:val="00630BD2"/>
    <w:rsid w:val="006324D6"/>
    <w:rsid w:val="00633C0E"/>
    <w:rsid w:val="00635255"/>
    <w:rsid w:val="00636ADF"/>
    <w:rsid w:val="0064003B"/>
    <w:rsid w:val="0064246F"/>
    <w:rsid w:val="00642E8D"/>
    <w:rsid w:val="00644DA0"/>
    <w:rsid w:val="00645500"/>
    <w:rsid w:val="00646BE0"/>
    <w:rsid w:val="0065125C"/>
    <w:rsid w:val="00651768"/>
    <w:rsid w:val="006531D5"/>
    <w:rsid w:val="00657313"/>
    <w:rsid w:val="006614CA"/>
    <w:rsid w:val="00666E6B"/>
    <w:rsid w:val="00670DEC"/>
    <w:rsid w:val="0067238A"/>
    <w:rsid w:val="006836AB"/>
    <w:rsid w:val="006842CA"/>
    <w:rsid w:val="0068490D"/>
    <w:rsid w:val="0068571D"/>
    <w:rsid w:val="00685834"/>
    <w:rsid w:val="00687B38"/>
    <w:rsid w:val="006904B5"/>
    <w:rsid w:val="00690862"/>
    <w:rsid w:val="006927CE"/>
    <w:rsid w:val="00693050"/>
    <w:rsid w:val="00693195"/>
    <w:rsid w:val="006939DE"/>
    <w:rsid w:val="0069403C"/>
    <w:rsid w:val="00694BB7"/>
    <w:rsid w:val="00694D7B"/>
    <w:rsid w:val="006972AB"/>
    <w:rsid w:val="00697631"/>
    <w:rsid w:val="006A0360"/>
    <w:rsid w:val="006A0C3F"/>
    <w:rsid w:val="006A14F7"/>
    <w:rsid w:val="006A3FD0"/>
    <w:rsid w:val="006A3FE9"/>
    <w:rsid w:val="006A4222"/>
    <w:rsid w:val="006A4C1C"/>
    <w:rsid w:val="006A5F64"/>
    <w:rsid w:val="006A727B"/>
    <w:rsid w:val="006A7E9C"/>
    <w:rsid w:val="006B2A26"/>
    <w:rsid w:val="006B4F02"/>
    <w:rsid w:val="006B51F5"/>
    <w:rsid w:val="006B5A64"/>
    <w:rsid w:val="006B6374"/>
    <w:rsid w:val="006C19B9"/>
    <w:rsid w:val="006C1D5D"/>
    <w:rsid w:val="006C20C2"/>
    <w:rsid w:val="006C3389"/>
    <w:rsid w:val="006C3F82"/>
    <w:rsid w:val="006C6DD4"/>
    <w:rsid w:val="006D104E"/>
    <w:rsid w:val="006D14AF"/>
    <w:rsid w:val="006D583D"/>
    <w:rsid w:val="006D723F"/>
    <w:rsid w:val="006E3CEE"/>
    <w:rsid w:val="006E69FD"/>
    <w:rsid w:val="006E7A4A"/>
    <w:rsid w:val="006E7D80"/>
    <w:rsid w:val="006F0016"/>
    <w:rsid w:val="006F0C68"/>
    <w:rsid w:val="006F2852"/>
    <w:rsid w:val="006F2C7B"/>
    <w:rsid w:val="006F35BE"/>
    <w:rsid w:val="006F76A8"/>
    <w:rsid w:val="00702B3E"/>
    <w:rsid w:val="007034FB"/>
    <w:rsid w:val="00703B7B"/>
    <w:rsid w:val="00703DA6"/>
    <w:rsid w:val="00704B43"/>
    <w:rsid w:val="00704CD7"/>
    <w:rsid w:val="007116BC"/>
    <w:rsid w:val="007121DB"/>
    <w:rsid w:val="007151B4"/>
    <w:rsid w:val="00716D2B"/>
    <w:rsid w:val="007173F7"/>
    <w:rsid w:val="00720873"/>
    <w:rsid w:val="0072133C"/>
    <w:rsid w:val="00721D0C"/>
    <w:rsid w:val="007232D9"/>
    <w:rsid w:val="007248E8"/>
    <w:rsid w:val="00727075"/>
    <w:rsid w:val="00727E72"/>
    <w:rsid w:val="00730152"/>
    <w:rsid w:val="00731C76"/>
    <w:rsid w:val="00731DFD"/>
    <w:rsid w:val="00735662"/>
    <w:rsid w:val="00736CAC"/>
    <w:rsid w:val="00740D20"/>
    <w:rsid w:val="0074103D"/>
    <w:rsid w:val="0074196D"/>
    <w:rsid w:val="00743E77"/>
    <w:rsid w:val="0074413A"/>
    <w:rsid w:val="0074496D"/>
    <w:rsid w:val="00746965"/>
    <w:rsid w:val="007478BB"/>
    <w:rsid w:val="007501B3"/>
    <w:rsid w:val="00751626"/>
    <w:rsid w:val="00751A0D"/>
    <w:rsid w:val="00753685"/>
    <w:rsid w:val="0075404D"/>
    <w:rsid w:val="007557FB"/>
    <w:rsid w:val="00756719"/>
    <w:rsid w:val="007573AB"/>
    <w:rsid w:val="007634AB"/>
    <w:rsid w:val="00763829"/>
    <w:rsid w:val="00764048"/>
    <w:rsid w:val="007640DA"/>
    <w:rsid w:val="00765369"/>
    <w:rsid w:val="00767C62"/>
    <w:rsid w:val="00770CB0"/>
    <w:rsid w:val="007724CC"/>
    <w:rsid w:val="007740AC"/>
    <w:rsid w:val="00775611"/>
    <w:rsid w:val="00775B71"/>
    <w:rsid w:val="00776DD2"/>
    <w:rsid w:val="00784824"/>
    <w:rsid w:val="00785C0F"/>
    <w:rsid w:val="0078743F"/>
    <w:rsid w:val="0079195D"/>
    <w:rsid w:val="007922B3"/>
    <w:rsid w:val="007954CA"/>
    <w:rsid w:val="00795EEC"/>
    <w:rsid w:val="007A264B"/>
    <w:rsid w:val="007A2DE7"/>
    <w:rsid w:val="007A4AE5"/>
    <w:rsid w:val="007A59C4"/>
    <w:rsid w:val="007A5C27"/>
    <w:rsid w:val="007A6C5E"/>
    <w:rsid w:val="007A758C"/>
    <w:rsid w:val="007B41DE"/>
    <w:rsid w:val="007C1437"/>
    <w:rsid w:val="007C31A8"/>
    <w:rsid w:val="007C3EF8"/>
    <w:rsid w:val="007C5533"/>
    <w:rsid w:val="007C5704"/>
    <w:rsid w:val="007C653C"/>
    <w:rsid w:val="007C66F6"/>
    <w:rsid w:val="007C739A"/>
    <w:rsid w:val="007D3210"/>
    <w:rsid w:val="007D3521"/>
    <w:rsid w:val="007D398B"/>
    <w:rsid w:val="007D3F73"/>
    <w:rsid w:val="007D42DD"/>
    <w:rsid w:val="007D4C04"/>
    <w:rsid w:val="007D4DCE"/>
    <w:rsid w:val="007D527E"/>
    <w:rsid w:val="007D7F06"/>
    <w:rsid w:val="007E01F3"/>
    <w:rsid w:val="007E15D6"/>
    <w:rsid w:val="007E1EF9"/>
    <w:rsid w:val="007E2184"/>
    <w:rsid w:val="007E3FB7"/>
    <w:rsid w:val="007E5343"/>
    <w:rsid w:val="007E5779"/>
    <w:rsid w:val="007E7BDF"/>
    <w:rsid w:val="007E7CF5"/>
    <w:rsid w:val="007F08B8"/>
    <w:rsid w:val="007F13B3"/>
    <w:rsid w:val="007F2234"/>
    <w:rsid w:val="007F2391"/>
    <w:rsid w:val="007F5CA1"/>
    <w:rsid w:val="007F5F60"/>
    <w:rsid w:val="008000DD"/>
    <w:rsid w:val="008003C4"/>
    <w:rsid w:val="00801E64"/>
    <w:rsid w:val="0080356A"/>
    <w:rsid w:val="00804E42"/>
    <w:rsid w:val="0080506C"/>
    <w:rsid w:val="0080645B"/>
    <w:rsid w:val="008115F6"/>
    <w:rsid w:val="008138FE"/>
    <w:rsid w:val="008145C0"/>
    <w:rsid w:val="00815441"/>
    <w:rsid w:val="00815638"/>
    <w:rsid w:val="00820306"/>
    <w:rsid w:val="00820E2A"/>
    <w:rsid w:val="0082159F"/>
    <w:rsid w:val="0082263D"/>
    <w:rsid w:val="00822F83"/>
    <w:rsid w:val="00825A0C"/>
    <w:rsid w:val="008270B5"/>
    <w:rsid w:val="008279E6"/>
    <w:rsid w:val="00831D82"/>
    <w:rsid w:val="00837165"/>
    <w:rsid w:val="0084159B"/>
    <w:rsid w:val="00841BA2"/>
    <w:rsid w:val="008452C6"/>
    <w:rsid w:val="0084617E"/>
    <w:rsid w:val="00846DA3"/>
    <w:rsid w:val="0085045F"/>
    <w:rsid w:val="00855014"/>
    <w:rsid w:val="00856675"/>
    <w:rsid w:val="00856C22"/>
    <w:rsid w:val="0085764A"/>
    <w:rsid w:val="0085765A"/>
    <w:rsid w:val="008577EB"/>
    <w:rsid w:val="00857B19"/>
    <w:rsid w:val="008603AB"/>
    <w:rsid w:val="00861E70"/>
    <w:rsid w:val="008631DC"/>
    <w:rsid w:val="0086371F"/>
    <w:rsid w:val="008651E4"/>
    <w:rsid w:val="00866029"/>
    <w:rsid w:val="0086706F"/>
    <w:rsid w:val="00870BBF"/>
    <w:rsid w:val="0087144E"/>
    <w:rsid w:val="00872590"/>
    <w:rsid w:val="0087409B"/>
    <w:rsid w:val="00874FA1"/>
    <w:rsid w:val="008772BD"/>
    <w:rsid w:val="00877320"/>
    <w:rsid w:val="0088042C"/>
    <w:rsid w:val="00881067"/>
    <w:rsid w:val="00883946"/>
    <w:rsid w:val="00885482"/>
    <w:rsid w:val="008868A2"/>
    <w:rsid w:val="00891CF4"/>
    <w:rsid w:val="00892386"/>
    <w:rsid w:val="00892521"/>
    <w:rsid w:val="0089360F"/>
    <w:rsid w:val="0089400E"/>
    <w:rsid w:val="00894F6A"/>
    <w:rsid w:val="008958DA"/>
    <w:rsid w:val="00895997"/>
    <w:rsid w:val="00896F44"/>
    <w:rsid w:val="00897C4C"/>
    <w:rsid w:val="00897CA8"/>
    <w:rsid w:val="008A172B"/>
    <w:rsid w:val="008A4D0A"/>
    <w:rsid w:val="008A6BF0"/>
    <w:rsid w:val="008A7C3C"/>
    <w:rsid w:val="008A7E02"/>
    <w:rsid w:val="008B0BF1"/>
    <w:rsid w:val="008B11A1"/>
    <w:rsid w:val="008B2825"/>
    <w:rsid w:val="008B40C0"/>
    <w:rsid w:val="008B52C8"/>
    <w:rsid w:val="008C0B95"/>
    <w:rsid w:val="008C0F5B"/>
    <w:rsid w:val="008C104E"/>
    <w:rsid w:val="008C1D28"/>
    <w:rsid w:val="008C224D"/>
    <w:rsid w:val="008C2584"/>
    <w:rsid w:val="008C4372"/>
    <w:rsid w:val="008C45FD"/>
    <w:rsid w:val="008C5CE7"/>
    <w:rsid w:val="008D1A10"/>
    <w:rsid w:val="008D25F9"/>
    <w:rsid w:val="008D2ECD"/>
    <w:rsid w:val="008D3668"/>
    <w:rsid w:val="008D3942"/>
    <w:rsid w:val="008D3D34"/>
    <w:rsid w:val="008D51A6"/>
    <w:rsid w:val="008D6E09"/>
    <w:rsid w:val="008E3B9B"/>
    <w:rsid w:val="008E516C"/>
    <w:rsid w:val="008E633E"/>
    <w:rsid w:val="008E720C"/>
    <w:rsid w:val="008F070C"/>
    <w:rsid w:val="008F165D"/>
    <w:rsid w:val="008F418C"/>
    <w:rsid w:val="008F436E"/>
    <w:rsid w:val="008F5F4A"/>
    <w:rsid w:val="00900A91"/>
    <w:rsid w:val="0090109E"/>
    <w:rsid w:val="00902380"/>
    <w:rsid w:val="0090275C"/>
    <w:rsid w:val="009049ED"/>
    <w:rsid w:val="00906AC4"/>
    <w:rsid w:val="00907E26"/>
    <w:rsid w:val="00911248"/>
    <w:rsid w:val="0091131C"/>
    <w:rsid w:val="00911C7D"/>
    <w:rsid w:val="009148DB"/>
    <w:rsid w:val="00914DDF"/>
    <w:rsid w:val="00915314"/>
    <w:rsid w:val="009227EB"/>
    <w:rsid w:val="009242A3"/>
    <w:rsid w:val="009257D6"/>
    <w:rsid w:val="00925DF8"/>
    <w:rsid w:val="0092624C"/>
    <w:rsid w:val="00926445"/>
    <w:rsid w:val="00926B1F"/>
    <w:rsid w:val="0092708A"/>
    <w:rsid w:val="00927C84"/>
    <w:rsid w:val="0093203D"/>
    <w:rsid w:val="00932516"/>
    <w:rsid w:val="00933889"/>
    <w:rsid w:val="0093555D"/>
    <w:rsid w:val="00935FDA"/>
    <w:rsid w:val="009362B4"/>
    <w:rsid w:val="00937A8C"/>
    <w:rsid w:val="00937BB5"/>
    <w:rsid w:val="009438FC"/>
    <w:rsid w:val="009442E3"/>
    <w:rsid w:val="00944FD1"/>
    <w:rsid w:val="00946355"/>
    <w:rsid w:val="009477E7"/>
    <w:rsid w:val="00950052"/>
    <w:rsid w:val="00950C06"/>
    <w:rsid w:val="00951716"/>
    <w:rsid w:val="00954427"/>
    <w:rsid w:val="00954C70"/>
    <w:rsid w:val="0096090D"/>
    <w:rsid w:val="00962065"/>
    <w:rsid w:val="009661FD"/>
    <w:rsid w:val="00966F0C"/>
    <w:rsid w:val="00972036"/>
    <w:rsid w:val="009724B3"/>
    <w:rsid w:val="00974950"/>
    <w:rsid w:val="00981041"/>
    <w:rsid w:val="00985161"/>
    <w:rsid w:val="00995C6D"/>
    <w:rsid w:val="009969F1"/>
    <w:rsid w:val="009970DF"/>
    <w:rsid w:val="009A25E6"/>
    <w:rsid w:val="009A2AC4"/>
    <w:rsid w:val="009A35B5"/>
    <w:rsid w:val="009A3612"/>
    <w:rsid w:val="009A399B"/>
    <w:rsid w:val="009B03C3"/>
    <w:rsid w:val="009B1330"/>
    <w:rsid w:val="009B150A"/>
    <w:rsid w:val="009B27DC"/>
    <w:rsid w:val="009B323F"/>
    <w:rsid w:val="009B41CC"/>
    <w:rsid w:val="009B4FAC"/>
    <w:rsid w:val="009B5E74"/>
    <w:rsid w:val="009C0102"/>
    <w:rsid w:val="009C658E"/>
    <w:rsid w:val="009D1140"/>
    <w:rsid w:val="009D3968"/>
    <w:rsid w:val="009D4BA3"/>
    <w:rsid w:val="009D6484"/>
    <w:rsid w:val="009D738A"/>
    <w:rsid w:val="009D7944"/>
    <w:rsid w:val="009E0846"/>
    <w:rsid w:val="009E17CD"/>
    <w:rsid w:val="009E4333"/>
    <w:rsid w:val="009E4F7C"/>
    <w:rsid w:val="009E715E"/>
    <w:rsid w:val="009E7726"/>
    <w:rsid w:val="009F1786"/>
    <w:rsid w:val="009F1850"/>
    <w:rsid w:val="009F2029"/>
    <w:rsid w:val="009F24E8"/>
    <w:rsid w:val="009F38E6"/>
    <w:rsid w:val="009F5F0C"/>
    <w:rsid w:val="00A00AEF"/>
    <w:rsid w:val="00A00BD7"/>
    <w:rsid w:val="00A01F11"/>
    <w:rsid w:val="00A03A39"/>
    <w:rsid w:val="00A07BFF"/>
    <w:rsid w:val="00A10033"/>
    <w:rsid w:val="00A100C3"/>
    <w:rsid w:val="00A154B4"/>
    <w:rsid w:val="00A1656E"/>
    <w:rsid w:val="00A17546"/>
    <w:rsid w:val="00A17BA5"/>
    <w:rsid w:val="00A17FF1"/>
    <w:rsid w:val="00A21F82"/>
    <w:rsid w:val="00A24372"/>
    <w:rsid w:val="00A24B17"/>
    <w:rsid w:val="00A2565D"/>
    <w:rsid w:val="00A25689"/>
    <w:rsid w:val="00A256BC"/>
    <w:rsid w:val="00A310EA"/>
    <w:rsid w:val="00A31FD7"/>
    <w:rsid w:val="00A327EF"/>
    <w:rsid w:val="00A33879"/>
    <w:rsid w:val="00A349D6"/>
    <w:rsid w:val="00A35E61"/>
    <w:rsid w:val="00A362C3"/>
    <w:rsid w:val="00A376C8"/>
    <w:rsid w:val="00A41A78"/>
    <w:rsid w:val="00A425BC"/>
    <w:rsid w:val="00A44A0C"/>
    <w:rsid w:val="00A44A83"/>
    <w:rsid w:val="00A44FBB"/>
    <w:rsid w:val="00A472B3"/>
    <w:rsid w:val="00A47B59"/>
    <w:rsid w:val="00A50AA4"/>
    <w:rsid w:val="00A523CA"/>
    <w:rsid w:val="00A545C7"/>
    <w:rsid w:val="00A547C7"/>
    <w:rsid w:val="00A573A4"/>
    <w:rsid w:val="00A57EB2"/>
    <w:rsid w:val="00A60383"/>
    <w:rsid w:val="00A606B1"/>
    <w:rsid w:val="00A61F84"/>
    <w:rsid w:val="00A623CF"/>
    <w:rsid w:val="00A627AC"/>
    <w:rsid w:val="00A629E0"/>
    <w:rsid w:val="00A62E39"/>
    <w:rsid w:val="00A642F3"/>
    <w:rsid w:val="00A6551D"/>
    <w:rsid w:val="00A65BD3"/>
    <w:rsid w:val="00A7123B"/>
    <w:rsid w:val="00A71A9D"/>
    <w:rsid w:val="00A75307"/>
    <w:rsid w:val="00A7564F"/>
    <w:rsid w:val="00A770F6"/>
    <w:rsid w:val="00A81F22"/>
    <w:rsid w:val="00A83A94"/>
    <w:rsid w:val="00A91294"/>
    <w:rsid w:val="00A9185E"/>
    <w:rsid w:val="00A91FF4"/>
    <w:rsid w:val="00A92603"/>
    <w:rsid w:val="00A94984"/>
    <w:rsid w:val="00A95224"/>
    <w:rsid w:val="00A95F1D"/>
    <w:rsid w:val="00A96FDD"/>
    <w:rsid w:val="00A975C6"/>
    <w:rsid w:val="00AA1109"/>
    <w:rsid w:val="00AA28FB"/>
    <w:rsid w:val="00AA367B"/>
    <w:rsid w:val="00AA4417"/>
    <w:rsid w:val="00AA56E2"/>
    <w:rsid w:val="00AA6384"/>
    <w:rsid w:val="00AB0CD7"/>
    <w:rsid w:val="00AB234E"/>
    <w:rsid w:val="00AB2F1E"/>
    <w:rsid w:val="00AB4F3B"/>
    <w:rsid w:val="00AB5042"/>
    <w:rsid w:val="00AB50DF"/>
    <w:rsid w:val="00AB564A"/>
    <w:rsid w:val="00AB7468"/>
    <w:rsid w:val="00AB7A48"/>
    <w:rsid w:val="00AC1A58"/>
    <w:rsid w:val="00AC1CCB"/>
    <w:rsid w:val="00AC3B0D"/>
    <w:rsid w:val="00AC66D1"/>
    <w:rsid w:val="00AC754A"/>
    <w:rsid w:val="00AC7D58"/>
    <w:rsid w:val="00AD09CD"/>
    <w:rsid w:val="00AD0B8C"/>
    <w:rsid w:val="00AD21A6"/>
    <w:rsid w:val="00AD22AB"/>
    <w:rsid w:val="00AD2D35"/>
    <w:rsid w:val="00AD4F65"/>
    <w:rsid w:val="00AD666D"/>
    <w:rsid w:val="00AE22F5"/>
    <w:rsid w:val="00AE4613"/>
    <w:rsid w:val="00AE7BD8"/>
    <w:rsid w:val="00AF01E6"/>
    <w:rsid w:val="00AF0ED2"/>
    <w:rsid w:val="00AF17B9"/>
    <w:rsid w:val="00AF5055"/>
    <w:rsid w:val="00AF7770"/>
    <w:rsid w:val="00B00E09"/>
    <w:rsid w:val="00B00E3C"/>
    <w:rsid w:val="00B00E5F"/>
    <w:rsid w:val="00B0111D"/>
    <w:rsid w:val="00B015D4"/>
    <w:rsid w:val="00B0242D"/>
    <w:rsid w:val="00B02616"/>
    <w:rsid w:val="00B04CC2"/>
    <w:rsid w:val="00B05B01"/>
    <w:rsid w:val="00B05E8D"/>
    <w:rsid w:val="00B0624F"/>
    <w:rsid w:val="00B071FD"/>
    <w:rsid w:val="00B12B4B"/>
    <w:rsid w:val="00B12F51"/>
    <w:rsid w:val="00B13669"/>
    <w:rsid w:val="00B15E65"/>
    <w:rsid w:val="00B1638F"/>
    <w:rsid w:val="00B206E1"/>
    <w:rsid w:val="00B20BB6"/>
    <w:rsid w:val="00B2121C"/>
    <w:rsid w:val="00B2264B"/>
    <w:rsid w:val="00B2397C"/>
    <w:rsid w:val="00B25BAB"/>
    <w:rsid w:val="00B261B3"/>
    <w:rsid w:val="00B304C3"/>
    <w:rsid w:val="00B315ED"/>
    <w:rsid w:val="00B323CA"/>
    <w:rsid w:val="00B42C80"/>
    <w:rsid w:val="00B4353F"/>
    <w:rsid w:val="00B508B9"/>
    <w:rsid w:val="00B51672"/>
    <w:rsid w:val="00B518D8"/>
    <w:rsid w:val="00B54357"/>
    <w:rsid w:val="00B54855"/>
    <w:rsid w:val="00B54C59"/>
    <w:rsid w:val="00B55343"/>
    <w:rsid w:val="00B55497"/>
    <w:rsid w:val="00B55E5A"/>
    <w:rsid w:val="00B57EEB"/>
    <w:rsid w:val="00B600A4"/>
    <w:rsid w:val="00B6606E"/>
    <w:rsid w:val="00B66512"/>
    <w:rsid w:val="00B669D4"/>
    <w:rsid w:val="00B71A8D"/>
    <w:rsid w:val="00B7481F"/>
    <w:rsid w:val="00B76C30"/>
    <w:rsid w:val="00B77520"/>
    <w:rsid w:val="00B80EFD"/>
    <w:rsid w:val="00B82358"/>
    <w:rsid w:val="00B86934"/>
    <w:rsid w:val="00B8760C"/>
    <w:rsid w:val="00B91EF4"/>
    <w:rsid w:val="00B9207B"/>
    <w:rsid w:val="00B93996"/>
    <w:rsid w:val="00B95E1C"/>
    <w:rsid w:val="00BA000C"/>
    <w:rsid w:val="00BA0A2B"/>
    <w:rsid w:val="00BA1609"/>
    <w:rsid w:val="00BA1FAD"/>
    <w:rsid w:val="00BA24FA"/>
    <w:rsid w:val="00BA54D0"/>
    <w:rsid w:val="00BA7F0E"/>
    <w:rsid w:val="00BB06CF"/>
    <w:rsid w:val="00BB0C83"/>
    <w:rsid w:val="00BB0E5C"/>
    <w:rsid w:val="00BB28B3"/>
    <w:rsid w:val="00BB2F4F"/>
    <w:rsid w:val="00BB57D3"/>
    <w:rsid w:val="00BB5DDF"/>
    <w:rsid w:val="00BB798F"/>
    <w:rsid w:val="00BC3ACF"/>
    <w:rsid w:val="00BC3B26"/>
    <w:rsid w:val="00BC5CDA"/>
    <w:rsid w:val="00BC66B1"/>
    <w:rsid w:val="00BD44DE"/>
    <w:rsid w:val="00BD482F"/>
    <w:rsid w:val="00BD598C"/>
    <w:rsid w:val="00BD5CB6"/>
    <w:rsid w:val="00BD7853"/>
    <w:rsid w:val="00BE12D2"/>
    <w:rsid w:val="00BE538D"/>
    <w:rsid w:val="00BE5B2E"/>
    <w:rsid w:val="00BE7E3D"/>
    <w:rsid w:val="00BE7FC6"/>
    <w:rsid w:val="00BF07B4"/>
    <w:rsid w:val="00BF2ED4"/>
    <w:rsid w:val="00BF4624"/>
    <w:rsid w:val="00C002C4"/>
    <w:rsid w:val="00C027A5"/>
    <w:rsid w:val="00C02A93"/>
    <w:rsid w:val="00C0636D"/>
    <w:rsid w:val="00C06655"/>
    <w:rsid w:val="00C107BF"/>
    <w:rsid w:val="00C1254D"/>
    <w:rsid w:val="00C13337"/>
    <w:rsid w:val="00C14824"/>
    <w:rsid w:val="00C15DDF"/>
    <w:rsid w:val="00C17643"/>
    <w:rsid w:val="00C17F40"/>
    <w:rsid w:val="00C201E1"/>
    <w:rsid w:val="00C22C78"/>
    <w:rsid w:val="00C237B0"/>
    <w:rsid w:val="00C253CB"/>
    <w:rsid w:val="00C26653"/>
    <w:rsid w:val="00C276C5"/>
    <w:rsid w:val="00C3180B"/>
    <w:rsid w:val="00C33205"/>
    <w:rsid w:val="00C34E4D"/>
    <w:rsid w:val="00C35836"/>
    <w:rsid w:val="00C373BF"/>
    <w:rsid w:val="00C3745F"/>
    <w:rsid w:val="00C37F4C"/>
    <w:rsid w:val="00C4036F"/>
    <w:rsid w:val="00C41B37"/>
    <w:rsid w:val="00C41D54"/>
    <w:rsid w:val="00C4379B"/>
    <w:rsid w:val="00C46280"/>
    <w:rsid w:val="00C47E06"/>
    <w:rsid w:val="00C52E60"/>
    <w:rsid w:val="00C52FA3"/>
    <w:rsid w:val="00C55942"/>
    <w:rsid w:val="00C643FD"/>
    <w:rsid w:val="00C649B0"/>
    <w:rsid w:val="00C7022C"/>
    <w:rsid w:val="00C720B1"/>
    <w:rsid w:val="00C74418"/>
    <w:rsid w:val="00C767DD"/>
    <w:rsid w:val="00C822AE"/>
    <w:rsid w:val="00C870C2"/>
    <w:rsid w:val="00C8774B"/>
    <w:rsid w:val="00C91AAE"/>
    <w:rsid w:val="00C95A42"/>
    <w:rsid w:val="00C95FE2"/>
    <w:rsid w:val="00C9698D"/>
    <w:rsid w:val="00C96E4D"/>
    <w:rsid w:val="00C97830"/>
    <w:rsid w:val="00CA0A83"/>
    <w:rsid w:val="00CA18CF"/>
    <w:rsid w:val="00CA190F"/>
    <w:rsid w:val="00CA2CF3"/>
    <w:rsid w:val="00CA38A1"/>
    <w:rsid w:val="00CA41C2"/>
    <w:rsid w:val="00CA43A9"/>
    <w:rsid w:val="00CA4494"/>
    <w:rsid w:val="00CA5351"/>
    <w:rsid w:val="00CA65FE"/>
    <w:rsid w:val="00CB0CD1"/>
    <w:rsid w:val="00CB19DF"/>
    <w:rsid w:val="00CB3479"/>
    <w:rsid w:val="00CB4CB3"/>
    <w:rsid w:val="00CB5A74"/>
    <w:rsid w:val="00CB69D1"/>
    <w:rsid w:val="00CB7EE6"/>
    <w:rsid w:val="00CB7FEF"/>
    <w:rsid w:val="00CC1E1E"/>
    <w:rsid w:val="00CC251F"/>
    <w:rsid w:val="00CC3097"/>
    <w:rsid w:val="00CC30E0"/>
    <w:rsid w:val="00CC7221"/>
    <w:rsid w:val="00CD0FFF"/>
    <w:rsid w:val="00CD1304"/>
    <w:rsid w:val="00CD2C39"/>
    <w:rsid w:val="00CD5E81"/>
    <w:rsid w:val="00CD60E5"/>
    <w:rsid w:val="00CD67AD"/>
    <w:rsid w:val="00CE6299"/>
    <w:rsid w:val="00CF0238"/>
    <w:rsid w:val="00CF1FF8"/>
    <w:rsid w:val="00CF3BAE"/>
    <w:rsid w:val="00CF52CF"/>
    <w:rsid w:val="00CF6C99"/>
    <w:rsid w:val="00D01629"/>
    <w:rsid w:val="00D026CA"/>
    <w:rsid w:val="00D02B26"/>
    <w:rsid w:val="00D04043"/>
    <w:rsid w:val="00D05235"/>
    <w:rsid w:val="00D0599B"/>
    <w:rsid w:val="00D060AD"/>
    <w:rsid w:val="00D06CBC"/>
    <w:rsid w:val="00D07C6C"/>
    <w:rsid w:val="00D10231"/>
    <w:rsid w:val="00D10D4F"/>
    <w:rsid w:val="00D10F00"/>
    <w:rsid w:val="00D10FDE"/>
    <w:rsid w:val="00D1217B"/>
    <w:rsid w:val="00D122CA"/>
    <w:rsid w:val="00D13D3B"/>
    <w:rsid w:val="00D16FD9"/>
    <w:rsid w:val="00D22A75"/>
    <w:rsid w:val="00D243B9"/>
    <w:rsid w:val="00D24FEA"/>
    <w:rsid w:val="00D268F7"/>
    <w:rsid w:val="00D2704E"/>
    <w:rsid w:val="00D276E9"/>
    <w:rsid w:val="00D32427"/>
    <w:rsid w:val="00D3376A"/>
    <w:rsid w:val="00D34B90"/>
    <w:rsid w:val="00D35488"/>
    <w:rsid w:val="00D35ED4"/>
    <w:rsid w:val="00D403D2"/>
    <w:rsid w:val="00D404EE"/>
    <w:rsid w:val="00D4116A"/>
    <w:rsid w:val="00D448FF"/>
    <w:rsid w:val="00D4662A"/>
    <w:rsid w:val="00D514D5"/>
    <w:rsid w:val="00D5167C"/>
    <w:rsid w:val="00D51859"/>
    <w:rsid w:val="00D51FFD"/>
    <w:rsid w:val="00D52472"/>
    <w:rsid w:val="00D543E7"/>
    <w:rsid w:val="00D56837"/>
    <w:rsid w:val="00D60062"/>
    <w:rsid w:val="00D605A9"/>
    <w:rsid w:val="00D618A1"/>
    <w:rsid w:val="00D62281"/>
    <w:rsid w:val="00D649A4"/>
    <w:rsid w:val="00D67FFE"/>
    <w:rsid w:val="00D703C3"/>
    <w:rsid w:val="00D71F2A"/>
    <w:rsid w:val="00D7590B"/>
    <w:rsid w:val="00D7751E"/>
    <w:rsid w:val="00D807BD"/>
    <w:rsid w:val="00D80944"/>
    <w:rsid w:val="00D81A57"/>
    <w:rsid w:val="00D83972"/>
    <w:rsid w:val="00D842D6"/>
    <w:rsid w:val="00D8513D"/>
    <w:rsid w:val="00D90430"/>
    <w:rsid w:val="00D944F7"/>
    <w:rsid w:val="00D96BBB"/>
    <w:rsid w:val="00DA3608"/>
    <w:rsid w:val="00DA4581"/>
    <w:rsid w:val="00DA4FAC"/>
    <w:rsid w:val="00DA673A"/>
    <w:rsid w:val="00DA7908"/>
    <w:rsid w:val="00DB02C9"/>
    <w:rsid w:val="00DB1C11"/>
    <w:rsid w:val="00DB2390"/>
    <w:rsid w:val="00DB2972"/>
    <w:rsid w:val="00DB2CA5"/>
    <w:rsid w:val="00DB2F20"/>
    <w:rsid w:val="00DB45EE"/>
    <w:rsid w:val="00DB5C5B"/>
    <w:rsid w:val="00DB680F"/>
    <w:rsid w:val="00DB7515"/>
    <w:rsid w:val="00DC5898"/>
    <w:rsid w:val="00DD003E"/>
    <w:rsid w:val="00DD1742"/>
    <w:rsid w:val="00DD4CDD"/>
    <w:rsid w:val="00DD4E48"/>
    <w:rsid w:val="00DD77AA"/>
    <w:rsid w:val="00DE21F0"/>
    <w:rsid w:val="00DE304D"/>
    <w:rsid w:val="00DF12AD"/>
    <w:rsid w:val="00DF18FB"/>
    <w:rsid w:val="00DF1BD5"/>
    <w:rsid w:val="00DF323C"/>
    <w:rsid w:val="00E00D07"/>
    <w:rsid w:val="00E053C8"/>
    <w:rsid w:val="00E07756"/>
    <w:rsid w:val="00E105C1"/>
    <w:rsid w:val="00E13B27"/>
    <w:rsid w:val="00E14797"/>
    <w:rsid w:val="00E150C0"/>
    <w:rsid w:val="00E15E94"/>
    <w:rsid w:val="00E17C48"/>
    <w:rsid w:val="00E20345"/>
    <w:rsid w:val="00E20BAE"/>
    <w:rsid w:val="00E26203"/>
    <w:rsid w:val="00E265F1"/>
    <w:rsid w:val="00E26A1A"/>
    <w:rsid w:val="00E27C9D"/>
    <w:rsid w:val="00E31D8A"/>
    <w:rsid w:val="00E32132"/>
    <w:rsid w:val="00E3263B"/>
    <w:rsid w:val="00E345BE"/>
    <w:rsid w:val="00E34F35"/>
    <w:rsid w:val="00E3709A"/>
    <w:rsid w:val="00E42987"/>
    <w:rsid w:val="00E42E00"/>
    <w:rsid w:val="00E42F41"/>
    <w:rsid w:val="00E4384B"/>
    <w:rsid w:val="00E459D9"/>
    <w:rsid w:val="00E46203"/>
    <w:rsid w:val="00E46E78"/>
    <w:rsid w:val="00E508FD"/>
    <w:rsid w:val="00E50F0B"/>
    <w:rsid w:val="00E5321A"/>
    <w:rsid w:val="00E53B22"/>
    <w:rsid w:val="00E53CA5"/>
    <w:rsid w:val="00E57296"/>
    <w:rsid w:val="00E572C4"/>
    <w:rsid w:val="00E637E3"/>
    <w:rsid w:val="00E6481A"/>
    <w:rsid w:val="00E657A3"/>
    <w:rsid w:val="00E665BD"/>
    <w:rsid w:val="00E6695D"/>
    <w:rsid w:val="00E677CD"/>
    <w:rsid w:val="00E76256"/>
    <w:rsid w:val="00E76FDB"/>
    <w:rsid w:val="00E77B2B"/>
    <w:rsid w:val="00E805F2"/>
    <w:rsid w:val="00E82E91"/>
    <w:rsid w:val="00E838E3"/>
    <w:rsid w:val="00E84AB4"/>
    <w:rsid w:val="00E85E36"/>
    <w:rsid w:val="00E878A6"/>
    <w:rsid w:val="00E87C31"/>
    <w:rsid w:val="00E9004B"/>
    <w:rsid w:val="00E92A2C"/>
    <w:rsid w:val="00E931A7"/>
    <w:rsid w:val="00E94A06"/>
    <w:rsid w:val="00E95011"/>
    <w:rsid w:val="00E95A33"/>
    <w:rsid w:val="00E962F3"/>
    <w:rsid w:val="00E96B19"/>
    <w:rsid w:val="00E97BD4"/>
    <w:rsid w:val="00EA008E"/>
    <w:rsid w:val="00EA0D1B"/>
    <w:rsid w:val="00EA16E7"/>
    <w:rsid w:val="00EA197F"/>
    <w:rsid w:val="00EA3D19"/>
    <w:rsid w:val="00EA6353"/>
    <w:rsid w:val="00EA6ACF"/>
    <w:rsid w:val="00EA7F94"/>
    <w:rsid w:val="00EB0799"/>
    <w:rsid w:val="00EB188F"/>
    <w:rsid w:val="00EB1D67"/>
    <w:rsid w:val="00EB4E32"/>
    <w:rsid w:val="00EB5449"/>
    <w:rsid w:val="00EB557B"/>
    <w:rsid w:val="00EB5756"/>
    <w:rsid w:val="00EB5E4D"/>
    <w:rsid w:val="00EC138C"/>
    <w:rsid w:val="00EC16D7"/>
    <w:rsid w:val="00ED0B16"/>
    <w:rsid w:val="00ED1606"/>
    <w:rsid w:val="00ED204F"/>
    <w:rsid w:val="00ED7775"/>
    <w:rsid w:val="00EE0202"/>
    <w:rsid w:val="00EE16AC"/>
    <w:rsid w:val="00EE1A6D"/>
    <w:rsid w:val="00EE1BA2"/>
    <w:rsid w:val="00EE1D7C"/>
    <w:rsid w:val="00EE36F6"/>
    <w:rsid w:val="00EE3805"/>
    <w:rsid w:val="00EF1F98"/>
    <w:rsid w:val="00EF35BC"/>
    <w:rsid w:val="00EF3E70"/>
    <w:rsid w:val="00EF49C9"/>
    <w:rsid w:val="00EF4E25"/>
    <w:rsid w:val="00EF51AD"/>
    <w:rsid w:val="00EF565B"/>
    <w:rsid w:val="00EF6AF0"/>
    <w:rsid w:val="00EF7454"/>
    <w:rsid w:val="00F0082F"/>
    <w:rsid w:val="00F00B96"/>
    <w:rsid w:val="00F00D38"/>
    <w:rsid w:val="00F023F7"/>
    <w:rsid w:val="00F02B13"/>
    <w:rsid w:val="00F03CC8"/>
    <w:rsid w:val="00F0424C"/>
    <w:rsid w:val="00F0677C"/>
    <w:rsid w:val="00F068E4"/>
    <w:rsid w:val="00F0724E"/>
    <w:rsid w:val="00F11EB6"/>
    <w:rsid w:val="00F15908"/>
    <w:rsid w:val="00F15F15"/>
    <w:rsid w:val="00F16B29"/>
    <w:rsid w:val="00F210AD"/>
    <w:rsid w:val="00F227DA"/>
    <w:rsid w:val="00F22EBA"/>
    <w:rsid w:val="00F244CC"/>
    <w:rsid w:val="00F269EB"/>
    <w:rsid w:val="00F26C28"/>
    <w:rsid w:val="00F30393"/>
    <w:rsid w:val="00F36184"/>
    <w:rsid w:val="00F37305"/>
    <w:rsid w:val="00F37476"/>
    <w:rsid w:val="00F40D00"/>
    <w:rsid w:val="00F42B63"/>
    <w:rsid w:val="00F472EF"/>
    <w:rsid w:val="00F47EBE"/>
    <w:rsid w:val="00F51B96"/>
    <w:rsid w:val="00F5209C"/>
    <w:rsid w:val="00F52C96"/>
    <w:rsid w:val="00F54638"/>
    <w:rsid w:val="00F54783"/>
    <w:rsid w:val="00F55055"/>
    <w:rsid w:val="00F5573D"/>
    <w:rsid w:val="00F6102C"/>
    <w:rsid w:val="00F64268"/>
    <w:rsid w:val="00F647C9"/>
    <w:rsid w:val="00F6548A"/>
    <w:rsid w:val="00F66F9A"/>
    <w:rsid w:val="00F7142A"/>
    <w:rsid w:val="00F73150"/>
    <w:rsid w:val="00F75471"/>
    <w:rsid w:val="00F75926"/>
    <w:rsid w:val="00F82238"/>
    <w:rsid w:val="00F857B4"/>
    <w:rsid w:val="00F857B9"/>
    <w:rsid w:val="00F860AB"/>
    <w:rsid w:val="00F86927"/>
    <w:rsid w:val="00F86F14"/>
    <w:rsid w:val="00F87F3C"/>
    <w:rsid w:val="00F95AE1"/>
    <w:rsid w:val="00F95C57"/>
    <w:rsid w:val="00F97C40"/>
    <w:rsid w:val="00FA1945"/>
    <w:rsid w:val="00FA26A4"/>
    <w:rsid w:val="00FA373B"/>
    <w:rsid w:val="00FA38EB"/>
    <w:rsid w:val="00FA46DD"/>
    <w:rsid w:val="00FA6A78"/>
    <w:rsid w:val="00FB00B1"/>
    <w:rsid w:val="00FB0F61"/>
    <w:rsid w:val="00FB142F"/>
    <w:rsid w:val="00FB224B"/>
    <w:rsid w:val="00FB41B9"/>
    <w:rsid w:val="00FB726D"/>
    <w:rsid w:val="00FC0932"/>
    <w:rsid w:val="00FC208B"/>
    <w:rsid w:val="00FC2785"/>
    <w:rsid w:val="00FC2B6C"/>
    <w:rsid w:val="00FC67A4"/>
    <w:rsid w:val="00FC7B7B"/>
    <w:rsid w:val="00FD225E"/>
    <w:rsid w:val="00FD2D03"/>
    <w:rsid w:val="00FD3F50"/>
    <w:rsid w:val="00FD4292"/>
    <w:rsid w:val="00FD78FE"/>
    <w:rsid w:val="00FE050C"/>
    <w:rsid w:val="00FE499E"/>
    <w:rsid w:val="00FE51AF"/>
    <w:rsid w:val="00FE6023"/>
    <w:rsid w:val="00FE65D1"/>
    <w:rsid w:val="00FE6B2D"/>
    <w:rsid w:val="00FE6C02"/>
    <w:rsid w:val="00FE6F9D"/>
    <w:rsid w:val="00FF178C"/>
    <w:rsid w:val="00FF1A47"/>
    <w:rsid w:val="00FF3058"/>
    <w:rsid w:val="00FF49B4"/>
    <w:rsid w:val="00FF52D8"/>
    <w:rsid w:val="01064C3E"/>
    <w:rsid w:val="01135199"/>
    <w:rsid w:val="01514E47"/>
    <w:rsid w:val="018F65F8"/>
    <w:rsid w:val="01FC45AB"/>
    <w:rsid w:val="02296D76"/>
    <w:rsid w:val="022A4CFA"/>
    <w:rsid w:val="02C62B1C"/>
    <w:rsid w:val="02D93A98"/>
    <w:rsid w:val="03310013"/>
    <w:rsid w:val="03315E6F"/>
    <w:rsid w:val="033A51ED"/>
    <w:rsid w:val="034B543C"/>
    <w:rsid w:val="034E6452"/>
    <w:rsid w:val="03542DB4"/>
    <w:rsid w:val="03786440"/>
    <w:rsid w:val="0385668B"/>
    <w:rsid w:val="039444C8"/>
    <w:rsid w:val="03C8021C"/>
    <w:rsid w:val="03D57FD3"/>
    <w:rsid w:val="03FC5DE4"/>
    <w:rsid w:val="04022CF4"/>
    <w:rsid w:val="040903E2"/>
    <w:rsid w:val="043013E0"/>
    <w:rsid w:val="043B3AD0"/>
    <w:rsid w:val="0453474B"/>
    <w:rsid w:val="045C62D8"/>
    <w:rsid w:val="046606CE"/>
    <w:rsid w:val="04725E21"/>
    <w:rsid w:val="04755349"/>
    <w:rsid w:val="04CD419E"/>
    <w:rsid w:val="04E600BC"/>
    <w:rsid w:val="04FB74DF"/>
    <w:rsid w:val="05240974"/>
    <w:rsid w:val="053B774B"/>
    <w:rsid w:val="053D6980"/>
    <w:rsid w:val="0544686A"/>
    <w:rsid w:val="057B128C"/>
    <w:rsid w:val="05932B49"/>
    <w:rsid w:val="05B31F16"/>
    <w:rsid w:val="05DF5715"/>
    <w:rsid w:val="06947F95"/>
    <w:rsid w:val="06A80768"/>
    <w:rsid w:val="06B44E0E"/>
    <w:rsid w:val="06B956E0"/>
    <w:rsid w:val="06C51AED"/>
    <w:rsid w:val="06DC788F"/>
    <w:rsid w:val="072E61D2"/>
    <w:rsid w:val="07345168"/>
    <w:rsid w:val="074A3B33"/>
    <w:rsid w:val="0760234D"/>
    <w:rsid w:val="07683487"/>
    <w:rsid w:val="07D848B6"/>
    <w:rsid w:val="07F77D37"/>
    <w:rsid w:val="08344E44"/>
    <w:rsid w:val="083F5ECB"/>
    <w:rsid w:val="08752E31"/>
    <w:rsid w:val="088309BE"/>
    <w:rsid w:val="08B35707"/>
    <w:rsid w:val="08B678BB"/>
    <w:rsid w:val="08B84B03"/>
    <w:rsid w:val="08FF2ADA"/>
    <w:rsid w:val="09204B8B"/>
    <w:rsid w:val="092803B7"/>
    <w:rsid w:val="092D2F3E"/>
    <w:rsid w:val="09660FF7"/>
    <w:rsid w:val="09783D33"/>
    <w:rsid w:val="09BF42BB"/>
    <w:rsid w:val="0A0B17A3"/>
    <w:rsid w:val="0A474C82"/>
    <w:rsid w:val="0A525E35"/>
    <w:rsid w:val="0A5A06EC"/>
    <w:rsid w:val="0A8735B1"/>
    <w:rsid w:val="0A930C6D"/>
    <w:rsid w:val="0AB25304"/>
    <w:rsid w:val="0ACA0AB6"/>
    <w:rsid w:val="0AD007F3"/>
    <w:rsid w:val="0ADB316A"/>
    <w:rsid w:val="0AF95070"/>
    <w:rsid w:val="0B0F225E"/>
    <w:rsid w:val="0B154AF2"/>
    <w:rsid w:val="0B58593E"/>
    <w:rsid w:val="0B634F0A"/>
    <w:rsid w:val="0B782B88"/>
    <w:rsid w:val="0BB53770"/>
    <w:rsid w:val="0C3A7D58"/>
    <w:rsid w:val="0CC17274"/>
    <w:rsid w:val="0CDD1929"/>
    <w:rsid w:val="0D4E2AC5"/>
    <w:rsid w:val="0D5075F5"/>
    <w:rsid w:val="0D5811D5"/>
    <w:rsid w:val="0D786CD8"/>
    <w:rsid w:val="0D8E5957"/>
    <w:rsid w:val="0D976F41"/>
    <w:rsid w:val="0DDA2E6D"/>
    <w:rsid w:val="0E575E21"/>
    <w:rsid w:val="0EAE7A39"/>
    <w:rsid w:val="0EDE4BF3"/>
    <w:rsid w:val="0EE16F91"/>
    <w:rsid w:val="0EE839D6"/>
    <w:rsid w:val="0EEF48C8"/>
    <w:rsid w:val="0EF24390"/>
    <w:rsid w:val="0F064C92"/>
    <w:rsid w:val="0F3E6A42"/>
    <w:rsid w:val="0F7A7DE6"/>
    <w:rsid w:val="0F817487"/>
    <w:rsid w:val="0FAD3722"/>
    <w:rsid w:val="0FBF1A46"/>
    <w:rsid w:val="100920B1"/>
    <w:rsid w:val="101B15D9"/>
    <w:rsid w:val="10211D87"/>
    <w:rsid w:val="105D3B61"/>
    <w:rsid w:val="105F6317"/>
    <w:rsid w:val="107615E8"/>
    <w:rsid w:val="10CD30DE"/>
    <w:rsid w:val="10D51B4E"/>
    <w:rsid w:val="10D531AB"/>
    <w:rsid w:val="10D97201"/>
    <w:rsid w:val="110C0637"/>
    <w:rsid w:val="118E6D12"/>
    <w:rsid w:val="11937186"/>
    <w:rsid w:val="11C6025A"/>
    <w:rsid w:val="12462065"/>
    <w:rsid w:val="12B104CF"/>
    <w:rsid w:val="12C21CB9"/>
    <w:rsid w:val="12C6794B"/>
    <w:rsid w:val="12CA2458"/>
    <w:rsid w:val="12F1447A"/>
    <w:rsid w:val="13093F07"/>
    <w:rsid w:val="1329679A"/>
    <w:rsid w:val="136A69FC"/>
    <w:rsid w:val="137A493A"/>
    <w:rsid w:val="13880AC9"/>
    <w:rsid w:val="13A03B1D"/>
    <w:rsid w:val="13BD52C5"/>
    <w:rsid w:val="141A2ADF"/>
    <w:rsid w:val="141C2AFB"/>
    <w:rsid w:val="143218C6"/>
    <w:rsid w:val="14580BAC"/>
    <w:rsid w:val="14720828"/>
    <w:rsid w:val="14770391"/>
    <w:rsid w:val="14C41E07"/>
    <w:rsid w:val="14F556FD"/>
    <w:rsid w:val="14FA5E28"/>
    <w:rsid w:val="15361C7A"/>
    <w:rsid w:val="155A72F3"/>
    <w:rsid w:val="15A72150"/>
    <w:rsid w:val="15AF6F5A"/>
    <w:rsid w:val="15C057C1"/>
    <w:rsid w:val="16136495"/>
    <w:rsid w:val="16157745"/>
    <w:rsid w:val="162238AB"/>
    <w:rsid w:val="16335F28"/>
    <w:rsid w:val="165A11A2"/>
    <w:rsid w:val="167B184C"/>
    <w:rsid w:val="16832BBD"/>
    <w:rsid w:val="16997B0C"/>
    <w:rsid w:val="16E96798"/>
    <w:rsid w:val="17016603"/>
    <w:rsid w:val="172766C2"/>
    <w:rsid w:val="173638DF"/>
    <w:rsid w:val="175E0F34"/>
    <w:rsid w:val="176F01C3"/>
    <w:rsid w:val="17A0779F"/>
    <w:rsid w:val="17DB7288"/>
    <w:rsid w:val="17F23B35"/>
    <w:rsid w:val="18106581"/>
    <w:rsid w:val="183E5404"/>
    <w:rsid w:val="18430366"/>
    <w:rsid w:val="187802C9"/>
    <w:rsid w:val="188D67FA"/>
    <w:rsid w:val="18926EA5"/>
    <w:rsid w:val="18B96FBF"/>
    <w:rsid w:val="18E02028"/>
    <w:rsid w:val="190F1184"/>
    <w:rsid w:val="193C5E60"/>
    <w:rsid w:val="19DD0836"/>
    <w:rsid w:val="19E464D6"/>
    <w:rsid w:val="1A115971"/>
    <w:rsid w:val="1A227E1D"/>
    <w:rsid w:val="1A316FEF"/>
    <w:rsid w:val="1A4373D5"/>
    <w:rsid w:val="1A6E3C74"/>
    <w:rsid w:val="1A8D4613"/>
    <w:rsid w:val="1AAE123C"/>
    <w:rsid w:val="1ACC3022"/>
    <w:rsid w:val="1AD338B5"/>
    <w:rsid w:val="1ADF10FC"/>
    <w:rsid w:val="1AF2676E"/>
    <w:rsid w:val="1B5A7552"/>
    <w:rsid w:val="1BB266FE"/>
    <w:rsid w:val="1BCE65E9"/>
    <w:rsid w:val="1BF21EC0"/>
    <w:rsid w:val="1C4534C0"/>
    <w:rsid w:val="1C526663"/>
    <w:rsid w:val="1C5D5307"/>
    <w:rsid w:val="1C7848C2"/>
    <w:rsid w:val="1CAE20F2"/>
    <w:rsid w:val="1CC24EC4"/>
    <w:rsid w:val="1CCA679A"/>
    <w:rsid w:val="1CD469BA"/>
    <w:rsid w:val="1D004ACA"/>
    <w:rsid w:val="1D72500D"/>
    <w:rsid w:val="1E1F79FD"/>
    <w:rsid w:val="1E6A51C3"/>
    <w:rsid w:val="1ECB3234"/>
    <w:rsid w:val="1F03656B"/>
    <w:rsid w:val="1F043C0A"/>
    <w:rsid w:val="1F320362"/>
    <w:rsid w:val="1F950286"/>
    <w:rsid w:val="1FAC4F42"/>
    <w:rsid w:val="1FB525B4"/>
    <w:rsid w:val="1FC36C9B"/>
    <w:rsid w:val="1FE950BE"/>
    <w:rsid w:val="1FF06E2E"/>
    <w:rsid w:val="1FF335A5"/>
    <w:rsid w:val="20014E6C"/>
    <w:rsid w:val="20015151"/>
    <w:rsid w:val="205A00B2"/>
    <w:rsid w:val="206655AB"/>
    <w:rsid w:val="2099122F"/>
    <w:rsid w:val="20B11042"/>
    <w:rsid w:val="20B80F45"/>
    <w:rsid w:val="20BC5FF7"/>
    <w:rsid w:val="20FB2DCE"/>
    <w:rsid w:val="215B41C9"/>
    <w:rsid w:val="219247F3"/>
    <w:rsid w:val="21D86085"/>
    <w:rsid w:val="21E32762"/>
    <w:rsid w:val="21F42FAB"/>
    <w:rsid w:val="2210347D"/>
    <w:rsid w:val="2220010D"/>
    <w:rsid w:val="222A2A7E"/>
    <w:rsid w:val="222B243E"/>
    <w:rsid w:val="22A30143"/>
    <w:rsid w:val="22AB4844"/>
    <w:rsid w:val="22B11285"/>
    <w:rsid w:val="22C2314B"/>
    <w:rsid w:val="22C56648"/>
    <w:rsid w:val="22CA1B70"/>
    <w:rsid w:val="22E26142"/>
    <w:rsid w:val="23030608"/>
    <w:rsid w:val="23430E9B"/>
    <w:rsid w:val="23801823"/>
    <w:rsid w:val="24BC2757"/>
    <w:rsid w:val="24F955EF"/>
    <w:rsid w:val="25024CC6"/>
    <w:rsid w:val="25055E1C"/>
    <w:rsid w:val="25856AF2"/>
    <w:rsid w:val="25B35A2B"/>
    <w:rsid w:val="25C82369"/>
    <w:rsid w:val="260C3C88"/>
    <w:rsid w:val="260F3F68"/>
    <w:rsid w:val="261E6D67"/>
    <w:rsid w:val="269404CF"/>
    <w:rsid w:val="26E67CE5"/>
    <w:rsid w:val="271132F3"/>
    <w:rsid w:val="272D21CE"/>
    <w:rsid w:val="275325D3"/>
    <w:rsid w:val="27A40F3F"/>
    <w:rsid w:val="27B40AA4"/>
    <w:rsid w:val="27C50568"/>
    <w:rsid w:val="27CD02D3"/>
    <w:rsid w:val="27DD1037"/>
    <w:rsid w:val="284F6272"/>
    <w:rsid w:val="28546F4E"/>
    <w:rsid w:val="2875456B"/>
    <w:rsid w:val="28941932"/>
    <w:rsid w:val="291C6C94"/>
    <w:rsid w:val="295D5F15"/>
    <w:rsid w:val="29604CE1"/>
    <w:rsid w:val="296371A1"/>
    <w:rsid w:val="296A3234"/>
    <w:rsid w:val="29874AC2"/>
    <w:rsid w:val="299A6286"/>
    <w:rsid w:val="29A053DC"/>
    <w:rsid w:val="29B80744"/>
    <w:rsid w:val="29EF3B80"/>
    <w:rsid w:val="2A3F15DC"/>
    <w:rsid w:val="2A494365"/>
    <w:rsid w:val="2A4D5475"/>
    <w:rsid w:val="2A5109EF"/>
    <w:rsid w:val="2A586EEC"/>
    <w:rsid w:val="2A817C0C"/>
    <w:rsid w:val="2A976071"/>
    <w:rsid w:val="2AAE6230"/>
    <w:rsid w:val="2B536421"/>
    <w:rsid w:val="2B640A98"/>
    <w:rsid w:val="2B92236E"/>
    <w:rsid w:val="2C297732"/>
    <w:rsid w:val="2C7F41FC"/>
    <w:rsid w:val="2CAD5655"/>
    <w:rsid w:val="2CF55CFC"/>
    <w:rsid w:val="2CF63B3C"/>
    <w:rsid w:val="2D363ACE"/>
    <w:rsid w:val="2D4A6205"/>
    <w:rsid w:val="2D6776EA"/>
    <w:rsid w:val="2D967D41"/>
    <w:rsid w:val="2DA01F38"/>
    <w:rsid w:val="2DC65565"/>
    <w:rsid w:val="2DF81442"/>
    <w:rsid w:val="2E1A076D"/>
    <w:rsid w:val="2E364CBF"/>
    <w:rsid w:val="2EB035D6"/>
    <w:rsid w:val="2EE31FF3"/>
    <w:rsid w:val="2EEE0998"/>
    <w:rsid w:val="2EFD0579"/>
    <w:rsid w:val="2F0401BB"/>
    <w:rsid w:val="2F283EAA"/>
    <w:rsid w:val="2FBF16EA"/>
    <w:rsid w:val="2FDF26AE"/>
    <w:rsid w:val="3015575C"/>
    <w:rsid w:val="304A588E"/>
    <w:rsid w:val="306345FD"/>
    <w:rsid w:val="30893E07"/>
    <w:rsid w:val="309263B4"/>
    <w:rsid w:val="30B70B85"/>
    <w:rsid w:val="30DA7210"/>
    <w:rsid w:val="30F420C6"/>
    <w:rsid w:val="314657DC"/>
    <w:rsid w:val="314702EA"/>
    <w:rsid w:val="31C528D7"/>
    <w:rsid w:val="32230959"/>
    <w:rsid w:val="32707B6E"/>
    <w:rsid w:val="3304730D"/>
    <w:rsid w:val="33080A00"/>
    <w:rsid w:val="3389568E"/>
    <w:rsid w:val="33914CBD"/>
    <w:rsid w:val="33990175"/>
    <w:rsid w:val="33E81E5A"/>
    <w:rsid w:val="345F514A"/>
    <w:rsid w:val="34CB1EA8"/>
    <w:rsid w:val="34D66D82"/>
    <w:rsid w:val="34FF3B4E"/>
    <w:rsid w:val="35885CAA"/>
    <w:rsid w:val="35AF3FC9"/>
    <w:rsid w:val="35DF0EE6"/>
    <w:rsid w:val="36127D4D"/>
    <w:rsid w:val="36332A86"/>
    <w:rsid w:val="363539C9"/>
    <w:rsid w:val="36354A0F"/>
    <w:rsid w:val="36714388"/>
    <w:rsid w:val="36774923"/>
    <w:rsid w:val="36BE50F4"/>
    <w:rsid w:val="36F65FC0"/>
    <w:rsid w:val="371E221C"/>
    <w:rsid w:val="374645B5"/>
    <w:rsid w:val="3764263A"/>
    <w:rsid w:val="37817BB0"/>
    <w:rsid w:val="37823DFC"/>
    <w:rsid w:val="3791692E"/>
    <w:rsid w:val="37AD0D0E"/>
    <w:rsid w:val="37AF63EA"/>
    <w:rsid w:val="37C656D6"/>
    <w:rsid w:val="3873101D"/>
    <w:rsid w:val="389F332A"/>
    <w:rsid w:val="38A64B9C"/>
    <w:rsid w:val="38B21E9E"/>
    <w:rsid w:val="3908403B"/>
    <w:rsid w:val="393B7CF1"/>
    <w:rsid w:val="3945673A"/>
    <w:rsid w:val="394D53EB"/>
    <w:rsid w:val="396C52DB"/>
    <w:rsid w:val="39B70940"/>
    <w:rsid w:val="39D55651"/>
    <w:rsid w:val="39F85ABE"/>
    <w:rsid w:val="3A045513"/>
    <w:rsid w:val="3A0E0140"/>
    <w:rsid w:val="3A185FD8"/>
    <w:rsid w:val="3A3A508B"/>
    <w:rsid w:val="3A48560A"/>
    <w:rsid w:val="3A5C0EAC"/>
    <w:rsid w:val="3A7B370C"/>
    <w:rsid w:val="3A8D67DF"/>
    <w:rsid w:val="3A995BDD"/>
    <w:rsid w:val="3B593B4E"/>
    <w:rsid w:val="3B5E5937"/>
    <w:rsid w:val="3B8E19CD"/>
    <w:rsid w:val="3B9C5D81"/>
    <w:rsid w:val="3BC36985"/>
    <w:rsid w:val="3BF23494"/>
    <w:rsid w:val="3C47498F"/>
    <w:rsid w:val="3C6F3516"/>
    <w:rsid w:val="3C7B5E77"/>
    <w:rsid w:val="3C8C50EB"/>
    <w:rsid w:val="3CD90124"/>
    <w:rsid w:val="3CD9217F"/>
    <w:rsid w:val="3CE0073A"/>
    <w:rsid w:val="3D03220B"/>
    <w:rsid w:val="3D123589"/>
    <w:rsid w:val="3D1E0379"/>
    <w:rsid w:val="3DB82A73"/>
    <w:rsid w:val="3DC15625"/>
    <w:rsid w:val="3DE00969"/>
    <w:rsid w:val="3DEF4E8A"/>
    <w:rsid w:val="3E4F5935"/>
    <w:rsid w:val="3E8331E8"/>
    <w:rsid w:val="3ED93346"/>
    <w:rsid w:val="3EF54430"/>
    <w:rsid w:val="3F0D670E"/>
    <w:rsid w:val="3F67457A"/>
    <w:rsid w:val="3F97289B"/>
    <w:rsid w:val="3FAF240E"/>
    <w:rsid w:val="3FCA255A"/>
    <w:rsid w:val="3FD214AB"/>
    <w:rsid w:val="3FD75D24"/>
    <w:rsid w:val="3FE860C6"/>
    <w:rsid w:val="3FE9631B"/>
    <w:rsid w:val="400C5122"/>
    <w:rsid w:val="400E7067"/>
    <w:rsid w:val="407973F2"/>
    <w:rsid w:val="408B13D5"/>
    <w:rsid w:val="408B4B24"/>
    <w:rsid w:val="40AC04E0"/>
    <w:rsid w:val="40AC4B93"/>
    <w:rsid w:val="40DD1661"/>
    <w:rsid w:val="40E84B79"/>
    <w:rsid w:val="40FF07E3"/>
    <w:rsid w:val="410339CA"/>
    <w:rsid w:val="410D0DFE"/>
    <w:rsid w:val="41261DC0"/>
    <w:rsid w:val="41664FC6"/>
    <w:rsid w:val="41966EA2"/>
    <w:rsid w:val="41A8726C"/>
    <w:rsid w:val="4250131F"/>
    <w:rsid w:val="429B5DF7"/>
    <w:rsid w:val="42A64924"/>
    <w:rsid w:val="42D7607D"/>
    <w:rsid w:val="42E105D1"/>
    <w:rsid w:val="42FE5D19"/>
    <w:rsid w:val="43136F88"/>
    <w:rsid w:val="4331095F"/>
    <w:rsid w:val="43386557"/>
    <w:rsid w:val="437C6AB4"/>
    <w:rsid w:val="43927EED"/>
    <w:rsid w:val="439B4DE6"/>
    <w:rsid w:val="43FD1BB4"/>
    <w:rsid w:val="4404683C"/>
    <w:rsid w:val="442C7C59"/>
    <w:rsid w:val="444838D0"/>
    <w:rsid w:val="446352F2"/>
    <w:rsid w:val="446C62A8"/>
    <w:rsid w:val="44842596"/>
    <w:rsid w:val="44DD13BA"/>
    <w:rsid w:val="44DF052E"/>
    <w:rsid w:val="4512549B"/>
    <w:rsid w:val="45332F74"/>
    <w:rsid w:val="45685F44"/>
    <w:rsid w:val="457171EB"/>
    <w:rsid w:val="45BA59E0"/>
    <w:rsid w:val="463D7F75"/>
    <w:rsid w:val="46855668"/>
    <w:rsid w:val="46BE0774"/>
    <w:rsid w:val="46ED22CA"/>
    <w:rsid w:val="471B6FA7"/>
    <w:rsid w:val="474357DC"/>
    <w:rsid w:val="475C411F"/>
    <w:rsid w:val="47C307BC"/>
    <w:rsid w:val="47C65743"/>
    <w:rsid w:val="47D36297"/>
    <w:rsid w:val="480A4B3F"/>
    <w:rsid w:val="48315726"/>
    <w:rsid w:val="48600287"/>
    <w:rsid w:val="48747EFA"/>
    <w:rsid w:val="487A309F"/>
    <w:rsid w:val="48A613C5"/>
    <w:rsid w:val="48A6462D"/>
    <w:rsid w:val="48D31818"/>
    <w:rsid w:val="48EE7C9A"/>
    <w:rsid w:val="490C3889"/>
    <w:rsid w:val="491F3AD0"/>
    <w:rsid w:val="493A54AC"/>
    <w:rsid w:val="493A7038"/>
    <w:rsid w:val="49440A9B"/>
    <w:rsid w:val="49673DE6"/>
    <w:rsid w:val="49852670"/>
    <w:rsid w:val="498535F3"/>
    <w:rsid w:val="49EE5828"/>
    <w:rsid w:val="4A0C12B4"/>
    <w:rsid w:val="4A3B6D2F"/>
    <w:rsid w:val="4A68376A"/>
    <w:rsid w:val="4A72164F"/>
    <w:rsid w:val="4A780584"/>
    <w:rsid w:val="4A8A736F"/>
    <w:rsid w:val="4A9F0D2E"/>
    <w:rsid w:val="4B864AC1"/>
    <w:rsid w:val="4B8F4F47"/>
    <w:rsid w:val="4BA60042"/>
    <w:rsid w:val="4BC37D22"/>
    <w:rsid w:val="4BCC2004"/>
    <w:rsid w:val="4C720679"/>
    <w:rsid w:val="4C927CD7"/>
    <w:rsid w:val="4CAC52FA"/>
    <w:rsid w:val="4CF634B1"/>
    <w:rsid w:val="4D236F66"/>
    <w:rsid w:val="4D3F5550"/>
    <w:rsid w:val="4D8473FB"/>
    <w:rsid w:val="4D871483"/>
    <w:rsid w:val="4D9C4BBA"/>
    <w:rsid w:val="4DE17BEE"/>
    <w:rsid w:val="4DE65C14"/>
    <w:rsid w:val="4DF536BA"/>
    <w:rsid w:val="4E3E7C8C"/>
    <w:rsid w:val="4E451F2B"/>
    <w:rsid w:val="4E604FB7"/>
    <w:rsid w:val="4F450352"/>
    <w:rsid w:val="4F6B0F1D"/>
    <w:rsid w:val="4F813436"/>
    <w:rsid w:val="4FB15659"/>
    <w:rsid w:val="4FB70C06"/>
    <w:rsid w:val="4FC25C77"/>
    <w:rsid w:val="50271D66"/>
    <w:rsid w:val="50550238"/>
    <w:rsid w:val="505508C7"/>
    <w:rsid w:val="50555FCA"/>
    <w:rsid w:val="50AA2BF8"/>
    <w:rsid w:val="50AD2316"/>
    <w:rsid w:val="50C404AC"/>
    <w:rsid w:val="50ED6E18"/>
    <w:rsid w:val="51094E7C"/>
    <w:rsid w:val="510B41AC"/>
    <w:rsid w:val="51304AB3"/>
    <w:rsid w:val="513102F9"/>
    <w:rsid w:val="51351627"/>
    <w:rsid w:val="514F7CC7"/>
    <w:rsid w:val="51524645"/>
    <w:rsid w:val="51867B55"/>
    <w:rsid w:val="519B27EC"/>
    <w:rsid w:val="519D67AC"/>
    <w:rsid w:val="51B90929"/>
    <w:rsid w:val="51CD4B2D"/>
    <w:rsid w:val="52582856"/>
    <w:rsid w:val="529357A1"/>
    <w:rsid w:val="52AA0819"/>
    <w:rsid w:val="52B8294B"/>
    <w:rsid w:val="52C13B4A"/>
    <w:rsid w:val="52F33509"/>
    <w:rsid w:val="5311092D"/>
    <w:rsid w:val="5316175A"/>
    <w:rsid w:val="531D5979"/>
    <w:rsid w:val="534E0BF2"/>
    <w:rsid w:val="537D7FE3"/>
    <w:rsid w:val="538C4158"/>
    <w:rsid w:val="53911318"/>
    <w:rsid w:val="53A53D67"/>
    <w:rsid w:val="53B17824"/>
    <w:rsid w:val="53D77AC9"/>
    <w:rsid w:val="53DF4E20"/>
    <w:rsid w:val="54043E50"/>
    <w:rsid w:val="54677DFC"/>
    <w:rsid w:val="547E02CA"/>
    <w:rsid w:val="54E84DAA"/>
    <w:rsid w:val="555800FC"/>
    <w:rsid w:val="55682443"/>
    <w:rsid w:val="557824C6"/>
    <w:rsid w:val="557D2A49"/>
    <w:rsid w:val="559A32D4"/>
    <w:rsid w:val="55A20471"/>
    <w:rsid w:val="55DE3FE9"/>
    <w:rsid w:val="55DF543F"/>
    <w:rsid w:val="56362899"/>
    <w:rsid w:val="564B16AA"/>
    <w:rsid w:val="56A02D18"/>
    <w:rsid w:val="56D23C13"/>
    <w:rsid w:val="56D976B4"/>
    <w:rsid w:val="574D6DFD"/>
    <w:rsid w:val="576975C8"/>
    <w:rsid w:val="576A4258"/>
    <w:rsid w:val="576F118C"/>
    <w:rsid w:val="580236B0"/>
    <w:rsid w:val="58103A1D"/>
    <w:rsid w:val="581B55AB"/>
    <w:rsid w:val="58702B5F"/>
    <w:rsid w:val="587B56EC"/>
    <w:rsid w:val="588145EA"/>
    <w:rsid w:val="58910375"/>
    <w:rsid w:val="58927621"/>
    <w:rsid w:val="58A73B83"/>
    <w:rsid w:val="59022B40"/>
    <w:rsid w:val="59030B22"/>
    <w:rsid w:val="591D1E28"/>
    <w:rsid w:val="593A7C41"/>
    <w:rsid w:val="593D3EFA"/>
    <w:rsid w:val="595666A3"/>
    <w:rsid w:val="59827B2D"/>
    <w:rsid w:val="598F4AC5"/>
    <w:rsid w:val="59943D66"/>
    <w:rsid w:val="59BB11BD"/>
    <w:rsid w:val="59C676F6"/>
    <w:rsid w:val="59E003A7"/>
    <w:rsid w:val="59E03F84"/>
    <w:rsid w:val="59F36F88"/>
    <w:rsid w:val="5A4E3AD2"/>
    <w:rsid w:val="5A56726E"/>
    <w:rsid w:val="5A9E3D30"/>
    <w:rsid w:val="5AAC5678"/>
    <w:rsid w:val="5ACD036B"/>
    <w:rsid w:val="5AD22E26"/>
    <w:rsid w:val="5B024087"/>
    <w:rsid w:val="5B092687"/>
    <w:rsid w:val="5B0D5DE5"/>
    <w:rsid w:val="5B2F4344"/>
    <w:rsid w:val="5B713818"/>
    <w:rsid w:val="5B9F6DA6"/>
    <w:rsid w:val="5BC82196"/>
    <w:rsid w:val="5BF20FC8"/>
    <w:rsid w:val="5C180C7F"/>
    <w:rsid w:val="5C322F32"/>
    <w:rsid w:val="5C901AE4"/>
    <w:rsid w:val="5CA8431F"/>
    <w:rsid w:val="5CAA5B38"/>
    <w:rsid w:val="5D231DB7"/>
    <w:rsid w:val="5D532A5E"/>
    <w:rsid w:val="5D7A14C5"/>
    <w:rsid w:val="5DB420CA"/>
    <w:rsid w:val="5E016339"/>
    <w:rsid w:val="5E5739D4"/>
    <w:rsid w:val="5E5D6E1D"/>
    <w:rsid w:val="5E6071EA"/>
    <w:rsid w:val="5E7E5B10"/>
    <w:rsid w:val="5F23068E"/>
    <w:rsid w:val="5F95307B"/>
    <w:rsid w:val="5F9938E7"/>
    <w:rsid w:val="5FFC3EF2"/>
    <w:rsid w:val="605F4298"/>
    <w:rsid w:val="60794CC3"/>
    <w:rsid w:val="60B3541A"/>
    <w:rsid w:val="60B364DA"/>
    <w:rsid w:val="611A32BF"/>
    <w:rsid w:val="612E7718"/>
    <w:rsid w:val="6150089D"/>
    <w:rsid w:val="61511EDF"/>
    <w:rsid w:val="619C7E9C"/>
    <w:rsid w:val="61A76F6D"/>
    <w:rsid w:val="61DB1700"/>
    <w:rsid w:val="61FB1E8E"/>
    <w:rsid w:val="624556F9"/>
    <w:rsid w:val="62551FA5"/>
    <w:rsid w:val="62D93AF5"/>
    <w:rsid w:val="62DA219F"/>
    <w:rsid w:val="62EC29D7"/>
    <w:rsid w:val="62F976C7"/>
    <w:rsid w:val="62FC4226"/>
    <w:rsid w:val="63102565"/>
    <w:rsid w:val="63427E1C"/>
    <w:rsid w:val="63862972"/>
    <w:rsid w:val="63B22EF2"/>
    <w:rsid w:val="63C93177"/>
    <w:rsid w:val="63E74D4D"/>
    <w:rsid w:val="642234C3"/>
    <w:rsid w:val="64562516"/>
    <w:rsid w:val="645E569D"/>
    <w:rsid w:val="64844AD2"/>
    <w:rsid w:val="64892A04"/>
    <w:rsid w:val="64E2694D"/>
    <w:rsid w:val="64EC2212"/>
    <w:rsid w:val="65067046"/>
    <w:rsid w:val="650F6997"/>
    <w:rsid w:val="65293EFC"/>
    <w:rsid w:val="656E121B"/>
    <w:rsid w:val="657209EB"/>
    <w:rsid w:val="658206A1"/>
    <w:rsid w:val="65A24703"/>
    <w:rsid w:val="65B85B4E"/>
    <w:rsid w:val="65BA6903"/>
    <w:rsid w:val="65DD2C5F"/>
    <w:rsid w:val="662E111E"/>
    <w:rsid w:val="66337E5B"/>
    <w:rsid w:val="665F1CD5"/>
    <w:rsid w:val="66612892"/>
    <w:rsid w:val="667D0992"/>
    <w:rsid w:val="66A14DE6"/>
    <w:rsid w:val="66D21781"/>
    <w:rsid w:val="66E022D0"/>
    <w:rsid w:val="67676ED5"/>
    <w:rsid w:val="67841B88"/>
    <w:rsid w:val="678D0B6C"/>
    <w:rsid w:val="679151AA"/>
    <w:rsid w:val="67A56C08"/>
    <w:rsid w:val="684F1F9E"/>
    <w:rsid w:val="68731DAB"/>
    <w:rsid w:val="68842338"/>
    <w:rsid w:val="689620AA"/>
    <w:rsid w:val="68A43DD0"/>
    <w:rsid w:val="68FC5484"/>
    <w:rsid w:val="69143AF1"/>
    <w:rsid w:val="691F73AF"/>
    <w:rsid w:val="6958641A"/>
    <w:rsid w:val="69E37643"/>
    <w:rsid w:val="6A215A77"/>
    <w:rsid w:val="6A2D2535"/>
    <w:rsid w:val="6A32349A"/>
    <w:rsid w:val="6A3B5CC8"/>
    <w:rsid w:val="6A3C4A5D"/>
    <w:rsid w:val="6A421022"/>
    <w:rsid w:val="6A6410FD"/>
    <w:rsid w:val="6A766D7E"/>
    <w:rsid w:val="6A8D751D"/>
    <w:rsid w:val="6AB26EA7"/>
    <w:rsid w:val="6AB41AF4"/>
    <w:rsid w:val="6B080F0F"/>
    <w:rsid w:val="6B186FE6"/>
    <w:rsid w:val="6B3959F5"/>
    <w:rsid w:val="6B5A7319"/>
    <w:rsid w:val="6B770D1D"/>
    <w:rsid w:val="6B821356"/>
    <w:rsid w:val="6B9B3608"/>
    <w:rsid w:val="6BB60D0E"/>
    <w:rsid w:val="6BD050D2"/>
    <w:rsid w:val="6BDC5564"/>
    <w:rsid w:val="6BF155EA"/>
    <w:rsid w:val="6C037203"/>
    <w:rsid w:val="6C697734"/>
    <w:rsid w:val="6C714D92"/>
    <w:rsid w:val="6CA47CF5"/>
    <w:rsid w:val="6CC14A1B"/>
    <w:rsid w:val="6CE41F4E"/>
    <w:rsid w:val="6CE768E6"/>
    <w:rsid w:val="6D257CC6"/>
    <w:rsid w:val="6D6E2139"/>
    <w:rsid w:val="6D937F64"/>
    <w:rsid w:val="6DA70636"/>
    <w:rsid w:val="6DB05BFE"/>
    <w:rsid w:val="6DBD275F"/>
    <w:rsid w:val="6E3A4B90"/>
    <w:rsid w:val="6E7A612A"/>
    <w:rsid w:val="6E7F07BC"/>
    <w:rsid w:val="6E8F2483"/>
    <w:rsid w:val="6EB063B1"/>
    <w:rsid w:val="6EB73331"/>
    <w:rsid w:val="6EC66318"/>
    <w:rsid w:val="6ECE54C2"/>
    <w:rsid w:val="6ED04903"/>
    <w:rsid w:val="6EFF24EA"/>
    <w:rsid w:val="6F421595"/>
    <w:rsid w:val="70297AC4"/>
    <w:rsid w:val="70453800"/>
    <w:rsid w:val="704A0F3A"/>
    <w:rsid w:val="70AF1E86"/>
    <w:rsid w:val="70B81BA8"/>
    <w:rsid w:val="71453949"/>
    <w:rsid w:val="714C7301"/>
    <w:rsid w:val="719D323C"/>
    <w:rsid w:val="71A04AA8"/>
    <w:rsid w:val="71AB08AF"/>
    <w:rsid w:val="71C20FC9"/>
    <w:rsid w:val="71F14DC5"/>
    <w:rsid w:val="7204053A"/>
    <w:rsid w:val="722964A7"/>
    <w:rsid w:val="7235658B"/>
    <w:rsid w:val="725E6A2A"/>
    <w:rsid w:val="729D0AB4"/>
    <w:rsid w:val="729D341C"/>
    <w:rsid w:val="72B054AB"/>
    <w:rsid w:val="72B33C84"/>
    <w:rsid w:val="72CF505F"/>
    <w:rsid w:val="73262D27"/>
    <w:rsid w:val="7332018A"/>
    <w:rsid w:val="735F726A"/>
    <w:rsid w:val="73BD3A7A"/>
    <w:rsid w:val="73CF7C8C"/>
    <w:rsid w:val="74653B94"/>
    <w:rsid w:val="74BC597D"/>
    <w:rsid w:val="7547295E"/>
    <w:rsid w:val="75811B46"/>
    <w:rsid w:val="75C95703"/>
    <w:rsid w:val="75DD44BC"/>
    <w:rsid w:val="762C5D3C"/>
    <w:rsid w:val="763155F6"/>
    <w:rsid w:val="76324EB9"/>
    <w:rsid w:val="76551C9D"/>
    <w:rsid w:val="76677F73"/>
    <w:rsid w:val="767840E2"/>
    <w:rsid w:val="76A806B3"/>
    <w:rsid w:val="76BC5033"/>
    <w:rsid w:val="770172F3"/>
    <w:rsid w:val="77093988"/>
    <w:rsid w:val="77100A78"/>
    <w:rsid w:val="771D38C5"/>
    <w:rsid w:val="77495D38"/>
    <w:rsid w:val="776D152D"/>
    <w:rsid w:val="77835557"/>
    <w:rsid w:val="77963707"/>
    <w:rsid w:val="77964615"/>
    <w:rsid w:val="77D45F4A"/>
    <w:rsid w:val="77F812DC"/>
    <w:rsid w:val="77FF0498"/>
    <w:rsid w:val="781C63F2"/>
    <w:rsid w:val="782D3AB7"/>
    <w:rsid w:val="782E6041"/>
    <w:rsid w:val="78AF230E"/>
    <w:rsid w:val="78B4083F"/>
    <w:rsid w:val="794123F7"/>
    <w:rsid w:val="795E73A6"/>
    <w:rsid w:val="797715D3"/>
    <w:rsid w:val="798A03F3"/>
    <w:rsid w:val="79D55477"/>
    <w:rsid w:val="79E52231"/>
    <w:rsid w:val="7A09738A"/>
    <w:rsid w:val="7A1171B3"/>
    <w:rsid w:val="7A344A7E"/>
    <w:rsid w:val="7A4B701C"/>
    <w:rsid w:val="7A4F68CA"/>
    <w:rsid w:val="7A5443DF"/>
    <w:rsid w:val="7AE27470"/>
    <w:rsid w:val="7B030791"/>
    <w:rsid w:val="7B090F95"/>
    <w:rsid w:val="7B184918"/>
    <w:rsid w:val="7B1B72F0"/>
    <w:rsid w:val="7B425C0B"/>
    <w:rsid w:val="7B615FC1"/>
    <w:rsid w:val="7B867CD0"/>
    <w:rsid w:val="7B8A79B4"/>
    <w:rsid w:val="7B8B2DC3"/>
    <w:rsid w:val="7B9228B5"/>
    <w:rsid w:val="7BA31605"/>
    <w:rsid w:val="7BAC637B"/>
    <w:rsid w:val="7BD247CD"/>
    <w:rsid w:val="7BD7173D"/>
    <w:rsid w:val="7BDC1BFA"/>
    <w:rsid w:val="7BF47678"/>
    <w:rsid w:val="7C0A6A61"/>
    <w:rsid w:val="7C4925A9"/>
    <w:rsid w:val="7CA129B3"/>
    <w:rsid w:val="7CB21BAC"/>
    <w:rsid w:val="7CB52BA1"/>
    <w:rsid w:val="7CCD6249"/>
    <w:rsid w:val="7CD74ABE"/>
    <w:rsid w:val="7CEC3C16"/>
    <w:rsid w:val="7CF924D0"/>
    <w:rsid w:val="7D023ED1"/>
    <w:rsid w:val="7D08162E"/>
    <w:rsid w:val="7D384197"/>
    <w:rsid w:val="7D3E79C1"/>
    <w:rsid w:val="7D653BC1"/>
    <w:rsid w:val="7D787BE3"/>
    <w:rsid w:val="7D8801AD"/>
    <w:rsid w:val="7DBB7264"/>
    <w:rsid w:val="7DC1538C"/>
    <w:rsid w:val="7DFC3B04"/>
    <w:rsid w:val="7ECC6E4E"/>
    <w:rsid w:val="7EDD3C89"/>
    <w:rsid w:val="7EE20C20"/>
    <w:rsid w:val="7EE562A2"/>
    <w:rsid w:val="7EE84089"/>
    <w:rsid w:val="7EEC4F35"/>
    <w:rsid w:val="7F071BB5"/>
    <w:rsid w:val="7F452D63"/>
    <w:rsid w:val="7F795344"/>
    <w:rsid w:val="7F9F6BE1"/>
    <w:rsid w:val="7FBF08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qFormat="1" w:uiPriority="0" w:semiHidden="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iPriority="0" w:semiHidden="0" w:name="Table Grid"/>
    <w:lsdException w:qFormat="1" w:unhideWhenUsed="0" w:uiPriority="0" w:semiHidden="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81"/>
    <w:autoRedefine/>
    <w:qFormat/>
    <w:uiPriority w:val="9"/>
    <w:pPr>
      <w:keepNext/>
      <w:widowControl/>
      <w:tabs>
        <w:tab w:val="left" w:pos="885"/>
      </w:tabs>
      <w:ind w:left="885" w:hanging="885"/>
      <w:outlineLvl w:val="0"/>
    </w:pPr>
    <w:rPr>
      <w:rFonts w:ascii="黑体" w:eastAsia="黑体"/>
      <w:sz w:val="52"/>
    </w:rPr>
  </w:style>
  <w:style w:type="paragraph" w:styleId="3">
    <w:name w:val="heading 2"/>
    <w:basedOn w:val="1"/>
    <w:next w:val="1"/>
    <w:link w:val="82"/>
    <w:autoRedefine/>
    <w:qFormat/>
    <w:uiPriority w:val="9"/>
    <w:pPr>
      <w:keepNext/>
      <w:keepLines/>
      <w:widowControl/>
      <w:spacing w:before="260" w:after="260" w:line="413" w:lineRule="auto"/>
      <w:jc w:val="center"/>
      <w:outlineLvl w:val="1"/>
    </w:pPr>
    <w:rPr>
      <w:rFonts w:ascii="Arial" w:hAnsi="Arial" w:eastAsia="黑体"/>
      <w:b/>
      <w:kern w:val="0"/>
      <w:sz w:val="44"/>
    </w:rPr>
  </w:style>
  <w:style w:type="paragraph" w:styleId="4">
    <w:name w:val="heading 3"/>
    <w:basedOn w:val="1"/>
    <w:next w:val="5"/>
    <w:link w:val="88"/>
    <w:autoRedefine/>
    <w:qFormat/>
    <w:uiPriority w:val="9"/>
    <w:pPr>
      <w:keepNext/>
      <w:keepLines/>
      <w:widowControl/>
      <w:spacing w:before="120" w:after="120" w:line="360" w:lineRule="auto"/>
      <w:jc w:val="center"/>
      <w:outlineLvl w:val="2"/>
    </w:pPr>
    <w:rPr>
      <w:b/>
      <w:kern w:val="0"/>
      <w:sz w:val="32"/>
    </w:rPr>
  </w:style>
  <w:style w:type="paragraph" w:styleId="6">
    <w:name w:val="heading 4"/>
    <w:basedOn w:val="1"/>
    <w:next w:val="1"/>
    <w:link w:val="89"/>
    <w:autoRedefine/>
    <w:qFormat/>
    <w:uiPriority w:val="0"/>
    <w:pPr>
      <w:keepNext/>
      <w:keepLines/>
      <w:widowControl/>
      <w:spacing w:before="120" w:after="120" w:line="360" w:lineRule="auto"/>
      <w:jc w:val="center"/>
      <w:outlineLvl w:val="3"/>
    </w:pPr>
    <w:rPr>
      <w:rFonts w:ascii="Arial" w:hAnsi="Arial" w:eastAsia="黑体"/>
      <w:sz w:val="28"/>
      <w:szCs w:val="24"/>
    </w:rPr>
  </w:style>
  <w:style w:type="paragraph" w:styleId="7">
    <w:name w:val="heading 5"/>
    <w:basedOn w:val="1"/>
    <w:next w:val="1"/>
    <w:link w:val="90"/>
    <w:autoRedefine/>
    <w:qFormat/>
    <w:uiPriority w:val="0"/>
    <w:pPr>
      <w:keepNext/>
      <w:keepLines/>
      <w:widowControl/>
      <w:spacing w:before="120" w:after="120" w:line="360" w:lineRule="auto"/>
      <w:ind w:firstLine="499"/>
      <w:jc w:val="left"/>
      <w:outlineLvl w:val="4"/>
    </w:pPr>
    <w:rPr>
      <w:rFonts w:ascii="宋体" w:hAnsi="宋体"/>
      <w:b/>
      <w:kern w:val="0"/>
      <w:sz w:val="24"/>
    </w:rPr>
  </w:style>
  <w:style w:type="paragraph" w:styleId="8">
    <w:name w:val="heading 6"/>
    <w:basedOn w:val="1"/>
    <w:next w:val="5"/>
    <w:link w:val="91"/>
    <w:autoRedefine/>
    <w:qFormat/>
    <w:uiPriority w:val="0"/>
    <w:pPr>
      <w:keepNext/>
      <w:tabs>
        <w:tab w:val="left" w:pos="1152"/>
      </w:tabs>
      <w:spacing w:before="240" w:after="64" w:line="320" w:lineRule="auto"/>
      <w:ind w:left="1152" w:hanging="1152"/>
      <w:outlineLvl w:val="5"/>
    </w:pPr>
    <w:rPr>
      <w:rFonts w:ascii="Arial" w:hAnsi="Arial" w:eastAsia="黑体"/>
      <w:b/>
      <w:sz w:val="24"/>
      <w:szCs w:val="24"/>
    </w:rPr>
  </w:style>
  <w:style w:type="paragraph" w:styleId="9">
    <w:name w:val="heading 7"/>
    <w:basedOn w:val="1"/>
    <w:next w:val="5"/>
    <w:link w:val="92"/>
    <w:autoRedefine/>
    <w:qFormat/>
    <w:uiPriority w:val="0"/>
    <w:pPr>
      <w:keepNext/>
      <w:keepLines/>
      <w:spacing w:before="240" w:after="64" w:line="320" w:lineRule="auto"/>
      <w:outlineLvl w:val="6"/>
    </w:pPr>
    <w:rPr>
      <w:b/>
      <w:sz w:val="24"/>
    </w:rPr>
  </w:style>
  <w:style w:type="paragraph" w:styleId="10">
    <w:name w:val="heading 8"/>
    <w:basedOn w:val="1"/>
    <w:next w:val="5"/>
    <w:link w:val="93"/>
    <w:autoRedefine/>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5"/>
    <w:link w:val="94"/>
    <w:autoRedefine/>
    <w:qFormat/>
    <w:uiPriority w:val="0"/>
    <w:pPr>
      <w:keepNext/>
      <w:keepLines/>
      <w:spacing w:before="240" w:after="64" w:line="320" w:lineRule="auto"/>
      <w:outlineLvl w:val="8"/>
    </w:pPr>
    <w:rPr>
      <w:rFonts w:ascii="Arial" w:hAnsi="Arial" w:eastAsia="黑体"/>
    </w:rPr>
  </w:style>
  <w:style w:type="character" w:default="1" w:styleId="70">
    <w:name w:val="Default Paragraph Font"/>
    <w:autoRedefine/>
    <w:semiHidden/>
    <w:unhideWhenUsed/>
    <w:qFormat/>
    <w:uiPriority w:val="1"/>
  </w:style>
  <w:style w:type="table" w:default="1" w:styleId="64">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link w:val="87"/>
    <w:autoRedefine/>
    <w:qFormat/>
    <w:uiPriority w:val="0"/>
    <w:pPr>
      <w:widowControl/>
      <w:ind w:firstLine="420"/>
      <w:jc w:val="left"/>
    </w:pPr>
    <w:rPr>
      <w:kern w:val="0"/>
      <w:sz w:val="20"/>
    </w:rPr>
  </w:style>
  <w:style w:type="paragraph" w:styleId="12">
    <w:name w:val="List 3"/>
    <w:basedOn w:val="1"/>
    <w:autoRedefine/>
    <w:qFormat/>
    <w:uiPriority w:val="0"/>
    <w:pPr>
      <w:widowControl/>
      <w:spacing w:before="120" w:after="120"/>
      <w:ind w:left="1843" w:hanging="283"/>
      <w:jc w:val="left"/>
    </w:pPr>
    <w:rPr>
      <w:rFonts w:ascii="Arial" w:hAnsi="Arial"/>
      <w:kern w:val="0"/>
      <w:sz w:val="24"/>
      <w:lang w:val="en-GB" w:eastAsia="en-US" w:bidi="en-US"/>
    </w:rPr>
  </w:style>
  <w:style w:type="paragraph" w:styleId="13">
    <w:name w:val="toc 7"/>
    <w:basedOn w:val="1"/>
    <w:next w:val="1"/>
    <w:autoRedefine/>
    <w:qFormat/>
    <w:uiPriority w:val="0"/>
    <w:pPr>
      <w:ind w:left="1260"/>
      <w:jc w:val="left"/>
    </w:pPr>
    <w:rPr>
      <w:rFonts w:hint="eastAsia"/>
      <w:sz w:val="18"/>
    </w:rPr>
  </w:style>
  <w:style w:type="paragraph" w:styleId="14">
    <w:name w:val="Note Heading"/>
    <w:basedOn w:val="1"/>
    <w:next w:val="1"/>
    <w:link w:val="396"/>
    <w:autoRedefine/>
    <w:qFormat/>
    <w:uiPriority w:val="0"/>
    <w:pPr>
      <w:jc w:val="center"/>
    </w:pPr>
    <w:rPr>
      <w:kern w:val="0"/>
      <w:sz w:val="20"/>
    </w:rPr>
  </w:style>
  <w:style w:type="paragraph" w:styleId="15">
    <w:name w:val="index 8"/>
    <w:basedOn w:val="1"/>
    <w:next w:val="1"/>
    <w:autoRedefine/>
    <w:qFormat/>
    <w:uiPriority w:val="0"/>
    <w:pPr>
      <w:ind w:left="2940"/>
    </w:pPr>
    <w:rPr>
      <w:rFonts w:hint="eastAsia"/>
    </w:rPr>
  </w:style>
  <w:style w:type="paragraph" w:styleId="16">
    <w:name w:val="caption"/>
    <w:basedOn w:val="1"/>
    <w:next w:val="1"/>
    <w:link w:val="398"/>
    <w:autoRedefine/>
    <w:qFormat/>
    <w:uiPriority w:val="0"/>
    <w:pPr>
      <w:spacing w:before="152" w:after="160"/>
    </w:pPr>
    <w:rPr>
      <w:rFonts w:hint="eastAsia" w:ascii="Arial" w:hAnsi="Arial" w:eastAsia="黑体"/>
      <w:sz w:val="20"/>
    </w:rPr>
  </w:style>
  <w:style w:type="paragraph" w:styleId="17">
    <w:name w:val="index 5"/>
    <w:basedOn w:val="1"/>
    <w:next w:val="1"/>
    <w:autoRedefine/>
    <w:qFormat/>
    <w:uiPriority w:val="0"/>
    <w:pPr>
      <w:ind w:left="1680"/>
    </w:pPr>
    <w:rPr>
      <w:rFonts w:hint="eastAsia"/>
    </w:rPr>
  </w:style>
  <w:style w:type="paragraph" w:styleId="18">
    <w:name w:val="List Bullet"/>
    <w:basedOn w:val="1"/>
    <w:autoRedefine/>
    <w:qFormat/>
    <w:uiPriority w:val="0"/>
    <w:pPr>
      <w:ind w:left="100" w:leftChars="200" w:hanging="200" w:hangingChars="200"/>
    </w:pPr>
    <w:rPr>
      <w:rFonts w:hint="eastAsia"/>
    </w:rPr>
  </w:style>
  <w:style w:type="paragraph" w:styleId="19">
    <w:name w:val="Document Map"/>
    <w:basedOn w:val="1"/>
    <w:link w:val="95"/>
    <w:autoRedefine/>
    <w:qFormat/>
    <w:uiPriority w:val="99"/>
    <w:pPr>
      <w:shd w:val="clear" w:color="auto" w:fill="000080"/>
    </w:pPr>
  </w:style>
  <w:style w:type="paragraph" w:styleId="20">
    <w:name w:val="toa heading"/>
    <w:basedOn w:val="1"/>
    <w:next w:val="1"/>
    <w:autoRedefine/>
    <w:qFormat/>
    <w:uiPriority w:val="0"/>
    <w:pPr>
      <w:spacing w:before="120"/>
    </w:pPr>
    <w:rPr>
      <w:rFonts w:hint="eastAsia" w:ascii="Arial" w:hAnsi="Arial"/>
    </w:rPr>
  </w:style>
  <w:style w:type="paragraph" w:styleId="21">
    <w:name w:val="annotation text"/>
    <w:basedOn w:val="1"/>
    <w:link w:val="379"/>
    <w:autoRedefine/>
    <w:qFormat/>
    <w:uiPriority w:val="99"/>
    <w:pPr>
      <w:jc w:val="left"/>
    </w:pPr>
    <w:rPr>
      <w:szCs w:val="24"/>
    </w:rPr>
  </w:style>
  <w:style w:type="paragraph" w:styleId="22">
    <w:name w:val="index 6"/>
    <w:basedOn w:val="1"/>
    <w:next w:val="1"/>
    <w:autoRedefine/>
    <w:qFormat/>
    <w:uiPriority w:val="0"/>
    <w:pPr>
      <w:ind w:left="2100"/>
    </w:pPr>
    <w:rPr>
      <w:rFonts w:hint="eastAsia"/>
    </w:rPr>
  </w:style>
  <w:style w:type="paragraph" w:styleId="23">
    <w:name w:val="Body Text 3"/>
    <w:basedOn w:val="1"/>
    <w:link w:val="96"/>
    <w:autoRedefine/>
    <w:qFormat/>
    <w:uiPriority w:val="0"/>
    <w:pPr>
      <w:widowControl/>
      <w:jc w:val="left"/>
    </w:pPr>
    <w:rPr>
      <w:b/>
      <w:bCs/>
      <w:color w:val="FF0000"/>
      <w:kern w:val="0"/>
      <w:sz w:val="24"/>
    </w:rPr>
  </w:style>
  <w:style w:type="paragraph" w:styleId="24">
    <w:name w:val="Body Text"/>
    <w:basedOn w:val="1"/>
    <w:link w:val="97"/>
    <w:autoRedefine/>
    <w:qFormat/>
    <w:uiPriority w:val="99"/>
    <w:pPr>
      <w:spacing w:after="120"/>
    </w:pPr>
  </w:style>
  <w:style w:type="paragraph" w:styleId="25">
    <w:name w:val="Body Text Indent"/>
    <w:basedOn w:val="1"/>
    <w:next w:val="26"/>
    <w:link w:val="83"/>
    <w:autoRedefine/>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styleId="26">
    <w:name w:val="annotation subject"/>
    <w:basedOn w:val="21"/>
    <w:next w:val="1"/>
    <w:link w:val="85"/>
    <w:autoRedefine/>
    <w:qFormat/>
    <w:uiPriority w:val="99"/>
    <w:rPr>
      <w:b/>
      <w:bCs/>
    </w:rPr>
  </w:style>
  <w:style w:type="paragraph" w:styleId="27">
    <w:name w:val="List 2"/>
    <w:autoRedefine/>
    <w:qFormat/>
    <w:uiPriority w:val="0"/>
    <w:pPr>
      <w:spacing w:line="400" w:lineRule="exact"/>
      <w:jc w:val="center"/>
    </w:pPr>
    <w:rPr>
      <w:rFonts w:ascii="Arial" w:hAnsi="Arial" w:eastAsia="宋体" w:cs="Times New Roman"/>
      <w:sz w:val="24"/>
      <w:lang w:val="en-US" w:eastAsia="zh-CN" w:bidi="ar-SA"/>
    </w:rPr>
  </w:style>
  <w:style w:type="paragraph" w:styleId="28">
    <w:name w:val="Block Text"/>
    <w:basedOn w:val="1"/>
    <w:autoRedefine/>
    <w:qFormat/>
    <w:uiPriority w:val="0"/>
    <w:pPr>
      <w:widowControl/>
      <w:ind w:left="9" w:leftChars="4" w:right="121" w:rightChars="55" w:firstLine="1"/>
      <w:jc w:val="left"/>
    </w:pPr>
    <w:rPr>
      <w:rFonts w:ascii="Arial" w:hAnsi="Arial" w:eastAsia="PMingLiU"/>
      <w:bCs/>
      <w:kern w:val="0"/>
      <w:sz w:val="18"/>
      <w:szCs w:val="18"/>
      <w:lang w:eastAsia="en-US" w:bidi="en-US"/>
    </w:rPr>
  </w:style>
  <w:style w:type="paragraph" w:styleId="29">
    <w:name w:val="List Bullet 2"/>
    <w:basedOn w:val="1"/>
    <w:autoRedefine/>
    <w:qFormat/>
    <w:uiPriority w:val="0"/>
    <w:pPr>
      <w:tabs>
        <w:tab w:val="left" w:pos="780"/>
      </w:tabs>
      <w:ind w:left="780" w:leftChars="200" w:hanging="360" w:hangingChars="200"/>
    </w:pPr>
    <w:rPr>
      <w:szCs w:val="24"/>
    </w:rPr>
  </w:style>
  <w:style w:type="paragraph" w:styleId="30">
    <w:name w:val="index 4"/>
    <w:basedOn w:val="1"/>
    <w:next w:val="1"/>
    <w:autoRedefine/>
    <w:qFormat/>
    <w:uiPriority w:val="0"/>
    <w:pPr>
      <w:ind w:left="1260"/>
    </w:pPr>
    <w:rPr>
      <w:rFonts w:hint="eastAsia"/>
    </w:rPr>
  </w:style>
  <w:style w:type="paragraph" w:styleId="31">
    <w:name w:val="toc 5"/>
    <w:basedOn w:val="1"/>
    <w:next w:val="1"/>
    <w:autoRedefine/>
    <w:qFormat/>
    <w:uiPriority w:val="0"/>
    <w:pPr>
      <w:ind w:left="840"/>
      <w:jc w:val="left"/>
    </w:pPr>
    <w:rPr>
      <w:rFonts w:hint="eastAsia"/>
      <w:sz w:val="18"/>
    </w:rPr>
  </w:style>
  <w:style w:type="paragraph" w:styleId="32">
    <w:name w:val="toc 3"/>
    <w:basedOn w:val="1"/>
    <w:next w:val="1"/>
    <w:autoRedefine/>
    <w:qFormat/>
    <w:uiPriority w:val="0"/>
    <w:pPr>
      <w:ind w:left="420"/>
      <w:jc w:val="left"/>
    </w:pPr>
    <w:rPr>
      <w:i/>
      <w:iCs/>
      <w:sz w:val="20"/>
    </w:rPr>
  </w:style>
  <w:style w:type="paragraph" w:styleId="33">
    <w:name w:val="Plain Text"/>
    <w:basedOn w:val="1"/>
    <w:link w:val="98"/>
    <w:autoRedefine/>
    <w:qFormat/>
    <w:uiPriority w:val="0"/>
    <w:rPr>
      <w:rFonts w:ascii="宋体" w:hAnsi="Courier New"/>
    </w:rPr>
  </w:style>
  <w:style w:type="paragraph" w:styleId="34">
    <w:name w:val="toc 8"/>
    <w:basedOn w:val="1"/>
    <w:next w:val="1"/>
    <w:autoRedefine/>
    <w:qFormat/>
    <w:uiPriority w:val="0"/>
    <w:pPr>
      <w:ind w:left="1470"/>
      <w:jc w:val="left"/>
    </w:pPr>
    <w:rPr>
      <w:rFonts w:hint="eastAsia"/>
      <w:sz w:val="18"/>
    </w:rPr>
  </w:style>
  <w:style w:type="paragraph" w:styleId="35">
    <w:name w:val="index 3"/>
    <w:basedOn w:val="1"/>
    <w:next w:val="1"/>
    <w:autoRedefine/>
    <w:qFormat/>
    <w:uiPriority w:val="0"/>
    <w:pPr>
      <w:ind w:left="840"/>
    </w:pPr>
    <w:rPr>
      <w:rFonts w:hint="eastAsia"/>
    </w:rPr>
  </w:style>
  <w:style w:type="paragraph" w:styleId="36">
    <w:name w:val="Date"/>
    <w:basedOn w:val="1"/>
    <w:next w:val="1"/>
    <w:link w:val="99"/>
    <w:autoRedefine/>
    <w:qFormat/>
    <w:uiPriority w:val="0"/>
    <w:pPr>
      <w:ind w:left="100" w:leftChars="2500"/>
    </w:pPr>
    <w:rPr>
      <w:kern w:val="0"/>
      <w:sz w:val="24"/>
    </w:rPr>
  </w:style>
  <w:style w:type="paragraph" w:styleId="37">
    <w:name w:val="Body Text Indent 2"/>
    <w:basedOn w:val="1"/>
    <w:link w:val="100"/>
    <w:autoRedefine/>
    <w:qFormat/>
    <w:uiPriority w:val="99"/>
    <w:pPr>
      <w:tabs>
        <w:tab w:val="left" w:pos="360"/>
      </w:tabs>
      <w:spacing w:line="400" w:lineRule="exact"/>
      <w:ind w:left="1" w:firstLine="480" w:firstLineChars="200"/>
    </w:pPr>
    <w:rPr>
      <w:sz w:val="24"/>
      <w:szCs w:val="24"/>
    </w:rPr>
  </w:style>
  <w:style w:type="paragraph" w:styleId="38">
    <w:name w:val="endnote text"/>
    <w:basedOn w:val="1"/>
    <w:link w:val="407"/>
    <w:autoRedefine/>
    <w:qFormat/>
    <w:uiPriority w:val="0"/>
    <w:pPr>
      <w:snapToGrid w:val="0"/>
      <w:jc w:val="left"/>
    </w:pPr>
    <w:rPr>
      <w:kern w:val="0"/>
      <w:sz w:val="20"/>
    </w:rPr>
  </w:style>
  <w:style w:type="paragraph" w:styleId="39">
    <w:name w:val="Balloon Text"/>
    <w:basedOn w:val="1"/>
    <w:link w:val="101"/>
    <w:autoRedefine/>
    <w:qFormat/>
    <w:uiPriority w:val="99"/>
    <w:rPr>
      <w:sz w:val="18"/>
      <w:szCs w:val="18"/>
    </w:rPr>
  </w:style>
  <w:style w:type="paragraph" w:styleId="40">
    <w:name w:val="footer"/>
    <w:basedOn w:val="1"/>
    <w:link w:val="102"/>
    <w:autoRedefine/>
    <w:qFormat/>
    <w:uiPriority w:val="99"/>
    <w:pPr>
      <w:widowControl/>
      <w:tabs>
        <w:tab w:val="center" w:pos="4153"/>
        <w:tab w:val="right" w:pos="8306"/>
      </w:tabs>
      <w:snapToGrid w:val="0"/>
      <w:jc w:val="center"/>
    </w:pPr>
    <w:rPr>
      <w:kern w:val="0"/>
      <w:sz w:val="18"/>
    </w:rPr>
  </w:style>
  <w:style w:type="paragraph" w:styleId="41">
    <w:name w:val="header"/>
    <w:basedOn w:val="1"/>
    <w:link w:val="103"/>
    <w:autoRedefine/>
    <w:qFormat/>
    <w:uiPriority w:val="99"/>
    <w:pPr>
      <w:widowControl/>
      <w:pBdr>
        <w:bottom w:val="single" w:color="auto" w:sz="6" w:space="1"/>
      </w:pBdr>
      <w:tabs>
        <w:tab w:val="center" w:pos="4153"/>
        <w:tab w:val="right" w:pos="8306"/>
      </w:tabs>
      <w:snapToGrid w:val="0"/>
      <w:jc w:val="center"/>
    </w:pPr>
    <w:rPr>
      <w:sz w:val="18"/>
      <w:szCs w:val="24"/>
    </w:rPr>
  </w:style>
  <w:style w:type="paragraph" w:styleId="42">
    <w:name w:val="toc 1"/>
    <w:basedOn w:val="1"/>
    <w:next w:val="1"/>
    <w:autoRedefine/>
    <w:qFormat/>
    <w:uiPriority w:val="39"/>
    <w:pPr>
      <w:spacing w:before="120" w:after="120"/>
      <w:jc w:val="left"/>
    </w:pPr>
    <w:rPr>
      <w:b/>
      <w:bCs/>
      <w:caps/>
    </w:rPr>
  </w:style>
  <w:style w:type="paragraph" w:styleId="43">
    <w:name w:val="toc 4"/>
    <w:basedOn w:val="1"/>
    <w:next w:val="1"/>
    <w:autoRedefine/>
    <w:qFormat/>
    <w:uiPriority w:val="0"/>
    <w:pPr>
      <w:ind w:left="630"/>
      <w:jc w:val="left"/>
    </w:pPr>
    <w:rPr>
      <w:rFonts w:hint="eastAsia"/>
      <w:sz w:val="18"/>
    </w:rPr>
  </w:style>
  <w:style w:type="paragraph" w:styleId="44">
    <w:name w:val="index heading"/>
    <w:basedOn w:val="1"/>
    <w:next w:val="45"/>
    <w:autoRedefine/>
    <w:qFormat/>
    <w:uiPriority w:val="0"/>
    <w:rPr>
      <w:szCs w:val="24"/>
    </w:rPr>
  </w:style>
  <w:style w:type="paragraph" w:styleId="45">
    <w:name w:val="index 1"/>
    <w:basedOn w:val="1"/>
    <w:next w:val="1"/>
    <w:autoRedefine/>
    <w:qFormat/>
    <w:uiPriority w:val="0"/>
    <w:pPr>
      <w:spacing w:line="320" w:lineRule="exact"/>
    </w:pPr>
    <w:rPr>
      <w:rFonts w:ascii="仿宋_GB2312" w:hAnsi="宋体" w:eastAsia="仿宋_GB2312"/>
      <w:color w:val="000000"/>
      <w:szCs w:val="21"/>
    </w:rPr>
  </w:style>
  <w:style w:type="paragraph" w:styleId="46">
    <w:name w:val="Subtitle"/>
    <w:basedOn w:val="1"/>
    <w:next w:val="1"/>
    <w:link w:val="104"/>
    <w:autoRedefine/>
    <w:qFormat/>
    <w:uiPriority w:val="0"/>
    <w:pPr>
      <w:spacing w:before="240" w:after="60" w:line="312" w:lineRule="auto"/>
      <w:jc w:val="left"/>
      <w:outlineLvl w:val="1"/>
    </w:pPr>
    <w:rPr>
      <w:rFonts w:ascii="仿宋_GB2312" w:hAnsi="Cambria" w:eastAsia="仿宋_GB2312"/>
      <w:b/>
      <w:bCs/>
      <w:kern w:val="28"/>
      <w:sz w:val="32"/>
      <w:szCs w:val="32"/>
    </w:rPr>
  </w:style>
  <w:style w:type="paragraph" w:styleId="47">
    <w:name w:val="List"/>
    <w:basedOn w:val="1"/>
    <w:autoRedefine/>
    <w:qFormat/>
    <w:uiPriority w:val="0"/>
    <w:pPr>
      <w:ind w:left="200" w:hanging="200" w:hangingChars="200"/>
    </w:pPr>
    <w:rPr>
      <w:rFonts w:hint="eastAsia"/>
    </w:rPr>
  </w:style>
  <w:style w:type="paragraph" w:styleId="48">
    <w:name w:val="footnote text"/>
    <w:basedOn w:val="1"/>
    <w:link w:val="105"/>
    <w:autoRedefine/>
    <w:qFormat/>
    <w:uiPriority w:val="0"/>
    <w:pPr>
      <w:tabs>
        <w:tab w:val="left" w:pos="560"/>
        <w:tab w:val="center" w:pos="8400"/>
      </w:tabs>
      <w:jc w:val="left"/>
    </w:pPr>
    <w:rPr>
      <w:sz w:val="18"/>
    </w:rPr>
  </w:style>
  <w:style w:type="paragraph" w:styleId="49">
    <w:name w:val="toc 6"/>
    <w:basedOn w:val="1"/>
    <w:next w:val="1"/>
    <w:autoRedefine/>
    <w:qFormat/>
    <w:uiPriority w:val="0"/>
    <w:pPr>
      <w:ind w:left="1050"/>
      <w:jc w:val="left"/>
    </w:pPr>
    <w:rPr>
      <w:rFonts w:hint="eastAsia"/>
      <w:sz w:val="18"/>
    </w:rPr>
  </w:style>
  <w:style w:type="paragraph" w:styleId="50">
    <w:name w:val="List 5"/>
    <w:basedOn w:val="1"/>
    <w:autoRedefine/>
    <w:qFormat/>
    <w:uiPriority w:val="0"/>
    <w:pPr>
      <w:tabs>
        <w:tab w:val="left" w:pos="780"/>
      </w:tabs>
      <w:ind w:left="780" w:leftChars="200" w:hanging="360" w:hangingChars="200"/>
    </w:pPr>
    <w:rPr>
      <w:rFonts w:hint="eastAsia"/>
    </w:rPr>
  </w:style>
  <w:style w:type="paragraph" w:styleId="51">
    <w:name w:val="Body Text Indent 3"/>
    <w:basedOn w:val="1"/>
    <w:link w:val="106"/>
    <w:autoRedefine/>
    <w:qFormat/>
    <w:uiPriority w:val="0"/>
    <w:pPr>
      <w:spacing w:after="120"/>
      <w:ind w:left="420" w:leftChars="200"/>
    </w:pPr>
    <w:rPr>
      <w:sz w:val="16"/>
      <w:szCs w:val="16"/>
    </w:rPr>
  </w:style>
  <w:style w:type="paragraph" w:styleId="52">
    <w:name w:val="index 7"/>
    <w:basedOn w:val="1"/>
    <w:next w:val="1"/>
    <w:autoRedefine/>
    <w:qFormat/>
    <w:uiPriority w:val="0"/>
    <w:pPr>
      <w:ind w:left="2520"/>
    </w:pPr>
    <w:rPr>
      <w:rFonts w:hint="eastAsia"/>
    </w:rPr>
  </w:style>
  <w:style w:type="paragraph" w:styleId="53">
    <w:name w:val="index 9"/>
    <w:basedOn w:val="1"/>
    <w:next w:val="1"/>
    <w:autoRedefine/>
    <w:qFormat/>
    <w:uiPriority w:val="0"/>
    <w:pPr>
      <w:ind w:left="3360"/>
    </w:pPr>
    <w:rPr>
      <w:rFonts w:hint="eastAsia"/>
    </w:rPr>
  </w:style>
  <w:style w:type="paragraph" w:styleId="54">
    <w:name w:val="table of figures"/>
    <w:basedOn w:val="1"/>
    <w:next w:val="1"/>
    <w:autoRedefine/>
    <w:qFormat/>
    <w:uiPriority w:val="0"/>
    <w:pPr>
      <w:widowControl/>
      <w:tabs>
        <w:tab w:val="right" w:leader="dot" w:pos="9072"/>
      </w:tabs>
      <w:spacing w:before="120"/>
      <w:ind w:left="480" w:hanging="480"/>
      <w:jc w:val="left"/>
    </w:pPr>
    <w:rPr>
      <w:rFonts w:ascii="Arial" w:hAnsi="Arial"/>
      <w:i/>
      <w:kern w:val="0"/>
      <w:sz w:val="20"/>
      <w:lang w:val="en-GB" w:eastAsia="en-US" w:bidi="en-US"/>
    </w:rPr>
  </w:style>
  <w:style w:type="paragraph" w:styleId="55">
    <w:name w:val="toc 2"/>
    <w:basedOn w:val="1"/>
    <w:next w:val="1"/>
    <w:autoRedefine/>
    <w:qFormat/>
    <w:uiPriority w:val="0"/>
    <w:pPr>
      <w:ind w:left="210"/>
      <w:jc w:val="left"/>
    </w:pPr>
    <w:rPr>
      <w:smallCaps/>
    </w:rPr>
  </w:style>
  <w:style w:type="paragraph" w:styleId="56">
    <w:name w:val="toc 9"/>
    <w:basedOn w:val="1"/>
    <w:next w:val="1"/>
    <w:autoRedefine/>
    <w:qFormat/>
    <w:uiPriority w:val="0"/>
    <w:pPr>
      <w:ind w:left="1680"/>
      <w:jc w:val="left"/>
    </w:pPr>
    <w:rPr>
      <w:rFonts w:hint="eastAsia"/>
      <w:sz w:val="18"/>
    </w:rPr>
  </w:style>
  <w:style w:type="paragraph" w:styleId="57">
    <w:name w:val="Body Text 2"/>
    <w:basedOn w:val="1"/>
    <w:link w:val="107"/>
    <w:autoRedefine/>
    <w:qFormat/>
    <w:uiPriority w:val="0"/>
    <w:pPr>
      <w:widowControl/>
    </w:pPr>
    <w:rPr>
      <w:rFonts w:ascii="宋体" w:hAnsi="宋体"/>
      <w:b/>
      <w:bCs/>
      <w:color w:val="FF0000"/>
      <w:kern w:val="0"/>
      <w:sz w:val="28"/>
    </w:rPr>
  </w:style>
  <w:style w:type="paragraph" w:styleId="58">
    <w:name w:val="HTML Preformatted"/>
    <w:basedOn w:val="1"/>
    <w:link w:val="41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0"/>
    </w:rPr>
  </w:style>
  <w:style w:type="paragraph" w:styleId="59">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60">
    <w:name w:val="index 2"/>
    <w:basedOn w:val="1"/>
    <w:next w:val="1"/>
    <w:autoRedefine/>
    <w:qFormat/>
    <w:uiPriority w:val="0"/>
    <w:pPr>
      <w:ind w:left="420"/>
    </w:pPr>
    <w:rPr>
      <w:rFonts w:hint="eastAsia"/>
    </w:rPr>
  </w:style>
  <w:style w:type="paragraph" w:styleId="61">
    <w:name w:val="Title"/>
    <w:basedOn w:val="1"/>
    <w:next w:val="1"/>
    <w:link w:val="108"/>
    <w:autoRedefine/>
    <w:qFormat/>
    <w:uiPriority w:val="0"/>
    <w:pPr>
      <w:spacing w:before="120" w:after="60"/>
      <w:jc w:val="center"/>
    </w:pPr>
    <w:rPr>
      <w:rFonts w:ascii="Arial" w:hAnsi="Arial"/>
      <w:b/>
      <w:sz w:val="44"/>
      <w:szCs w:val="24"/>
    </w:rPr>
  </w:style>
  <w:style w:type="paragraph" w:styleId="62">
    <w:name w:val="Body Text First Indent"/>
    <w:basedOn w:val="24"/>
    <w:link w:val="109"/>
    <w:autoRedefine/>
    <w:qFormat/>
    <w:uiPriority w:val="0"/>
    <w:pPr>
      <w:ind w:firstLine="420"/>
    </w:pPr>
  </w:style>
  <w:style w:type="paragraph" w:styleId="63">
    <w:name w:val="Body Text First Indent 2"/>
    <w:basedOn w:val="25"/>
    <w:next w:val="5"/>
    <w:link w:val="86"/>
    <w:autoRedefine/>
    <w:unhideWhenUsed/>
    <w:qFormat/>
    <w:uiPriority w:val="0"/>
  </w:style>
  <w:style w:type="table" w:styleId="65">
    <w:name w:val="Table Grid"/>
    <w:basedOn w:val="64"/>
    <w:autoRedefine/>
    <w:unhideWhenUsed/>
    <w:qFormat/>
    <w:uiPriority w:val="0"/>
    <w:pPr>
      <w:widowControl w:val="0"/>
      <w:jc w:val="both"/>
    </w:pPr>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6">
    <w:name w:val="Table Theme"/>
    <w:basedOn w:val="6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7">
    <w:name w:val="Table Elegant"/>
    <w:basedOn w:val="64"/>
    <w:autoRedefine/>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68">
    <w:name w:val="Table List 5"/>
    <w:basedOn w:val="64"/>
    <w:autoRedefine/>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9">
    <w:name w:val="Light Shading Accent 3"/>
    <w:basedOn w:val="64"/>
    <w:autoRedefine/>
    <w:unhideWhenUsed/>
    <w:qFormat/>
    <w:uiPriority w:val="60"/>
    <w:rPr>
      <w:rFonts w:ascii="Calibri" w:hAnsi="Calibri"/>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l2br w:val="nil"/>
          <w:tr2bl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6EED5"/>
      </w:tcPr>
    </w:tblStylePr>
    <w:tblStylePr w:type="band1Horz">
      <w:tblPr/>
      <w:tcPr>
        <w:tcBorders>
          <w:top w:val="nil"/>
          <w:left w:val="nil"/>
          <w:bottom w:val="nil"/>
          <w:right w:val="nil"/>
          <w:insideH w:val="nil"/>
          <w:insideV w:val="nil"/>
          <w:tl2br w:val="nil"/>
          <w:tr2bl w:val="nil"/>
        </w:tcBorders>
        <w:shd w:val="clear" w:color="auto" w:fill="E6EED5"/>
      </w:tcPr>
    </w:tblStylePr>
  </w:style>
  <w:style w:type="character" w:styleId="71">
    <w:name w:val="Strong"/>
    <w:basedOn w:val="70"/>
    <w:autoRedefine/>
    <w:qFormat/>
    <w:uiPriority w:val="0"/>
    <w:rPr>
      <w:b/>
      <w:bCs/>
    </w:rPr>
  </w:style>
  <w:style w:type="character" w:styleId="72">
    <w:name w:val="endnote reference"/>
    <w:autoRedefine/>
    <w:qFormat/>
    <w:uiPriority w:val="0"/>
    <w:rPr>
      <w:vertAlign w:val="superscript"/>
    </w:rPr>
  </w:style>
  <w:style w:type="character" w:styleId="73">
    <w:name w:val="page number"/>
    <w:autoRedefine/>
    <w:qFormat/>
    <w:uiPriority w:val="0"/>
    <w:rPr>
      <w:rFonts w:eastAsia="宋体"/>
      <w:kern w:val="2"/>
      <w:sz w:val="24"/>
      <w:szCs w:val="24"/>
      <w:lang w:val="en-US" w:eastAsia="zh-CN" w:bidi="ar-SA"/>
    </w:rPr>
  </w:style>
  <w:style w:type="character" w:styleId="74">
    <w:name w:val="FollowedHyperlink"/>
    <w:autoRedefine/>
    <w:qFormat/>
    <w:uiPriority w:val="99"/>
    <w:rPr>
      <w:rFonts w:eastAsia="宋体"/>
      <w:color w:val="000000"/>
      <w:kern w:val="2"/>
      <w:sz w:val="24"/>
      <w:szCs w:val="24"/>
      <w:u w:val="none"/>
      <w:lang w:val="en-US" w:eastAsia="zh-CN" w:bidi="ar-SA"/>
    </w:rPr>
  </w:style>
  <w:style w:type="character" w:styleId="75">
    <w:name w:val="Emphasis"/>
    <w:autoRedefine/>
    <w:qFormat/>
    <w:uiPriority w:val="0"/>
    <w:rPr>
      <w:i/>
      <w:iCs/>
    </w:rPr>
  </w:style>
  <w:style w:type="character" w:styleId="76">
    <w:name w:val="line number"/>
    <w:autoRedefine/>
    <w:qFormat/>
    <w:uiPriority w:val="0"/>
  </w:style>
  <w:style w:type="character" w:styleId="77">
    <w:name w:val="Hyperlink"/>
    <w:autoRedefine/>
    <w:qFormat/>
    <w:uiPriority w:val="99"/>
    <w:rPr>
      <w:rFonts w:eastAsia="宋体"/>
      <w:color w:val="333333"/>
      <w:kern w:val="2"/>
      <w:sz w:val="24"/>
      <w:szCs w:val="24"/>
      <w:u w:val="none"/>
      <w:lang w:val="en-US" w:eastAsia="zh-CN" w:bidi="ar-SA"/>
    </w:rPr>
  </w:style>
  <w:style w:type="character" w:styleId="78">
    <w:name w:val="annotation reference"/>
    <w:autoRedefine/>
    <w:qFormat/>
    <w:uiPriority w:val="0"/>
    <w:rPr>
      <w:rFonts w:eastAsia="宋体"/>
      <w:kern w:val="2"/>
      <w:sz w:val="21"/>
      <w:szCs w:val="21"/>
      <w:lang w:val="en-US" w:eastAsia="zh-CN" w:bidi="ar-SA"/>
    </w:rPr>
  </w:style>
  <w:style w:type="character" w:styleId="79">
    <w:name w:val="footnote reference"/>
    <w:autoRedefine/>
    <w:qFormat/>
    <w:uiPriority w:val="0"/>
    <w:rPr>
      <w:vertAlign w:val="superscript"/>
    </w:rPr>
  </w:style>
  <w:style w:type="paragraph" w:styleId="80">
    <w:name w:val="List Paragraph"/>
    <w:basedOn w:val="1"/>
    <w:autoRedefine/>
    <w:qFormat/>
    <w:uiPriority w:val="34"/>
    <w:pPr>
      <w:ind w:firstLine="420" w:firstLineChars="200"/>
    </w:pPr>
  </w:style>
  <w:style w:type="character" w:customStyle="1" w:styleId="81">
    <w:name w:val="标题 1 Char"/>
    <w:link w:val="2"/>
    <w:autoRedefine/>
    <w:qFormat/>
    <w:uiPriority w:val="9"/>
    <w:rPr>
      <w:rFonts w:ascii="黑体" w:hAnsi="Arial" w:eastAsia="黑体"/>
      <w:b/>
      <w:kern w:val="2"/>
      <w:sz w:val="52"/>
      <w:szCs w:val="24"/>
    </w:rPr>
  </w:style>
  <w:style w:type="character" w:customStyle="1" w:styleId="82">
    <w:name w:val="标题 2 Char"/>
    <w:link w:val="3"/>
    <w:autoRedefine/>
    <w:qFormat/>
    <w:uiPriority w:val="9"/>
    <w:rPr>
      <w:rFonts w:ascii="Arial" w:hAnsi="Arial" w:eastAsia="黑体"/>
      <w:b/>
      <w:sz w:val="44"/>
    </w:rPr>
  </w:style>
  <w:style w:type="character" w:customStyle="1" w:styleId="83">
    <w:name w:val="正文文本缩进 Char"/>
    <w:link w:val="25"/>
    <w:autoRedefine/>
    <w:qFormat/>
    <w:uiPriority w:val="0"/>
    <w:rPr>
      <w:rFonts w:ascii="宋体" w:hAnsi="MS Sans Serif"/>
      <w:spacing w:val="12"/>
      <w:sz w:val="24"/>
    </w:rPr>
  </w:style>
  <w:style w:type="character" w:customStyle="1" w:styleId="84">
    <w:name w:val="批注文字 Char2"/>
    <w:basedOn w:val="70"/>
    <w:autoRedefine/>
    <w:qFormat/>
    <w:uiPriority w:val="99"/>
    <w:rPr>
      <w:szCs w:val="24"/>
    </w:rPr>
  </w:style>
  <w:style w:type="character" w:customStyle="1" w:styleId="85">
    <w:name w:val="批注主题 Char"/>
    <w:link w:val="26"/>
    <w:autoRedefine/>
    <w:qFormat/>
    <w:uiPriority w:val="99"/>
    <w:rPr>
      <w:b/>
      <w:bCs/>
      <w:kern w:val="2"/>
      <w:sz w:val="21"/>
      <w:szCs w:val="24"/>
    </w:rPr>
  </w:style>
  <w:style w:type="character" w:customStyle="1" w:styleId="86">
    <w:name w:val="正文首行缩进 2 Char"/>
    <w:link w:val="63"/>
    <w:autoRedefine/>
    <w:qFormat/>
    <w:uiPriority w:val="0"/>
    <w:rPr>
      <w:rFonts w:ascii="宋体" w:hAnsi="MS Sans Serif"/>
      <w:spacing w:val="12"/>
      <w:sz w:val="24"/>
    </w:rPr>
  </w:style>
  <w:style w:type="character" w:customStyle="1" w:styleId="87">
    <w:name w:val="正文缩进 Char"/>
    <w:link w:val="5"/>
    <w:autoRedefine/>
    <w:qFormat/>
    <w:uiPriority w:val="0"/>
  </w:style>
  <w:style w:type="character" w:customStyle="1" w:styleId="88">
    <w:name w:val="标题 3 Char"/>
    <w:link w:val="4"/>
    <w:autoRedefine/>
    <w:qFormat/>
    <w:uiPriority w:val="9"/>
    <w:rPr>
      <w:b/>
      <w:sz w:val="32"/>
    </w:rPr>
  </w:style>
  <w:style w:type="character" w:customStyle="1" w:styleId="89">
    <w:name w:val="标题 4 Char"/>
    <w:link w:val="6"/>
    <w:autoRedefine/>
    <w:qFormat/>
    <w:uiPriority w:val="0"/>
    <w:rPr>
      <w:rFonts w:ascii="Arial" w:hAnsi="Arial" w:eastAsia="黑体"/>
      <w:kern w:val="2"/>
      <w:sz w:val="28"/>
      <w:szCs w:val="24"/>
    </w:rPr>
  </w:style>
  <w:style w:type="character" w:customStyle="1" w:styleId="90">
    <w:name w:val="标题 5 Char"/>
    <w:link w:val="7"/>
    <w:autoRedefine/>
    <w:qFormat/>
    <w:uiPriority w:val="0"/>
    <w:rPr>
      <w:rFonts w:ascii="宋体" w:hAnsi="宋体"/>
      <w:b/>
      <w:sz w:val="24"/>
    </w:rPr>
  </w:style>
  <w:style w:type="character" w:customStyle="1" w:styleId="91">
    <w:name w:val="标题 6 Char"/>
    <w:link w:val="8"/>
    <w:autoRedefine/>
    <w:qFormat/>
    <w:uiPriority w:val="0"/>
    <w:rPr>
      <w:rFonts w:ascii="Arial" w:hAnsi="Arial" w:eastAsia="黑体"/>
      <w:b/>
      <w:kern w:val="2"/>
      <w:sz w:val="24"/>
      <w:szCs w:val="24"/>
    </w:rPr>
  </w:style>
  <w:style w:type="character" w:customStyle="1" w:styleId="92">
    <w:name w:val="标题 7 Char"/>
    <w:link w:val="9"/>
    <w:autoRedefine/>
    <w:qFormat/>
    <w:uiPriority w:val="0"/>
    <w:rPr>
      <w:b/>
      <w:kern w:val="2"/>
      <w:sz w:val="24"/>
    </w:rPr>
  </w:style>
  <w:style w:type="character" w:customStyle="1" w:styleId="93">
    <w:name w:val="标题 8 Char"/>
    <w:link w:val="10"/>
    <w:autoRedefine/>
    <w:qFormat/>
    <w:uiPriority w:val="0"/>
    <w:rPr>
      <w:rFonts w:ascii="Arial" w:hAnsi="Arial" w:eastAsia="黑体"/>
      <w:kern w:val="2"/>
      <w:sz w:val="24"/>
    </w:rPr>
  </w:style>
  <w:style w:type="character" w:customStyle="1" w:styleId="94">
    <w:name w:val="标题 9 Char"/>
    <w:link w:val="11"/>
    <w:autoRedefine/>
    <w:qFormat/>
    <w:uiPriority w:val="0"/>
    <w:rPr>
      <w:rFonts w:ascii="Arial" w:hAnsi="Arial" w:eastAsia="黑体"/>
      <w:kern w:val="2"/>
      <w:sz w:val="21"/>
    </w:rPr>
  </w:style>
  <w:style w:type="character" w:customStyle="1" w:styleId="95">
    <w:name w:val="文档结构图 Char"/>
    <w:link w:val="19"/>
    <w:autoRedefine/>
    <w:qFormat/>
    <w:uiPriority w:val="99"/>
    <w:rPr>
      <w:kern w:val="2"/>
      <w:sz w:val="21"/>
      <w:shd w:val="clear" w:color="auto" w:fill="000080"/>
    </w:rPr>
  </w:style>
  <w:style w:type="character" w:customStyle="1" w:styleId="96">
    <w:name w:val="正文文本 3 Char"/>
    <w:link w:val="23"/>
    <w:autoRedefine/>
    <w:qFormat/>
    <w:uiPriority w:val="0"/>
    <w:rPr>
      <w:b/>
      <w:bCs/>
      <w:color w:val="FF0000"/>
      <w:sz w:val="24"/>
    </w:rPr>
  </w:style>
  <w:style w:type="character" w:customStyle="1" w:styleId="97">
    <w:name w:val="正文文本 Char1"/>
    <w:link w:val="24"/>
    <w:autoRedefine/>
    <w:qFormat/>
    <w:uiPriority w:val="0"/>
    <w:rPr>
      <w:kern w:val="2"/>
      <w:sz w:val="21"/>
    </w:rPr>
  </w:style>
  <w:style w:type="character" w:customStyle="1" w:styleId="98">
    <w:name w:val="纯文本 Char"/>
    <w:link w:val="33"/>
    <w:autoRedefine/>
    <w:qFormat/>
    <w:uiPriority w:val="0"/>
    <w:rPr>
      <w:rFonts w:ascii="宋体" w:hAnsi="Courier New"/>
      <w:kern w:val="2"/>
      <w:sz w:val="21"/>
    </w:rPr>
  </w:style>
  <w:style w:type="character" w:customStyle="1" w:styleId="99">
    <w:name w:val="日期 Char"/>
    <w:link w:val="36"/>
    <w:autoRedefine/>
    <w:qFormat/>
    <w:uiPriority w:val="0"/>
    <w:rPr>
      <w:sz w:val="24"/>
    </w:rPr>
  </w:style>
  <w:style w:type="character" w:customStyle="1" w:styleId="100">
    <w:name w:val="正文文本缩进 2 Char"/>
    <w:link w:val="37"/>
    <w:autoRedefine/>
    <w:qFormat/>
    <w:uiPriority w:val="99"/>
    <w:rPr>
      <w:kern w:val="2"/>
      <w:sz w:val="24"/>
      <w:szCs w:val="24"/>
    </w:rPr>
  </w:style>
  <w:style w:type="character" w:customStyle="1" w:styleId="101">
    <w:name w:val="批注框文本 Char"/>
    <w:link w:val="39"/>
    <w:autoRedefine/>
    <w:qFormat/>
    <w:uiPriority w:val="99"/>
    <w:rPr>
      <w:kern w:val="2"/>
      <w:sz w:val="18"/>
      <w:szCs w:val="18"/>
    </w:rPr>
  </w:style>
  <w:style w:type="character" w:customStyle="1" w:styleId="102">
    <w:name w:val="页脚 Char2"/>
    <w:link w:val="40"/>
    <w:autoRedefine/>
    <w:qFormat/>
    <w:uiPriority w:val="99"/>
    <w:rPr>
      <w:sz w:val="18"/>
    </w:rPr>
  </w:style>
  <w:style w:type="character" w:customStyle="1" w:styleId="103">
    <w:name w:val="页眉 Char"/>
    <w:link w:val="41"/>
    <w:autoRedefine/>
    <w:qFormat/>
    <w:uiPriority w:val="99"/>
    <w:rPr>
      <w:kern w:val="2"/>
      <w:sz w:val="18"/>
      <w:szCs w:val="24"/>
    </w:rPr>
  </w:style>
  <w:style w:type="character" w:customStyle="1" w:styleId="104">
    <w:name w:val="副标题 Char"/>
    <w:link w:val="46"/>
    <w:autoRedefine/>
    <w:qFormat/>
    <w:uiPriority w:val="0"/>
    <w:rPr>
      <w:rFonts w:ascii="仿宋_GB2312" w:hAnsi="Cambria" w:eastAsia="仿宋_GB2312"/>
      <w:b/>
      <w:bCs/>
      <w:kern w:val="28"/>
      <w:sz w:val="32"/>
      <w:szCs w:val="32"/>
    </w:rPr>
  </w:style>
  <w:style w:type="character" w:customStyle="1" w:styleId="105">
    <w:name w:val="脚注文本 Char"/>
    <w:link w:val="48"/>
    <w:autoRedefine/>
    <w:qFormat/>
    <w:uiPriority w:val="0"/>
    <w:rPr>
      <w:kern w:val="2"/>
      <w:sz w:val="18"/>
    </w:rPr>
  </w:style>
  <w:style w:type="character" w:customStyle="1" w:styleId="106">
    <w:name w:val="正文文本缩进 3 Char"/>
    <w:link w:val="51"/>
    <w:autoRedefine/>
    <w:qFormat/>
    <w:uiPriority w:val="0"/>
    <w:rPr>
      <w:kern w:val="2"/>
      <w:sz w:val="16"/>
      <w:szCs w:val="16"/>
    </w:rPr>
  </w:style>
  <w:style w:type="character" w:customStyle="1" w:styleId="107">
    <w:name w:val="正文文本 2 Char"/>
    <w:link w:val="57"/>
    <w:autoRedefine/>
    <w:qFormat/>
    <w:uiPriority w:val="0"/>
    <w:rPr>
      <w:rFonts w:ascii="宋体" w:hAnsi="宋体"/>
      <w:b/>
      <w:bCs/>
      <w:color w:val="FF0000"/>
      <w:sz w:val="28"/>
    </w:rPr>
  </w:style>
  <w:style w:type="character" w:customStyle="1" w:styleId="108">
    <w:name w:val="标题 Char"/>
    <w:link w:val="61"/>
    <w:autoRedefine/>
    <w:qFormat/>
    <w:uiPriority w:val="0"/>
    <w:rPr>
      <w:rFonts w:ascii="Arial" w:hAnsi="Arial"/>
      <w:b/>
      <w:kern w:val="2"/>
      <w:sz w:val="44"/>
      <w:szCs w:val="24"/>
    </w:rPr>
  </w:style>
  <w:style w:type="character" w:customStyle="1" w:styleId="109">
    <w:name w:val="正文首行缩进 Char"/>
    <w:link w:val="62"/>
    <w:autoRedefine/>
    <w:qFormat/>
    <w:uiPriority w:val="0"/>
    <w:rPr>
      <w:kern w:val="2"/>
      <w:sz w:val="21"/>
    </w:rPr>
  </w:style>
  <w:style w:type="paragraph" w:customStyle="1" w:styleId="110">
    <w:name w:val="Table Paragraph"/>
    <w:basedOn w:val="1"/>
    <w:autoRedefine/>
    <w:qFormat/>
    <w:uiPriority w:val="1"/>
    <w:pPr>
      <w:jc w:val="left"/>
    </w:pPr>
    <w:rPr>
      <w:rFonts w:ascii="宋体" w:hAnsi="宋体" w:cs="宋体"/>
      <w:kern w:val="0"/>
      <w:sz w:val="22"/>
      <w:szCs w:val="22"/>
      <w:lang w:eastAsia="en-US"/>
    </w:rPr>
  </w:style>
  <w:style w:type="paragraph" w:customStyle="1" w:styleId="111">
    <w:name w:val="样式2"/>
    <w:basedOn w:val="1"/>
    <w:link w:val="500"/>
    <w:autoRedefine/>
    <w:qFormat/>
    <w:uiPriority w:val="0"/>
    <w:pPr>
      <w:pBdr>
        <w:bottom w:val="thickThinSmallGap" w:color="auto" w:sz="12" w:space="1"/>
      </w:pBdr>
    </w:pPr>
    <w:rPr>
      <w:szCs w:val="24"/>
    </w:rPr>
  </w:style>
  <w:style w:type="paragraph" w:customStyle="1" w:styleId="112">
    <w:name w:val="样式1"/>
    <w:basedOn w:val="1"/>
    <w:autoRedefine/>
    <w:qFormat/>
    <w:uiPriority w:val="0"/>
    <w:pPr>
      <w:tabs>
        <w:tab w:val="left" w:pos="760"/>
      </w:tabs>
      <w:spacing w:line="360" w:lineRule="auto"/>
      <w:jc w:val="left"/>
    </w:pPr>
    <w:rPr>
      <w:rFonts w:ascii="黑体" w:hAnsi="黑体" w:eastAsia="黑体"/>
      <w:b/>
      <w:sz w:val="32"/>
      <w:szCs w:val="22"/>
    </w:rPr>
  </w:style>
  <w:style w:type="character" w:customStyle="1" w:styleId="113">
    <w:name w:val="t31"/>
    <w:autoRedefine/>
    <w:qFormat/>
    <w:uiPriority w:val="0"/>
    <w:rPr>
      <w:rFonts w:hint="default"/>
      <w:color w:val="000000"/>
    </w:rPr>
  </w:style>
  <w:style w:type="character" w:customStyle="1" w:styleId="114">
    <w:name w:val="Char Char1"/>
    <w:link w:val="115"/>
    <w:autoRedefine/>
    <w:qFormat/>
    <w:uiPriority w:val="0"/>
    <w:rPr>
      <w:b/>
      <w:kern w:val="2"/>
      <w:sz w:val="28"/>
    </w:rPr>
  </w:style>
  <w:style w:type="paragraph" w:customStyle="1" w:styleId="115">
    <w:name w:val="批注主题1"/>
    <w:basedOn w:val="21"/>
    <w:next w:val="21"/>
    <w:link w:val="114"/>
    <w:autoRedefine/>
    <w:qFormat/>
    <w:uiPriority w:val="0"/>
    <w:pPr>
      <w:tabs>
        <w:tab w:val="left" w:pos="560"/>
        <w:tab w:val="center" w:pos="8400"/>
      </w:tabs>
    </w:pPr>
    <w:rPr>
      <w:b/>
      <w:sz w:val="28"/>
      <w:szCs w:val="20"/>
    </w:rPr>
  </w:style>
  <w:style w:type="character" w:customStyle="1" w:styleId="116">
    <w:name w:val="font81"/>
    <w:autoRedefine/>
    <w:qFormat/>
    <w:uiPriority w:val="0"/>
    <w:rPr>
      <w:rFonts w:hint="default" w:ascii="Times New Roman" w:hAnsi="Times New Roman" w:cs="Times New Roman"/>
      <w:color w:val="000000"/>
      <w:sz w:val="18"/>
      <w:szCs w:val="18"/>
      <w:u w:val="none"/>
    </w:rPr>
  </w:style>
  <w:style w:type="character" w:customStyle="1" w:styleId="117">
    <w:name w:val="ind:txt Char"/>
    <w:autoRedefine/>
    <w:qFormat/>
    <w:uiPriority w:val="0"/>
    <w:rPr>
      <w:rFonts w:eastAsia="宋体"/>
      <w:kern w:val="2"/>
      <w:sz w:val="21"/>
      <w:lang w:val="en-US" w:eastAsia="zh-CN" w:bidi="ar-SA"/>
    </w:rPr>
  </w:style>
  <w:style w:type="character" w:customStyle="1" w:styleId="118">
    <w:name w:val="默认段落字体1"/>
    <w:autoRedefine/>
    <w:qFormat/>
    <w:uiPriority w:val="0"/>
    <w:rPr>
      <w:rFonts w:hint="default"/>
    </w:rPr>
  </w:style>
  <w:style w:type="character" w:customStyle="1" w:styleId="119">
    <w:name w:val="font21"/>
    <w:basedOn w:val="70"/>
    <w:autoRedefine/>
    <w:qFormat/>
    <w:uiPriority w:val="0"/>
    <w:rPr>
      <w:rFonts w:hint="eastAsia" w:ascii="宋体" w:hAnsi="宋体" w:eastAsia="宋体" w:cs="宋体"/>
      <w:color w:val="000000"/>
      <w:kern w:val="2"/>
      <w:sz w:val="21"/>
      <w:szCs w:val="21"/>
      <w:u w:val="single"/>
      <w:lang w:val="en-US" w:eastAsia="zh-CN" w:bidi="ar-SA"/>
    </w:rPr>
  </w:style>
  <w:style w:type="character" w:customStyle="1" w:styleId="120">
    <w:name w:val="标题 4 Char Char"/>
    <w:autoRedefine/>
    <w:qFormat/>
    <w:uiPriority w:val="0"/>
    <w:rPr>
      <w:rFonts w:ascii="Arial" w:hAnsi="Arial" w:eastAsia="黑体"/>
      <w:kern w:val="2"/>
      <w:sz w:val="28"/>
      <w:szCs w:val="24"/>
      <w:lang w:val="en-US" w:eastAsia="zh-CN" w:bidi="ar-SA"/>
    </w:rPr>
  </w:style>
  <w:style w:type="character" w:customStyle="1" w:styleId="121">
    <w:name w:val="正文文字缩进 2 Char Char"/>
    <w:link w:val="122"/>
    <w:autoRedefine/>
    <w:qFormat/>
    <w:uiPriority w:val="0"/>
    <w:rPr>
      <w:rFonts w:ascii="宋体"/>
      <w:color w:val="000000"/>
      <w:sz w:val="21"/>
    </w:rPr>
  </w:style>
  <w:style w:type="paragraph" w:customStyle="1" w:styleId="122">
    <w:name w:val="正文文本缩进 21"/>
    <w:basedOn w:val="1"/>
    <w:link w:val="121"/>
    <w:autoRedefine/>
    <w:qFormat/>
    <w:uiPriority w:val="0"/>
    <w:pPr>
      <w:ind w:left="1021"/>
    </w:pPr>
    <w:rPr>
      <w:rFonts w:ascii="宋体"/>
      <w:color w:val="000000"/>
      <w:kern w:val="0"/>
    </w:rPr>
  </w:style>
  <w:style w:type="character" w:customStyle="1" w:styleId="123">
    <w:name w:val="style11"/>
    <w:autoRedefine/>
    <w:qFormat/>
    <w:uiPriority w:val="0"/>
    <w:rPr>
      <w:rFonts w:hint="default"/>
      <w:b/>
      <w:color w:val="FFFFFF"/>
    </w:rPr>
  </w:style>
  <w:style w:type="character" w:customStyle="1" w:styleId="124">
    <w:name w:val="11111正式正文 Char Char"/>
    <w:link w:val="125"/>
    <w:autoRedefine/>
    <w:qFormat/>
    <w:uiPriority w:val="0"/>
    <w:rPr>
      <w:rFonts w:ascii="宋体" w:hAnsi="宋体" w:eastAsia="Times New Roman"/>
      <w:kern w:val="2"/>
      <w:sz w:val="26"/>
      <w:szCs w:val="28"/>
      <w:lang w:val="en-US" w:eastAsia="zh-CN" w:bidi="ar-SA"/>
    </w:rPr>
  </w:style>
  <w:style w:type="paragraph" w:customStyle="1" w:styleId="125">
    <w:name w:val="11111正式正文"/>
    <w:link w:val="124"/>
    <w:autoRedefine/>
    <w:qFormat/>
    <w:uiPriority w:val="0"/>
    <w:pPr>
      <w:spacing w:line="520" w:lineRule="exact"/>
      <w:ind w:firstLine="200" w:firstLineChars="200"/>
    </w:pPr>
    <w:rPr>
      <w:rFonts w:ascii="宋体" w:hAnsi="宋体" w:eastAsia="Times New Roman" w:cs="Times New Roman"/>
      <w:kern w:val="2"/>
      <w:sz w:val="26"/>
      <w:szCs w:val="28"/>
      <w:lang w:val="en-US" w:eastAsia="zh-CN" w:bidi="ar-SA"/>
    </w:rPr>
  </w:style>
  <w:style w:type="character" w:customStyle="1" w:styleId="126">
    <w:name w:val="current2"/>
    <w:autoRedefine/>
    <w:qFormat/>
    <w:uiPriority w:val="0"/>
    <w:rPr>
      <w:rFonts w:eastAsia="宋体"/>
      <w:b/>
      <w:color w:val="FF0084"/>
      <w:kern w:val="2"/>
      <w:sz w:val="24"/>
      <w:szCs w:val="24"/>
      <w:lang w:val="en-US" w:eastAsia="zh-CN" w:bidi="ar-SA"/>
    </w:rPr>
  </w:style>
  <w:style w:type="character" w:customStyle="1" w:styleId="127">
    <w:name w:val="current5"/>
    <w:autoRedefine/>
    <w:qFormat/>
    <w:uiPriority w:val="0"/>
    <w:rPr>
      <w:rFonts w:eastAsia="宋体"/>
      <w:b/>
      <w:color w:val="FFFFFF"/>
      <w:kern w:val="2"/>
      <w:sz w:val="24"/>
      <w:szCs w:val="24"/>
      <w:bdr w:val="single" w:color="FF5A00" w:sz="12" w:space="0"/>
      <w:shd w:val="clear" w:color="auto" w:fill="FF6C16"/>
      <w:lang w:val="en-US" w:eastAsia="zh-CN" w:bidi="ar-SA"/>
    </w:rPr>
  </w:style>
  <w:style w:type="character" w:customStyle="1" w:styleId="128">
    <w:name w:val="批注文字 Char1"/>
    <w:autoRedefine/>
    <w:qFormat/>
    <w:uiPriority w:val="0"/>
    <w:rPr>
      <w:kern w:val="2"/>
      <w:sz w:val="21"/>
    </w:rPr>
  </w:style>
  <w:style w:type="character" w:customStyle="1" w:styleId="129">
    <w:name w:val="公文正文 Char Char"/>
    <w:link w:val="130"/>
    <w:autoRedefine/>
    <w:qFormat/>
    <w:uiPriority w:val="0"/>
    <w:rPr>
      <w:rFonts w:ascii="仿宋_GB2312" w:hAnsi="Calisto MT" w:eastAsia="仿宋_GB2312"/>
      <w:color w:val="000000"/>
      <w:sz w:val="32"/>
      <w:lang w:val="en-US" w:eastAsia="zh-CN" w:bidi="ar-SA"/>
    </w:rPr>
  </w:style>
  <w:style w:type="paragraph" w:customStyle="1" w:styleId="130">
    <w:name w:val="公文正文"/>
    <w:link w:val="129"/>
    <w:autoRedefine/>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character" w:customStyle="1" w:styleId="131">
    <w:name w:val="页脚 Char1"/>
    <w:autoRedefine/>
    <w:qFormat/>
    <w:uiPriority w:val="0"/>
    <w:rPr>
      <w:kern w:val="2"/>
      <w:sz w:val="18"/>
      <w:szCs w:val="18"/>
    </w:rPr>
  </w:style>
  <w:style w:type="character" w:customStyle="1" w:styleId="132">
    <w:name w:val="样式 标题 2标题 1.1第一层条第二层论文标题 1Para2Title1H2h22l2list + ch...1 Char Char"/>
    <w:link w:val="133"/>
    <w:autoRedefine/>
    <w:qFormat/>
    <w:uiPriority w:val="0"/>
    <w:rPr>
      <w:rFonts w:ascii="Arial" w:hAnsi="Arial" w:cs="宋体"/>
      <w:b/>
      <w:color w:val="000000"/>
      <w:kern w:val="2"/>
      <w:sz w:val="24"/>
      <w:szCs w:val="24"/>
    </w:rPr>
  </w:style>
  <w:style w:type="paragraph" w:customStyle="1" w:styleId="133">
    <w:name w:val="样式 标题 2标题 1.1第一层条第二层论文标题 1Para2Title1H2h22l2list + ch...1"/>
    <w:basedOn w:val="3"/>
    <w:link w:val="132"/>
    <w:autoRedefine/>
    <w:qFormat/>
    <w:uiPriority w:val="0"/>
    <w:pPr>
      <w:widowControl w:val="0"/>
      <w:tabs>
        <w:tab w:val="left" w:pos="840"/>
      </w:tabs>
      <w:adjustRightInd w:val="0"/>
      <w:spacing w:before="0" w:after="0" w:line="360" w:lineRule="auto"/>
      <w:ind w:right="50" w:rightChars="50"/>
      <w:jc w:val="both"/>
      <w:textAlignment w:val="baseline"/>
    </w:pPr>
    <w:rPr>
      <w:rFonts w:eastAsia="宋体"/>
      <w:color w:val="000000"/>
      <w:kern w:val="2"/>
      <w:sz w:val="24"/>
      <w:szCs w:val="24"/>
    </w:rPr>
  </w:style>
  <w:style w:type="character" w:customStyle="1" w:styleId="134">
    <w:name w:val="标题 1 1 Char"/>
    <w:link w:val="135"/>
    <w:autoRedefine/>
    <w:qFormat/>
    <w:uiPriority w:val="0"/>
    <w:rPr>
      <w:b/>
      <w:kern w:val="2"/>
      <w:sz w:val="24"/>
    </w:rPr>
  </w:style>
  <w:style w:type="paragraph" w:customStyle="1" w:styleId="135">
    <w:name w:val="标题 11"/>
    <w:basedOn w:val="1"/>
    <w:next w:val="1"/>
    <w:link w:val="134"/>
    <w:autoRedefine/>
    <w:qFormat/>
    <w:uiPriority w:val="0"/>
    <w:pPr>
      <w:numPr>
        <w:ilvl w:val="0"/>
        <w:numId w:val="1"/>
      </w:numPr>
      <w:tabs>
        <w:tab w:val="left" w:pos="470"/>
      </w:tabs>
      <w:spacing w:before="240"/>
      <w:outlineLvl w:val="0"/>
    </w:pPr>
    <w:rPr>
      <w:b/>
      <w:sz w:val="24"/>
    </w:rPr>
  </w:style>
  <w:style w:type="character" w:customStyle="1" w:styleId="136">
    <w:name w:val="标题 1.1 Char"/>
    <w:link w:val="137"/>
    <w:autoRedefine/>
    <w:qFormat/>
    <w:uiPriority w:val="0"/>
    <w:rPr>
      <w:rFonts w:ascii="宋体" w:hAnsi="宋体"/>
      <w:b/>
      <w:snapToGrid w:val="0"/>
      <w:sz w:val="28"/>
    </w:rPr>
  </w:style>
  <w:style w:type="paragraph" w:customStyle="1" w:styleId="137">
    <w:name w:val="标题 21"/>
    <w:basedOn w:val="1"/>
    <w:next w:val="138"/>
    <w:link w:val="136"/>
    <w:autoRedefine/>
    <w:qFormat/>
    <w:uiPriority w:val="0"/>
    <w:pPr>
      <w:spacing w:before="240" w:line="300" w:lineRule="auto"/>
      <w:outlineLvl w:val="1"/>
    </w:pPr>
    <w:rPr>
      <w:rFonts w:ascii="宋体" w:hAnsi="宋体"/>
      <w:b/>
      <w:snapToGrid w:val="0"/>
      <w:kern w:val="0"/>
      <w:sz w:val="28"/>
    </w:rPr>
  </w:style>
  <w:style w:type="paragraph" w:customStyle="1" w:styleId="138">
    <w:name w:val="正文缩进1"/>
    <w:basedOn w:val="1"/>
    <w:autoRedefine/>
    <w:qFormat/>
    <w:uiPriority w:val="0"/>
    <w:pPr>
      <w:tabs>
        <w:tab w:val="left" w:pos="720"/>
      </w:tabs>
      <w:ind w:left="624" w:hanging="624"/>
      <w:textAlignment w:val="baseline"/>
    </w:pPr>
    <w:rPr>
      <w:rFonts w:hint="eastAsia" w:ascii="宋体"/>
    </w:rPr>
  </w:style>
  <w:style w:type="character" w:customStyle="1" w:styleId="139">
    <w:name w:val="列表框1 Char Char"/>
    <w:link w:val="140"/>
    <w:autoRedefine/>
    <w:qFormat/>
    <w:uiPriority w:val="0"/>
    <w:rPr>
      <w:rFonts w:ascii="Arial" w:hAnsi="Arial" w:eastAsia="楷体_GB2312" w:cs="Arial"/>
      <w:spacing w:val="10"/>
      <w:kern w:val="2"/>
      <w:sz w:val="21"/>
      <w:szCs w:val="24"/>
    </w:rPr>
  </w:style>
  <w:style w:type="paragraph" w:customStyle="1" w:styleId="140">
    <w:name w:val="列表框1"/>
    <w:basedOn w:val="141"/>
    <w:next w:val="141"/>
    <w:link w:val="139"/>
    <w:autoRedefine/>
    <w:qFormat/>
    <w:uiPriority w:val="0"/>
    <w:pPr>
      <w:tabs>
        <w:tab w:val="left" w:pos="360"/>
        <w:tab w:val="left" w:pos="420"/>
        <w:tab w:val="left" w:pos="795"/>
        <w:tab w:val="left" w:pos="965"/>
        <w:tab w:val="left" w:pos="1628"/>
        <w:tab w:val="left" w:pos="2086"/>
      </w:tabs>
      <w:snapToGrid w:val="0"/>
      <w:ind w:left="1637" w:leftChars="500" w:hanging="437" w:hangingChars="190"/>
    </w:pPr>
  </w:style>
  <w:style w:type="paragraph" w:customStyle="1" w:styleId="141">
    <w:name w:val="应答文本"/>
    <w:basedOn w:val="1"/>
    <w:link w:val="142"/>
    <w:autoRedefine/>
    <w:qFormat/>
    <w:uiPriority w:val="0"/>
    <w:pPr>
      <w:adjustRightInd w:val="0"/>
      <w:spacing w:afterLines="50" w:line="320" w:lineRule="exact"/>
      <w:ind w:left="720" w:leftChars="300" w:firstLine="460" w:firstLineChars="200"/>
    </w:pPr>
    <w:rPr>
      <w:rFonts w:ascii="Arial" w:hAnsi="Arial" w:eastAsia="楷体_GB2312"/>
      <w:spacing w:val="10"/>
      <w:szCs w:val="24"/>
    </w:rPr>
  </w:style>
  <w:style w:type="character" w:customStyle="1" w:styleId="142">
    <w:name w:val="应答文本 Char Char"/>
    <w:link w:val="141"/>
    <w:autoRedefine/>
    <w:qFormat/>
    <w:uiPriority w:val="0"/>
    <w:rPr>
      <w:rFonts w:ascii="Arial" w:hAnsi="Arial" w:eastAsia="楷体_GB2312" w:cs="宋体"/>
      <w:spacing w:val="10"/>
      <w:kern w:val="2"/>
      <w:sz w:val="21"/>
      <w:szCs w:val="24"/>
    </w:rPr>
  </w:style>
  <w:style w:type="character" w:customStyle="1" w:styleId="143">
    <w:name w:val="标题 4 Char Char Char Char"/>
    <w:link w:val="144"/>
    <w:autoRedefine/>
    <w:qFormat/>
    <w:uiPriority w:val="0"/>
    <w:rPr>
      <w:snapToGrid w:val="0"/>
      <w:color w:val="000000"/>
      <w:sz w:val="24"/>
    </w:rPr>
  </w:style>
  <w:style w:type="paragraph" w:customStyle="1" w:styleId="144">
    <w:name w:val="标题 41"/>
    <w:basedOn w:val="1"/>
    <w:next w:val="138"/>
    <w:link w:val="143"/>
    <w:autoRedefine/>
    <w:qFormat/>
    <w:uiPriority w:val="0"/>
    <w:pPr>
      <w:tabs>
        <w:tab w:val="left" w:pos="1021"/>
        <w:tab w:val="left" w:pos="1175"/>
      </w:tabs>
      <w:ind w:left="2" w:firstLine="2"/>
      <w:outlineLvl w:val="3"/>
    </w:pPr>
    <w:rPr>
      <w:snapToGrid w:val="0"/>
      <w:color w:val="000000"/>
      <w:kern w:val="0"/>
      <w:sz w:val="24"/>
    </w:rPr>
  </w:style>
  <w:style w:type="character" w:customStyle="1" w:styleId="145">
    <w:name w:val="正文文字缩进 Char Char"/>
    <w:link w:val="146"/>
    <w:autoRedefine/>
    <w:qFormat/>
    <w:uiPriority w:val="0"/>
    <w:rPr>
      <w:rFonts w:ascii="宋体"/>
      <w:color w:val="000000"/>
      <w:sz w:val="21"/>
    </w:rPr>
  </w:style>
  <w:style w:type="paragraph" w:customStyle="1" w:styleId="146">
    <w:name w:val="正文文本缩进1"/>
    <w:basedOn w:val="1"/>
    <w:link w:val="145"/>
    <w:autoRedefine/>
    <w:qFormat/>
    <w:uiPriority w:val="0"/>
    <w:pPr>
      <w:ind w:left="851"/>
    </w:pPr>
    <w:rPr>
      <w:rFonts w:ascii="宋体"/>
      <w:color w:val="000000"/>
      <w:kern w:val="0"/>
    </w:rPr>
  </w:style>
  <w:style w:type="character" w:customStyle="1" w:styleId="147">
    <w:name w:val="Footer-Even Char Char"/>
    <w:autoRedefine/>
    <w:qFormat/>
    <w:uiPriority w:val="0"/>
    <w:rPr>
      <w:rFonts w:eastAsia="宋体"/>
      <w:kern w:val="2"/>
      <w:sz w:val="18"/>
      <w:szCs w:val="18"/>
      <w:lang w:val="en-US" w:eastAsia="zh-CN" w:bidi="ar-SA"/>
    </w:rPr>
  </w:style>
  <w:style w:type="character" w:customStyle="1" w:styleId="148">
    <w:name w:val="批注框文本 Char1"/>
    <w:autoRedefine/>
    <w:qFormat/>
    <w:uiPriority w:val="99"/>
    <w:rPr>
      <w:kern w:val="2"/>
      <w:sz w:val="18"/>
      <w:szCs w:val="18"/>
    </w:rPr>
  </w:style>
  <w:style w:type="character" w:customStyle="1" w:styleId="149">
    <w:name w:val="Char Char141"/>
    <w:autoRedefine/>
    <w:qFormat/>
    <w:uiPriority w:val="0"/>
    <w:rPr>
      <w:rFonts w:hint="eastAsia" w:ascii="Arial" w:hAnsi="Arial" w:eastAsia="黑体"/>
      <w:snapToGrid w:val="0"/>
      <w:color w:val="000000"/>
      <w:sz w:val="24"/>
      <w:lang w:val="en-US" w:eastAsia="zh-CN"/>
    </w:rPr>
  </w:style>
  <w:style w:type="character" w:customStyle="1" w:styleId="150">
    <w:name w:val="font71"/>
    <w:autoRedefine/>
    <w:qFormat/>
    <w:uiPriority w:val="0"/>
    <w:rPr>
      <w:rFonts w:hint="eastAsia" w:ascii="宋体" w:hAnsi="宋体" w:eastAsia="宋体" w:cs="宋体"/>
      <w:color w:val="000000"/>
      <w:sz w:val="18"/>
      <w:szCs w:val="18"/>
      <w:u w:val="none"/>
    </w:rPr>
  </w:style>
  <w:style w:type="character" w:customStyle="1" w:styleId="151">
    <w:name w:val="text12st_hs1"/>
    <w:autoRedefine/>
    <w:qFormat/>
    <w:uiPriority w:val="0"/>
    <w:rPr>
      <w:rFonts w:hint="default"/>
      <w:color w:val="000000"/>
      <w:sz w:val="19"/>
    </w:rPr>
  </w:style>
  <w:style w:type="character" w:customStyle="1" w:styleId="152">
    <w:name w:val="Char Char18"/>
    <w:autoRedefine/>
    <w:qFormat/>
    <w:uiPriority w:val="0"/>
    <w:rPr>
      <w:rFonts w:ascii="Times New Roman" w:hAnsi="Times New Roman" w:eastAsia="宋体" w:cs="Times New Roman"/>
      <w:szCs w:val="20"/>
    </w:rPr>
  </w:style>
  <w:style w:type="character" w:customStyle="1" w:styleId="153">
    <w:name w:val="纯文本 Char2"/>
    <w:autoRedefine/>
    <w:qFormat/>
    <w:uiPriority w:val="99"/>
    <w:rPr>
      <w:rFonts w:ascii="宋体" w:hAnsi="Courier New" w:cs="Courier New"/>
      <w:kern w:val="2"/>
      <w:sz w:val="21"/>
      <w:szCs w:val="21"/>
    </w:rPr>
  </w:style>
  <w:style w:type="character" w:customStyle="1" w:styleId="154">
    <w:name w:val="t101"/>
    <w:autoRedefine/>
    <w:qFormat/>
    <w:uiPriority w:val="0"/>
    <w:rPr>
      <w:rFonts w:hint="default"/>
    </w:rPr>
  </w:style>
  <w:style w:type="character" w:customStyle="1" w:styleId="155">
    <w:name w:val="普通文字 Char2"/>
    <w:autoRedefine/>
    <w:qFormat/>
    <w:uiPriority w:val="0"/>
    <w:rPr>
      <w:rFonts w:ascii="宋体" w:hAnsi="Courier New" w:eastAsia="宋体"/>
      <w:kern w:val="2"/>
      <w:sz w:val="21"/>
      <w:lang w:val="en-US" w:eastAsia="zh-CN" w:bidi="ar-SA"/>
    </w:rPr>
  </w:style>
  <w:style w:type="character" w:customStyle="1" w:styleId="156">
    <w:name w:val="style131"/>
    <w:autoRedefine/>
    <w:qFormat/>
    <w:uiPriority w:val="0"/>
    <w:rPr>
      <w:rFonts w:eastAsia="宋体"/>
      <w:kern w:val="2"/>
      <w:sz w:val="24"/>
      <w:szCs w:val="24"/>
      <w:lang w:val="en-US" w:eastAsia="zh-CN" w:bidi="ar-SA"/>
    </w:rPr>
  </w:style>
  <w:style w:type="character" w:customStyle="1" w:styleId="157">
    <w:name w:val="even Char Char"/>
    <w:autoRedefine/>
    <w:qFormat/>
    <w:uiPriority w:val="0"/>
    <w:rPr>
      <w:rFonts w:eastAsia="宋体"/>
      <w:kern w:val="2"/>
      <w:sz w:val="18"/>
      <w:szCs w:val="24"/>
      <w:lang w:val="en-US" w:eastAsia="zh-CN" w:bidi="ar-SA"/>
    </w:rPr>
  </w:style>
  <w:style w:type="character" w:customStyle="1" w:styleId="158">
    <w:name w:val="纯文本 Char1"/>
    <w:autoRedefine/>
    <w:qFormat/>
    <w:uiPriority w:val="0"/>
    <w:rPr>
      <w:rFonts w:ascii="宋体" w:hAnsi="Courier New"/>
    </w:rPr>
  </w:style>
  <w:style w:type="character" w:customStyle="1" w:styleId="159">
    <w:name w:val="7 sub-style Char"/>
    <w:link w:val="160"/>
    <w:autoRedefine/>
    <w:qFormat/>
    <w:uiPriority w:val="0"/>
    <w:rPr>
      <w:b/>
      <w:kern w:val="2"/>
      <w:sz w:val="24"/>
    </w:rPr>
  </w:style>
  <w:style w:type="paragraph" w:customStyle="1" w:styleId="160">
    <w:name w:val="标题 71"/>
    <w:basedOn w:val="1"/>
    <w:next w:val="138"/>
    <w:link w:val="159"/>
    <w:autoRedefine/>
    <w:qFormat/>
    <w:uiPriority w:val="0"/>
    <w:pPr>
      <w:keepNext/>
      <w:tabs>
        <w:tab w:val="left" w:pos="1296"/>
      </w:tabs>
      <w:spacing w:before="240" w:after="64" w:line="320" w:lineRule="auto"/>
      <w:outlineLvl w:val="6"/>
    </w:pPr>
    <w:rPr>
      <w:b/>
      <w:sz w:val="24"/>
    </w:rPr>
  </w:style>
  <w:style w:type="character" w:customStyle="1" w:styleId="161">
    <w:name w:val="正文（首行缩进两字） Char"/>
    <w:autoRedefine/>
    <w:qFormat/>
    <w:uiPriority w:val="0"/>
    <w:rPr>
      <w:rFonts w:hint="eastAsia" w:ascii="宋体" w:eastAsia="宋体"/>
      <w:snapToGrid w:val="0"/>
      <w:color w:val="000000"/>
      <w:sz w:val="21"/>
      <w:lang w:val="en-US" w:eastAsia="zh-CN"/>
    </w:rPr>
  </w:style>
  <w:style w:type="character" w:customStyle="1" w:styleId="162">
    <w:name w:val="批注文字 Char"/>
    <w:autoRedefine/>
    <w:qFormat/>
    <w:uiPriority w:val="99"/>
    <w:rPr>
      <w:kern w:val="2"/>
      <w:sz w:val="21"/>
      <w:szCs w:val="24"/>
    </w:rPr>
  </w:style>
  <w:style w:type="character" w:customStyle="1" w:styleId="163">
    <w:name w:val="副标题 Char2"/>
    <w:autoRedefine/>
    <w:qFormat/>
    <w:uiPriority w:val="0"/>
    <w:rPr>
      <w:rFonts w:ascii="Cambria" w:hAnsi="Cambria" w:cs="Times New Roman"/>
      <w:b/>
      <w:bCs/>
      <w:kern w:val="28"/>
      <w:sz w:val="32"/>
      <w:szCs w:val="32"/>
    </w:rPr>
  </w:style>
  <w:style w:type="character" w:customStyle="1" w:styleId="164">
    <w:name w:val="页眉 Char1"/>
    <w:autoRedefine/>
    <w:qFormat/>
    <w:uiPriority w:val="0"/>
    <w:rPr>
      <w:kern w:val="2"/>
      <w:sz w:val="18"/>
      <w:szCs w:val="18"/>
    </w:rPr>
  </w:style>
  <w:style w:type="character" w:customStyle="1" w:styleId="165">
    <w:name w:val="Char Char Char Char Char"/>
    <w:autoRedefine/>
    <w:qFormat/>
    <w:uiPriority w:val="0"/>
    <w:rPr>
      <w:rFonts w:ascii="宋体"/>
      <w:snapToGrid/>
      <w:sz w:val="24"/>
    </w:rPr>
  </w:style>
  <w:style w:type="character" w:customStyle="1" w:styleId="166">
    <w:name w:val="标题 Char1"/>
    <w:autoRedefine/>
    <w:qFormat/>
    <w:uiPriority w:val="0"/>
    <w:rPr>
      <w:rFonts w:ascii="Cambria" w:hAnsi="Cambria" w:cs="Times New Roman"/>
      <w:b/>
      <w:bCs/>
      <w:kern w:val="2"/>
      <w:sz w:val="32"/>
      <w:szCs w:val="32"/>
    </w:rPr>
  </w:style>
  <w:style w:type="character" w:customStyle="1" w:styleId="167">
    <w:name w:val="font31"/>
    <w:autoRedefine/>
    <w:qFormat/>
    <w:uiPriority w:val="0"/>
    <w:rPr>
      <w:rFonts w:hint="default" w:ascii="Times New Roman" w:hAnsi="Times New Roman" w:eastAsia="宋体" w:cs="Times New Roman"/>
      <w:color w:val="000000"/>
      <w:kern w:val="2"/>
      <w:sz w:val="20"/>
      <w:szCs w:val="20"/>
      <w:u w:val="none"/>
      <w:lang w:val="en-US" w:eastAsia="zh-CN" w:bidi="ar-SA"/>
    </w:rPr>
  </w:style>
  <w:style w:type="character" w:customStyle="1" w:styleId="168">
    <w:name w:val="Char Char17"/>
    <w:autoRedefine/>
    <w:qFormat/>
    <w:uiPriority w:val="99"/>
    <w:rPr>
      <w:rFonts w:hint="eastAsia" w:ascii="宋体" w:eastAsia="宋体"/>
      <w:b/>
      <w:snapToGrid w:val="0"/>
      <w:color w:val="000000"/>
      <w:sz w:val="28"/>
      <w:lang w:val="en-US" w:eastAsia="zh-CN"/>
    </w:rPr>
  </w:style>
  <w:style w:type="character" w:customStyle="1" w:styleId="169">
    <w:name w:val="font51"/>
    <w:autoRedefine/>
    <w:qFormat/>
    <w:uiPriority w:val="0"/>
    <w:rPr>
      <w:rFonts w:hint="eastAsia" w:ascii="宋体" w:hAnsi="宋体" w:eastAsia="宋体" w:cs="宋体"/>
      <w:b/>
      <w:color w:val="000000"/>
      <w:kern w:val="2"/>
      <w:sz w:val="21"/>
      <w:szCs w:val="21"/>
      <w:u w:val="none"/>
      <w:lang w:val="en-US" w:eastAsia="zh-CN" w:bidi="ar-SA"/>
    </w:rPr>
  </w:style>
  <w:style w:type="character" w:customStyle="1" w:styleId="170">
    <w:name w:val="样式 标题 4Para4CDR_Lev 4Title3h44 dashddash + (符号) 宋体 加粗 Char Char"/>
    <w:link w:val="171"/>
    <w:autoRedefine/>
    <w:qFormat/>
    <w:uiPriority w:val="0"/>
    <w:rPr>
      <w:rFonts w:ascii="Arial" w:hAnsi="Arial" w:eastAsia="黑体"/>
      <w:snapToGrid w:val="0"/>
      <w:kern w:val="2"/>
      <w:sz w:val="28"/>
      <w:szCs w:val="24"/>
    </w:rPr>
  </w:style>
  <w:style w:type="paragraph" w:customStyle="1" w:styleId="171">
    <w:name w:val="样式 标题 4Para4CDR_Lev 4Title3h44 dashddash + (符号) 宋体 加粗"/>
    <w:basedOn w:val="6"/>
    <w:link w:val="170"/>
    <w:autoRedefine/>
    <w:qFormat/>
    <w:uiPriority w:val="0"/>
    <w:pPr>
      <w:keepNext w:val="0"/>
      <w:keepLines w:val="0"/>
      <w:widowControl w:val="0"/>
      <w:tabs>
        <w:tab w:val="left" w:pos="907"/>
      </w:tabs>
      <w:autoSpaceDE w:val="0"/>
      <w:autoSpaceDN w:val="0"/>
      <w:adjustRightInd w:val="0"/>
      <w:snapToGrid w:val="0"/>
      <w:spacing w:before="0" w:after="0"/>
      <w:ind w:left="1644" w:hanging="1644"/>
      <w:jc w:val="both"/>
      <w:textAlignment w:val="baseline"/>
    </w:pPr>
    <w:rPr>
      <w:snapToGrid w:val="0"/>
    </w:rPr>
  </w:style>
  <w:style w:type="character" w:customStyle="1" w:styleId="172">
    <w:name w:val="font01"/>
    <w:autoRedefine/>
    <w:qFormat/>
    <w:uiPriority w:val="0"/>
    <w:rPr>
      <w:rFonts w:hint="default" w:ascii="Times New Roman" w:hAnsi="Times New Roman" w:eastAsia="宋体" w:cs="Times New Roman"/>
      <w:color w:val="000000"/>
      <w:kern w:val="2"/>
      <w:sz w:val="20"/>
      <w:szCs w:val="20"/>
      <w:u w:val="none"/>
      <w:lang w:val="en-US" w:eastAsia="zh-CN" w:bidi="ar-SA"/>
    </w:rPr>
  </w:style>
  <w:style w:type="character" w:customStyle="1" w:styleId="173">
    <w:name w:val="unnamed11"/>
    <w:autoRedefine/>
    <w:qFormat/>
    <w:uiPriority w:val="0"/>
    <w:rPr>
      <w:color w:val="000000"/>
      <w:sz w:val="18"/>
      <w:szCs w:val="18"/>
    </w:rPr>
  </w:style>
  <w:style w:type="character" w:customStyle="1" w:styleId="174">
    <w:name w:val="列表编号3 Char"/>
    <w:link w:val="175"/>
    <w:autoRedefine/>
    <w:qFormat/>
    <w:uiPriority w:val="0"/>
    <w:rPr>
      <w:rFonts w:ascii="宋体" w:hAnsi="宋体"/>
      <w:snapToGrid w:val="0"/>
      <w:sz w:val="24"/>
    </w:rPr>
  </w:style>
  <w:style w:type="paragraph" w:customStyle="1" w:styleId="175">
    <w:name w:val="标题 31"/>
    <w:basedOn w:val="1"/>
    <w:next w:val="138"/>
    <w:link w:val="174"/>
    <w:autoRedefine/>
    <w:qFormat/>
    <w:uiPriority w:val="0"/>
    <w:pPr>
      <w:spacing w:before="60" w:line="300" w:lineRule="auto"/>
      <w:outlineLvl w:val="2"/>
    </w:pPr>
    <w:rPr>
      <w:rFonts w:ascii="宋体" w:hAnsi="宋体"/>
      <w:snapToGrid w:val="0"/>
      <w:kern w:val="0"/>
      <w:sz w:val="24"/>
    </w:rPr>
  </w:style>
  <w:style w:type="character" w:customStyle="1" w:styleId="176">
    <w:name w:val="current1"/>
    <w:autoRedefine/>
    <w:qFormat/>
    <w:uiPriority w:val="0"/>
    <w:rPr>
      <w:rFonts w:hint="eastAsia" w:ascii="宋体" w:hAnsi="宋体" w:eastAsia="宋体" w:cs="宋体"/>
      <w:b/>
      <w:color w:val="FF6500"/>
      <w:kern w:val="2"/>
      <w:sz w:val="18"/>
      <w:szCs w:val="18"/>
      <w:bdr w:val="single" w:color="FF6500" w:sz="6" w:space="0"/>
      <w:shd w:val="clear" w:color="auto" w:fill="FFBE94"/>
      <w:lang w:val="en-US" w:eastAsia="zh-CN" w:bidi="ar-SA"/>
    </w:rPr>
  </w:style>
  <w:style w:type="character" w:customStyle="1" w:styleId="177">
    <w:name w:val="apple-converted-space"/>
    <w:autoRedefine/>
    <w:qFormat/>
    <w:uiPriority w:val="0"/>
  </w:style>
  <w:style w:type="character" w:customStyle="1" w:styleId="178">
    <w:name w:val="current4"/>
    <w:autoRedefine/>
    <w:qFormat/>
    <w:uiPriority w:val="0"/>
    <w:rPr>
      <w:rFonts w:eastAsia="宋体"/>
      <w:b/>
      <w:color w:val="FFFFFF"/>
      <w:kern w:val="2"/>
      <w:sz w:val="24"/>
      <w:szCs w:val="24"/>
      <w:bdr w:val="single" w:color="FFFFFF" w:sz="6" w:space="0"/>
      <w:shd w:val="clear" w:color="auto" w:fill="606060"/>
      <w:lang w:val="en-US" w:eastAsia="zh-CN" w:bidi="ar-SA"/>
    </w:rPr>
  </w:style>
  <w:style w:type="character" w:customStyle="1" w:styleId="179">
    <w:name w:val="cjHD正文 Char"/>
    <w:link w:val="180"/>
    <w:autoRedefine/>
    <w:qFormat/>
    <w:uiPriority w:val="0"/>
    <w:rPr>
      <w:rFonts w:ascii="宋体" w:hAnsi="宋体"/>
      <w:sz w:val="24"/>
      <w:szCs w:val="28"/>
    </w:rPr>
  </w:style>
  <w:style w:type="paragraph" w:customStyle="1" w:styleId="180">
    <w:name w:val="cjHD正文"/>
    <w:basedOn w:val="1"/>
    <w:link w:val="179"/>
    <w:autoRedefine/>
    <w:qFormat/>
    <w:uiPriority w:val="0"/>
    <w:pPr>
      <w:widowControl/>
      <w:spacing w:line="360" w:lineRule="auto"/>
      <w:ind w:firstLine="200" w:firstLineChars="200"/>
      <w:jc w:val="left"/>
    </w:pPr>
    <w:rPr>
      <w:rFonts w:ascii="宋体" w:hAnsi="宋体"/>
      <w:kern w:val="0"/>
      <w:sz w:val="24"/>
      <w:szCs w:val="28"/>
    </w:rPr>
  </w:style>
  <w:style w:type="character" w:customStyle="1" w:styleId="181">
    <w:name w:val="正文文本 Char"/>
    <w:autoRedefine/>
    <w:qFormat/>
    <w:uiPriority w:val="0"/>
    <w:rPr>
      <w:kern w:val="2"/>
      <w:sz w:val="21"/>
      <w:szCs w:val="24"/>
    </w:rPr>
  </w:style>
  <w:style w:type="character" w:customStyle="1" w:styleId="182">
    <w:name w:val="正文（首行缩进两字） Char Char"/>
    <w:autoRedefine/>
    <w:qFormat/>
    <w:uiPriority w:val="0"/>
    <w:rPr>
      <w:rFonts w:hint="eastAsia" w:ascii="宋体" w:eastAsia="宋体"/>
      <w:snapToGrid w:val="0"/>
      <w:color w:val="000000"/>
      <w:sz w:val="21"/>
      <w:lang w:val="en-US" w:eastAsia="zh-CN"/>
    </w:rPr>
  </w:style>
  <w:style w:type="character" w:customStyle="1" w:styleId="183">
    <w:name w:val="style5"/>
    <w:autoRedefine/>
    <w:qFormat/>
    <w:uiPriority w:val="0"/>
    <w:rPr>
      <w:rFonts w:hint="default"/>
    </w:rPr>
  </w:style>
  <w:style w:type="character" w:customStyle="1" w:styleId="184">
    <w:name w:val="正文文字缩进 3 Char Char"/>
    <w:link w:val="185"/>
    <w:autoRedefine/>
    <w:qFormat/>
    <w:uiPriority w:val="0"/>
    <w:rPr>
      <w:rFonts w:ascii="宋体"/>
      <w:color w:val="000000"/>
      <w:sz w:val="21"/>
    </w:rPr>
  </w:style>
  <w:style w:type="paragraph" w:customStyle="1" w:styleId="185">
    <w:name w:val="正文文本缩进 31"/>
    <w:basedOn w:val="1"/>
    <w:link w:val="184"/>
    <w:autoRedefine/>
    <w:qFormat/>
    <w:uiPriority w:val="0"/>
    <w:pPr>
      <w:ind w:left="851"/>
    </w:pPr>
    <w:rPr>
      <w:rFonts w:ascii="宋体"/>
      <w:color w:val="000000"/>
      <w:kern w:val="0"/>
    </w:rPr>
  </w:style>
  <w:style w:type="character" w:customStyle="1" w:styleId="186">
    <w:name w:val="6 style Char"/>
    <w:link w:val="187"/>
    <w:autoRedefine/>
    <w:qFormat/>
    <w:uiPriority w:val="0"/>
    <w:rPr>
      <w:rFonts w:ascii="Arial" w:hAnsi="Arial" w:eastAsia="黑体"/>
      <w:b/>
      <w:kern w:val="2"/>
      <w:sz w:val="24"/>
    </w:rPr>
  </w:style>
  <w:style w:type="paragraph" w:customStyle="1" w:styleId="187">
    <w:name w:val="标题 61"/>
    <w:basedOn w:val="1"/>
    <w:next w:val="138"/>
    <w:link w:val="186"/>
    <w:autoRedefine/>
    <w:qFormat/>
    <w:uiPriority w:val="0"/>
    <w:pPr>
      <w:keepNext/>
      <w:tabs>
        <w:tab w:val="left" w:pos="1152"/>
      </w:tabs>
      <w:spacing w:before="240" w:after="64" w:line="320" w:lineRule="auto"/>
      <w:outlineLvl w:val="5"/>
    </w:pPr>
    <w:rPr>
      <w:rFonts w:ascii="Arial" w:hAnsi="Arial" w:eastAsia="黑体"/>
      <w:b/>
      <w:sz w:val="24"/>
    </w:rPr>
  </w:style>
  <w:style w:type="character" w:customStyle="1" w:styleId="188">
    <w:name w:val="样式 样式 标题 2标题 1.1第一层条第二层论文标题 1Para2Title1H2h22l2list + ch...1 + 右...1 Char Char"/>
    <w:link w:val="189"/>
    <w:autoRedefine/>
    <w:qFormat/>
    <w:uiPriority w:val="0"/>
    <w:rPr>
      <w:rFonts w:ascii="Arial" w:hAnsi="Arial" w:cs="宋体"/>
      <w:b/>
      <w:color w:val="000000"/>
      <w:kern w:val="2"/>
      <w:sz w:val="24"/>
      <w:szCs w:val="24"/>
    </w:rPr>
  </w:style>
  <w:style w:type="paragraph" w:customStyle="1" w:styleId="189">
    <w:name w:val="样式 样式 标题 2标题 1.1第一层条第二层论文标题 1Para2Title1H2h22l2list + ch...1 + 右...1"/>
    <w:basedOn w:val="133"/>
    <w:link w:val="188"/>
    <w:autoRedefine/>
    <w:qFormat/>
    <w:uiPriority w:val="0"/>
    <w:pPr>
      <w:tabs>
        <w:tab w:val="left" w:pos="567"/>
        <w:tab w:val="clear" w:pos="840"/>
      </w:tabs>
      <w:spacing w:beforeLines="50" w:afterLines="50"/>
      <w:ind w:left="576"/>
    </w:pPr>
  </w:style>
  <w:style w:type="character" w:customStyle="1" w:styleId="190">
    <w:name w:val="fontstyle01"/>
    <w:autoRedefine/>
    <w:qFormat/>
    <w:uiPriority w:val="0"/>
    <w:rPr>
      <w:rFonts w:hint="eastAsia" w:ascii="宋体" w:hAnsi="宋体" w:eastAsia="宋体"/>
      <w:color w:val="000000"/>
      <w:sz w:val="22"/>
      <w:szCs w:val="22"/>
    </w:rPr>
  </w:style>
  <w:style w:type="character" w:customStyle="1" w:styleId="191">
    <w:name w:val="超链接1"/>
    <w:autoRedefine/>
    <w:qFormat/>
    <w:uiPriority w:val="0"/>
    <w:rPr>
      <w:rFonts w:hint="default"/>
      <w:color w:val="0000FF"/>
      <w:u w:val="single"/>
    </w:rPr>
  </w:style>
  <w:style w:type="character" w:customStyle="1" w:styleId="192">
    <w:name w:val="普通文字 Char Char"/>
    <w:autoRedefine/>
    <w:qFormat/>
    <w:uiPriority w:val="0"/>
    <w:rPr>
      <w:rFonts w:ascii="宋体" w:hAnsi="Courier New" w:eastAsia="宋体"/>
      <w:kern w:val="2"/>
      <w:sz w:val="21"/>
      <w:lang w:val="en-US" w:eastAsia="zh-CN" w:bidi="ar-SA"/>
    </w:rPr>
  </w:style>
  <w:style w:type="character" w:customStyle="1" w:styleId="193">
    <w:name w:val="Char Char Char Char Char Char"/>
    <w:autoRedefine/>
    <w:qFormat/>
    <w:uiPriority w:val="0"/>
    <w:rPr>
      <w:rFonts w:ascii="宋体" w:hAnsi="Courier New" w:eastAsia="宋体"/>
      <w:kern w:val="2"/>
      <w:sz w:val="21"/>
      <w:lang w:val="en-US" w:eastAsia="zh-CN" w:bidi="ar-SA"/>
    </w:rPr>
  </w:style>
  <w:style w:type="character" w:customStyle="1" w:styleId="194">
    <w:name w:val="标题 1 Char Char Char"/>
    <w:autoRedefine/>
    <w:qFormat/>
    <w:uiPriority w:val="0"/>
    <w:rPr>
      <w:rFonts w:eastAsia="宋体"/>
      <w:b/>
      <w:bCs/>
      <w:kern w:val="44"/>
      <w:sz w:val="44"/>
      <w:szCs w:val="44"/>
      <w:lang w:val="en-US" w:eastAsia="zh-CN" w:bidi="ar-SA"/>
    </w:rPr>
  </w:style>
  <w:style w:type="character" w:customStyle="1" w:styleId="195">
    <w:name w:val="Char Char16"/>
    <w:autoRedefine/>
    <w:qFormat/>
    <w:uiPriority w:val="99"/>
    <w:rPr>
      <w:rFonts w:hint="eastAsia" w:ascii="Arial" w:hAnsi="Arial" w:eastAsia="黑体"/>
      <w:b/>
      <w:snapToGrid w:val="0"/>
      <w:color w:val="000000"/>
      <w:sz w:val="24"/>
      <w:lang w:val="en-US" w:eastAsia="zh-CN"/>
    </w:rPr>
  </w:style>
  <w:style w:type="character" w:customStyle="1" w:styleId="196">
    <w:name w:val="样式 标题 1标题 1 111121314151111211311611212213217113... Char Char"/>
    <w:link w:val="197"/>
    <w:autoRedefine/>
    <w:qFormat/>
    <w:uiPriority w:val="0"/>
    <w:rPr>
      <w:rFonts w:ascii="宋体" w:hAnsi="宋体" w:eastAsia="黑体"/>
      <w:bCs/>
      <w:kern w:val="44"/>
      <w:sz w:val="48"/>
      <w:szCs w:val="32"/>
    </w:rPr>
  </w:style>
  <w:style w:type="paragraph" w:customStyle="1" w:styleId="197">
    <w:name w:val="样式 标题 1标题 1 111121314151111211311611212213217113..."/>
    <w:basedOn w:val="2"/>
    <w:link w:val="196"/>
    <w:autoRedefine/>
    <w:qFormat/>
    <w:uiPriority w:val="0"/>
    <w:pPr>
      <w:keepLines/>
      <w:widowControl w:val="0"/>
      <w:tabs>
        <w:tab w:val="left" w:pos="840"/>
        <w:tab w:val="clear" w:pos="885"/>
      </w:tabs>
      <w:adjustRightInd w:val="0"/>
      <w:spacing w:before="340" w:after="330" w:line="578" w:lineRule="atLeast"/>
      <w:ind w:left="2297" w:hanging="420"/>
      <w:jc w:val="both"/>
      <w:textAlignment w:val="baseline"/>
    </w:pPr>
    <w:rPr>
      <w:rFonts w:ascii="宋体" w:hAnsi="宋体"/>
      <w:bCs/>
      <w:kern w:val="44"/>
      <w:sz w:val="48"/>
      <w:szCs w:val="32"/>
    </w:rPr>
  </w:style>
  <w:style w:type="character" w:customStyle="1" w:styleId="198">
    <w:name w:val="样式 样式 样式 样式 标题 2标题 1.1第一层条第二层论文标题 1Para2Title1H2h22l2list + ch..... Char Char"/>
    <w:link w:val="199"/>
    <w:autoRedefine/>
    <w:qFormat/>
    <w:uiPriority w:val="0"/>
    <w:rPr>
      <w:rFonts w:ascii="宋体" w:hAnsi="宋体" w:cs="宋体"/>
      <w:b/>
      <w:color w:val="000000"/>
      <w:kern w:val="2"/>
      <w:sz w:val="21"/>
      <w:szCs w:val="28"/>
    </w:rPr>
  </w:style>
  <w:style w:type="paragraph" w:customStyle="1" w:styleId="199">
    <w:name w:val="样式 样式 样式 样式 标题 2标题 1.1第一层条第二层论文标题 1Para2Title1H2h22l2list + ch....."/>
    <w:basedOn w:val="200"/>
    <w:link w:val="198"/>
    <w:autoRedefine/>
    <w:qFormat/>
    <w:uiPriority w:val="0"/>
    <w:pPr>
      <w:tabs>
        <w:tab w:val="left" w:pos="965"/>
      </w:tabs>
      <w:spacing w:before="50" w:after="50"/>
      <w:ind w:left="1134" w:right="50" w:hanging="1134"/>
    </w:pPr>
    <w:rPr>
      <w:rFonts w:ascii="宋体" w:hAnsi="宋体"/>
      <w:sz w:val="21"/>
    </w:rPr>
  </w:style>
  <w:style w:type="paragraph" w:customStyle="1" w:styleId="200">
    <w:name w:val="样式 样式 样式 标题 2标题 1.1第一层条第二层论文标题 1Para2Title1H2h22l2list + ch...1 ..."/>
    <w:basedOn w:val="189"/>
    <w:link w:val="201"/>
    <w:autoRedefine/>
    <w:qFormat/>
    <w:uiPriority w:val="0"/>
    <w:pPr>
      <w:tabs>
        <w:tab w:val="left" w:pos="965"/>
        <w:tab w:val="clear" w:pos="567"/>
      </w:tabs>
      <w:spacing w:beforeLines="0" w:afterLines="0"/>
      <w:ind w:left="965" w:right="105" w:hanging="425"/>
    </w:pPr>
    <w:rPr>
      <w:sz w:val="28"/>
      <w:szCs w:val="28"/>
    </w:rPr>
  </w:style>
  <w:style w:type="character" w:customStyle="1" w:styleId="201">
    <w:name w:val="样式 样式 样式 标题 2标题 1.1第一层条第二层论文标题 1Para2Title1H2h22l2list + ch...1 ... Char Char"/>
    <w:link w:val="200"/>
    <w:autoRedefine/>
    <w:qFormat/>
    <w:uiPriority w:val="0"/>
    <w:rPr>
      <w:rFonts w:ascii="Arial" w:hAnsi="Arial" w:cs="宋体"/>
      <w:b/>
      <w:color w:val="000000"/>
      <w:kern w:val="2"/>
      <w:sz w:val="28"/>
      <w:szCs w:val="28"/>
    </w:rPr>
  </w:style>
  <w:style w:type="character" w:customStyle="1" w:styleId="202">
    <w:name w:val="标题 1 Char Char"/>
    <w:autoRedefine/>
    <w:qFormat/>
    <w:uiPriority w:val="0"/>
    <w:rPr>
      <w:rFonts w:ascii="黑体" w:hAnsi="Arial" w:eastAsia="黑体"/>
      <w:b/>
      <w:kern w:val="2"/>
      <w:sz w:val="52"/>
      <w:szCs w:val="24"/>
      <w:lang w:val="en-US" w:eastAsia="zh-CN" w:bidi="ar-SA"/>
    </w:rPr>
  </w:style>
  <w:style w:type="character" w:customStyle="1" w:styleId="203">
    <w:name w:val="Char Char11"/>
    <w:autoRedefine/>
    <w:qFormat/>
    <w:uiPriority w:val="99"/>
    <w:rPr>
      <w:rFonts w:ascii="宋体" w:hAnsi="Courier New" w:eastAsia="宋体"/>
      <w:kern w:val="2"/>
      <w:sz w:val="21"/>
      <w:szCs w:val="24"/>
      <w:lang w:val="en-US" w:eastAsia="zh-CN" w:bidi="ar-SA"/>
    </w:rPr>
  </w:style>
  <w:style w:type="character" w:customStyle="1" w:styleId="204">
    <w:name w:val="Char Char13"/>
    <w:autoRedefine/>
    <w:qFormat/>
    <w:uiPriority w:val="0"/>
    <w:rPr>
      <w:rFonts w:hint="eastAsia" w:ascii="Arial" w:hAnsi="Arial" w:eastAsia="黑体"/>
      <w:snapToGrid w:val="0"/>
      <w:color w:val="000000"/>
      <w:sz w:val="21"/>
      <w:lang w:val="en-US" w:eastAsia="zh-CN"/>
    </w:rPr>
  </w:style>
  <w:style w:type="character" w:customStyle="1" w:styleId="205">
    <w:name w:val="apple-style-span"/>
    <w:autoRedefine/>
    <w:qFormat/>
    <w:uiPriority w:val="0"/>
    <w:rPr>
      <w:rFonts w:hint="default"/>
    </w:rPr>
  </w:style>
  <w:style w:type="character" w:customStyle="1" w:styleId="206">
    <w:name w:val="纯文本 Char Char"/>
    <w:autoRedefine/>
    <w:qFormat/>
    <w:uiPriority w:val="0"/>
    <w:rPr>
      <w:rFonts w:ascii="宋体" w:hAnsi="Courier New" w:eastAsia="宋体"/>
      <w:kern w:val="2"/>
      <w:sz w:val="21"/>
      <w:lang w:val="en-US" w:eastAsia="zh-CN" w:bidi="ar-SA"/>
    </w:rPr>
  </w:style>
  <w:style w:type="character" w:customStyle="1" w:styleId="207">
    <w:name w:val="Char Char2"/>
    <w:link w:val="208"/>
    <w:autoRedefine/>
    <w:qFormat/>
    <w:uiPriority w:val="99"/>
    <w:rPr>
      <w:rFonts w:ascii="宋体"/>
      <w:color w:val="000000"/>
      <w:sz w:val="18"/>
    </w:rPr>
  </w:style>
  <w:style w:type="paragraph" w:customStyle="1" w:styleId="208">
    <w:name w:val="批注框文本1"/>
    <w:basedOn w:val="1"/>
    <w:link w:val="207"/>
    <w:autoRedefine/>
    <w:qFormat/>
    <w:uiPriority w:val="0"/>
    <w:rPr>
      <w:rFonts w:ascii="宋体"/>
      <w:color w:val="000000"/>
      <w:kern w:val="0"/>
      <w:sz w:val="18"/>
    </w:rPr>
  </w:style>
  <w:style w:type="character" w:customStyle="1" w:styleId="209">
    <w:name w:val="font111"/>
    <w:autoRedefine/>
    <w:qFormat/>
    <w:uiPriority w:val="0"/>
    <w:rPr>
      <w:rFonts w:ascii="仿宋_GB2312" w:eastAsia="仿宋_GB2312" w:cs="仿宋_GB2312"/>
      <w:b/>
      <w:color w:val="000000"/>
      <w:kern w:val="2"/>
      <w:sz w:val="32"/>
      <w:szCs w:val="32"/>
      <w:u w:val="none"/>
      <w:lang w:val="en-US" w:eastAsia="zh-CN" w:bidi="ar-SA"/>
    </w:rPr>
  </w:style>
  <w:style w:type="character" w:customStyle="1" w:styleId="210">
    <w:name w:val="正文文本缩进 2 Char1"/>
    <w:autoRedefine/>
    <w:qFormat/>
    <w:uiPriority w:val="99"/>
    <w:rPr>
      <w:kern w:val="2"/>
      <w:sz w:val="21"/>
    </w:rPr>
  </w:style>
  <w:style w:type="character" w:customStyle="1" w:styleId="211">
    <w:name w:val="font11"/>
    <w:autoRedefine/>
    <w:qFormat/>
    <w:uiPriority w:val="0"/>
    <w:rPr>
      <w:rFonts w:hint="eastAsia" w:ascii="宋体" w:hAnsi="宋体" w:eastAsia="宋体" w:cs="宋体"/>
      <w:color w:val="000000"/>
      <w:kern w:val="2"/>
      <w:sz w:val="21"/>
      <w:szCs w:val="21"/>
      <w:u w:val="none"/>
      <w:lang w:val="en-US" w:eastAsia="zh-CN" w:bidi="ar-SA"/>
    </w:rPr>
  </w:style>
  <w:style w:type="character" w:customStyle="1" w:styleId="212">
    <w:name w:val="正文文字 2 Char Char"/>
    <w:link w:val="213"/>
    <w:autoRedefine/>
    <w:qFormat/>
    <w:uiPriority w:val="0"/>
    <w:rPr>
      <w:kern w:val="2"/>
      <w:sz w:val="24"/>
    </w:rPr>
  </w:style>
  <w:style w:type="paragraph" w:customStyle="1" w:styleId="213">
    <w:name w:val="正文文本 21"/>
    <w:basedOn w:val="1"/>
    <w:link w:val="212"/>
    <w:autoRedefine/>
    <w:qFormat/>
    <w:uiPriority w:val="0"/>
    <w:pPr>
      <w:tabs>
        <w:tab w:val="left" w:pos="560"/>
        <w:tab w:val="center" w:pos="8400"/>
      </w:tabs>
    </w:pPr>
    <w:rPr>
      <w:sz w:val="24"/>
    </w:rPr>
  </w:style>
  <w:style w:type="character" w:customStyle="1" w:styleId="214">
    <w:name w:val="已访问的超链接1"/>
    <w:autoRedefine/>
    <w:qFormat/>
    <w:uiPriority w:val="0"/>
    <w:rPr>
      <w:rFonts w:hint="default"/>
      <w:color w:val="800080"/>
      <w:u w:val="single"/>
    </w:rPr>
  </w:style>
  <w:style w:type="character" w:customStyle="1" w:styleId="215">
    <w:name w:val="页码1"/>
    <w:autoRedefine/>
    <w:qFormat/>
    <w:uiPriority w:val="0"/>
  </w:style>
  <w:style w:type="character" w:customStyle="1" w:styleId="216">
    <w:name w:val="5 sub-bullet Char"/>
    <w:link w:val="217"/>
    <w:autoRedefine/>
    <w:qFormat/>
    <w:uiPriority w:val="0"/>
    <w:rPr>
      <w:b/>
      <w:kern w:val="2"/>
      <w:sz w:val="24"/>
    </w:rPr>
  </w:style>
  <w:style w:type="paragraph" w:customStyle="1" w:styleId="217">
    <w:name w:val="标题 51"/>
    <w:basedOn w:val="1"/>
    <w:next w:val="138"/>
    <w:link w:val="216"/>
    <w:autoRedefine/>
    <w:qFormat/>
    <w:uiPriority w:val="0"/>
    <w:pPr>
      <w:keepNext/>
      <w:tabs>
        <w:tab w:val="left" w:pos="1008"/>
      </w:tabs>
      <w:spacing w:before="280" w:after="290" w:line="376" w:lineRule="auto"/>
      <w:outlineLvl w:val="4"/>
    </w:pPr>
    <w:rPr>
      <w:b/>
      <w:sz w:val="24"/>
    </w:rPr>
  </w:style>
  <w:style w:type="character" w:customStyle="1" w:styleId="218">
    <w:name w:val="副标题 Char1"/>
    <w:autoRedefine/>
    <w:qFormat/>
    <w:uiPriority w:val="0"/>
    <w:rPr>
      <w:rFonts w:ascii="Cambria" w:hAnsi="Cambria" w:cs="Times New Roman"/>
      <w:b/>
      <w:bCs/>
      <w:kern w:val="28"/>
      <w:sz w:val="32"/>
      <w:szCs w:val="32"/>
    </w:rPr>
  </w:style>
  <w:style w:type="character" w:customStyle="1" w:styleId="219">
    <w:name w:val="WW-WW8Num3z0"/>
    <w:autoRedefine/>
    <w:qFormat/>
    <w:uiPriority w:val="0"/>
    <w:rPr>
      <w:rFonts w:ascii="Wingdings" w:hAnsi="Wingdings"/>
    </w:rPr>
  </w:style>
  <w:style w:type="character" w:customStyle="1" w:styleId="220">
    <w:name w:val="页眉 Char Char"/>
    <w:autoRedefine/>
    <w:qFormat/>
    <w:uiPriority w:val="0"/>
    <w:rPr>
      <w:rFonts w:eastAsia="宋体"/>
      <w:kern w:val="2"/>
      <w:sz w:val="18"/>
      <w:szCs w:val="24"/>
      <w:lang w:val="en-US" w:eastAsia="zh-CN" w:bidi="ar-SA"/>
    </w:rPr>
  </w:style>
  <w:style w:type="character" w:customStyle="1" w:styleId="221">
    <w:name w:val="font61"/>
    <w:autoRedefine/>
    <w:qFormat/>
    <w:uiPriority w:val="0"/>
    <w:rPr>
      <w:rFonts w:hint="eastAsia" w:ascii="宋体" w:hAnsi="宋体" w:eastAsia="宋体" w:cs="宋体"/>
      <w:color w:val="000000"/>
      <w:sz w:val="20"/>
      <w:szCs w:val="20"/>
      <w:u w:val="none"/>
    </w:rPr>
  </w:style>
  <w:style w:type="character" w:customStyle="1" w:styleId="222">
    <w:name w:val="正文文字 Char"/>
    <w:autoRedefine/>
    <w:qFormat/>
    <w:uiPriority w:val="0"/>
    <w:rPr>
      <w:rFonts w:hint="eastAsia" w:ascii="宋体" w:eastAsia="宋体"/>
      <w:snapToGrid w:val="0"/>
      <w:color w:val="000000"/>
      <w:sz w:val="28"/>
      <w:lang w:val="en-US" w:eastAsia="zh-CN"/>
    </w:rPr>
  </w:style>
  <w:style w:type="character" w:customStyle="1" w:styleId="223">
    <w:name w:val="日期 Char1"/>
    <w:autoRedefine/>
    <w:qFormat/>
    <w:uiPriority w:val="0"/>
    <w:rPr>
      <w:kern w:val="2"/>
      <w:sz w:val="21"/>
    </w:rPr>
  </w:style>
  <w:style w:type="character" w:customStyle="1" w:styleId="224">
    <w:name w:val="label"/>
    <w:autoRedefine/>
    <w:qFormat/>
    <w:uiPriority w:val="0"/>
    <w:rPr>
      <w:rFonts w:hint="default"/>
    </w:rPr>
  </w:style>
  <w:style w:type="character" w:customStyle="1" w:styleId="225">
    <w:name w:val="current3"/>
    <w:autoRedefine/>
    <w:qFormat/>
    <w:uiPriority w:val="0"/>
    <w:rPr>
      <w:rFonts w:eastAsia="宋体"/>
      <w:b/>
      <w:color w:val="FFFFFF"/>
      <w:kern w:val="2"/>
      <w:sz w:val="24"/>
      <w:szCs w:val="24"/>
      <w:shd w:val="clear" w:color="auto" w:fill="313131"/>
      <w:lang w:val="en-US" w:eastAsia="zh-CN" w:bidi="ar-SA"/>
    </w:rPr>
  </w:style>
  <w:style w:type="character" w:customStyle="1" w:styleId="226">
    <w:name w:val="无间隔 Char"/>
    <w:link w:val="227"/>
    <w:autoRedefine/>
    <w:qFormat/>
    <w:uiPriority w:val="0"/>
    <w:rPr>
      <w:rFonts w:ascii="Calibri" w:hAnsi="Calibri" w:eastAsia="Times New Roman"/>
      <w:sz w:val="22"/>
      <w:szCs w:val="22"/>
      <w:lang w:val="en-US" w:eastAsia="zh-CN" w:bidi="ar-SA"/>
    </w:rPr>
  </w:style>
  <w:style w:type="paragraph" w:customStyle="1" w:styleId="227">
    <w:name w:val="无间隔1"/>
    <w:link w:val="226"/>
    <w:autoRedefine/>
    <w:qFormat/>
    <w:uiPriority w:val="0"/>
    <w:rPr>
      <w:rFonts w:ascii="Calibri" w:hAnsi="Calibri" w:eastAsia="Times New Roman" w:cs="Times New Roman"/>
      <w:sz w:val="22"/>
      <w:szCs w:val="22"/>
      <w:lang w:val="en-US" w:eastAsia="zh-CN" w:bidi="ar-SA"/>
    </w:rPr>
  </w:style>
  <w:style w:type="character" w:customStyle="1" w:styleId="228">
    <w:name w:val="Char Char15"/>
    <w:autoRedefine/>
    <w:qFormat/>
    <w:uiPriority w:val="99"/>
    <w:rPr>
      <w:rFonts w:hint="eastAsia" w:ascii="宋体" w:eastAsia="宋体"/>
      <w:b/>
      <w:snapToGrid w:val="0"/>
      <w:color w:val="000000"/>
      <w:sz w:val="24"/>
      <w:lang w:val="en-US" w:eastAsia="zh-CN"/>
    </w:rPr>
  </w:style>
  <w:style w:type="character" w:customStyle="1" w:styleId="229">
    <w:name w:val="标题 Char Char"/>
    <w:autoRedefine/>
    <w:qFormat/>
    <w:uiPriority w:val="0"/>
    <w:rPr>
      <w:rFonts w:ascii="Arial" w:hAnsi="Arial" w:eastAsia="宋体"/>
      <w:b/>
      <w:kern w:val="2"/>
      <w:sz w:val="44"/>
      <w:szCs w:val="24"/>
      <w:lang w:val="en-US" w:eastAsia="zh-CN" w:bidi="ar-SA"/>
    </w:rPr>
  </w:style>
  <w:style w:type="character" w:customStyle="1" w:styleId="230">
    <w:name w:val="current"/>
    <w:autoRedefine/>
    <w:qFormat/>
    <w:uiPriority w:val="0"/>
    <w:rPr>
      <w:rFonts w:eastAsia="宋体"/>
      <w:b/>
      <w:color w:val="FFFFFF"/>
      <w:kern w:val="2"/>
      <w:sz w:val="24"/>
      <w:szCs w:val="24"/>
      <w:bdr w:val="single" w:color="000099" w:sz="6" w:space="0"/>
      <w:shd w:val="clear" w:color="auto" w:fill="000099"/>
      <w:lang w:val="en-US" w:eastAsia="zh-CN" w:bidi="ar-SA"/>
    </w:rPr>
  </w:style>
  <w:style w:type="character" w:customStyle="1" w:styleId="231">
    <w:name w:val="正文文字 Char Char"/>
    <w:link w:val="232"/>
    <w:autoRedefine/>
    <w:qFormat/>
    <w:uiPriority w:val="0"/>
    <w:rPr>
      <w:rFonts w:ascii="宋体"/>
      <w:color w:val="000000"/>
      <w:sz w:val="28"/>
    </w:rPr>
  </w:style>
  <w:style w:type="paragraph" w:customStyle="1" w:styleId="232">
    <w:name w:val="正文文本1"/>
    <w:basedOn w:val="1"/>
    <w:link w:val="231"/>
    <w:autoRedefine/>
    <w:qFormat/>
    <w:uiPriority w:val="0"/>
    <w:pPr>
      <w:spacing w:line="360" w:lineRule="auto"/>
    </w:pPr>
    <w:rPr>
      <w:rFonts w:ascii="宋体"/>
      <w:color w:val="000000"/>
      <w:kern w:val="0"/>
      <w:sz w:val="28"/>
    </w:rPr>
  </w:style>
  <w:style w:type="character" w:customStyle="1" w:styleId="233">
    <w:name w:val="Char Char Char"/>
    <w:autoRedefine/>
    <w:qFormat/>
    <w:uiPriority w:val="0"/>
    <w:rPr>
      <w:rFonts w:ascii="宋体" w:hAnsi="Courier New" w:eastAsia="宋体"/>
      <w:kern w:val="2"/>
      <w:sz w:val="21"/>
      <w:lang w:val="en-US" w:eastAsia="zh-CN"/>
    </w:rPr>
  </w:style>
  <w:style w:type="paragraph" w:customStyle="1" w:styleId="234">
    <w:name w:val="xl5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35">
    <w:name w:val="三级目录"/>
    <w:basedOn w:val="236"/>
    <w:next w:val="238"/>
    <w:autoRedefine/>
    <w:qFormat/>
    <w:uiPriority w:val="0"/>
    <w:pPr>
      <w:keepNext/>
      <w:keepLines/>
      <w:spacing w:before="0"/>
      <w:jc w:val="left"/>
    </w:pPr>
    <w:rPr>
      <w:rFonts w:eastAsia="黑体"/>
      <w:b/>
      <w:kern w:val="2"/>
      <w:sz w:val="28"/>
    </w:rPr>
  </w:style>
  <w:style w:type="paragraph" w:customStyle="1" w:styleId="236">
    <w:name w:val="标题 33"/>
    <w:basedOn w:val="1"/>
    <w:next w:val="237"/>
    <w:autoRedefine/>
    <w:qFormat/>
    <w:uiPriority w:val="0"/>
    <w:pPr>
      <w:spacing w:before="60" w:line="300" w:lineRule="auto"/>
      <w:outlineLvl w:val="2"/>
    </w:pPr>
    <w:rPr>
      <w:rFonts w:hint="eastAsia" w:ascii="宋体" w:hAnsi="宋体"/>
      <w:snapToGrid w:val="0"/>
      <w:kern w:val="0"/>
      <w:sz w:val="24"/>
    </w:rPr>
  </w:style>
  <w:style w:type="paragraph" w:customStyle="1" w:styleId="237">
    <w:name w:val="正文缩进2"/>
    <w:basedOn w:val="1"/>
    <w:autoRedefine/>
    <w:qFormat/>
    <w:uiPriority w:val="0"/>
    <w:pPr>
      <w:tabs>
        <w:tab w:val="left" w:pos="720"/>
      </w:tabs>
      <w:ind w:left="624" w:hanging="624"/>
      <w:textAlignment w:val="baseline"/>
    </w:pPr>
    <w:rPr>
      <w:rFonts w:hint="eastAsia" w:ascii="宋体"/>
    </w:rPr>
  </w:style>
  <w:style w:type="paragraph" w:customStyle="1" w:styleId="238">
    <w:name w:val="正文文本缩进2"/>
    <w:basedOn w:val="1"/>
    <w:autoRedefine/>
    <w:qFormat/>
    <w:uiPriority w:val="0"/>
    <w:pPr>
      <w:ind w:left="851"/>
    </w:pPr>
    <w:rPr>
      <w:rFonts w:hint="eastAsia" w:ascii="宋体"/>
      <w:color w:val="000000"/>
      <w:kern w:val="0"/>
    </w:rPr>
  </w:style>
  <w:style w:type="paragraph" w:customStyle="1" w:styleId="239">
    <w:name w:val="日期1"/>
    <w:basedOn w:val="1"/>
    <w:next w:val="1"/>
    <w:autoRedefine/>
    <w:qFormat/>
    <w:uiPriority w:val="0"/>
    <w:pPr>
      <w:ind w:left="100" w:leftChars="2500"/>
    </w:pPr>
    <w:rPr>
      <w:szCs w:val="24"/>
    </w:rPr>
  </w:style>
  <w:style w:type="paragraph" w:customStyle="1" w:styleId="240">
    <w:name w:val="xl29"/>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241">
    <w:name w:val="标题 12"/>
    <w:basedOn w:val="1"/>
    <w:next w:val="1"/>
    <w:autoRedefine/>
    <w:qFormat/>
    <w:uiPriority w:val="0"/>
    <w:pPr>
      <w:tabs>
        <w:tab w:val="left" w:pos="470"/>
      </w:tabs>
      <w:spacing w:before="240"/>
      <w:outlineLvl w:val="0"/>
    </w:pPr>
    <w:rPr>
      <w:b/>
      <w:sz w:val="24"/>
    </w:rPr>
  </w:style>
  <w:style w:type="paragraph" w:customStyle="1" w:styleId="242">
    <w:name w:val="_Style 46"/>
    <w:basedOn w:val="1"/>
    <w:autoRedefine/>
    <w:qFormat/>
    <w:uiPriority w:val="0"/>
    <w:rPr>
      <w:rFonts w:ascii="仿宋_GB2312" w:eastAsia="仿宋_GB2312"/>
      <w:b/>
      <w:sz w:val="32"/>
      <w:szCs w:val="32"/>
    </w:rPr>
  </w:style>
  <w:style w:type="paragraph" w:customStyle="1" w:styleId="243">
    <w:name w:val="_Style 11"/>
    <w:basedOn w:val="19"/>
    <w:autoRedefine/>
    <w:qFormat/>
    <w:uiPriority w:val="0"/>
  </w:style>
  <w:style w:type="paragraph" w:customStyle="1" w:styleId="244">
    <w:name w:val="正文文本2"/>
    <w:basedOn w:val="1"/>
    <w:autoRedefine/>
    <w:qFormat/>
    <w:uiPriority w:val="0"/>
    <w:pPr>
      <w:spacing w:line="360" w:lineRule="auto"/>
    </w:pPr>
    <w:rPr>
      <w:rFonts w:hint="eastAsia" w:ascii="宋体"/>
      <w:color w:val="000000"/>
      <w:kern w:val="0"/>
      <w:sz w:val="28"/>
    </w:rPr>
  </w:style>
  <w:style w:type="paragraph" w:customStyle="1" w:styleId="245">
    <w:name w:val="Char Char14"/>
    <w:basedOn w:val="1"/>
    <w:autoRedefine/>
    <w:qFormat/>
    <w:uiPriority w:val="0"/>
    <w:rPr>
      <w:szCs w:val="24"/>
    </w:rPr>
  </w:style>
  <w:style w:type="paragraph" w:customStyle="1" w:styleId="24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47">
    <w:name w:val="需求书2"/>
    <w:basedOn w:val="1"/>
    <w:autoRedefine/>
    <w:qFormat/>
    <w:uiPriority w:val="0"/>
    <w:pPr>
      <w:tabs>
        <w:tab w:val="left" w:pos="560"/>
        <w:tab w:val="center" w:pos="8400"/>
      </w:tabs>
      <w:spacing w:line="280" w:lineRule="exact"/>
      <w:jc w:val="center"/>
      <w:textAlignment w:val="baseline"/>
    </w:pPr>
    <w:rPr>
      <w:rFonts w:hint="eastAsia" w:hAnsi="宋体"/>
    </w:rPr>
  </w:style>
  <w:style w:type="paragraph" w:customStyle="1" w:styleId="248">
    <w:name w:val="表格"/>
    <w:basedOn w:val="1"/>
    <w:autoRedefine/>
    <w:qFormat/>
    <w:uiPriority w:val="0"/>
    <w:pPr>
      <w:jc w:val="center"/>
    </w:pPr>
    <w:rPr>
      <w:rFonts w:ascii="华文细黑" w:hAnsi="华文细黑"/>
      <w:kern w:val="0"/>
    </w:rPr>
  </w:style>
  <w:style w:type="paragraph" w:customStyle="1" w:styleId="249">
    <w:name w:val="标题 34"/>
    <w:basedOn w:val="1"/>
    <w:autoRedefine/>
    <w:qFormat/>
    <w:uiPriority w:val="1"/>
    <w:pPr>
      <w:ind w:left="237" w:right="102"/>
      <w:jc w:val="left"/>
      <w:outlineLvl w:val="3"/>
    </w:pPr>
    <w:rPr>
      <w:rFonts w:ascii="宋体" w:hAnsi="宋体" w:cs="宋体"/>
      <w:kern w:val="0"/>
      <w:sz w:val="28"/>
      <w:szCs w:val="28"/>
      <w:lang w:eastAsia="en-US"/>
    </w:rPr>
  </w:style>
  <w:style w:type="paragraph" w:customStyle="1" w:styleId="250">
    <w:name w:val="xl33"/>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51">
    <w:name w:val="xl4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20"/>
    </w:rPr>
  </w:style>
  <w:style w:type="paragraph" w:customStyle="1" w:styleId="252">
    <w:name w:val="列出段落1"/>
    <w:basedOn w:val="1"/>
    <w:autoRedefine/>
    <w:unhideWhenUsed/>
    <w:qFormat/>
    <w:uiPriority w:val="34"/>
    <w:pPr>
      <w:ind w:firstLine="420" w:firstLineChars="200"/>
    </w:pPr>
  </w:style>
  <w:style w:type="paragraph" w:customStyle="1" w:styleId="253">
    <w:name w:val="xl72"/>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hint="eastAsia" w:ascii="宋体" w:hAnsi="宋体"/>
    </w:rPr>
  </w:style>
  <w:style w:type="paragraph" w:customStyle="1" w:styleId="254">
    <w:name w:val="样式 居中 行距: 固定值 60 磅"/>
    <w:basedOn w:val="1"/>
    <w:autoRedefine/>
    <w:qFormat/>
    <w:uiPriority w:val="0"/>
    <w:pPr>
      <w:spacing w:line="360" w:lineRule="auto"/>
      <w:jc w:val="center"/>
    </w:pPr>
  </w:style>
  <w:style w:type="paragraph" w:customStyle="1" w:styleId="255">
    <w:name w:val="段落，小四，缩进"/>
    <w:basedOn w:val="238"/>
    <w:autoRedefine/>
    <w:qFormat/>
    <w:uiPriority w:val="0"/>
    <w:pPr>
      <w:ind w:left="0" w:firstLine="480" w:firstLineChars="200"/>
    </w:pPr>
    <w:rPr>
      <w:rFonts w:ascii="Times New Roman"/>
      <w:kern w:val="2"/>
      <w:sz w:val="24"/>
    </w:rPr>
  </w:style>
  <w:style w:type="paragraph" w:customStyle="1" w:styleId="256">
    <w:name w:val="目录文字"/>
    <w:basedOn w:val="1"/>
    <w:autoRedefine/>
    <w:qFormat/>
    <w:uiPriority w:val="0"/>
    <w:pPr>
      <w:widowControl/>
      <w:spacing w:line="480" w:lineRule="auto"/>
      <w:jc w:val="left"/>
    </w:pPr>
    <w:rPr>
      <w:rFonts w:ascii="宋体" w:hAnsi="宋体"/>
      <w:kern w:val="0"/>
      <w:sz w:val="24"/>
    </w:rPr>
  </w:style>
  <w:style w:type="paragraph" w:customStyle="1" w:styleId="257">
    <w:name w:val="xl77"/>
    <w:basedOn w:val="1"/>
    <w:autoRedefine/>
    <w:qFormat/>
    <w:uiPriority w:val="0"/>
    <w:pPr>
      <w:widowControl/>
      <w:pBdr>
        <w:left w:val="single" w:color="auto" w:sz="8" w:space="0"/>
        <w:right w:val="single" w:color="auto" w:sz="8" w:space="0"/>
      </w:pBdr>
      <w:spacing w:before="100" w:beforeAutospacing="1" w:after="100" w:afterAutospacing="1"/>
      <w:jc w:val="left"/>
    </w:pPr>
    <w:rPr>
      <w:rFonts w:hint="eastAsia" w:ascii="宋体" w:hAnsi="宋体"/>
      <w:sz w:val="24"/>
    </w:rPr>
  </w:style>
  <w:style w:type="paragraph" w:customStyle="1" w:styleId="258">
    <w:name w:val="正文文本 22"/>
    <w:basedOn w:val="1"/>
    <w:autoRedefine/>
    <w:qFormat/>
    <w:uiPriority w:val="0"/>
    <w:pPr>
      <w:tabs>
        <w:tab w:val="left" w:pos="560"/>
        <w:tab w:val="center" w:pos="8400"/>
      </w:tabs>
    </w:pPr>
    <w:rPr>
      <w:sz w:val="24"/>
    </w:rPr>
  </w:style>
  <w:style w:type="paragraph" w:customStyle="1" w:styleId="259">
    <w:name w:val="标题 42"/>
    <w:basedOn w:val="1"/>
    <w:next w:val="237"/>
    <w:autoRedefine/>
    <w:qFormat/>
    <w:uiPriority w:val="0"/>
    <w:pPr>
      <w:tabs>
        <w:tab w:val="left" w:pos="1021"/>
        <w:tab w:val="left" w:pos="1175"/>
      </w:tabs>
      <w:ind w:left="2" w:firstLine="2"/>
      <w:outlineLvl w:val="3"/>
    </w:pPr>
    <w:rPr>
      <w:snapToGrid w:val="0"/>
      <w:color w:val="000000"/>
      <w:kern w:val="0"/>
      <w:sz w:val="24"/>
    </w:rPr>
  </w:style>
  <w:style w:type="paragraph" w:customStyle="1" w:styleId="260">
    <w:name w:val="xl32"/>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61">
    <w:name w:val="无间隔2"/>
    <w:autoRedefine/>
    <w:qFormat/>
    <w:uiPriority w:val="1"/>
    <w:rPr>
      <w:rFonts w:ascii="Calibri" w:hAnsi="Calibri" w:eastAsia="宋体" w:cs="Times New Roman"/>
      <w:sz w:val="22"/>
      <w:szCs w:val="22"/>
      <w:lang w:val="en-US" w:eastAsia="zh-CN" w:bidi="ar-SA"/>
    </w:rPr>
  </w:style>
  <w:style w:type="paragraph" w:customStyle="1" w:styleId="262">
    <w:name w:val="xl65"/>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63">
    <w:name w:val="_Style 9"/>
    <w:basedOn w:val="1"/>
    <w:autoRedefine/>
    <w:qFormat/>
    <w:uiPriority w:val="0"/>
    <w:rPr>
      <w:rFonts w:ascii="宋体" w:cs="黑体"/>
      <w:kern w:val="0"/>
      <w:sz w:val="34"/>
    </w:rPr>
  </w:style>
  <w:style w:type="paragraph" w:customStyle="1" w:styleId="264">
    <w:name w:val="Default"/>
    <w:link w:val="590"/>
    <w:autoRedefine/>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265">
    <w:name w:val="xl35"/>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color w:val="000000"/>
      <w:sz w:val="18"/>
    </w:rPr>
  </w:style>
  <w:style w:type="paragraph" w:customStyle="1" w:styleId="266">
    <w:name w:val="Char4"/>
    <w:basedOn w:val="1"/>
    <w:autoRedefine/>
    <w:qFormat/>
    <w:uiPriority w:val="99"/>
    <w:pPr>
      <w:tabs>
        <w:tab w:val="left" w:pos="360"/>
      </w:tabs>
      <w:ind w:left="360" w:hanging="360" w:hangingChars="200"/>
    </w:pPr>
    <w:rPr>
      <w:rFonts w:hint="eastAsia"/>
      <w:sz w:val="24"/>
    </w:rPr>
  </w:style>
  <w:style w:type="paragraph" w:customStyle="1" w:styleId="267">
    <w:name w:val="xl44"/>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268">
    <w:name w:val="xl71"/>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69">
    <w:name w:val="xl74"/>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7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271">
    <w:name w:val="标题 32"/>
    <w:basedOn w:val="1"/>
    <w:next w:val="1"/>
    <w:autoRedefine/>
    <w:qFormat/>
    <w:uiPriority w:val="0"/>
    <w:pPr>
      <w:spacing w:before="60" w:line="300" w:lineRule="auto"/>
      <w:outlineLvl w:val="2"/>
    </w:pPr>
    <w:rPr>
      <w:rFonts w:hint="eastAsia" w:ascii="宋体" w:hAnsi="宋体"/>
      <w:snapToGrid w:val="0"/>
      <w:kern w:val="0"/>
      <w:sz w:val="24"/>
    </w:rPr>
  </w:style>
  <w:style w:type="paragraph" w:customStyle="1" w:styleId="272">
    <w:name w:val="样式3"/>
    <w:basedOn w:val="1"/>
    <w:next w:val="1"/>
    <w:link w:val="499"/>
    <w:autoRedefine/>
    <w:qFormat/>
    <w:uiPriority w:val="0"/>
    <w:pPr>
      <w:spacing w:line="360" w:lineRule="auto"/>
      <w:ind w:firstLine="480"/>
      <w:jc w:val="left"/>
    </w:pPr>
    <w:rPr>
      <w:rFonts w:ascii="宋体"/>
      <w:sz w:val="24"/>
      <w:szCs w:val="22"/>
    </w:rPr>
  </w:style>
  <w:style w:type="paragraph" w:customStyle="1" w:styleId="273">
    <w:name w:val="xl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color w:val="000000"/>
      <w:sz w:val="20"/>
    </w:rPr>
  </w:style>
  <w:style w:type="paragraph" w:customStyle="1" w:styleId="274">
    <w:name w:val="xl2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275">
    <w:name w:val="样式 正文缩进 + 首行缩进:  2 字符 段前: 1 行 段后: 1 行"/>
    <w:basedOn w:val="237"/>
    <w:autoRedefine/>
    <w:qFormat/>
    <w:uiPriority w:val="0"/>
    <w:pPr>
      <w:tabs>
        <w:tab w:val="clear" w:pos="720"/>
      </w:tabs>
      <w:spacing w:beforeLines="100" w:afterLines="100" w:line="360" w:lineRule="auto"/>
      <w:ind w:left="0" w:firstLine="0"/>
      <w:textAlignment w:val="auto"/>
    </w:pPr>
    <w:rPr>
      <w:rFonts w:ascii="Times New Roman"/>
    </w:rPr>
  </w:style>
  <w:style w:type="paragraph" w:customStyle="1" w:styleId="276">
    <w:name w:val="xl69"/>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77">
    <w:name w:val="Char Char Char Char Char Char Char"/>
    <w:basedOn w:val="1"/>
    <w:autoRedefine/>
    <w:qFormat/>
    <w:uiPriority w:val="0"/>
    <w:pPr>
      <w:widowControl/>
      <w:snapToGrid w:val="0"/>
      <w:spacing w:line="360" w:lineRule="auto"/>
      <w:ind w:firstLine="200" w:firstLineChars="200"/>
      <w:jc w:val="left"/>
    </w:pPr>
    <w:rPr>
      <w:rFonts w:ascii="Calibri" w:hAnsi="Calibri"/>
      <w:kern w:val="0"/>
      <w:sz w:val="24"/>
      <w:lang w:eastAsia="en-US" w:bidi="en-US"/>
    </w:rPr>
  </w:style>
  <w:style w:type="paragraph" w:customStyle="1" w:styleId="278">
    <w:name w:val="xl3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color w:val="000000"/>
      <w:sz w:val="18"/>
    </w:rPr>
  </w:style>
  <w:style w:type="paragraph" w:customStyle="1" w:styleId="279">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20"/>
    </w:rPr>
  </w:style>
  <w:style w:type="paragraph" w:customStyle="1" w:styleId="280">
    <w:name w:val="content5"/>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281">
    <w:name w:val="Char Char1 Char Char Char Char Char Char Char Char Char Char"/>
    <w:basedOn w:val="1"/>
    <w:autoRedefine/>
    <w:qFormat/>
    <w:uiPriority w:val="0"/>
    <w:rPr>
      <w:sz w:val="24"/>
    </w:rPr>
  </w:style>
  <w:style w:type="paragraph" w:customStyle="1" w:styleId="282">
    <w:name w:val="Char1"/>
    <w:basedOn w:val="1"/>
    <w:autoRedefine/>
    <w:qFormat/>
    <w:uiPriority w:val="0"/>
    <w:pPr>
      <w:widowControl/>
      <w:spacing w:after="160" w:line="240" w:lineRule="exact"/>
      <w:jc w:val="left"/>
    </w:pPr>
  </w:style>
  <w:style w:type="paragraph" w:customStyle="1" w:styleId="283">
    <w:name w:val="12v"/>
    <w:basedOn w:val="1"/>
    <w:autoRedefine/>
    <w:qFormat/>
    <w:uiPriority w:val="0"/>
    <w:pPr>
      <w:widowControl/>
      <w:spacing w:before="100" w:beforeAutospacing="1" w:after="100" w:afterAutospacing="1"/>
      <w:jc w:val="left"/>
    </w:pPr>
    <w:rPr>
      <w:rFonts w:hint="eastAsia" w:hAnsi="宋体"/>
      <w:sz w:val="24"/>
    </w:rPr>
  </w:style>
  <w:style w:type="paragraph" w:customStyle="1" w:styleId="284">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85">
    <w:name w:val="font8"/>
    <w:basedOn w:val="1"/>
    <w:autoRedefine/>
    <w:qFormat/>
    <w:uiPriority w:val="0"/>
    <w:pPr>
      <w:widowControl/>
      <w:spacing w:before="100" w:beforeAutospacing="1" w:after="100" w:afterAutospacing="1"/>
      <w:jc w:val="left"/>
    </w:pPr>
    <w:rPr>
      <w:rFonts w:hint="eastAsia"/>
      <w:color w:val="000000"/>
      <w:sz w:val="18"/>
    </w:rPr>
  </w:style>
  <w:style w:type="paragraph" w:customStyle="1" w:styleId="286">
    <w:name w:val="xl3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ascii="宋体" w:hAnsi="宋体"/>
      <w:color w:val="000000"/>
      <w:sz w:val="18"/>
    </w:rPr>
  </w:style>
  <w:style w:type="paragraph" w:customStyle="1" w:styleId="287">
    <w:name w:val="段"/>
    <w:link w:val="463"/>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8">
    <w:name w:val="标题 62"/>
    <w:basedOn w:val="1"/>
    <w:next w:val="237"/>
    <w:autoRedefine/>
    <w:qFormat/>
    <w:uiPriority w:val="0"/>
    <w:pPr>
      <w:keepNext/>
      <w:tabs>
        <w:tab w:val="left" w:pos="1152"/>
      </w:tabs>
      <w:spacing w:before="240" w:after="64" w:line="320" w:lineRule="auto"/>
      <w:outlineLvl w:val="5"/>
    </w:pPr>
    <w:rPr>
      <w:rFonts w:hint="eastAsia" w:ascii="Arial" w:hAnsi="Arial" w:eastAsia="黑体"/>
      <w:b/>
      <w:sz w:val="24"/>
    </w:rPr>
  </w:style>
  <w:style w:type="paragraph" w:customStyle="1" w:styleId="289">
    <w:name w:val="修订1"/>
    <w:autoRedefine/>
    <w:semiHidden/>
    <w:qFormat/>
    <w:uiPriority w:val="99"/>
    <w:rPr>
      <w:rFonts w:ascii="Times New Roman" w:hAnsi="Times New Roman" w:eastAsia="宋体" w:cs="Times New Roman"/>
      <w:kern w:val="2"/>
      <w:sz w:val="21"/>
      <w:lang w:val="en-US" w:eastAsia="zh-CN" w:bidi="ar-SA"/>
    </w:rPr>
  </w:style>
  <w:style w:type="paragraph" w:customStyle="1" w:styleId="290">
    <w:name w:val="_Style 3"/>
    <w:basedOn w:val="2"/>
    <w:next w:val="1"/>
    <w:autoRedefine/>
    <w:qFormat/>
    <w:uiPriority w:val="39"/>
    <w:pPr>
      <w:keepLines/>
      <w:tabs>
        <w:tab w:val="clear" w:pos="885"/>
      </w:tabs>
      <w:spacing w:line="259" w:lineRule="auto"/>
      <w:ind w:left="0" w:firstLine="0"/>
      <w:jc w:val="left"/>
      <w:outlineLvl w:val="9"/>
    </w:pPr>
    <w:rPr>
      <w:rFonts w:ascii="Calibri Light" w:hAnsi="Calibri Light" w:eastAsia="宋体"/>
      <w:color w:val="2E74B5"/>
      <w:kern w:val="0"/>
      <w:sz w:val="32"/>
      <w:szCs w:val="32"/>
    </w:rPr>
  </w:style>
  <w:style w:type="paragraph" w:customStyle="1" w:styleId="291">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Arial" w:hAnsi="Arial"/>
      <w:color w:val="000000"/>
      <w:sz w:val="18"/>
    </w:rPr>
  </w:style>
  <w:style w:type="paragraph" w:customStyle="1" w:styleId="292">
    <w:name w:val="xl70"/>
    <w:basedOn w:val="1"/>
    <w:autoRedefine/>
    <w:qFormat/>
    <w:uiPriority w:val="0"/>
    <w:pPr>
      <w:widowControl/>
      <w:pBdr>
        <w:bottom w:val="single" w:color="auto" w:sz="8" w:space="0"/>
        <w:right w:val="single" w:color="auto" w:sz="8" w:space="0"/>
      </w:pBdr>
      <w:spacing w:before="100" w:beforeAutospacing="1" w:after="100" w:afterAutospacing="1"/>
      <w:textAlignment w:val="center"/>
    </w:pPr>
    <w:rPr>
      <w:rFonts w:hint="eastAsia" w:ascii="宋体" w:hAnsi="宋体"/>
    </w:rPr>
  </w:style>
  <w:style w:type="paragraph" w:customStyle="1" w:styleId="293">
    <w:name w:val="_Style 2"/>
    <w:basedOn w:val="1"/>
    <w:autoRedefine/>
    <w:qFormat/>
    <w:uiPriority w:val="0"/>
    <w:rPr>
      <w:szCs w:val="24"/>
    </w:rPr>
  </w:style>
  <w:style w:type="paragraph" w:customStyle="1" w:styleId="294">
    <w:name w:val="样式1－1"/>
    <w:basedOn w:val="1"/>
    <w:autoRedefine/>
    <w:qFormat/>
    <w:uiPriority w:val="0"/>
    <w:pPr>
      <w:tabs>
        <w:tab w:val="left" w:pos="560"/>
        <w:tab w:val="center" w:pos="8400"/>
      </w:tabs>
      <w:spacing w:line="360" w:lineRule="atLeast"/>
      <w:textAlignment w:val="baseline"/>
    </w:pPr>
    <w:rPr>
      <w:rFonts w:hint="eastAsia"/>
      <w:sz w:val="28"/>
    </w:rPr>
  </w:style>
  <w:style w:type="paragraph" w:customStyle="1" w:styleId="295">
    <w:name w:val="Char Char17 Char Char"/>
    <w:basedOn w:val="19"/>
    <w:autoRedefine/>
    <w:qFormat/>
    <w:uiPriority w:val="0"/>
    <w:pPr>
      <w:widowControl/>
      <w:jc w:val="left"/>
    </w:pPr>
  </w:style>
  <w:style w:type="paragraph" w:customStyle="1" w:styleId="296">
    <w:name w:val="Char Char Char Char Char Char Char1"/>
    <w:basedOn w:val="1"/>
    <w:autoRedefine/>
    <w:qFormat/>
    <w:uiPriority w:val="0"/>
    <w:rPr>
      <w:rFonts w:hint="eastAsia" w:ascii="仿宋_GB2312" w:eastAsia="仿宋_GB2312"/>
      <w:b/>
      <w:sz w:val="32"/>
    </w:rPr>
  </w:style>
  <w:style w:type="paragraph" w:customStyle="1" w:styleId="297">
    <w:name w:val="样式 标题 2标题 1.1编号标题2 + 段前: 1 行 段后: 1 行"/>
    <w:basedOn w:val="298"/>
    <w:autoRedefine/>
    <w:qFormat/>
    <w:uiPriority w:val="0"/>
    <w:pPr>
      <w:spacing w:beforeLines="100" w:afterLines="100" w:line="360" w:lineRule="auto"/>
    </w:pPr>
    <w:rPr>
      <w:rFonts w:eastAsia="黑体"/>
      <w:b w:val="0"/>
    </w:rPr>
  </w:style>
  <w:style w:type="paragraph" w:customStyle="1" w:styleId="298">
    <w:name w:val="标题 22"/>
    <w:basedOn w:val="1"/>
    <w:next w:val="237"/>
    <w:autoRedefine/>
    <w:qFormat/>
    <w:uiPriority w:val="0"/>
    <w:pPr>
      <w:spacing w:before="240" w:line="300" w:lineRule="auto"/>
      <w:outlineLvl w:val="1"/>
    </w:pPr>
    <w:rPr>
      <w:rFonts w:hint="eastAsia" w:ascii="宋体" w:hAnsi="宋体"/>
      <w:b/>
      <w:snapToGrid w:val="0"/>
      <w:kern w:val="0"/>
      <w:sz w:val="28"/>
    </w:rPr>
  </w:style>
  <w:style w:type="paragraph" w:customStyle="1" w:styleId="299">
    <w:name w:val="xl4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hint="eastAsia"/>
      <w:color w:val="000000"/>
      <w:sz w:val="18"/>
    </w:rPr>
  </w:style>
  <w:style w:type="paragraph" w:customStyle="1" w:styleId="300">
    <w:name w:val="普通(网站)2"/>
    <w:basedOn w:val="1"/>
    <w:autoRedefine/>
    <w:qFormat/>
    <w:uiPriority w:val="0"/>
    <w:pPr>
      <w:widowControl/>
      <w:spacing w:before="100" w:beforeAutospacing="1" w:after="100" w:afterAutospacing="1"/>
      <w:jc w:val="left"/>
    </w:pPr>
    <w:rPr>
      <w:rFonts w:hint="eastAsia" w:hAnsi="宋体"/>
      <w:sz w:val="24"/>
    </w:rPr>
  </w:style>
  <w:style w:type="paragraph" w:customStyle="1" w:styleId="301">
    <w:name w:val="p0"/>
    <w:basedOn w:val="1"/>
    <w:link w:val="302"/>
    <w:autoRedefine/>
    <w:qFormat/>
    <w:uiPriority w:val="0"/>
    <w:pPr>
      <w:widowControl/>
      <w:spacing w:before="100" w:beforeAutospacing="1" w:after="100" w:afterAutospacing="1"/>
      <w:jc w:val="left"/>
    </w:pPr>
    <w:rPr>
      <w:rFonts w:hint="eastAsia" w:ascii="宋体" w:hAnsi="宋体"/>
      <w:sz w:val="24"/>
    </w:rPr>
  </w:style>
  <w:style w:type="character" w:customStyle="1" w:styleId="302">
    <w:name w:val="p0 Char"/>
    <w:link w:val="301"/>
    <w:autoRedefine/>
    <w:qFormat/>
    <w:uiPriority w:val="0"/>
    <w:rPr>
      <w:rFonts w:ascii="宋体" w:hAnsi="宋体"/>
      <w:kern w:val="2"/>
      <w:sz w:val="24"/>
    </w:rPr>
  </w:style>
  <w:style w:type="paragraph" w:customStyle="1" w:styleId="303">
    <w:name w:val="文档结构图1"/>
    <w:basedOn w:val="1"/>
    <w:autoRedefine/>
    <w:qFormat/>
    <w:uiPriority w:val="0"/>
    <w:pPr>
      <w:shd w:val="clear" w:color="auto" w:fill="000080"/>
    </w:pPr>
    <w:rPr>
      <w:szCs w:val="24"/>
    </w:rPr>
  </w:style>
  <w:style w:type="paragraph" w:customStyle="1" w:styleId="304">
    <w:name w:val="Char"/>
    <w:basedOn w:val="1"/>
    <w:autoRedefine/>
    <w:qFormat/>
    <w:uiPriority w:val="0"/>
    <w:rPr>
      <w:sz w:val="24"/>
    </w:rPr>
  </w:style>
  <w:style w:type="paragraph" w:customStyle="1" w:styleId="305">
    <w:name w:val="样式 行距: 1.5 倍行距"/>
    <w:basedOn w:val="1"/>
    <w:autoRedefine/>
    <w:qFormat/>
    <w:uiPriority w:val="0"/>
    <w:pPr>
      <w:spacing w:line="360" w:lineRule="auto"/>
    </w:pPr>
    <w:rPr>
      <w:rFonts w:cs="宋体"/>
    </w:rPr>
  </w:style>
  <w:style w:type="paragraph" w:customStyle="1" w:styleId="306">
    <w:name w:val="xl7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hint="eastAsia" w:ascii="宋体" w:hAnsi="宋体"/>
      <w:sz w:val="24"/>
    </w:rPr>
  </w:style>
  <w:style w:type="paragraph" w:customStyle="1" w:styleId="307">
    <w:name w:val="xl50"/>
    <w:basedOn w:val="1"/>
    <w:autoRedefine/>
    <w:qFormat/>
    <w:uiPriority w:val="0"/>
    <w:pPr>
      <w:widowControl/>
      <w:pBdr>
        <w:top w:val="single" w:color="auto" w:sz="4" w:space="0"/>
        <w:left w:val="single" w:color="auto" w:sz="8"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08">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309">
    <w:name w:val="Char Char Char Char"/>
    <w:basedOn w:val="1"/>
    <w:autoRedefine/>
    <w:qFormat/>
    <w:uiPriority w:val="0"/>
  </w:style>
  <w:style w:type="paragraph" w:customStyle="1" w:styleId="310">
    <w:name w:val="末级"/>
    <w:basedOn w:val="1"/>
    <w:autoRedefine/>
    <w:qFormat/>
    <w:uiPriority w:val="0"/>
    <w:pPr>
      <w:tabs>
        <w:tab w:val="left" w:pos="1260"/>
      </w:tabs>
    </w:pPr>
    <w:rPr>
      <w:rFonts w:hint="eastAsia"/>
      <w:sz w:val="24"/>
    </w:rPr>
  </w:style>
  <w:style w:type="paragraph" w:customStyle="1" w:styleId="311">
    <w:name w:val="列出段落3"/>
    <w:basedOn w:val="1"/>
    <w:autoRedefine/>
    <w:unhideWhenUsed/>
    <w:qFormat/>
    <w:uiPriority w:val="99"/>
    <w:pPr>
      <w:ind w:firstLine="420" w:firstLineChars="200"/>
    </w:pPr>
    <w:rPr>
      <w:rFonts w:ascii="Calibri" w:hAnsi="Calibri"/>
      <w:szCs w:val="22"/>
    </w:rPr>
  </w:style>
  <w:style w:type="paragraph" w:customStyle="1" w:styleId="312">
    <w:name w:val="xl67"/>
    <w:basedOn w:val="1"/>
    <w:autoRedefine/>
    <w:qFormat/>
    <w:uiPriority w:val="0"/>
    <w:pPr>
      <w:widowControl/>
      <w:pBdr>
        <w:right w:val="single" w:color="auto" w:sz="8" w:space="0"/>
      </w:pBdr>
      <w:spacing w:before="100" w:beforeAutospacing="1" w:after="100" w:afterAutospacing="1"/>
      <w:jc w:val="center"/>
      <w:textAlignment w:val="center"/>
    </w:pPr>
    <w:rPr>
      <w:rFonts w:hint="eastAsia" w:ascii="宋体" w:hAnsi="宋体"/>
    </w:rPr>
  </w:style>
  <w:style w:type="paragraph" w:customStyle="1" w:styleId="313">
    <w:name w:val="列出段落11"/>
    <w:basedOn w:val="1"/>
    <w:autoRedefine/>
    <w:qFormat/>
    <w:uiPriority w:val="34"/>
    <w:pPr>
      <w:ind w:firstLine="420" w:firstLineChars="200"/>
    </w:pPr>
    <w:rPr>
      <w:rFonts w:ascii="Calibri" w:hAnsi="Calibri" w:cs="宋体"/>
      <w:szCs w:val="21"/>
    </w:rPr>
  </w:style>
  <w:style w:type="paragraph" w:customStyle="1" w:styleId="314">
    <w:name w:val="正文文本缩进 22"/>
    <w:basedOn w:val="1"/>
    <w:autoRedefine/>
    <w:qFormat/>
    <w:uiPriority w:val="0"/>
    <w:pPr>
      <w:ind w:left="1021"/>
    </w:pPr>
    <w:rPr>
      <w:rFonts w:hint="eastAsia" w:ascii="宋体"/>
      <w:color w:val="000000"/>
      <w:kern w:val="0"/>
    </w:rPr>
  </w:style>
  <w:style w:type="paragraph" w:customStyle="1" w:styleId="315">
    <w:name w:val="列出段落21"/>
    <w:basedOn w:val="1"/>
    <w:autoRedefine/>
    <w:unhideWhenUsed/>
    <w:qFormat/>
    <w:uiPriority w:val="99"/>
    <w:pPr>
      <w:ind w:firstLine="420" w:firstLineChars="200"/>
    </w:pPr>
    <w:rPr>
      <w:rFonts w:ascii="Calibri" w:hAnsi="Calibri"/>
      <w:szCs w:val="22"/>
    </w:rPr>
  </w:style>
  <w:style w:type="paragraph" w:customStyle="1" w:styleId="316">
    <w:name w:val="5正文"/>
    <w:autoRedefine/>
    <w:qFormat/>
    <w:uiPriority w:val="0"/>
    <w:pPr>
      <w:widowControl w:val="0"/>
      <w:adjustRightInd w:val="0"/>
      <w:snapToGrid w:val="0"/>
      <w:spacing w:line="500" w:lineRule="exact"/>
      <w:ind w:firstLine="200" w:firstLineChars="200"/>
    </w:pPr>
    <w:rPr>
      <w:rFonts w:ascii="宋体" w:hAnsi="Times New Roman" w:eastAsia="宋体" w:cs="Times New Roman"/>
      <w:sz w:val="24"/>
      <w:szCs w:val="24"/>
      <w:lang w:val="en-US" w:eastAsia="zh-CN" w:bidi="ar-SA"/>
    </w:rPr>
  </w:style>
  <w:style w:type="paragraph" w:customStyle="1" w:styleId="317">
    <w:name w:val="xl3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hint="eastAsia" w:ascii="宋体" w:hAnsi="宋体"/>
      <w:color w:val="000000"/>
      <w:sz w:val="18"/>
    </w:rPr>
  </w:style>
  <w:style w:type="paragraph" w:customStyle="1" w:styleId="318">
    <w:name w:val="Char2"/>
    <w:basedOn w:val="1"/>
    <w:autoRedefine/>
    <w:qFormat/>
    <w:uiPriority w:val="0"/>
    <w:rPr>
      <w:rFonts w:hint="eastAsia" w:ascii="仿宋_GB2312" w:eastAsia="仿宋_GB2312"/>
      <w:b/>
      <w:sz w:val="32"/>
    </w:rPr>
  </w:style>
  <w:style w:type="paragraph" w:customStyle="1" w:styleId="319">
    <w:name w:val="标题 52"/>
    <w:basedOn w:val="1"/>
    <w:next w:val="237"/>
    <w:autoRedefine/>
    <w:qFormat/>
    <w:uiPriority w:val="0"/>
    <w:pPr>
      <w:keepNext/>
      <w:tabs>
        <w:tab w:val="left" w:pos="1008"/>
      </w:tabs>
      <w:spacing w:before="280" w:after="290" w:line="376" w:lineRule="auto"/>
      <w:outlineLvl w:val="4"/>
    </w:pPr>
    <w:rPr>
      <w:b/>
      <w:sz w:val="24"/>
    </w:rPr>
  </w:style>
  <w:style w:type="paragraph" w:customStyle="1" w:styleId="320">
    <w:name w:val="xl39"/>
    <w:basedOn w:val="1"/>
    <w:autoRedefine/>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textAlignment w:val="center"/>
    </w:pPr>
    <w:rPr>
      <w:rFonts w:hint="eastAsia" w:ascii="宋体" w:hAnsi="宋体"/>
      <w:color w:val="000000"/>
      <w:sz w:val="18"/>
    </w:rPr>
  </w:style>
  <w:style w:type="paragraph" w:customStyle="1" w:styleId="321">
    <w:name w:val="普通(网站)1"/>
    <w:basedOn w:val="1"/>
    <w:autoRedefine/>
    <w:qFormat/>
    <w:uiPriority w:val="0"/>
    <w:pPr>
      <w:widowControl/>
      <w:jc w:val="left"/>
    </w:pPr>
    <w:rPr>
      <w:rFonts w:hint="eastAsia" w:ascii="宋体" w:hAnsi="宋体"/>
      <w:sz w:val="24"/>
      <w:szCs w:val="24"/>
    </w:rPr>
  </w:style>
  <w:style w:type="paragraph" w:customStyle="1" w:styleId="322">
    <w:name w:val="xl66"/>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323">
    <w:name w:val="列出段落2"/>
    <w:basedOn w:val="1"/>
    <w:autoRedefine/>
    <w:qFormat/>
    <w:uiPriority w:val="0"/>
    <w:pPr>
      <w:ind w:firstLine="420" w:firstLineChars="200"/>
    </w:pPr>
    <w:rPr>
      <w:szCs w:val="24"/>
    </w:rPr>
  </w:style>
  <w:style w:type="paragraph" w:customStyle="1" w:styleId="324">
    <w:name w:val="列出段落4"/>
    <w:basedOn w:val="1"/>
    <w:autoRedefine/>
    <w:qFormat/>
    <w:uiPriority w:val="0"/>
    <w:pPr>
      <w:ind w:firstLine="420" w:firstLineChars="200"/>
    </w:pPr>
    <w:rPr>
      <w:rFonts w:hint="eastAsia"/>
    </w:rPr>
  </w:style>
  <w:style w:type="paragraph" w:customStyle="1" w:styleId="325">
    <w:name w:val="xl5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26">
    <w:name w:val="xl5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327">
    <w:name w:val="TOC 标题1"/>
    <w:basedOn w:val="2"/>
    <w:next w:val="1"/>
    <w:autoRedefine/>
    <w:qFormat/>
    <w:uiPriority w:val="39"/>
    <w:pPr>
      <w:keepLines/>
      <w:widowControl w:val="0"/>
      <w:tabs>
        <w:tab w:val="clear" w:pos="885"/>
      </w:tabs>
      <w:spacing w:before="340" w:after="330" w:line="578" w:lineRule="auto"/>
      <w:ind w:left="0" w:firstLine="0"/>
      <w:jc w:val="both"/>
      <w:outlineLvl w:val="9"/>
    </w:pPr>
    <w:rPr>
      <w:rFonts w:ascii="Times New Roman" w:hAnsi="Times New Roman" w:eastAsia="宋体"/>
      <w:bCs/>
      <w:kern w:val="44"/>
      <w:sz w:val="44"/>
      <w:szCs w:val="44"/>
    </w:rPr>
  </w:style>
  <w:style w:type="paragraph" w:customStyle="1" w:styleId="328">
    <w:name w:val="TOC 标题11"/>
    <w:basedOn w:val="2"/>
    <w:next w:val="1"/>
    <w:autoRedefine/>
    <w:qFormat/>
    <w:uiPriority w:val="0"/>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329">
    <w:name w:val="font5"/>
    <w:basedOn w:val="1"/>
    <w:autoRedefine/>
    <w:qFormat/>
    <w:uiPriority w:val="0"/>
    <w:pPr>
      <w:widowControl/>
      <w:spacing w:before="100" w:beforeAutospacing="1" w:after="100" w:afterAutospacing="1"/>
      <w:jc w:val="left"/>
    </w:pPr>
    <w:rPr>
      <w:rFonts w:hint="eastAsia" w:ascii="宋体" w:hAnsi="宋体"/>
      <w:sz w:val="18"/>
    </w:rPr>
  </w:style>
  <w:style w:type="paragraph" w:customStyle="1" w:styleId="330">
    <w:name w:val="font7"/>
    <w:basedOn w:val="1"/>
    <w:autoRedefine/>
    <w:qFormat/>
    <w:uiPriority w:val="0"/>
    <w:pPr>
      <w:widowControl/>
      <w:spacing w:before="100" w:beforeAutospacing="1" w:after="100" w:afterAutospacing="1"/>
      <w:jc w:val="left"/>
    </w:pPr>
    <w:rPr>
      <w:rFonts w:hint="eastAsia" w:ascii="宋体" w:hAnsi="宋体"/>
      <w:color w:val="000000"/>
      <w:sz w:val="20"/>
    </w:rPr>
  </w:style>
  <w:style w:type="paragraph" w:customStyle="1" w:styleId="331">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32">
    <w:name w:val="font6"/>
    <w:basedOn w:val="1"/>
    <w:autoRedefine/>
    <w:qFormat/>
    <w:uiPriority w:val="0"/>
    <w:pPr>
      <w:widowControl/>
      <w:spacing w:before="100" w:beforeAutospacing="1" w:after="100" w:afterAutospacing="1"/>
      <w:jc w:val="left"/>
    </w:pPr>
    <w:rPr>
      <w:rFonts w:hint="eastAsia" w:ascii="宋体" w:hAnsi="宋体"/>
      <w:color w:val="000000"/>
      <w:sz w:val="18"/>
    </w:rPr>
  </w:style>
  <w:style w:type="paragraph" w:customStyle="1" w:styleId="333">
    <w:name w:val="TOC 标题12"/>
    <w:basedOn w:val="2"/>
    <w:next w:val="1"/>
    <w:autoRedefine/>
    <w:qFormat/>
    <w:uiPriority w:val="39"/>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334">
    <w:name w:val="普通文字 Char"/>
    <w:basedOn w:val="1"/>
    <w:next w:val="33"/>
    <w:autoRedefine/>
    <w:qFormat/>
    <w:uiPriority w:val="0"/>
    <w:rPr>
      <w:rFonts w:hint="eastAsia" w:hAnsi="Courier New"/>
    </w:rPr>
  </w:style>
  <w:style w:type="paragraph" w:customStyle="1" w:styleId="335">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36">
    <w:name w:val="Char11"/>
    <w:basedOn w:val="1"/>
    <w:autoRedefine/>
    <w:qFormat/>
    <w:uiPriority w:val="99"/>
    <w:rPr>
      <w:rFonts w:hint="eastAsia" w:ascii="仿宋_GB2312" w:eastAsia="仿宋_GB2312"/>
      <w:b/>
      <w:sz w:val="32"/>
    </w:rPr>
  </w:style>
  <w:style w:type="paragraph" w:customStyle="1" w:styleId="33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38">
    <w:name w:val="样式 标题 3Char标题 3 Char + 左"/>
    <w:basedOn w:val="236"/>
    <w:autoRedefine/>
    <w:qFormat/>
    <w:uiPriority w:val="0"/>
    <w:pPr>
      <w:tabs>
        <w:tab w:val="left" w:pos="1200"/>
      </w:tabs>
      <w:spacing w:before="0"/>
      <w:jc w:val="left"/>
    </w:pPr>
    <w:rPr>
      <w:rFonts w:ascii="Arial" w:hAnsi="Arial"/>
      <w:color w:val="000000"/>
      <w:kern w:val="2"/>
    </w:rPr>
  </w:style>
  <w:style w:type="paragraph" w:customStyle="1" w:styleId="339">
    <w:name w:val="_Style 73"/>
    <w:basedOn w:val="1"/>
    <w:autoRedefine/>
    <w:semiHidden/>
    <w:qFormat/>
    <w:uiPriority w:val="0"/>
    <w:pPr>
      <w:adjustRightInd w:val="0"/>
      <w:spacing w:line="360" w:lineRule="auto"/>
    </w:pPr>
    <w:rPr>
      <w:sz w:val="24"/>
      <w:szCs w:val="24"/>
    </w:rPr>
  </w:style>
  <w:style w:type="paragraph" w:customStyle="1" w:styleId="340">
    <w:name w:val="standard"/>
    <w:basedOn w:val="1"/>
    <w:autoRedefine/>
    <w:qFormat/>
    <w:uiPriority w:val="0"/>
    <w:pPr>
      <w:widowControl/>
      <w:spacing w:before="100" w:after="100"/>
      <w:jc w:val="left"/>
    </w:pPr>
    <w:rPr>
      <w:rFonts w:ascii="Arial Unicode MS" w:hAnsi="Arial Unicode MS" w:eastAsia="Arial Unicode MS"/>
      <w:kern w:val="0"/>
      <w:sz w:val="24"/>
    </w:rPr>
  </w:style>
  <w:style w:type="paragraph" w:customStyle="1" w:styleId="341">
    <w:name w:val="xl73"/>
    <w:basedOn w:val="1"/>
    <w:autoRedefine/>
    <w:qFormat/>
    <w:uiPriority w:val="0"/>
    <w:pPr>
      <w:widowControl/>
      <w:pBdr>
        <w:top w:val="single" w:color="auto" w:sz="8" w:space="0"/>
        <w:bottom w:val="single" w:color="auto" w:sz="8" w:space="0"/>
      </w:pBdr>
      <w:spacing w:before="100" w:beforeAutospacing="1" w:after="100" w:afterAutospacing="1"/>
      <w:jc w:val="center"/>
      <w:textAlignment w:val="center"/>
    </w:pPr>
    <w:rPr>
      <w:rFonts w:hint="eastAsia" w:ascii="宋体" w:hAnsi="宋体"/>
    </w:rPr>
  </w:style>
  <w:style w:type="paragraph" w:customStyle="1" w:styleId="342">
    <w:name w:val="Char Char Char1 Char Char Char Char Char Char Char Char Char Char Char Char Char"/>
    <w:basedOn w:val="1"/>
    <w:autoRedefine/>
    <w:qFormat/>
    <w:uiPriority w:val="0"/>
    <w:rPr>
      <w:rFonts w:hint="eastAsia" w:ascii="Tahoma" w:hAnsi="Tahoma"/>
      <w:sz w:val="24"/>
    </w:rPr>
  </w:style>
  <w:style w:type="paragraph" w:customStyle="1" w:styleId="343">
    <w:name w:val="xl76"/>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sz w:val="20"/>
    </w:rPr>
  </w:style>
  <w:style w:type="paragraph" w:customStyle="1" w:styleId="344">
    <w:name w:val="Char Char Char1"/>
    <w:basedOn w:val="1"/>
    <w:autoRedefine/>
    <w:qFormat/>
    <w:uiPriority w:val="99"/>
    <w:rPr>
      <w:rFonts w:hint="eastAsia" w:ascii="仿宋_GB2312" w:eastAsia="仿宋_GB2312"/>
      <w:b/>
      <w:sz w:val="32"/>
    </w:rPr>
  </w:style>
  <w:style w:type="paragraph" w:customStyle="1" w:styleId="345">
    <w:name w:val="表格文字"/>
    <w:basedOn w:val="1"/>
    <w:autoRedefine/>
    <w:qFormat/>
    <w:uiPriority w:val="99"/>
    <w:rPr>
      <w:rFonts w:hint="eastAsia" w:ascii="Arial" w:hAnsi="Arial"/>
    </w:rPr>
  </w:style>
  <w:style w:type="paragraph" w:customStyle="1" w:styleId="346">
    <w:name w:val="font9"/>
    <w:basedOn w:val="1"/>
    <w:autoRedefine/>
    <w:qFormat/>
    <w:uiPriority w:val="0"/>
    <w:pPr>
      <w:widowControl/>
      <w:spacing w:before="100" w:beforeAutospacing="1" w:after="100" w:afterAutospacing="1"/>
      <w:jc w:val="left"/>
    </w:pPr>
    <w:rPr>
      <w:rFonts w:hint="eastAsia" w:ascii="Arial" w:hAnsi="Arial"/>
      <w:color w:val="000000"/>
      <w:sz w:val="18"/>
    </w:rPr>
  </w:style>
  <w:style w:type="paragraph" w:customStyle="1" w:styleId="347">
    <w:name w:val="索引标题1"/>
    <w:basedOn w:val="1"/>
    <w:next w:val="45"/>
    <w:autoRedefine/>
    <w:qFormat/>
    <w:uiPriority w:val="0"/>
    <w:rPr>
      <w:rFonts w:hint="eastAsia"/>
    </w:rPr>
  </w:style>
  <w:style w:type="paragraph" w:customStyle="1" w:styleId="348">
    <w:name w:val="1"/>
    <w:basedOn w:val="1"/>
    <w:autoRedefine/>
    <w:qFormat/>
    <w:uiPriority w:val="0"/>
    <w:pPr>
      <w:adjustRightInd w:val="0"/>
      <w:spacing w:line="360" w:lineRule="auto"/>
    </w:pPr>
    <w:rPr>
      <w:sz w:val="24"/>
      <w:szCs w:val="24"/>
    </w:rPr>
  </w:style>
  <w:style w:type="paragraph" w:customStyle="1" w:styleId="349">
    <w:name w:val="标题 72"/>
    <w:basedOn w:val="1"/>
    <w:next w:val="237"/>
    <w:autoRedefine/>
    <w:qFormat/>
    <w:uiPriority w:val="0"/>
    <w:pPr>
      <w:keepNext/>
      <w:tabs>
        <w:tab w:val="left" w:pos="1296"/>
      </w:tabs>
      <w:spacing w:before="240" w:after="64" w:line="320" w:lineRule="auto"/>
      <w:outlineLvl w:val="6"/>
    </w:pPr>
    <w:rPr>
      <w:b/>
      <w:sz w:val="24"/>
    </w:rPr>
  </w:style>
  <w:style w:type="paragraph" w:customStyle="1" w:styleId="350">
    <w:name w:val="xl6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351">
    <w:name w:val="_Style 31"/>
    <w:basedOn w:val="1"/>
    <w:autoRedefine/>
    <w:qFormat/>
    <w:uiPriority w:val="0"/>
    <w:pPr>
      <w:ind w:firstLine="400"/>
    </w:pPr>
    <w:rPr>
      <w:sz w:val="24"/>
      <w:szCs w:val="24"/>
    </w:rPr>
  </w:style>
  <w:style w:type="paragraph" w:customStyle="1" w:styleId="352">
    <w:name w:val="正文文本缩进 32"/>
    <w:basedOn w:val="1"/>
    <w:autoRedefine/>
    <w:qFormat/>
    <w:uiPriority w:val="0"/>
    <w:pPr>
      <w:ind w:left="851"/>
    </w:pPr>
    <w:rPr>
      <w:rFonts w:hint="eastAsia" w:ascii="宋体"/>
      <w:color w:val="000000"/>
      <w:kern w:val="0"/>
    </w:rPr>
  </w:style>
  <w:style w:type="paragraph" w:customStyle="1" w:styleId="353">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54">
    <w:name w:val="Char Char Char Char Char Char Char Char Char Char Char Char Char Char Char Char"/>
    <w:basedOn w:val="1"/>
    <w:autoRedefine/>
    <w:qFormat/>
    <w:uiPriority w:val="0"/>
  </w:style>
  <w:style w:type="paragraph" w:customStyle="1" w:styleId="355">
    <w:name w:val="纯文本1"/>
    <w:basedOn w:val="1"/>
    <w:autoRedefine/>
    <w:qFormat/>
    <w:uiPriority w:val="0"/>
    <w:pPr>
      <w:adjustRightInd w:val="0"/>
      <w:spacing w:line="312" w:lineRule="atLeast"/>
      <w:textAlignment w:val="baseline"/>
    </w:pPr>
    <w:rPr>
      <w:rFonts w:ascii="宋体" w:hAnsi="Courier New"/>
      <w:kern w:val="0"/>
      <w:sz w:val="28"/>
    </w:rPr>
  </w:style>
  <w:style w:type="paragraph" w:customStyle="1" w:styleId="356">
    <w:name w:val="Char1 Char Char Char Char Char Char1 Char Char Char"/>
    <w:basedOn w:val="1"/>
    <w:autoRedefine/>
    <w:qFormat/>
    <w:uiPriority w:val="0"/>
    <w:pPr>
      <w:ind w:firstLine="200" w:firstLineChars="200"/>
    </w:pPr>
    <w:rPr>
      <w:rFonts w:hint="eastAsia" w:hAnsi="宋体"/>
      <w:sz w:val="24"/>
    </w:rPr>
  </w:style>
  <w:style w:type="paragraph" w:customStyle="1" w:styleId="357">
    <w:name w:val="xl75"/>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hint="eastAsia" w:ascii="宋体" w:hAnsi="宋体"/>
      <w:sz w:val="20"/>
    </w:rPr>
  </w:style>
  <w:style w:type="paragraph" w:customStyle="1" w:styleId="358">
    <w:name w:val="章标题"/>
    <w:next w:val="287"/>
    <w:link w:val="462"/>
    <w:autoRedefine/>
    <w:qFormat/>
    <w:uiPriority w:val="99"/>
    <w:pPr>
      <w:spacing w:beforeLines="50" w:afterLines="50"/>
      <w:jc w:val="both"/>
      <w:outlineLvl w:val="1"/>
    </w:pPr>
    <w:rPr>
      <w:rFonts w:ascii="黑体" w:hAnsi="Times New Roman" w:eastAsia="黑体" w:cs="Times New Roman"/>
      <w:sz w:val="21"/>
      <w:lang w:val="en-US" w:eastAsia="zh-CN" w:bidi="ar-SA"/>
    </w:rPr>
  </w:style>
  <w:style w:type="paragraph" w:customStyle="1" w:styleId="359">
    <w:name w:val="xl4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宋体" w:hAnsi="宋体"/>
      <w:color w:val="000000"/>
      <w:sz w:val="20"/>
    </w:rPr>
  </w:style>
  <w:style w:type="paragraph" w:customStyle="1" w:styleId="360">
    <w:name w:val="正文缩进11"/>
    <w:basedOn w:val="1"/>
    <w:autoRedefine/>
    <w:qFormat/>
    <w:uiPriority w:val="0"/>
    <w:pPr>
      <w:tabs>
        <w:tab w:val="left" w:pos="720"/>
      </w:tabs>
      <w:ind w:left="624" w:hanging="624"/>
      <w:textAlignment w:val="baseline"/>
    </w:pPr>
    <w:rPr>
      <w:rFonts w:hint="eastAsia" w:ascii="宋体"/>
      <w:szCs w:val="22"/>
    </w:rPr>
  </w:style>
  <w:style w:type="paragraph" w:customStyle="1" w:styleId="361">
    <w:name w:val="右侧正文"/>
    <w:basedOn w:val="1"/>
    <w:autoRedefine/>
    <w:qFormat/>
    <w:uiPriority w:val="0"/>
    <w:pPr>
      <w:spacing w:line="360" w:lineRule="auto"/>
    </w:pPr>
    <w:rPr>
      <w:rFonts w:ascii="宋体" w:hAnsi="宋体"/>
      <w:sz w:val="24"/>
      <w:szCs w:val="28"/>
    </w:rPr>
  </w:style>
  <w:style w:type="paragraph" w:customStyle="1" w:styleId="362">
    <w:name w:val="xl42"/>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ascii="宋体" w:hAnsi="宋体"/>
      <w:color w:val="000000"/>
      <w:sz w:val="18"/>
    </w:rPr>
  </w:style>
  <w:style w:type="paragraph" w:customStyle="1" w:styleId="363">
    <w:name w:val="Char Char1 Char Char Char Char Char Char Char Char Char Char Char Char"/>
    <w:basedOn w:val="1"/>
    <w:autoRedefine/>
    <w:semiHidden/>
    <w:qFormat/>
    <w:uiPriority w:val="0"/>
    <w:pPr>
      <w:adjustRightInd w:val="0"/>
      <w:spacing w:line="360" w:lineRule="auto"/>
    </w:pPr>
    <w:rPr>
      <w:kern w:val="0"/>
      <w:sz w:val="24"/>
    </w:rPr>
  </w:style>
  <w:style w:type="paragraph" w:customStyle="1" w:styleId="364">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365">
    <w:name w:val="标题 35"/>
    <w:basedOn w:val="1"/>
    <w:autoRedefine/>
    <w:qFormat/>
    <w:uiPriority w:val="1"/>
    <w:pPr>
      <w:ind w:left="237" w:right="102"/>
      <w:outlineLvl w:val="3"/>
    </w:pPr>
    <w:rPr>
      <w:rFonts w:ascii="宋体" w:hAnsi="宋体" w:cs="宋体"/>
      <w:kern w:val="0"/>
      <w:sz w:val="28"/>
      <w:szCs w:val="28"/>
      <w:lang w:eastAsia="en-US"/>
    </w:rPr>
  </w:style>
  <w:style w:type="paragraph" w:customStyle="1" w:styleId="366">
    <w:name w:val="修订2"/>
    <w:autoRedefine/>
    <w:unhideWhenUsed/>
    <w:qFormat/>
    <w:uiPriority w:val="99"/>
    <w:rPr>
      <w:rFonts w:ascii="Times New Roman" w:hAnsi="Times New Roman" w:eastAsia="宋体" w:cs="Times New Roman"/>
      <w:kern w:val="2"/>
      <w:sz w:val="21"/>
      <w:lang w:val="en-US" w:eastAsia="zh-CN" w:bidi="ar-SA"/>
    </w:rPr>
  </w:style>
  <w:style w:type="table" w:customStyle="1" w:styleId="367">
    <w:name w:val="Table Normal"/>
    <w:autoRedefine/>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368">
    <w:name w:val="Normal_1_4"/>
    <w:autoRedefine/>
    <w:qFormat/>
    <w:uiPriority w:val="0"/>
    <w:rPr>
      <w:rFonts w:ascii="Times New Roman" w:hAnsi="Times New Roman" w:eastAsia="Times New Roman" w:cs="Times New Roman"/>
      <w:sz w:val="24"/>
      <w:szCs w:val="24"/>
      <w:lang w:val="en-US" w:eastAsia="zh-CN" w:bidi="ar-SA"/>
    </w:rPr>
  </w:style>
  <w:style w:type="paragraph" w:customStyle="1" w:styleId="369">
    <w:name w:val="Normal_1_5"/>
    <w:autoRedefine/>
    <w:qFormat/>
    <w:uiPriority w:val="0"/>
    <w:rPr>
      <w:rFonts w:ascii="Times New Roman" w:hAnsi="Times New Roman" w:eastAsia="Times New Roman" w:cs="Times New Roman"/>
      <w:sz w:val="24"/>
      <w:szCs w:val="24"/>
      <w:lang w:val="en-US" w:eastAsia="zh-CN" w:bidi="ar-SA"/>
    </w:rPr>
  </w:style>
  <w:style w:type="paragraph" w:customStyle="1" w:styleId="370">
    <w:name w:val="Normal_0_2"/>
    <w:basedOn w:val="1"/>
    <w:autoRedefine/>
    <w:qFormat/>
    <w:uiPriority w:val="0"/>
    <w:pPr>
      <w:widowControl/>
      <w:jc w:val="left"/>
    </w:pPr>
    <w:rPr>
      <w:rFonts w:eastAsia="Times New Roman"/>
      <w:kern w:val="0"/>
      <w:sz w:val="24"/>
      <w:szCs w:val="24"/>
    </w:rPr>
  </w:style>
  <w:style w:type="paragraph" w:customStyle="1" w:styleId="371">
    <w:name w:val="Normal_0_1"/>
    <w:basedOn w:val="1"/>
    <w:autoRedefine/>
    <w:qFormat/>
    <w:uiPriority w:val="0"/>
    <w:pPr>
      <w:widowControl/>
      <w:jc w:val="left"/>
    </w:pPr>
    <w:rPr>
      <w:rFonts w:eastAsia="Times New Roman"/>
      <w:kern w:val="0"/>
      <w:sz w:val="24"/>
      <w:szCs w:val="24"/>
    </w:rPr>
  </w:style>
  <w:style w:type="character" w:customStyle="1" w:styleId="372">
    <w:name w:val="页脚 Char"/>
    <w:autoRedefine/>
    <w:qFormat/>
    <w:uiPriority w:val="99"/>
    <w:rPr>
      <w:rFonts w:ascii="Times New Roman" w:hAnsi="Times New Roman" w:eastAsia="宋体" w:cs="Times New Roman"/>
      <w:sz w:val="18"/>
      <w:szCs w:val="20"/>
    </w:rPr>
  </w:style>
  <w:style w:type="paragraph" w:customStyle="1" w:styleId="373">
    <w:name w:val="~body text"/>
    <w:basedOn w:val="1"/>
    <w:autoRedefine/>
    <w:qFormat/>
    <w:uiPriority w:val="0"/>
    <w:pPr>
      <w:widowControl/>
      <w:spacing w:before="240" w:after="60" w:line="360" w:lineRule="auto"/>
      <w:ind w:left="720" w:firstLine="200" w:firstLineChars="200"/>
      <w:jc w:val="left"/>
    </w:pPr>
    <w:rPr>
      <w:rFonts w:ascii="Arial" w:hAnsi="Arial" w:eastAsia="仿宋"/>
      <w:spacing w:val="-2"/>
      <w:kern w:val="28"/>
      <w:sz w:val="22"/>
      <w:lang w:val="en-GB" w:eastAsia="en-US"/>
    </w:rPr>
  </w:style>
  <w:style w:type="paragraph" w:customStyle="1" w:styleId="374">
    <w:name w:val="格式2"/>
    <w:basedOn w:val="3"/>
    <w:autoRedefine/>
    <w:qFormat/>
    <w:uiPriority w:val="0"/>
    <w:pPr>
      <w:widowControl w:val="0"/>
      <w:autoSpaceDE w:val="0"/>
      <w:autoSpaceDN w:val="0"/>
      <w:adjustRightInd w:val="0"/>
      <w:spacing w:line="416" w:lineRule="atLeast"/>
      <w:jc w:val="both"/>
      <w:textAlignment w:val="baseline"/>
    </w:pPr>
    <w:rPr>
      <w:rFonts w:ascii="黑体" w:hAnsi="Times New Roman"/>
      <w:sz w:val="30"/>
    </w:rPr>
  </w:style>
  <w:style w:type="character" w:styleId="375">
    <w:name w:val="Placeholder Text"/>
    <w:autoRedefine/>
    <w:semiHidden/>
    <w:qFormat/>
    <w:uiPriority w:val="99"/>
    <w:rPr>
      <w:color w:val="808080"/>
    </w:rPr>
  </w:style>
  <w:style w:type="paragraph" w:customStyle="1" w:styleId="376">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table" w:customStyle="1" w:styleId="377">
    <w:name w:val="网格型1"/>
    <w:basedOn w:val="6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8">
    <w:name w:val="font41"/>
    <w:basedOn w:val="70"/>
    <w:autoRedefine/>
    <w:qFormat/>
    <w:uiPriority w:val="0"/>
    <w:rPr>
      <w:rFonts w:hint="eastAsia" w:ascii="宋体" w:hAnsi="宋体" w:eastAsia="宋体" w:cs="宋体"/>
      <w:color w:val="000000"/>
      <w:sz w:val="20"/>
      <w:szCs w:val="20"/>
      <w:u w:val="single"/>
    </w:rPr>
  </w:style>
  <w:style w:type="character" w:customStyle="1" w:styleId="379">
    <w:name w:val="批注文字 Char3"/>
    <w:link w:val="21"/>
    <w:autoRedefine/>
    <w:qFormat/>
    <w:uiPriority w:val="99"/>
    <w:rPr>
      <w:rFonts w:ascii="Tahoma" w:hAnsi="Tahoma"/>
      <w:kern w:val="2"/>
      <w:sz w:val="21"/>
      <w:szCs w:val="24"/>
    </w:rPr>
  </w:style>
  <w:style w:type="character" w:customStyle="1" w:styleId="380">
    <w:name w:val="标题 Char2"/>
    <w:basedOn w:val="70"/>
    <w:autoRedefine/>
    <w:qFormat/>
    <w:uiPriority w:val="0"/>
    <w:rPr>
      <w:rFonts w:ascii="Cambria" w:hAnsi="Cambria" w:eastAsia="宋体" w:cs="Times New Roman"/>
      <w:b/>
      <w:bCs/>
      <w:sz w:val="32"/>
      <w:szCs w:val="32"/>
    </w:rPr>
  </w:style>
  <w:style w:type="paragraph" w:customStyle="1" w:styleId="381">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82">
    <w:name w:val="附录标识"/>
    <w:basedOn w:val="1"/>
    <w:next w:val="287"/>
    <w:autoRedefine/>
    <w:qFormat/>
    <w:uiPriority w:val="0"/>
    <w:pPr>
      <w:keepNext/>
      <w:widowControl/>
      <w:numPr>
        <w:ilvl w:val="0"/>
        <w:numId w:val="2"/>
      </w:numPr>
      <w:shd w:val="clear" w:color="FFFFFF" w:fill="FFFFFF"/>
      <w:tabs>
        <w:tab w:val="left" w:pos="360"/>
        <w:tab w:val="left" w:pos="6405"/>
      </w:tabs>
      <w:spacing w:before="640" w:after="280"/>
      <w:jc w:val="center"/>
      <w:outlineLvl w:val="0"/>
    </w:pPr>
    <w:rPr>
      <w:rFonts w:ascii="黑体" w:eastAsia="黑体"/>
      <w:kern w:val="0"/>
    </w:rPr>
  </w:style>
  <w:style w:type="character" w:customStyle="1" w:styleId="383">
    <w:name w:val="标题 3 字符"/>
    <w:basedOn w:val="70"/>
    <w:autoRedefine/>
    <w:qFormat/>
    <w:uiPriority w:val="9"/>
    <w:rPr>
      <w:rFonts w:ascii="Calibri" w:hAnsi="Calibri" w:eastAsia="宋体" w:cs="Times New Roman"/>
      <w:b/>
      <w:bCs/>
      <w:sz w:val="32"/>
      <w:szCs w:val="32"/>
    </w:rPr>
  </w:style>
  <w:style w:type="character" w:customStyle="1" w:styleId="384">
    <w:name w:val="标题 4 字符"/>
    <w:basedOn w:val="70"/>
    <w:autoRedefine/>
    <w:qFormat/>
    <w:uiPriority w:val="9"/>
    <w:rPr>
      <w:rFonts w:asciiTheme="majorHAnsi" w:hAnsiTheme="majorHAnsi" w:eastAsiaTheme="majorEastAsia" w:cstheme="majorBidi"/>
      <w:b/>
      <w:bCs/>
      <w:sz w:val="28"/>
      <w:szCs w:val="28"/>
    </w:rPr>
  </w:style>
  <w:style w:type="character" w:customStyle="1" w:styleId="385">
    <w:name w:val="标题 5 字符"/>
    <w:basedOn w:val="70"/>
    <w:autoRedefine/>
    <w:qFormat/>
    <w:uiPriority w:val="9"/>
    <w:rPr>
      <w:rFonts w:ascii="Calibri" w:hAnsi="Calibri" w:eastAsia="宋体" w:cs="Times New Roman"/>
      <w:b/>
      <w:bCs/>
      <w:sz w:val="28"/>
      <w:szCs w:val="28"/>
    </w:rPr>
  </w:style>
  <w:style w:type="character" w:customStyle="1" w:styleId="386">
    <w:name w:val="标题 6 字符"/>
    <w:basedOn w:val="70"/>
    <w:autoRedefine/>
    <w:qFormat/>
    <w:uiPriority w:val="9"/>
    <w:rPr>
      <w:rFonts w:asciiTheme="majorHAnsi" w:hAnsiTheme="majorHAnsi" w:eastAsiaTheme="majorEastAsia" w:cstheme="majorBidi"/>
      <w:b/>
      <w:bCs/>
      <w:sz w:val="24"/>
      <w:szCs w:val="24"/>
    </w:rPr>
  </w:style>
  <w:style w:type="character" w:customStyle="1" w:styleId="387">
    <w:name w:val="标题 7 字符"/>
    <w:basedOn w:val="70"/>
    <w:autoRedefine/>
    <w:qFormat/>
    <w:uiPriority w:val="9"/>
    <w:rPr>
      <w:rFonts w:ascii="Calibri" w:hAnsi="Calibri" w:eastAsia="宋体" w:cs="Times New Roman"/>
      <w:b/>
      <w:bCs/>
      <w:sz w:val="24"/>
      <w:szCs w:val="24"/>
    </w:rPr>
  </w:style>
  <w:style w:type="character" w:customStyle="1" w:styleId="388">
    <w:name w:val="标题 8 字符"/>
    <w:basedOn w:val="70"/>
    <w:autoRedefine/>
    <w:qFormat/>
    <w:uiPriority w:val="9"/>
    <w:rPr>
      <w:rFonts w:asciiTheme="majorHAnsi" w:hAnsiTheme="majorHAnsi" w:eastAsiaTheme="majorEastAsia" w:cstheme="majorBidi"/>
      <w:sz w:val="24"/>
      <w:szCs w:val="24"/>
    </w:rPr>
  </w:style>
  <w:style w:type="character" w:customStyle="1" w:styleId="389">
    <w:name w:val="标题 9 字符"/>
    <w:basedOn w:val="70"/>
    <w:autoRedefine/>
    <w:qFormat/>
    <w:uiPriority w:val="9"/>
    <w:rPr>
      <w:rFonts w:asciiTheme="majorHAnsi" w:hAnsiTheme="majorHAnsi" w:eastAsiaTheme="majorEastAsia" w:cstheme="majorBidi"/>
      <w:szCs w:val="21"/>
    </w:rPr>
  </w:style>
  <w:style w:type="character" w:customStyle="1" w:styleId="390">
    <w:name w:val="标题 字符2"/>
    <w:autoRedefine/>
    <w:qFormat/>
    <w:uiPriority w:val="0"/>
    <w:rPr>
      <w:rFonts w:ascii="Arial" w:hAnsi="Arial"/>
      <w:b/>
      <w:sz w:val="44"/>
    </w:rPr>
  </w:style>
  <w:style w:type="character" w:customStyle="1" w:styleId="391">
    <w:name w:val="标题 1 字符2"/>
    <w:autoRedefine/>
    <w:qFormat/>
    <w:uiPriority w:val="9"/>
    <w:rPr>
      <w:rFonts w:ascii="宋体" w:hAnsi="宋体"/>
      <w:b/>
      <w:bCs/>
      <w:sz w:val="28"/>
      <w:szCs w:val="28"/>
      <w:shd w:val="clear" w:color="auto" w:fill="FFFFFF"/>
    </w:rPr>
  </w:style>
  <w:style w:type="character" w:customStyle="1" w:styleId="392">
    <w:name w:val="正文文本首行缩进 字符"/>
    <w:basedOn w:val="181"/>
    <w:autoRedefine/>
    <w:qFormat/>
    <w:uiPriority w:val="0"/>
    <w:rPr>
      <w:rFonts w:ascii="Calibri" w:hAnsi="Calibri" w:eastAsia="宋体" w:cs="Times New Roman"/>
      <w:kern w:val="2"/>
      <w:sz w:val="21"/>
      <w:szCs w:val="21"/>
    </w:rPr>
  </w:style>
  <w:style w:type="character" w:customStyle="1" w:styleId="393">
    <w:name w:val="正文文本 字符2"/>
    <w:autoRedefine/>
    <w:qFormat/>
    <w:uiPriority w:val="99"/>
    <w:rPr>
      <w:rFonts w:ascii="Times New Roman" w:hAnsi="Times New Roman"/>
    </w:rPr>
  </w:style>
  <w:style w:type="character" w:customStyle="1" w:styleId="394">
    <w:name w:val="标题 2 字符2"/>
    <w:autoRedefine/>
    <w:qFormat/>
    <w:uiPriority w:val="9"/>
    <w:rPr>
      <w:rFonts w:ascii="宋体" w:hAnsi="宋体"/>
      <w:b/>
      <w:bCs/>
      <w:szCs w:val="21"/>
    </w:rPr>
  </w:style>
  <w:style w:type="character" w:customStyle="1" w:styleId="395">
    <w:name w:val="正文缩进 Char2"/>
    <w:autoRedefine/>
    <w:qFormat/>
    <w:locked/>
    <w:uiPriority w:val="0"/>
    <w:rPr>
      <w:rFonts w:ascii="Times New Roman" w:hAnsi="Times New Roman" w:eastAsia="宋体" w:cs="Times New Roman"/>
      <w:szCs w:val="20"/>
    </w:rPr>
  </w:style>
  <w:style w:type="character" w:customStyle="1" w:styleId="396">
    <w:name w:val="注释标题 Char"/>
    <w:basedOn w:val="70"/>
    <w:link w:val="14"/>
    <w:autoRedefine/>
    <w:qFormat/>
    <w:uiPriority w:val="0"/>
  </w:style>
  <w:style w:type="character" w:customStyle="1" w:styleId="397">
    <w:name w:val="注释标题 字符"/>
    <w:basedOn w:val="70"/>
    <w:autoRedefine/>
    <w:semiHidden/>
    <w:qFormat/>
    <w:uiPriority w:val="99"/>
    <w:rPr>
      <w:rFonts w:ascii="Calibri" w:hAnsi="Calibri" w:eastAsia="宋体" w:cs="Times New Roman"/>
    </w:rPr>
  </w:style>
  <w:style w:type="character" w:customStyle="1" w:styleId="398">
    <w:name w:val="题注 Char"/>
    <w:link w:val="16"/>
    <w:autoRedefine/>
    <w:qFormat/>
    <w:uiPriority w:val="0"/>
    <w:rPr>
      <w:rFonts w:ascii="Arial" w:hAnsi="Arial" w:eastAsia="黑体"/>
      <w:kern w:val="2"/>
    </w:rPr>
  </w:style>
  <w:style w:type="character" w:customStyle="1" w:styleId="399">
    <w:name w:val="文档结构图 字符"/>
    <w:basedOn w:val="70"/>
    <w:autoRedefine/>
    <w:qFormat/>
    <w:uiPriority w:val="0"/>
    <w:rPr>
      <w:rFonts w:ascii="Microsoft YaHei UI" w:hAnsi="Calibri" w:eastAsia="Microsoft YaHei UI" w:cs="Times New Roman"/>
      <w:sz w:val="18"/>
      <w:szCs w:val="18"/>
    </w:rPr>
  </w:style>
  <w:style w:type="character" w:customStyle="1" w:styleId="400">
    <w:name w:val="批注文字 字符"/>
    <w:basedOn w:val="70"/>
    <w:autoRedefine/>
    <w:qFormat/>
    <w:uiPriority w:val="99"/>
    <w:rPr>
      <w:rFonts w:ascii="Calibri" w:hAnsi="Calibri" w:eastAsia="宋体" w:cs="Times New Roman"/>
    </w:rPr>
  </w:style>
  <w:style w:type="character" w:customStyle="1" w:styleId="401">
    <w:name w:val="正文文本 3 字符"/>
    <w:basedOn w:val="70"/>
    <w:autoRedefine/>
    <w:qFormat/>
    <w:uiPriority w:val="0"/>
    <w:rPr>
      <w:rFonts w:ascii="Calibri" w:hAnsi="Calibri" w:eastAsia="宋体" w:cs="Times New Roman"/>
      <w:sz w:val="16"/>
      <w:szCs w:val="16"/>
    </w:rPr>
  </w:style>
  <w:style w:type="character" w:customStyle="1" w:styleId="402">
    <w:name w:val="正文文本缩进 字符"/>
    <w:basedOn w:val="70"/>
    <w:autoRedefine/>
    <w:qFormat/>
    <w:uiPriority w:val="0"/>
    <w:rPr>
      <w:rFonts w:ascii="Calibri" w:hAnsi="Calibri" w:eastAsia="宋体" w:cs="Times New Roman"/>
    </w:rPr>
  </w:style>
  <w:style w:type="character" w:customStyle="1" w:styleId="403">
    <w:name w:val="正文文本缩进 Char1"/>
    <w:autoRedefine/>
    <w:qFormat/>
    <w:uiPriority w:val="0"/>
    <w:rPr>
      <w:rFonts w:ascii="Times New Roman" w:hAnsi="Times New Roman" w:eastAsia="宋体" w:cs="Times New Roman"/>
      <w:kern w:val="0"/>
      <w:sz w:val="28"/>
      <w:szCs w:val="20"/>
    </w:rPr>
  </w:style>
  <w:style w:type="character" w:customStyle="1" w:styleId="404">
    <w:name w:val="纯文本 字符"/>
    <w:basedOn w:val="70"/>
    <w:autoRedefine/>
    <w:qFormat/>
    <w:uiPriority w:val="0"/>
    <w:rPr>
      <w:rFonts w:hAnsi="Courier New" w:cs="Courier New" w:asciiTheme="minorEastAsia"/>
    </w:rPr>
  </w:style>
  <w:style w:type="character" w:customStyle="1" w:styleId="405">
    <w:name w:val="日期 字符2"/>
    <w:autoRedefine/>
    <w:qFormat/>
    <w:uiPriority w:val="0"/>
    <w:rPr>
      <w:rFonts w:ascii="Times New Roman" w:hAnsi="Times New Roman"/>
    </w:rPr>
  </w:style>
  <w:style w:type="character" w:customStyle="1" w:styleId="406">
    <w:name w:val="正文文本缩进 2 字符"/>
    <w:basedOn w:val="70"/>
    <w:autoRedefine/>
    <w:qFormat/>
    <w:uiPriority w:val="0"/>
    <w:rPr>
      <w:rFonts w:ascii="Calibri" w:hAnsi="Calibri" w:eastAsia="宋体" w:cs="Times New Roman"/>
    </w:rPr>
  </w:style>
  <w:style w:type="character" w:customStyle="1" w:styleId="407">
    <w:name w:val="尾注文本 Char"/>
    <w:basedOn w:val="70"/>
    <w:link w:val="38"/>
    <w:autoRedefine/>
    <w:qFormat/>
    <w:uiPriority w:val="0"/>
  </w:style>
  <w:style w:type="character" w:customStyle="1" w:styleId="408">
    <w:name w:val="尾注文本 字符"/>
    <w:basedOn w:val="70"/>
    <w:autoRedefine/>
    <w:qFormat/>
    <w:uiPriority w:val="99"/>
    <w:rPr>
      <w:rFonts w:ascii="Calibri" w:hAnsi="Calibri" w:eastAsia="宋体" w:cs="Times New Roman"/>
    </w:rPr>
  </w:style>
  <w:style w:type="character" w:customStyle="1" w:styleId="409">
    <w:name w:val="批注框文本 字符"/>
    <w:basedOn w:val="70"/>
    <w:autoRedefine/>
    <w:qFormat/>
    <w:uiPriority w:val="99"/>
    <w:rPr>
      <w:rFonts w:ascii="Calibri" w:hAnsi="Calibri" w:eastAsia="宋体" w:cs="Times New Roman"/>
      <w:sz w:val="18"/>
      <w:szCs w:val="18"/>
    </w:rPr>
  </w:style>
  <w:style w:type="character" w:customStyle="1" w:styleId="410">
    <w:name w:val="页脚 字符2"/>
    <w:autoRedefine/>
    <w:qFormat/>
    <w:uiPriority w:val="99"/>
    <w:rPr>
      <w:sz w:val="18"/>
      <w:szCs w:val="18"/>
    </w:rPr>
  </w:style>
  <w:style w:type="character" w:customStyle="1" w:styleId="411">
    <w:name w:val="页眉 字符2"/>
    <w:autoRedefine/>
    <w:qFormat/>
    <w:uiPriority w:val="99"/>
    <w:rPr>
      <w:sz w:val="18"/>
      <w:szCs w:val="18"/>
    </w:rPr>
  </w:style>
  <w:style w:type="character" w:customStyle="1" w:styleId="412">
    <w:name w:val="副标题 字符"/>
    <w:basedOn w:val="70"/>
    <w:autoRedefine/>
    <w:qFormat/>
    <w:uiPriority w:val="11"/>
    <w:rPr>
      <w:b/>
      <w:bCs/>
      <w:kern w:val="28"/>
      <w:sz w:val="32"/>
      <w:szCs w:val="32"/>
    </w:rPr>
  </w:style>
  <w:style w:type="character" w:customStyle="1" w:styleId="413">
    <w:name w:val="脚注文本 字符"/>
    <w:basedOn w:val="70"/>
    <w:autoRedefine/>
    <w:qFormat/>
    <w:uiPriority w:val="99"/>
    <w:rPr>
      <w:rFonts w:ascii="Calibri" w:hAnsi="Calibri" w:eastAsia="宋体" w:cs="Times New Roman"/>
      <w:sz w:val="18"/>
      <w:szCs w:val="18"/>
    </w:rPr>
  </w:style>
  <w:style w:type="character" w:customStyle="1" w:styleId="414">
    <w:name w:val="正文文本缩进 3 字符"/>
    <w:basedOn w:val="70"/>
    <w:autoRedefine/>
    <w:qFormat/>
    <w:uiPriority w:val="0"/>
    <w:rPr>
      <w:rFonts w:ascii="Calibri" w:hAnsi="Calibri" w:eastAsia="宋体" w:cs="Times New Roman"/>
      <w:sz w:val="16"/>
      <w:szCs w:val="16"/>
    </w:rPr>
  </w:style>
  <w:style w:type="character" w:customStyle="1" w:styleId="415">
    <w:name w:val="正文文本 2 字符"/>
    <w:basedOn w:val="70"/>
    <w:autoRedefine/>
    <w:qFormat/>
    <w:uiPriority w:val="0"/>
    <w:rPr>
      <w:rFonts w:ascii="Calibri" w:hAnsi="Calibri" w:eastAsia="宋体" w:cs="Times New Roman"/>
    </w:rPr>
  </w:style>
  <w:style w:type="character" w:customStyle="1" w:styleId="416">
    <w:name w:val="HTML 预设格式 Char"/>
    <w:basedOn w:val="70"/>
    <w:link w:val="58"/>
    <w:autoRedefine/>
    <w:qFormat/>
    <w:uiPriority w:val="0"/>
    <w:rPr>
      <w:rFonts w:ascii="宋体" w:hAnsi="宋体"/>
    </w:rPr>
  </w:style>
  <w:style w:type="character" w:customStyle="1" w:styleId="417">
    <w:name w:val="HTML 预设格式 字符"/>
    <w:basedOn w:val="70"/>
    <w:autoRedefine/>
    <w:qFormat/>
    <w:uiPriority w:val="99"/>
    <w:rPr>
      <w:rFonts w:ascii="Courier New" w:hAnsi="Courier New" w:eastAsia="宋体" w:cs="Courier New"/>
      <w:sz w:val="20"/>
      <w:szCs w:val="20"/>
    </w:rPr>
  </w:style>
  <w:style w:type="character" w:customStyle="1" w:styleId="418">
    <w:name w:val="批注主题 字符"/>
    <w:basedOn w:val="400"/>
    <w:autoRedefine/>
    <w:qFormat/>
    <w:uiPriority w:val="99"/>
    <w:rPr>
      <w:rFonts w:ascii="Calibri" w:hAnsi="Calibri" w:eastAsia="宋体" w:cs="Times New Roman"/>
      <w:b/>
      <w:bCs/>
    </w:rPr>
  </w:style>
  <w:style w:type="character" w:customStyle="1" w:styleId="419">
    <w:name w:val="正文文本首行缩进 2 字符"/>
    <w:basedOn w:val="402"/>
    <w:autoRedefine/>
    <w:qFormat/>
    <w:uiPriority w:val="99"/>
    <w:rPr>
      <w:rFonts w:ascii="Calibri" w:hAnsi="Calibri" w:eastAsia="宋体" w:cs="Times New Roman"/>
    </w:rPr>
  </w:style>
  <w:style w:type="character" w:customStyle="1" w:styleId="420">
    <w:name w:val="样式 样式 样式 样式 标题 2标题 1.1第一层条第二层论文标题 1Para2Title1H2h22l2list + ch..... Char"/>
    <w:autoRedefine/>
    <w:qFormat/>
    <w:uiPriority w:val="0"/>
    <w:rPr>
      <w:rFonts w:ascii="宋体" w:hAnsi="宋体"/>
      <w:b/>
      <w:color w:val="000000"/>
      <w:szCs w:val="28"/>
    </w:rPr>
  </w:style>
  <w:style w:type="character" w:customStyle="1" w:styleId="421">
    <w:name w:val="样式 标题 2标题 1.1第一层条第二层论文标题 1Para2Title1H2h22l2list + ch...1 Char"/>
    <w:autoRedefine/>
    <w:qFormat/>
    <w:uiPriority w:val="0"/>
    <w:rPr>
      <w:rFonts w:ascii="Arial" w:hAnsi="Arial" w:eastAsia="宋体" w:cs="Times New Roman"/>
      <w:b/>
      <w:color w:val="000000"/>
      <w:kern w:val="0"/>
      <w:sz w:val="24"/>
      <w:szCs w:val="24"/>
    </w:rPr>
  </w:style>
  <w:style w:type="character" w:customStyle="1" w:styleId="422">
    <w:name w:val="样式 样式 标题 2标题 1.1第一层条第二层论文标题 1Para2Title1H2h22l2list + ch...1 + 右...1 Char"/>
    <w:autoRedefine/>
    <w:qFormat/>
    <w:uiPriority w:val="0"/>
    <w:rPr>
      <w:rFonts w:ascii="Arial" w:hAnsi="Arial" w:eastAsia="宋体" w:cs="Times New Roman"/>
      <w:b/>
      <w:color w:val="000000"/>
      <w:kern w:val="0"/>
      <w:sz w:val="24"/>
      <w:szCs w:val="24"/>
    </w:rPr>
  </w:style>
  <w:style w:type="character" w:customStyle="1" w:styleId="423">
    <w:name w:val="样式 样式 样式 标题 2标题 1.1第一层条第二层论文标题 1Para2Title1H2h22l2list + ch...1 ... Char"/>
    <w:autoRedefine/>
    <w:qFormat/>
    <w:uiPriority w:val="0"/>
    <w:rPr>
      <w:rFonts w:ascii="Arial" w:hAnsi="Arial" w:eastAsia="宋体" w:cs="Times New Roman"/>
      <w:b/>
      <w:color w:val="000000"/>
      <w:kern w:val="0"/>
      <w:sz w:val="28"/>
      <w:szCs w:val="28"/>
    </w:rPr>
  </w:style>
  <w:style w:type="character" w:customStyle="1" w:styleId="424">
    <w:name w:val="标题 3 Char1"/>
    <w:autoRedefine/>
    <w:semiHidden/>
    <w:qFormat/>
    <w:uiPriority w:val="0"/>
    <w:rPr>
      <w:b/>
      <w:bCs/>
      <w:kern w:val="2"/>
      <w:sz w:val="32"/>
      <w:szCs w:val="32"/>
    </w:rPr>
  </w:style>
  <w:style w:type="character" w:customStyle="1" w:styleId="425">
    <w:name w:val="黎越波"/>
    <w:autoRedefine/>
    <w:semiHidden/>
    <w:qFormat/>
    <w:uiPriority w:val="0"/>
    <w:rPr>
      <w:rFonts w:ascii="Arial" w:hAnsi="Arial" w:eastAsia="宋体" w:cs="Arial"/>
      <w:color w:val="auto"/>
      <w:kern w:val="2"/>
      <w:sz w:val="18"/>
      <w:szCs w:val="20"/>
      <w:lang w:val="en-US" w:eastAsia="zh-CN" w:bidi="ar-SA"/>
    </w:rPr>
  </w:style>
  <w:style w:type="character" w:customStyle="1" w:styleId="426">
    <w:name w:val="char2"/>
    <w:autoRedefine/>
    <w:qFormat/>
    <w:uiPriority w:val="0"/>
    <w:rPr>
      <w:rFonts w:hint="eastAsia" w:ascii="仿宋_GB2312" w:eastAsia="仿宋_GB2312"/>
      <w:color w:val="000000"/>
      <w:kern w:val="2"/>
      <w:sz w:val="24"/>
      <w:szCs w:val="24"/>
      <w:lang w:val="en-US" w:eastAsia="zh-CN" w:bidi="ar-SA"/>
    </w:rPr>
  </w:style>
  <w:style w:type="character" w:customStyle="1" w:styleId="427">
    <w:name w:val="正文文本 2 字符1"/>
    <w:autoRedefine/>
    <w:qFormat/>
    <w:uiPriority w:val="99"/>
    <w:rPr>
      <w:rFonts w:ascii="Times New Roman" w:hAnsi="Times New Roman" w:eastAsia="宋体" w:cs="Times New Roman"/>
      <w:kern w:val="0"/>
      <w:sz w:val="28"/>
      <w:szCs w:val="20"/>
    </w:rPr>
  </w:style>
  <w:style w:type="character" w:customStyle="1" w:styleId="428">
    <w:name w:val="标题 6 Char1"/>
    <w:autoRedefine/>
    <w:semiHidden/>
    <w:qFormat/>
    <w:uiPriority w:val="0"/>
    <w:rPr>
      <w:rFonts w:ascii="Cambria" w:hAnsi="Cambria" w:eastAsia="宋体" w:cs="Times New Roman"/>
      <w:b/>
      <w:bCs/>
      <w:kern w:val="2"/>
      <w:sz w:val="24"/>
      <w:szCs w:val="24"/>
    </w:rPr>
  </w:style>
  <w:style w:type="character" w:customStyle="1" w:styleId="429">
    <w:name w:val="不明显参考1"/>
    <w:autoRedefine/>
    <w:qFormat/>
    <w:uiPriority w:val="0"/>
    <w:rPr>
      <w:smallCaps/>
      <w:color w:val="C0504D"/>
      <w:u w:val="single"/>
    </w:rPr>
  </w:style>
  <w:style w:type="character" w:customStyle="1" w:styleId="430">
    <w:name w:val="样式 8 磅 加粗"/>
    <w:autoRedefine/>
    <w:qFormat/>
    <w:uiPriority w:val="0"/>
    <w:rPr>
      <w:rFonts w:eastAsia="宋体"/>
      <w:bCs/>
      <w:sz w:val="21"/>
    </w:rPr>
  </w:style>
  <w:style w:type="character" w:customStyle="1" w:styleId="431">
    <w:name w:val="编号标题2 Char Char Char Char Char Char Char Char Char Char Ch"/>
    <w:autoRedefine/>
    <w:qFormat/>
    <w:uiPriority w:val="0"/>
    <w:rPr>
      <w:rFonts w:ascii="Arial" w:hAnsi="Arial" w:eastAsia="黑体"/>
      <w:bCs/>
      <w:kern w:val="2"/>
      <w:sz w:val="21"/>
      <w:szCs w:val="32"/>
      <w:lang w:val="en-US" w:eastAsia="zh-CN" w:bidi="ar-SA"/>
    </w:rPr>
  </w:style>
  <w:style w:type="character" w:customStyle="1" w:styleId="432">
    <w:name w:val="明显参考1"/>
    <w:autoRedefine/>
    <w:qFormat/>
    <w:uiPriority w:val="0"/>
    <w:rPr>
      <w:b/>
      <w:bCs/>
      <w:smallCaps/>
      <w:color w:val="C0504D"/>
      <w:spacing w:val="5"/>
      <w:u w:val="single"/>
    </w:rPr>
  </w:style>
  <w:style w:type="character" w:customStyle="1" w:styleId="433">
    <w:name w:val="high151"/>
    <w:autoRedefine/>
    <w:qFormat/>
    <w:uiPriority w:val="0"/>
    <w:rPr>
      <w:spacing w:val="300"/>
      <w:sz w:val="18"/>
      <w:szCs w:val="18"/>
    </w:rPr>
  </w:style>
  <w:style w:type="character" w:customStyle="1" w:styleId="434">
    <w:name w:val="正文文本缩进 2 Char7"/>
    <w:autoRedefine/>
    <w:semiHidden/>
    <w:qFormat/>
    <w:uiPriority w:val="99"/>
  </w:style>
  <w:style w:type="character" w:customStyle="1" w:styleId="435">
    <w:name w:val="正文文本 Char3"/>
    <w:autoRedefine/>
    <w:qFormat/>
    <w:uiPriority w:val="99"/>
    <w:rPr>
      <w:kern w:val="2"/>
      <w:sz w:val="21"/>
      <w:szCs w:val="22"/>
    </w:rPr>
  </w:style>
  <w:style w:type="character" w:customStyle="1" w:styleId="436">
    <w:name w:val="HTML 预设格式 Char7"/>
    <w:autoRedefine/>
    <w:semiHidden/>
    <w:qFormat/>
    <w:uiPriority w:val="99"/>
    <w:rPr>
      <w:rFonts w:hint="default" w:ascii="Courier New" w:hAnsi="Courier New" w:cs="Courier New"/>
      <w:sz w:val="20"/>
      <w:szCs w:val="20"/>
    </w:rPr>
  </w:style>
  <w:style w:type="character" w:customStyle="1" w:styleId="437">
    <w:name w:val="日期 Char6"/>
    <w:autoRedefine/>
    <w:semiHidden/>
    <w:qFormat/>
    <w:uiPriority w:val="99"/>
    <w:rPr>
      <w:kern w:val="2"/>
      <w:sz w:val="21"/>
      <w:szCs w:val="22"/>
    </w:rPr>
  </w:style>
  <w:style w:type="character" w:customStyle="1" w:styleId="438">
    <w:name w:val="页眉 Char5"/>
    <w:autoRedefine/>
    <w:semiHidden/>
    <w:qFormat/>
    <w:uiPriority w:val="99"/>
    <w:rPr>
      <w:kern w:val="2"/>
      <w:sz w:val="18"/>
      <w:szCs w:val="18"/>
    </w:rPr>
  </w:style>
  <w:style w:type="character" w:customStyle="1" w:styleId="439">
    <w:name w:val="批注框文本 Char7"/>
    <w:autoRedefine/>
    <w:semiHidden/>
    <w:qFormat/>
    <w:uiPriority w:val="99"/>
    <w:rPr>
      <w:sz w:val="18"/>
      <w:szCs w:val="18"/>
    </w:rPr>
  </w:style>
  <w:style w:type="character" w:customStyle="1" w:styleId="440">
    <w:name w:val="正文文本缩进 3 Char7"/>
    <w:autoRedefine/>
    <w:semiHidden/>
    <w:qFormat/>
    <w:uiPriority w:val="99"/>
    <w:rPr>
      <w:sz w:val="16"/>
      <w:szCs w:val="16"/>
    </w:rPr>
  </w:style>
  <w:style w:type="character" w:customStyle="1" w:styleId="441">
    <w:name w:val="Char Char42"/>
    <w:autoRedefine/>
    <w:qFormat/>
    <w:uiPriority w:val="0"/>
    <w:rPr>
      <w:rFonts w:eastAsia="宋体"/>
      <w:kern w:val="2"/>
      <w:sz w:val="21"/>
      <w:szCs w:val="24"/>
      <w:lang w:val="en-US" w:eastAsia="zh-CN" w:bidi="ar-SA"/>
    </w:rPr>
  </w:style>
  <w:style w:type="character" w:customStyle="1" w:styleId="442">
    <w:name w:val="纯文本 Char3"/>
    <w:autoRedefine/>
    <w:semiHidden/>
    <w:qFormat/>
    <w:uiPriority w:val="99"/>
    <w:rPr>
      <w:rFonts w:ascii="宋体" w:hAnsi="Courier New" w:eastAsia="宋体" w:cs="Courier New"/>
      <w:szCs w:val="21"/>
    </w:rPr>
  </w:style>
  <w:style w:type="character" w:customStyle="1" w:styleId="443">
    <w:name w:val="Char Char5"/>
    <w:autoRedefine/>
    <w:qFormat/>
    <w:uiPriority w:val="0"/>
    <w:rPr>
      <w:rFonts w:ascii="Arial" w:hAnsi="Arial" w:eastAsia="宋体"/>
      <w:b/>
      <w:kern w:val="2"/>
      <w:sz w:val="44"/>
      <w:szCs w:val="24"/>
      <w:lang w:val="en-US" w:eastAsia="zh-CN" w:bidi="ar-SA"/>
    </w:rPr>
  </w:style>
  <w:style w:type="character" w:customStyle="1" w:styleId="444">
    <w:name w:val="标题 5 Char1"/>
    <w:autoRedefine/>
    <w:semiHidden/>
    <w:qFormat/>
    <w:uiPriority w:val="0"/>
    <w:rPr>
      <w:b/>
      <w:bCs/>
      <w:kern w:val="2"/>
      <w:sz w:val="28"/>
      <w:szCs w:val="28"/>
    </w:rPr>
  </w:style>
  <w:style w:type="character" w:customStyle="1" w:styleId="445">
    <w:name w:val="Char Char34"/>
    <w:autoRedefine/>
    <w:qFormat/>
    <w:uiPriority w:val="0"/>
    <w:rPr>
      <w:rFonts w:hint="eastAsia" w:ascii="宋体" w:hAnsi="宋体" w:eastAsia="宋体"/>
      <w:kern w:val="2"/>
      <w:sz w:val="21"/>
      <w:szCs w:val="24"/>
      <w:lang w:val="en-US" w:eastAsia="zh-CN" w:bidi="ar-SA"/>
    </w:rPr>
  </w:style>
  <w:style w:type="character" w:customStyle="1" w:styleId="446">
    <w:name w:val="标题 8 Char1"/>
    <w:autoRedefine/>
    <w:semiHidden/>
    <w:qFormat/>
    <w:uiPriority w:val="0"/>
    <w:rPr>
      <w:rFonts w:ascii="Cambria" w:hAnsi="Cambria" w:eastAsia="宋体" w:cs="Times New Roman"/>
      <w:kern w:val="2"/>
      <w:sz w:val="24"/>
      <w:szCs w:val="24"/>
    </w:rPr>
  </w:style>
  <w:style w:type="character" w:customStyle="1" w:styleId="447">
    <w:name w:val="文档结构图 Char3"/>
    <w:autoRedefine/>
    <w:qFormat/>
    <w:uiPriority w:val="99"/>
    <w:rPr>
      <w:rFonts w:ascii="宋体"/>
      <w:kern w:val="2"/>
      <w:sz w:val="18"/>
      <w:szCs w:val="18"/>
    </w:rPr>
  </w:style>
  <w:style w:type="character" w:customStyle="1" w:styleId="448">
    <w:name w:val="正文文本缩进 3 Char2"/>
    <w:autoRedefine/>
    <w:semiHidden/>
    <w:qFormat/>
    <w:uiPriority w:val="99"/>
    <w:rPr>
      <w:sz w:val="16"/>
      <w:szCs w:val="16"/>
    </w:rPr>
  </w:style>
  <w:style w:type="character" w:customStyle="1" w:styleId="449">
    <w:name w:val="正文文本 3 Char1"/>
    <w:autoRedefine/>
    <w:semiHidden/>
    <w:qFormat/>
    <w:uiPriority w:val="99"/>
    <w:rPr>
      <w:kern w:val="2"/>
      <w:sz w:val="16"/>
      <w:szCs w:val="16"/>
    </w:rPr>
  </w:style>
  <w:style w:type="character" w:customStyle="1" w:styleId="450">
    <w:name w:val="Char Char111"/>
    <w:autoRedefine/>
    <w:qFormat/>
    <w:uiPriority w:val="99"/>
    <w:rPr>
      <w:rFonts w:hint="eastAsia" w:ascii="宋体" w:hAnsi="宋体" w:eastAsia="宋体"/>
    </w:rPr>
  </w:style>
  <w:style w:type="character" w:customStyle="1" w:styleId="451">
    <w:name w:val="正文文本缩进 Char2"/>
    <w:autoRedefine/>
    <w:semiHidden/>
    <w:qFormat/>
    <w:uiPriority w:val="99"/>
  </w:style>
  <w:style w:type="character" w:customStyle="1" w:styleId="452">
    <w:name w:val="Char Char7"/>
    <w:autoRedefine/>
    <w:qFormat/>
    <w:uiPriority w:val="99"/>
    <w:rPr>
      <w:rFonts w:hint="eastAsia" w:ascii="宋体" w:hAnsi="Times New Roman" w:eastAsia="宋体"/>
      <w:kern w:val="0"/>
      <w:sz w:val="24"/>
    </w:rPr>
  </w:style>
  <w:style w:type="character" w:customStyle="1" w:styleId="453">
    <w:name w:val="正文文本缩进 2 Char2"/>
    <w:autoRedefine/>
    <w:semiHidden/>
    <w:qFormat/>
    <w:uiPriority w:val="99"/>
  </w:style>
  <w:style w:type="character" w:customStyle="1" w:styleId="454">
    <w:name w:val="页眉 Char2"/>
    <w:autoRedefine/>
    <w:semiHidden/>
    <w:qFormat/>
    <w:uiPriority w:val="99"/>
    <w:rPr>
      <w:sz w:val="18"/>
      <w:szCs w:val="18"/>
    </w:rPr>
  </w:style>
  <w:style w:type="character" w:customStyle="1" w:styleId="455">
    <w:name w:val="批注框文本 Char4"/>
    <w:autoRedefine/>
    <w:semiHidden/>
    <w:qFormat/>
    <w:uiPriority w:val="99"/>
    <w:rPr>
      <w:sz w:val="18"/>
      <w:szCs w:val="18"/>
    </w:rPr>
  </w:style>
  <w:style w:type="character" w:customStyle="1" w:styleId="456">
    <w:name w:val="正文文本缩进 3 Char4"/>
    <w:autoRedefine/>
    <w:semiHidden/>
    <w:qFormat/>
    <w:uiPriority w:val="99"/>
    <w:rPr>
      <w:sz w:val="16"/>
      <w:szCs w:val="16"/>
    </w:rPr>
  </w:style>
  <w:style w:type="character" w:customStyle="1" w:styleId="457">
    <w:name w:val="正文文本 Char4"/>
    <w:autoRedefine/>
    <w:semiHidden/>
    <w:qFormat/>
    <w:uiPriority w:val="99"/>
  </w:style>
  <w:style w:type="character" w:customStyle="1" w:styleId="458">
    <w:name w:val="日期 Char4"/>
    <w:autoRedefine/>
    <w:semiHidden/>
    <w:qFormat/>
    <w:uiPriority w:val="99"/>
  </w:style>
  <w:style w:type="character" w:customStyle="1" w:styleId="459">
    <w:name w:val="正文文本 2 Char4"/>
    <w:autoRedefine/>
    <w:semiHidden/>
    <w:qFormat/>
    <w:uiPriority w:val="99"/>
  </w:style>
  <w:style w:type="character" w:customStyle="1" w:styleId="460">
    <w:name w:val="正文文本缩进 Char4"/>
    <w:autoRedefine/>
    <w:semiHidden/>
    <w:qFormat/>
    <w:uiPriority w:val="99"/>
  </w:style>
  <w:style w:type="character" w:customStyle="1" w:styleId="461">
    <w:name w:val="正文文本缩进 2 Char4"/>
    <w:autoRedefine/>
    <w:semiHidden/>
    <w:qFormat/>
    <w:uiPriority w:val="99"/>
  </w:style>
  <w:style w:type="character" w:customStyle="1" w:styleId="462">
    <w:name w:val="章标题 Char"/>
    <w:link w:val="358"/>
    <w:autoRedefine/>
    <w:qFormat/>
    <w:locked/>
    <w:uiPriority w:val="99"/>
    <w:rPr>
      <w:rFonts w:ascii="黑体" w:eastAsia="黑体"/>
      <w:sz w:val="21"/>
    </w:rPr>
  </w:style>
  <w:style w:type="character" w:customStyle="1" w:styleId="463">
    <w:name w:val="段 Char"/>
    <w:link w:val="287"/>
    <w:autoRedefine/>
    <w:qFormat/>
    <w:locked/>
    <w:uiPriority w:val="0"/>
    <w:rPr>
      <w:rFonts w:ascii="宋体"/>
      <w:sz w:val="21"/>
    </w:rPr>
  </w:style>
  <w:style w:type="character" w:customStyle="1" w:styleId="464">
    <w:name w:val="Char Char51"/>
    <w:autoRedefine/>
    <w:qFormat/>
    <w:uiPriority w:val="0"/>
    <w:rPr>
      <w:rFonts w:hint="default" w:ascii="Arial" w:hAnsi="Arial" w:eastAsia="宋体" w:cs="Arial"/>
      <w:b/>
      <w:kern w:val="2"/>
      <w:sz w:val="44"/>
      <w:szCs w:val="24"/>
      <w:lang w:val="en-US" w:eastAsia="zh-CN" w:bidi="ar-SA"/>
    </w:rPr>
  </w:style>
  <w:style w:type="character" w:customStyle="1" w:styleId="465">
    <w:name w:val="正文（首行缩进两字） + Arial Char Char Char Char Char Char Char Char Char Char Char Char Char Char Char Char Char Char Char Char Char Char Char Char Char Char Char"/>
    <w:autoRedefine/>
    <w:qFormat/>
    <w:uiPriority w:val="0"/>
    <w:rPr>
      <w:rFonts w:ascii="Arial" w:hAnsi="Arial" w:eastAsia="宋体"/>
      <w:kern w:val="2"/>
      <w:sz w:val="24"/>
      <w:szCs w:val="24"/>
      <w:lang w:val="en-US" w:eastAsia="zh-CN" w:bidi="ar-SA"/>
    </w:rPr>
  </w:style>
  <w:style w:type="character" w:customStyle="1" w:styleId="466">
    <w:name w:val="detail_title1"/>
    <w:autoRedefine/>
    <w:qFormat/>
    <w:uiPriority w:val="0"/>
    <w:rPr>
      <w:rFonts w:hint="default" w:ascii="ˎ̥" w:hAnsi="ˎ̥" w:eastAsia="宋体"/>
      <w:b/>
      <w:bCs/>
      <w:color w:val="00497B"/>
      <w:kern w:val="2"/>
      <w:sz w:val="24"/>
      <w:szCs w:val="24"/>
      <w:lang w:val="en-US" w:eastAsia="zh-CN" w:bidi="ar-SA"/>
    </w:rPr>
  </w:style>
  <w:style w:type="character" w:customStyle="1" w:styleId="467">
    <w:name w:val="标题 1 1 Char2"/>
    <w:autoRedefine/>
    <w:qFormat/>
    <w:uiPriority w:val="0"/>
    <w:rPr>
      <w:rFonts w:ascii="宋体" w:hAnsi="宋体" w:eastAsia="宋体"/>
      <w:b/>
      <w:bCs/>
      <w:kern w:val="2"/>
      <w:sz w:val="36"/>
      <w:szCs w:val="36"/>
      <w:lang w:val="en-US" w:eastAsia="zh-CN" w:bidi="ar-SA"/>
    </w:rPr>
  </w:style>
  <w:style w:type="character" w:customStyle="1" w:styleId="468">
    <w:name w:val="正文文本缩进 Char6"/>
    <w:autoRedefine/>
    <w:semiHidden/>
    <w:qFormat/>
    <w:uiPriority w:val="99"/>
    <w:rPr>
      <w:kern w:val="2"/>
      <w:sz w:val="21"/>
      <w:szCs w:val="22"/>
    </w:rPr>
  </w:style>
  <w:style w:type="character" w:customStyle="1" w:styleId="469">
    <w:name w:val="emailstyle118"/>
    <w:autoRedefine/>
    <w:qFormat/>
    <w:uiPriority w:val="0"/>
    <w:rPr>
      <w:rFonts w:hint="default" w:ascii="Arial" w:hAnsi="Arial" w:eastAsia="宋体" w:cs="Arial"/>
      <w:color w:val="000080"/>
      <w:kern w:val="2"/>
      <w:sz w:val="24"/>
      <w:szCs w:val="24"/>
      <w:lang w:val="en-US" w:eastAsia="zh-CN" w:bidi="ar-SA"/>
    </w:rPr>
  </w:style>
  <w:style w:type="character" w:customStyle="1" w:styleId="470">
    <w:name w:val="Char Char27"/>
    <w:autoRedefine/>
    <w:qFormat/>
    <w:uiPriority w:val="0"/>
    <w:rPr>
      <w:rFonts w:ascii="Arial" w:hAnsi="Arial" w:eastAsia="宋体"/>
      <w:b/>
      <w:kern w:val="2"/>
      <w:sz w:val="44"/>
      <w:lang w:val="en-US" w:eastAsia="zh-CN" w:bidi="ar-SA"/>
    </w:rPr>
  </w:style>
  <w:style w:type="character" w:customStyle="1" w:styleId="471">
    <w:name w:val="charchar11"/>
    <w:autoRedefine/>
    <w:qFormat/>
    <w:uiPriority w:val="0"/>
    <w:rPr>
      <w:rFonts w:hint="eastAsia" w:ascii="宋体" w:hAnsi="宋体" w:eastAsia="宋体"/>
      <w:kern w:val="2"/>
      <w:sz w:val="24"/>
      <w:szCs w:val="24"/>
      <w:lang w:val="en-US" w:eastAsia="zh-CN" w:bidi="ar-SA"/>
    </w:rPr>
  </w:style>
  <w:style w:type="character" w:customStyle="1" w:styleId="472">
    <w:name w:val="com1"/>
    <w:autoRedefine/>
    <w:qFormat/>
    <w:uiPriority w:val="0"/>
    <w:rPr>
      <w:rFonts w:eastAsia="宋体"/>
      <w:spacing w:val="300"/>
      <w:kern w:val="2"/>
      <w:sz w:val="18"/>
      <w:szCs w:val="18"/>
      <w:lang w:val="en-US" w:eastAsia="zh-CN" w:bidi="ar-SA"/>
    </w:rPr>
  </w:style>
  <w:style w:type="character" w:customStyle="1" w:styleId="473">
    <w:name w:val="编号标题2 Char Char Char"/>
    <w:autoRedefine/>
    <w:qFormat/>
    <w:uiPriority w:val="0"/>
    <w:rPr>
      <w:rFonts w:ascii="Arial" w:hAnsi="Arial" w:eastAsia="黑体"/>
      <w:bCs/>
      <w:kern w:val="2"/>
      <w:sz w:val="21"/>
      <w:szCs w:val="32"/>
      <w:lang w:val="en-US" w:eastAsia="zh-CN" w:bidi="ar-SA"/>
    </w:rPr>
  </w:style>
  <w:style w:type="character" w:customStyle="1" w:styleId="474">
    <w:name w:val="不明显强调1"/>
    <w:autoRedefine/>
    <w:qFormat/>
    <w:uiPriority w:val="0"/>
    <w:rPr>
      <w:i/>
      <w:iCs/>
      <w:color w:val="808080"/>
    </w:rPr>
  </w:style>
  <w:style w:type="character" w:customStyle="1" w:styleId="475">
    <w:name w:val="Char Char32"/>
    <w:autoRedefine/>
    <w:qFormat/>
    <w:uiPriority w:val="0"/>
    <w:rPr>
      <w:rFonts w:ascii="Arial" w:hAnsi="Arial" w:eastAsia="宋体"/>
      <w:color w:val="000000"/>
      <w:kern w:val="2"/>
      <w:sz w:val="24"/>
      <w:szCs w:val="24"/>
      <w:lang w:val="en-US" w:eastAsia="zh-CN" w:bidi="ar-SA"/>
    </w:rPr>
  </w:style>
  <w:style w:type="character" w:customStyle="1" w:styleId="476">
    <w:name w:val="Char Char23"/>
    <w:autoRedefine/>
    <w:qFormat/>
    <w:uiPriority w:val="0"/>
    <w:rPr>
      <w:rFonts w:ascii="宋体" w:hAnsi="宋体" w:eastAsia="宋体"/>
      <w:kern w:val="2"/>
      <w:sz w:val="28"/>
      <w:szCs w:val="24"/>
      <w:lang w:val="en-US" w:eastAsia="zh-CN" w:bidi="ar-SA"/>
    </w:rPr>
  </w:style>
  <w:style w:type="character" w:customStyle="1" w:styleId="477">
    <w:name w:val="charchar10"/>
    <w:autoRedefine/>
    <w:qFormat/>
    <w:uiPriority w:val="0"/>
    <w:rPr>
      <w:rFonts w:hint="eastAsia" w:ascii="宋体" w:hAnsi="宋体" w:eastAsia="宋体"/>
      <w:kern w:val="2"/>
      <w:sz w:val="24"/>
      <w:szCs w:val="24"/>
      <w:lang w:val="en-US" w:eastAsia="zh-CN" w:bidi="ar-SA"/>
    </w:rPr>
  </w:style>
  <w:style w:type="character" w:customStyle="1" w:styleId="478">
    <w:name w:val="11char"/>
    <w:autoRedefine/>
    <w:qFormat/>
    <w:uiPriority w:val="0"/>
    <w:rPr>
      <w:rFonts w:hint="default" w:ascii="Arial" w:hAnsi="Arial" w:eastAsia="宋体" w:cs="Arial"/>
      <w:color w:val="0000FF"/>
      <w:kern w:val="2"/>
      <w:sz w:val="24"/>
      <w:szCs w:val="24"/>
      <w:lang w:val="en-US" w:eastAsia="zh-CN" w:bidi="ar-SA"/>
    </w:rPr>
  </w:style>
  <w:style w:type="character" w:customStyle="1" w:styleId="479">
    <w:name w:val="charchar15"/>
    <w:autoRedefine/>
    <w:qFormat/>
    <w:uiPriority w:val="0"/>
    <w:rPr>
      <w:rFonts w:hint="default" w:ascii="Arial" w:hAnsi="Arial" w:eastAsia="宋体" w:cs="Arial"/>
      <w:b/>
      <w:bCs/>
      <w:kern w:val="2"/>
      <w:sz w:val="24"/>
      <w:szCs w:val="24"/>
      <w:lang w:val="en-US" w:eastAsia="zh-CN" w:bidi="ar-SA"/>
    </w:rPr>
  </w:style>
  <w:style w:type="character" w:customStyle="1" w:styleId="480">
    <w:name w:val="charchar4"/>
    <w:autoRedefine/>
    <w:qFormat/>
    <w:uiPriority w:val="0"/>
    <w:rPr>
      <w:rFonts w:hint="eastAsia" w:ascii="宋体" w:hAnsi="宋体" w:eastAsia="宋体"/>
      <w:color w:val="000000"/>
      <w:kern w:val="2"/>
      <w:sz w:val="24"/>
      <w:szCs w:val="24"/>
      <w:lang w:val="en-US" w:eastAsia="zh-CN" w:bidi="ar-SA"/>
    </w:rPr>
  </w:style>
  <w:style w:type="character" w:customStyle="1" w:styleId="481">
    <w:name w:val="表格头格式 Char Char"/>
    <w:autoRedefine/>
    <w:qFormat/>
    <w:uiPriority w:val="0"/>
    <w:rPr>
      <w:rFonts w:eastAsia="宋体" w:cs="宋体"/>
      <w:b/>
      <w:bCs/>
      <w:kern w:val="2"/>
      <w:sz w:val="21"/>
      <w:lang w:val="en-US" w:eastAsia="zh-CN" w:bidi="ar-SA"/>
    </w:rPr>
  </w:style>
  <w:style w:type="character" w:customStyle="1" w:styleId="482">
    <w:name w:val="charchar5"/>
    <w:autoRedefine/>
    <w:qFormat/>
    <w:uiPriority w:val="0"/>
    <w:rPr>
      <w:rFonts w:hint="eastAsia" w:ascii="宋体" w:hAnsi="宋体" w:eastAsia="宋体"/>
      <w:kern w:val="2"/>
      <w:sz w:val="24"/>
      <w:szCs w:val="24"/>
      <w:lang w:val="en-US" w:eastAsia="zh-CN" w:bidi="ar-SA"/>
    </w:rPr>
  </w:style>
  <w:style w:type="character" w:customStyle="1" w:styleId="483">
    <w:name w:val="纯文本 Char6"/>
    <w:autoRedefine/>
    <w:semiHidden/>
    <w:qFormat/>
    <w:uiPriority w:val="99"/>
    <w:rPr>
      <w:rFonts w:hint="eastAsia" w:ascii="宋体" w:hAnsi="Courier New" w:eastAsia="宋体" w:cs="Courier New"/>
      <w:kern w:val="2"/>
      <w:sz w:val="21"/>
      <w:szCs w:val="21"/>
    </w:rPr>
  </w:style>
  <w:style w:type="character" w:customStyle="1" w:styleId="484">
    <w:name w:val="emailstyle146"/>
    <w:autoRedefine/>
    <w:qFormat/>
    <w:uiPriority w:val="0"/>
    <w:rPr>
      <w:rFonts w:hint="eastAsia" w:ascii="仿宋_GB2312" w:eastAsia="仿宋_GB2312"/>
      <w:color w:val="0000FF"/>
      <w:kern w:val="2"/>
      <w:sz w:val="24"/>
      <w:szCs w:val="24"/>
      <w:u w:val="none"/>
      <w:lang w:val="en-US" w:eastAsia="zh-CN" w:bidi="ar-SA"/>
    </w:rPr>
  </w:style>
  <w:style w:type="character" w:customStyle="1" w:styleId="485">
    <w:name w:val="charchar13"/>
    <w:autoRedefine/>
    <w:qFormat/>
    <w:uiPriority w:val="0"/>
    <w:rPr>
      <w:rFonts w:hint="default" w:ascii="Arial" w:hAnsi="Arial" w:eastAsia="宋体" w:cs="Arial"/>
      <w:kern w:val="2"/>
      <w:sz w:val="24"/>
      <w:szCs w:val="24"/>
      <w:lang w:val="en-US" w:eastAsia="zh-CN" w:bidi="ar-SA"/>
    </w:rPr>
  </w:style>
  <w:style w:type="character" w:customStyle="1" w:styleId="486">
    <w:name w:val="Char Char41"/>
    <w:autoRedefine/>
    <w:qFormat/>
    <w:uiPriority w:val="0"/>
    <w:rPr>
      <w:rFonts w:hint="eastAsia" w:ascii="宋体" w:hAnsi="宋体" w:eastAsia="宋体"/>
      <w:kern w:val="2"/>
      <w:sz w:val="21"/>
      <w:szCs w:val="24"/>
      <w:lang w:val="en-US" w:eastAsia="zh-CN" w:bidi="ar-SA"/>
    </w:rPr>
  </w:style>
  <w:style w:type="character" w:customStyle="1" w:styleId="487">
    <w:name w:val="正文文本 3 Char5"/>
    <w:autoRedefine/>
    <w:semiHidden/>
    <w:qFormat/>
    <w:uiPriority w:val="99"/>
    <w:rPr>
      <w:kern w:val="2"/>
      <w:sz w:val="16"/>
      <w:szCs w:val="16"/>
    </w:rPr>
  </w:style>
  <w:style w:type="character" w:customStyle="1" w:styleId="488">
    <w:name w:val="批注框文本 字符1"/>
    <w:autoRedefine/>
    <w:qFormat/>
    <w:uiPriority w:val="99"/>
    <w:rPr>
      <w:rFonts w:ascii="Times New Roman" w:hAnsi="Times New Roman" w:eastAsia="宋体" w:cs="Times New Roman"/>
      <w:kern w:val="0"/>
      <w:sz w:val="18"/>
      <w:szCs w:val="18"/>
    </w:rPr>
  </w:style>
  <w:style w:type="character" w:customStyle="1" w:styleId="489">
    <w:name w:val="刘志锋"/>
    <w:autoRedefine/>
    <w:qFormat/>
    <w:uiPriority w:val="0"/>
    <w:rPr>
      <w:rFonts w:ascii="楷体_GB2312" w:eastAsia="楷体_GB2312"/>
      <w:color w:val="0000FF"/>
      <w:kern w:val="2"/>
      <w:sz w:val="32"/>
      <w:szCs w:val="32"/>
      <w:u w:val="none"/>
      <w:lang w:val="en-US" w:eastAsia="zh-CN" w:bidi="ar-SA"/>
    </w:rPr>
  </w:style>
  <w:style w:type="character" w:customStyle="1" w:styleId="490">
    <w:name w:val="文档结构图 Char1"/>
    <w:autoRedefine/>
    <w:qFormat/>
    <w:uiPriority w:val="0"/>
    <w:rPr>
      <w:rFonts w:ascii="宋体" w:hAnsi="Calibri" w:eastAsia="宋体" w:cs="Times New Roman"/>
      <w:sz w:val="18"/>
      <w:szCs w:val="18"/>
    </w:rPr>
  </w:style>
  <w:style w:type="character" w:customStyle="1" w:styleId="491">
    <w:name w:val="正文文本缩进 2 Char6"/>
    <w:autoRedefine/>
    <w:semiHidden/>
    <w:qFormat/>
    <w:uiPriority w:val="99"/>
    <w:rPr>
      <w:kern w:val="2"/>
      <w:sz w:val="21"/>
      <w:szCs w:val="22"/>
    </w:rPr>
  </w:style>
  <w:style w:type="character" w:customStyle="1" w:styleId="492">
    <w:name w:val="Body Text Char"/>
    <w:autoRedefine/>
    <w:qFormat/>
    <w:uiPriority w:val="0"/>
    <w:rPr>
      <w:rFonts w:eastAsia="宋体"/>
      <w:sz w:val="24"/>
      <w:lang w:val="en-US" w:eastAsia="fr-FR" w:bidi="ar-SA"/>
    </w:rPr>
  </w:style>
  <w:style w:type="character" w:customStyle="1" w:styleId="493">
    <w:name w:val="正文缩进1级 Char Char"/>
    <w:link w:val="494"/>
    <w:autoRedefine/>
    <w:qFormat/>
    <w:uiPriority w:val="0"/>
    <w:rPr>
      <w:rFonts w:ascii="FuturaA Bk BT" w:hAnsi="FuturaA Bk BT"/>
      <w:sz w:val="24"/>
      <w:szCs w:val="24"/>
    </w:rPr>
  </w:style>
  <w:style w:type="paragraph" w:customStyle="1" w:styleId="494">
    <w:name w:val="正文缩进1级"/>
    <w:basedOn w:val="1"/>
    <w:link w:val="493"/>
    <w:autoRedefine/>
    <w:qFormat/>
    <w:uiPriority w:val="0"/>
    <w:pPr>
      <w:widowControl/>
      <w:tabs>
        <w:tab w:val="left" w:pos="1134"/>
      </w:tabs>
      <w:snapToGrid w:val="0"/>
      <w:spacing w:afterLines="30" w:line="288" w:lineRule="auto"/>
      <w:ind w:left="1134" w:hanging="567"/>
      <w:jc w:val="left"/>
    </w:pPr>
    <w:rPr>
      <w:rFonts w:ascii="FuturaA Bk BT" w:hAnsi="FuturaA Bk BT"/>
      <w:kern w:val="0"/>
      <w:sz w:val="24"/>
      <w:szCs w:val="24"/>
    </w:rPr>
  </w:style>
  <w:style w:type="character" w:customStyle="1" w:styleId="495">
    <w:name w:val="charchar1"/>
    <w:autoRedefine/>
    <w:qFormat/>
    <w:uiPriority w:val="0"/>
    <w:rPr>
      <w:rFonts w:hint="eastAsia" w:ascii="宋体" w:hAnsi="宋体" w:eastAsia="宋体"/>
      <w:kern w:val="2"/>
      <w:sz w:val="24"/>
      <w:szCs w:val="24"/>
      <w:lang w:val="en-US" w:eastAsia="zh-CN" w:bidi="ar-SA"/>
    </w:rPr>
  </w:style>
  <w:style w:type="character" w:customStyle="1" w:styleId="496">
    <w:name w:val="标题 1 1 Char Char"/>
    <w:autoRedefine/>
    <w:qFormat/>
    <w:uiPriority w:val="0"/>
    <w:rPr>
      <w:rFonts w:ascii="Times New Roman" w:hAnsi="Times New Roman" w:eastAsia="宋体" w:cs="Times New Roman"/>
      <w:b/>
      <w:bCs/>
      <w:kern w:val="44"/>
      <w:sz w:val="44"/>
      <w:szCs w:val="44"/>
      <w:lang w:val="en-US" w:eastAsia="zh-CN" w:bidi="ar-SA"/>
    </w:rPr>
  </w:style>
  <w:style w:type="character" w:customStyle="1" w:styleId="497">
    <w:name w:val="验交标准二级 Char"/>
    <w:link w:val="498"/>
    <w:autoRedefine/>
    <w:qFormat/>
    <w:uiPriority w:val="0"/>
    <w:rPr>
      <w:b/>
      <w:bCs/>
      <w:kern w:val="44"/>
      <w:sz w:val="24"/>
      <w:szCs w:val="44"/>
      <w:lang w:val="fr-FR" w:eastAsia="en-US" w:bidi="en-US"/>
    </w:rPr>
  </w:style>
  <w:style w:type="paragraph" w:customStyle="1" w:styleId="498">
    <w:name w:val="验交标准二级"/>
    <w:basedOn w:val="1"/>
    <w:link w:val="497"/>
    <w:autoRedefine/>
    <w:qFormat/>
    <w:uiPriority w:val="0"/>
    <w:pPr>
      <w:widowControl/>
      <w:tabs>
        <w:tab w:val="left" w:pos="567"/>
      </w:tabs>
      <w:spacing w:line="360" w:lineRule="auto"/>
      <w:jc w:val="left"/>
      <w:outlineLvl w:val="1"/>
    </w:pPr>
    <w:rPr>
      <w:b/>
      <w:bCs/>
      <w:kern w:val="44"/>
      <w:sz w:val="24"/>
      <w:szCs w:val="44"/>
      <w:lang w:val="fr-FR" w:eastAsia="en-US" w:bidi="en-US"/>
    </w:rPr>
  </w:style>
  <w:style w:type="character" w:customStyle="1" w:styleId="499">
    <w:name w:val="样式3 Char"/>
    <w:link w:val="272"/>
    <w:autoRedefine/>
    <w:qFormat/>
    <w:uiPriority w:val="0"/>
    <w:rPr>
      <w:rFonts w:ascii="宋体"/>
      <w:kern w:val="2"/>
      <w:sz w:val="24"/>
      <w:szCs w:val="22"/>
    </w:rPr>
  </w:style>
  <w:style w:type="character" w:customStyle="1" w:styleId="500">
    <w:name w:val="样式2 Char"/>
    <w:link w:val="111"/>
    <w:autoRedefine/>
    <w:qFormat/>
    <w:uiPriority w:val="0"/>
    <w:rPr>
      <w:kern w:val="2"/>
      <w:sz w:val="21"/>
      <w:szCs w:val="24"/>
    </w:rPr>
  </w:style>
  <w:style w:type="character" w:customStyle="1" w:styleId="501">
    <w:name w:val="脚注文本 Char1"/>
    <w:autoRedefine/>
    <w:qFormat/>
    <w:uiPriority w:val="0"/>
    <w:rPr>
      <w:rFonts w:ascii="Calibri" w:hAnsi="Calibri" w:eastAsia="宋体" w:cs="Times New Roman"/>
      <w:sz w:val="18"/>
      <w:szCs w:val="18"/>
    </w:rPr>
  </w:style>
  <w:style w:type="character" w:customStyle="1" w:styleId="502">
    <w:name w:val="脚注文本 字符1"/>
    <w:autoRedefine/>
    <w:qFormat/>
    <w:uiPriority w:val="99"/>
    <w:rPr>
      <w:rFonts w:ascii="Calibri" w:hAnsi="Calibri" w:eastAsia="宋体" w:cs="Times New Roman"/>
      <w:kern w:val="0"/>
      <w:sz w:val="18"/>
      <w:szCs w:val="18"/>
    </w:rPr>
  </w:style>
  <w:style w:type="character" w:customStyle="1" w:styleId="503">
    <w:name w:val="Char Char19"/>
    <w:autoRedefine/>
    <w:qFormat/>
    <w:uiPriority w:val="0"/>
    <w:rPr>
      <w:rFonts w:ascii="宋体" w:hAnsi="宋体" w:eastAsia="宋体" w:cs="宋体"/>
      <w:b/>
      <w:color w:val="0000FF"/>
      <w:kern w:val="2"/>
      <w:sz w:val="21"/>
      <w:szCs w:val="21"/>
      <w:lang w:val="en-US" w:eastAsia="zh-CN" w:bidi="ar-SA"/>
    </w:rPr>
  </w:style>
  <w:style w:type="character" w:customStyle="1" w:styleId="504">
    <w:name w:val="charchar14"/>
    <w:autoRedefine/>
    <w:qFormat/>
    <w:uiPriority w:val="0"/>
    <w:rPr>
      <w:rFonts w:hint="eastAsia" w:ascii="宋体" w:hAnsi="宋体" w:eastAsia="宋体"/>
      <w:b/>
      <w:bCs/>
      <w:kern w:val="2"/>
      <w:sz w:val="24"/>
      <w:szCs w:val="24"/>
      <w:lang w:val="en-US" w:eastAsia="zh-CN" w:bidi="ar-SA"/>
    </w:rPr>
  </w:style>
  <w:style w:type="character" w:customStyle="1" w:styleId="505">
    <w:name w:val="charchar12"/>
    <w:autoRedefine/>
    <w:qFormat/>
    <w:uiPriority w:val="0"/>
    <w:rPr>
      <w:rFonts w:hint="default" w:ascii="Arial" w:hAnsi="Arial" w:eastAsia="宋体" w:cs="Arial"/>
      <w:kern w:val="2"/>
      <w:sz w:val="24"/>
      <w:szCs w:val="24"/>
      <w:lang w:val="en-US" w:eastAsia="zh-CN" w:bidi="ar-SA"/>
    </w:rPr>
  </w:style>
  <w:style w:type="character" w:customStyle="1" w:styleId="506">
    <w:name w:val="正文文本缩进 2 字符1"/>
    <w:autoRedefine/>
    <w:qFormat/>
    <w:uiPriority w:val="99"/>
    <w:rPr>
      <w:rFonts w:ascii="Times New Roman" w:hAnsi="Times New Roman" w:eastAsia="宋体" w:cs="Times New Roman"/>
      <w:kern w:val="0"/>
      <w:sz w:val="20"/>
      <w:szCs w:val="24"/>
    </w:rPr>
  </w:style>
  <w:style w:type="character" w:customStyle="1" w:styleId="507">
    <w:name w:val="charchar8"/>
    <w:autoRedefine/>
    <w:qFormat/>
    <w:uiPriority w:val="0"/>
    <w:rPr>
      <w:rFonts w:hint="eastAsia" w:ascii="宋体" w:hAnsi="宋体" w:eastAsia="宋体"/>
      <w:kern w:val="2"/>
      <w:sz w:val="24"/>
      <w:szCs w:val="24"/>
      <w:lang w:val="en-US" w:eastAsia="zh-CN" w:bidi="ar-SA"/>
    </w:rPr>
  </w:style>
  <w:style w:type="character" w:customStyle="1" w:styleId="508">
    <w:name w:val="标题 1 1 Char Char Char Char"/>
    <w:autoRedefine/>
    <w:qFormat/>
    <w:uiPriority w:val="0"/>
    <w:rPr>
      <w:rFonts w:eastAsia="黑体"/>
      <w:bCs/>
      <w:kern w:val="44"/>
      <w:sz w:val="21"/>
      <w:szCs w:val="44"/>
      <w:lang w:val="en-US" w:eastAsia="zh-CN" w:bidi="ar-SA"/>
    </w:rPr>
  </w:style>
  <w:style w:type="character" w:customStyle="1" w:styleId="509">
    <w:name w:val="Char Char"/>
    <w:autoRedefine/>
    <w:qFormat/>
    <w:uiPriority w:val="0"/>
    <w:rPr>
      <w:rFonts w:hint="eastAsia" w:ascii="宋体" w:hAnsi="宋体" w:eastAsia="宋体"/>
      <w:kern w:val="2"/>
      <w:sz w:val="18"/>
      <w:szCs w:val="24"/>
      <w:lang w:val="en-US" w:eastAsia="zh-CN" w:bidi="ar-SA"/>
    </w:rPr>
  </w:style>
  <w:style w:type="character" w:customStyle="1" w:styleId="510">
    <w:name w:val="样式 宋体 8 磅 加粗"/>
    <w:autoRedefine/>
    <w:qFormat/>
    <w:uiPriority w:val="0"/>
    <w:rPr>
      <w:rFonts w:ascii="宋体" w:hAnsi="宋体" w:eastAsia="宋体"/>
      <w:bCs/>
      <w:sz w:val="21"/>
    </w:rPr>
  </w:style>
  <w:style w:type="character" w:customStyle="1" w:styleId="511">
    <w:name w:val="表格内容 Char Char"/>
    <w:autoRedefine/>
    <w:qFormat/>
    <w:uiPriority w:val="0"/>
    <w:rPr>
      <w:rFonts w:eastAsia="宋体" w:cs="宋体"/>
      <w:kern w:val="2"/>
      <w:sz w:val="21"/>
      <w:lang w:val="en-US" w:eastAsia="zh-CN" w:bidi="ar-SA"/>
    </w:rPr>
  </w:style>
  <w:style w:type="character" w:customStyle="1" w:styleId="512">
    <w:name w:val="表格内容 Char"/>
    <w:link w:val="513"/>
    <w:autoRedefine/>
    <w:qFormat/>
    <w:uiPriority w:val="0"/>
  </w:style>
  <w:style w:type="paragraph" w:customStyle="1" w:styleId="513">
    <w:name w:val="表格内容"/>
    <w:basedOn w:val="1"/>
    <w:link w:val="512"/>
    <w:autoRedefine/>
    <w:qFormat/>
    <w:uiPriority w:val="0"/>
    <w:pPr>
      <w:widowControl/>
      <w:jc w:val="left"/>
    </w:pPr>
    <w:rPr>
      <w:kern w:val="0"/>
      <w:sz w:val="20"/>
    </w:rPr>
  </w:style>
  <w:style w:type="character" w:customStyle="1" w:styleId="514">
    <w:name w:val="detailtitle1"/>
    <w:autoRedefine/>
    <w:qFormat/>
    <w:uiPriority w:val="0"/>
    <w:rPr>
      <w:rFonts w:hint="default" w:ascii="ˎ̥" w:hAnsi="ˎ̥" w:eastAsia="宋体"/>
      <w:b/>
      <w:bCs/>
      <w:color w:val="00497B"/>
      <w:kern w:val="2"/>
      <w:sz w:val="24"/>
      <w:szCs w:val="24"/>
      <w:lang w:val="en-US" w:eastAsia="zh-CN" w:bidi="ar-SA"/>
    </w:rPr>
  </w:style>
  <w:style w:type="character" w:customStyle="1" w:styleId="515">
    <w:name w:val="正文首行缩进 Char4"/>
    <w:autoRedefine/>
    <w:semiHidden/>
    <w:qFormat/>
    <w:uiPriority w:val="99"/>
  </w:style>
  <w:style w:type="character" w:customStyle="1" w:styleId="516">
    <w:name w:val="emailstyle116"/>
    <w:autoRedefine/>
    <w:qFormat/>
    <w:uiPriority w:val="0"/>
    <w:rPr>
      <w:rFonts w:hint="default" w:ascii="Arial" w:hAnsi="Arial" w:eastAsia="宋体" w:cs="Arial"/>
      <w:color w:val="auto"/>
      <w:kern w:val="2"/>
      <w:sz w:val="24"/>
      <w:szCs w:val="24"/>
      <w:lang w:val="en-US" w:eastAsia="zh-CN" w:bidi="ar-SA"/>
    </w:rPr>
  </w:style>
  <w:style w:type="character" w:customStyle="1" w:styleId="517">
    <w:name w:val="页脚 Char4"/>
    <w:autoRedefine/>
    <w:semiHidden/>
    <w:qFormat/>
    <w:uiPriority w:val="99"/>
    <w:rPr>
      <w:kern w:val="2"/>
      <w:sz w:val="18"/>
      <w:szCs w:val="18"/>
    </w:rPr>
  </w:style>
  <w:style w:type="character" w:customStyle="1" w:styleId="518">
    <w:name w:val="批注文字 Char5"/>
    <w:autoRedefine/>
    <w:qFormat/>
    <w:uiPriority w:val="99"/>
    <w:rPr>
      <w:rFonts w:hint="default" w:ascii="Calibri" w:hAnsi="Calibri" w:eastAsia="宋体" w:cs="Times New Roman"/>
    </w:rPr>
  </w:style>
  <w:style w:type="character" w:customStyle="1" w:styleId="519">
    <w:name w:val="Char Char20"/>
    <w:autoRedefine/>
    <w:qFormat/>
    <w:uiPriority w:val="0"/>
    <w:rPr>
      <w:rFonts w:ascii="宋体" w:hAnsi="Courier New" w:eastAsia="宋体"/>
      <w:kern w:val="2"/>
      <w:sz w:val="21"/>
      <w:szCs w:val="24"/>
      <w:lang w:val="en-US" w:eastAsia="zh-CN" w:bidi="ar-SA"/>
    </w:rPr>
  </w:style>
  <w:style w:type="character" w:customStyle="1" w:styleId="520">
    <w:name w:val="Char Char21"/>
    <w:autoRedefine/>
    <w:qFormat/>
    <w:uiPriority w:val="0"/>
    <w:rPr>
      <w:rFonts w:ascii="宋体" w:hAnsi="宋体" w:eastAsia="宋体"/>
      <w:color w:val="000000"/>
      <w:kern w:val="2"/>
      <w:sz w:val="24"/>
      <w:szCs w:val="24"/>
      <w:lang w:val="en-US" w:eastAsia="zh-CN" w:bidi="ar-SA"/>
    </w:rPr>
  </w:style>
  <w:style w:type="character" w:customStyle="1" w:styleId="521">
    <w:name w:val="公文正文 Char"/>
    <w:autoRedefine/>
    <w:qFormat/>
    <w:uiPriority w:val="0"/>
    <w:rPr>
      <w:rFonts w:ascii="仿宋_GB2312" w:hAnsi="Calisto MT" w:eastAsia="仿宋_GB2312"/>
      <w:color w:val="000000"/>
      <w:sz w:val="32"/>
      <w:lang w:val="en-US" w:eastAsia="zh-CN"/>
    </w:rPr>
  </w:style>
  <w:style w:type="character" w:customStyle="1" w:styleId="522">
    <w:name w:val="Char Char3"/>
    <w:autoRedefine/>
    <w:qFormat/>
    <w:uiPriority w:val="0"/>
    <w:rPr>
      <w:rFonts w:eastAsia="宋体"/>
      <w:kern w:val="2"/>
      <w:sz w:val="21"/>
      <w:szCs w:val="24"/>
      <w:lang w:val="en-US" w:eastAsia="zh-CN" w:bidi="ar-SA"/>
    </w:rPr>
  </w:style>
  <w:style w:type="character" w:customStyle="1" w:styleId="523">
    <w:name w:val="正文纯文本 Char"/>
    <w:link w:val="524"/>
    <w:autoRedefine/>
    <w:qFormat/>
    <w:uiPriority w:val="0"/>
    <w:rPr>
      <w:szCs w:val="24"/>
    </w:rPr>
  </w:style>
  <w:style w:type="paragraph" w:customStyle="1" w:styleId="524">
    <w:name w:val="正文纯文本"/>
    <w:basedOn w:val="1"/>
    <w:link w:val="523"/>
    <w:autoRedefine/>
    <w:qFormat/>
    <w:uiPriority w:val="0"/>
    <w:pPr>
      <w:spacing w:line="360" w:lineRule="auto"/>
      <w:ind w:firstLine="540" w:firstLineChars="257"/>
    </w:pPr>
    <w:rPr>
      <w:kern w:val="0"/>
      <w:sz w:val="20"/>
      <w:szCs w:val="24"/>
    </w:rPr>
  </w:style>
  <w:style w:type="character" w:customStyle="1" w:styleId="525">
    <w:name w:val="Char Char30"/>
    <w:autoRedefine/>
    <w:qFormat/>
    <w:uiPriority w:val="0"/>
    <w:rPr>
      <w:rFonts w:eastAsia="宋体"/>
      <w:b/>
      <w:kern w:val="2"/>
      <w:sz w:val="24"/>
      <w:lang w:val="en-US" w:eastAsia="zh-CN" w:bidi="ar-SA"/>
    </w:rPr>
  </w:style>
  <w:style w:type="character" w:customStyle="1" w:styleId="526">
    <w:name w:val="HTML 预设格式 字符1"/>
    <w:autoRedefine/>
    <w:qFormat/>
    <w:uiPriority w:val="99"/>
    <w:rPr>
      <w:rFonts w:ascii="黑体" w:hAnsi="Courier New" w:eastAsia="黑体" w:cs="Courier New"/>
      <w:kern w:val="0"/>
      <w:sz w:val="20"/>
      <w:szCs w:val="21"/>
    </w:rPr>
  </w:style>
  <w:style w:type="character" w:customStyle="1" w:styleId="527">
    <w:name w:val="尾注文本 Char Char"/>
    <w:autoRedefine/>
    <w:qFormat/>
    <w:uiPriority w:val="0"/>
    <w:rPr>
      <w:rFonts w:eastAsia="宋体"/>
      <w:kern w:val="2"/>
      <w:sz w:val="24"/>
      <w:szCs w:val="24"/>
      <w:lang w:val="en-US" w:eastAsia="zh-CN" w:bidi="ar-SA"/>
    </w:rPr>
  </w:style>
  <w:style w:type="character" w:customStyle="1" w:styleId="528">
    <w:name w:val="页脚 字符1"/>
    <w:autoRedefine/>
    <w:qFormat/>
    <w:uiPriority w:val="99"/>
    <w:rPr>
      <w:rFonts w:ascii="Times New Roman" w:hAnsi="Times New Roman" w:eastAsia="宋体" w:cs="Times New Roman"/>
      <w:kern w:val="0"/>
      <w:sz w:val="18"/>
      <w:szCs w:val="18"/>
    </w:rPr>
  </w:style>
  <w:style w:type="character" w:customStyle="1" w:styleId="529">
    <w:name w:val="Heading 1 Char"/>
    <w:autoRedefine/>
    <w:qFormat/>
    <w:uiPriority w:val="0"/>
    <w:rPr>
      <w:rFonts w:eastAsia="宋体"/>
      <w:b/>
      <w:bCs/>
      <w:kern w:val="44"/>
      <w:sz w:val="44"/>
      <w:szCs w:val="44"/>
      <w:lang w:val="en-US" w:eastAsia="zh-CN" w:bidi="ar-SA"/>
    </w:rPr>
  </w:style>
  <w:style w:type="character" w:customStyle="1" w:styleId="530">
    <w:name w:val="副标题 字符1"/>
    <w:autoRedefine/>
    <w:qFormat/>
    <w:uiPriority w:val="11"/>
    <w:rPr>
      <w:rFonts w:ascii="Cambria" w:hAnsi="Cambria" w:eastAsia="宋体" w:cs="Times New Roman"/>
      <w:kern w:val="0"/>
      <w:sz w:val="24"/>
      <w:szCs w:val="24"/>
    </w:rPr>
  </w:style>
  <w:style w:type="character" w:customStyle="1" w:styleId="531">
    <w:name w:val="Char Char22"/>
    <w:autoRedefine/>
    <w:qFormat/>
    <w:uiPriority w:val="0"/>
    <w:rPr>
      <w:rFonts w:ascii="宋体" w:hAnsi="宋体" w:eastAsia="宋体"/>
      <w:kern w:val="2"/>
      <w:sz w:val="21"/>
      <w:szCs w:val="24"/>
      <w:lang w:val="en-US" w:eastAsia="zh-CN" w:bidi="ar-SA"/>
    </w:rPr>
  </w:style>
  <w:style w:type="character" w:customStyle="1" w:styleId="532">
    <w:name w:val="样式 (中文) 楷体_GB2312 五号"/>
    <w:autoRedefine/>
    <w:qFormat/>
    <w:uiPriority w:val="0"/>
    <w:rPr>
      <w:rFonts w:eastAsia="楷体_GB2312"/>
      <w:kern w:val="2"/>
      <w:sz w:val="21"/>
      <w:szCs w:val="24"/>
      <w:lang w:val="en-US" w:eastAsia="zh-CN" w:bidi="ar-SA"/>
    </w:rPr>
  </w:style>
  <w:style w:type="character" w:customStyle="1" w:styleId="533">
    <w:name w:val="正文文本 3 字符1"/>
    <w:autoRedefine/>
    <w:qFormat/>
    <w:uiPriority w:val="99"/>
    <w:rPr>
      <w:rFonts w:ascii="Times New Roman" w:hAnsi="Times New Roman" w:eastAsia="宋体" w:cs="Times New Roman"/>
      <w:kern w:val="0"/>
      <w:sz w:val="16"/>
      <w:szCs w:val="16"/>
    </w:rPr>
  </w:style>
  <w:style w:type="character" w:customStyle="1" w:styleId="534">
    <w:name w:val="char0"/>
    <w:autoRedefine/>
    <w:qFormat/>
    <w:uiPriority w:val="0"/>
    <w:rPr>
      <w:rFonts w:hint="default" w:ascii="Arial" w:hAnsi="Arial" w:eastAsia="宋体" w:cs="Arial"/>
      <w:b/>
      <w:bCs/>
      <w:kern w:val="2"/>
      <w:sz w:val="24"/>
      <w:szCs w:val="24"/>
      <w:lang w:val="en-US" w:eastAsia="zh-CN" w:bidi="ar-SA"/>
    </w:rPr>
  </w:style>
  <w:style w:type="character" w:customStyle="1" w:styleId="535">
    <w:name w:val="标题 4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ascii="Arial" w:hAnsi="Arial" w:eastAsia="黑体"/>
      <w:bCs/>
      <w:kern w:val="2"/>
      <w:sz w:val="24"/>
      <w:szCs w:val="28"/>
      <w:lang w:val="en-US" w:eastAsia="zh-CN" w:bidi="ar-SA"/>
    </w:rPr>
  </w:style>
  <w:style w:type="character" w:customStyle="1" w:styleId="536">
    <w:name w:val="正文文本缩进 字符1"/>
    <w:autoRedefine/>
    <w:qFormat/>
    <w:uiPriority w:val="99"/>
    <w:rPr>
      <w:rFonts w:ascii="Times New Roman" w:hAnsi="Times New Roman" w:eastAsia="宋体" w:cs="Times New Roman"/>
      <w:kern w:val="0"/>
      <w:sz w:val="24"/>
      <w:szCs w:val="20"/>
    </w:rPr>
  </w:style>
  <w:style w:type="character" w:customStyle="1" w:styleId="537">
    <w:name w:val="引用 字符1"/>
    <w:autoRedefine/>
    <w:qFormat/>
    <w:uiPriority w:val="29"/>
    <w:rPr>
      <w:rFonts w:ascii="Calibri" w:hAnsi="Calibri" w:eastAsia="宋体" w:cs="Times New Roman"/>
      <w:i/>
      <w:kern w:val="0"/>
      <w:sz w:val="24"/>
      <w:szCs w:val="24"/>
    </w:rPr>
  </w:style>
  <w:style w:type="character" w:customStyle="1" w:styleId="538">
    <w:name w:val="样式 标题 4Para4CDR_Lev 4Title3h44 dashddash + (符号) 宋体 加粗 Char"/>
    <w:autoRedefine/>
    <w:qFormat/>
    <w:uiPriority w:val="0"/>
    <w:rPr>
      <w:rFonts w:ascii="Arial" w:hAnsi="Arial" w:eastAsia="黑体"/>
      <w:bCs/>
      <w:color w:val="000000"/>
      <w:sz w:val="28"/>
      <w:szCs w:val="28"/>
    </w:rPr>
  </w:style>
  <w:style w:type="character" w:customStyle="1" w:styleId="539">
    <w:name w:val="Char Char6"/>
    <w:autoRedefine/>
    <w:qFormat/>
    <w:uiPriority w:val="0"/>
    <w:rPr>
      <w:kern w:val="2"/>
      <w:sz w:val="21"/>
      <w:szCs w:val="24"/>
    </w:rPr>
  </w:style>
  <w:style w:type="character" w:customStyle="1" w:styleId="540">
    <w:name w:val="列表编号3 Char Char"/>
    <w:autoRedefine/>
    <w:qFormat/>
    <w:uiPriority w:val="0"/>
    <w:rPr>
      <w:rFonts w:eastAsia="宋体"/>
      <w:b/>
      <w:color w:val="000000"/>
      <w:kern w:val="2"/>
      <w:sz w:val="24"/>
      <w:szCs w:val="24"/>
      <w:lang w:val="en-US" w:eastAsia="zh-CN" w:bidi="ar-SA"/>
    </w:rPr>
  </w:style>
  <w:style w:type="character" w:customStyle="1" w:styleId="541">
    <w:name w:val="1char"/>
    <w:autoRedefine/>
    <w:qFormat/>
    <w:uiPriority w:val="0"/>
    <w:rPr>
      <w:rFonts w:hint="default" w:ascii="Arial" w:hAnsi="Arial" w:eastAsia="宋体" w:cs="Arial"/>
      <w:b/>
      <w:bCs/>
      <w:kern w:val="2"/>
      <w:sz w:val="24"/>
      <w:szCs w:val="24"/>
      <w:lang w:val="en-US" w:eastAsia="zh-CN" w:bidi="ar-SA"/>
    </w:rPr>
  </w:style>
  <w:style w:type="character" w:customStyle="1" w:styleId="542">
    <w:name w:val="Char Char25"/>
    <w:autoRedefine/>
    <w:qFormat/>
    <w:uiPriority w:val="0"/>
    <w:rPr>
      <w:rFonts w:eastAsia="宋体"/>
      <w:kern w:val="2"/>
      <w:sz w:val="21"/>
      <w:lang w:val="en-US" w:eastAsia="zh-CN" w:bidi="ar-SA"/>
    </w:rPr>
  </w:style>
  <w:style w:type="character" w:customStyle="1" w:styleId="543">
    <w:name w:val="Char Char9"/>
    <w:autoRedefine/>
    <w:qFormat/>
    <w:uiPriority w:val="0"/>
    <w:rPr>
      <w:rFonts w:ascii="Arial" w:hAnsi="Arial" w:eastAsia="黑体"/>
      <w:kern w:val="2"/>
      <w:sz w:val="24"/>
    </w:rPr>
  </w:style>
  <w:style w:type="character" w:customStyle="1" w:styleId="544">
    <w:name w:val="HTML 预设格式 Char6"/>
    <w:autoRedefine/>
    <w:semiHidden/>
    <w:qFormat/>
    <w:uiPriority w:val="99"/>
    <w:rPr>
      <w:rFonts w:hint="default" w:ascii="Courier New" w:hAnsi="Courier New" w:cs="Courier New"/>
      <w:kern w:val="2"/>
    </w:rPr>
  </w:style>
  <w:style w:type="character" w:customStyle="1" w:styleId="545">
    <w:name w:val="charchar6"/>
    <w:autoRedefine/>
    <w:qFormat/>
    <w:uiPriority w:val="0"/>
    <w:rPr>
      <w:rFonts w:hint="eastAsia" w:ascii="宋体" w:hAnsi="宋体" w:eastAsia="宋体"/>
      <w:kern w:val="2"/>
      <w:sz w:val="24"/>
      <w:szCs w:val="24"/>
      <w:lang w:val="en-US" w:eastAsia="zh-CN" w:bidi="ar-SA"/>
    </w:rPr>
  </w:style>
  <w:style w:type="character" w:customStyle="1" w:styleId="546">
    <w:name w:val="Char Char24"/>
    <w:autoRedefine/>
    <w:qFormat/>
    <w:uiPriority w:val="0"/>
    <w:rPr>
      <w:rFonts w:ascii="宋体" w:hAnsi="宋体" w:eastAsia="宋体"/>
      <w:kern w:val="2"/>
      <w:sz w:val="18"/>
      <w:szCs w:val="24"/>
      <w:lang w:val="en-US" w:eastAsia="zh-CN" w:bidi="ar-SA"/>
    </w:rPr>
  </w:style>
  <w:style w:type="character" w:customStyle="1" w:styleId="547">
    <w:name w:val="表格头格式 Char"/>
    <w:link w:val="548"/>
    <w:autoRedefine/>
    <w:qFormat/>
    <w:uiPriority w:val="0"/>
    <w:rPr>
      <w:b/>
      <w:bCs/>
    </w:rPr>
  </w:style>
  <w:style w:type="paragraph" w:customStyle="1" w:styleId="548">
    <w:name w:val="表格头格式"/>
    <w:basedOn w:val="513"/>
    <w:link w:val="547"/>
    <w:autoRedefine/>
    <w:qFormat/>
    <w:uiPriority w:val="0"/>
    <w:rPr>
      <w:b/>
      <w:bCs/>
    </w:rPr>
  </w:style>
  <w:style w:type="character" w:customStyle="1" w:styleId="549">
    <w:name w:val="charchar3"/>
    <w:autoRedefine/>
    <w:qFormat/>
    <w:uiPriority w:val="0"/>
    <w:rPr>
      <w:rFonts w:hint="eastAsia" w:ascii="宋体" w:hAnsi="宋体" w:eastAsia="宋体"/>
      <w:kern w:val="2"/>
      <w:sz w:val="24"/>
      <w:szCs w:val="24"/>
      <w:lang w:val="en-US" w:eastAsia="zh-CN" w:bidi="ar-SA"/>
    </w:rPr>
  </w:style>
  <w:style w:type="character" w:customStyle="1" w:styleId="550">
    <w:name w:val="lemmatitleh1"/>
    <w:autoRedefine/>
    <w:qFormat/>
    <w:uiPriority w:val="0"/>
  </w:style>
  <w:style w:type="character" w:customStyle="1" w:styleId="551">
    <w:name w:val="尾注文本 Char5"/>
    <w:autoRedefine/>
    <w:semiHidden/>
    <w:qFormat/>
    <w:uiPriority w:val="99"/>
  </w:style>
  <w:style w:type="character" w:customStyle="1" w:styleId="552">
    <w:name w:val="标准正文 Char"/>
    <w:link w:val="553"/>
    <w:autoRedefine/>
    <w:qFormat/>
    <w:uiPriority w:val="0"/>
    <w:rPr>
      <w:szCs w:val="24"/>
    </w:rPr>
  </w:style>
  <w:style w:type="paragraph" w:customStyle="1" w:styleId="553">
    <w:name w:val="标准正文"/>
    <w:basedOn w:val="1"/>
    <w:link w:val="552"/>
    <w:autoRedefine/>
    <w:qFormat/>
    <w:uiPriority w:val="0"/>
    <w:pPr>
      <w:tabs>
        <w:tab w:val="left" w:pos="720"/>
      </w:tabs>
      <w:spacing w:line="360" w:lineRule="auto"/>
      <w:ind w:firstLine="200" w:firstLineChars="200"/>
    </w:pPr>
    <w:rPr>
      <w:kern w:val="0"/>
      <w:sz w:val="20"/>
      <w:szCs w:val="24"/>
    </w:rPr>
  </w:style>
  <w:style w:type="character" w:customStyle="1" w:styleId="554">
    <w:name w:val="正文文本缩进 3 Char1"/>
    <w:autoRedefine/>
    <w:semiHidden/>
    <w:qFormat/>
    <w:uiPriority w:val="0"/>
    <w:rPr>
      <w:sz w:val="16"/>
      <w:szCs w:val="16"/>
    </w:rPr>
  </w:style>
  <w:style w:type="character" w:customStyle="1" w:styleId="555">
    <w:name w:val="标题 1 1 Char1"/>
    <w:autoRedefine/>
    <w:qFormat/>
    <w:uiPriority w:val="0"/>
    <w:rPr>
      <w:rFonts w:ascii="楷体_GB2312" w:hAnsi="宋体" w:eastAsia="楷体_GB2312" w:cs="宋体"/>
      <w:b/>
      <w:bCs/>
      <w:kern w:val="44"/>
      <w:sz w:val="28"/>
      <w:szCs w:val="28"/>
      <w:lang w:val="en-US" w:eastAsia="zh-CN" w:bidi="ar-SA"/>
    </w:rPr>
  </w:style>
  <w:style w:type="character" w:customStyle="1" w:styleId="556">
    <w:name w:val="正文文本 字符1"/>
    <w:autoRedefine/>
    <w:qFormat/>
    <w:uiPriority w:val="99"/>
    <w:rPr>
      <w:rFonts w:ascii="Times New Roman" w:hAnsi="Times New Roman" w:eastAsia="宋体" w:cs="Times New Roman"/>
      <w:kern w:val="0"/>
      <w:sz w:val="20"/>
      <w:szCs w:val="24"/>
    </w:rPr>
  </w:style>
  <w:style w:type="character" w:customStyle="1" w:styleId="557">
    <w:name w:val="批注主题 字符1"/>
    <w:autoRedefine/>
    <w:qFormat/>
    <w:uiPriority w:val="99"/>
    <w:rPr>
      <w:rFonts w:ascii="Tahoma" w:hAnsi="Tahoma" w:eastAsia="宋体" w:cs="Times New Roman"/>
      <w:b/>
      <w:bCs/>
      <w:kern w:val="0"/>
      <w:sz w:val="20"/>
      <w:szCs w:val="24"/>
    </w:rPr>
  </w:style>
  <w:style w:type="character" w:customStyle="1" w:styleId="558">
    <w:name w:val="明显引用 字符1"/>
    <w:autoRedefine/>
    <w:qFormat/>
    <w:uiPriority w:val="30"/>
    <w:rPr>
      <w:rFonts w:ascii="Calibri" w:hAnsi="Calibri" w:eastAsia="宋体" w:cs="Times New Roman"/>
      <w:b/>
      <w:i/>
      <w:kern w:val="0"/>
      <w:sz w:val="24"/>
      <w:szCs w:val="24"/>
    </w:rPr>
  </w:style>
  <w:style w:type="character" w:customStyle="1" w:styleId="559">
    <w:name w:val="批注文字 字符1"/>
    <w:autoRedefine/>
    <w:qFormat/>
    <w:locked/>
    <w:uiPriority w:val="99"/>
    <w:rPr>
      <w:rFonts w:ascii="Times New Roman" w:hAnsi="Times New Roman" w:eastAsia="宋体" w:cs="Times New Roman"/>
      <w:kern w:val="0"/>
      <w:sz w:val="20"/>
      <w:szCs w:val="24"/>
    </w:rPr>
  </w:style>
  <w:style w:type="character" w:customStyle="1" w:styleId="560">
    <w:name w:val="HTML 预设格式 Char3"/>
    <w:autoRedefine/>
    <w:qFormat/>
    <w:uiPriority w:val="99"/>
    <w:rPr>
      <w:rFonts w:ascii="Courier New" w:hAnsi="Courier New" w:cs="Courier New"/>
      <w:kern w:val="2"/>
    </w:rPr>
  </w:style>
  <w:style w:type="character" w:customStyle="1" w:styleId="561">
    <w:name w:val="正文文本 Char5"/>
    <w:autoRedefine/>
    <w:semiHidden/>
    <w:qFormat/>
    <w:uiPriority w:val="99"/>
    <w:rPr>
      <w:kern w:val="2"/>
      <w:sz w:val="21"/>
      <w:szCs w:val="22"/>
    </w:rPr>
  </w:style>
  <w:style w:type="character" w:customStyle="1" w:styleId="562">
    <w:name w:val="标题 9 Char1"/>
    <w:autoRedefine/>
    <w:semiHidden/>
    <w:qFormat/>
    <w:uiPriority w:val="0"/>
    <w:rPr>
      <w:rFonts w:ascii="Cambria" w:hAnsi="Cambria" w:eastAsia="宋体" w:cs="Times New Roman"/>
      <w:kern w:val="2"/>
      <w:sz w:val="21"/>
      <w:szCs w:val="21"/>
    </w:rPr>
  </w:style>
  <w:style w:type="character" w:customStyle="1" w:styleId="563">
    <w:name w:val="样式 编号标题2 Char Char Char Char Char Char Char Char Char Char Ch + ..."/>
    <w:autoRedefine/>
    <w:qFormat/>
    <w:uiPriority w:val="0"/>
    <w:rPr>
      <w:rFonts w:ascii="黑体" w:hAnsi="宋体" w:eastAsia="黑体"/>
      <w:b/>
      <w:bCs/>
      <w:kern w:val="2"/>
      <w:sz w:val="21"/>
      <w:szCs w:val="32"/>
      <w:lang w:val="en-US" w:eastAsia="zh-CN" w:bidi="ar-SA"/>
    </w:rPr>
  </w:style>
  <w:style w:type="character" w:customStyle="1" w:styleId="564">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eastAsia="黑体"/>
      <w:kern w:val="2"/>
      <w:sz w:val="24"/>
      <w:szCs w:val="24"/>
      <w:lang w:val="en-US" w:eastAsia="zh-CN" w:bidi="ar-SA"/>
    </w:rPr>
  </w:style>
  <w:style w:type="character" w:customStyle="1" w:styleId="565">
    <w:name w:val="arialcharcharcharcharcharcharcharcharcharcharcharcharcharcharcharcharcharcharcharcharcharcharcharcharcharcharchar"/>
    <w:autoRedefine/>
    <w:qFormat/>
    <w:uiPriority w:val="0"/>
    <w:rPr>
      <w:rFonts w:hint="default" w:ascii="Arial" w:hAnsi="Arial" w:eastAsia="宋体" w:cs="Arial"/>
      <w:kern w:val="2"/>
      <w:sz w:val="24"/>
      <w:szCs w:val="24"/>
      <w:lang w:val="en-US" w:eastAsia="zh-CN" w:bidi="ar-SA"/>
    </w:rPr>
  </w:style>
  <w:style w:type="character" w:customStyle="1" w:styleId="566">
    <w:name w:val="Char Char31"/>
    <w:autoRedefine/>
    <w:qFormat/>
    <w:uiPriority w:val="0"/>
    <w:rPr>
      <w:rFonts w:ascii="Arial" w:hAnsi="Arial" w:eastAsia="黑体"/>
      <w:b/>
      <w:bCs/>
      <w:kern w:val="2"/>
      <w:sz w:val="24"/>
      <w:szCs w:val="24"/>
      <w:lang w:val="en-US" w:eastAsia="zh-CN" w:bidi="ar-SA"/>
    </w:rPr>
  </w:style>
  <w:style w:type="character" w:customStyle="1" w:styleId="567">
    <w:name w:val="charchar17"/>
    <w:autoRedefine/>
    <w:qFormat/>
    <w:uiPriority w:val="0"/>
    <w:rPr>
      <w:rFonts w:hint="default" w:ascii="Arial" w:hAnsi="Arial" w:eastAsia="宋体" w:cs="Arial"/>
      <w:color w:val="000000"/>
      <w:kern w:val="2"/>
      <w:sz w:val="24"/>
      <w:szCs w:val="24"/>
      <w:lang w:val="en-US" w:eastAsia="zh-CN" w:bidi="ar-SA"/>
    </w:rPr>
  </w:style>
  <w:style w:type="character" w:customStyle="1" w:styleId="568">
    <w:name w:val="charchar19"/>
    <w:autoRedefine/>
    <w:qFormat/>
    <w:uiPriority w:val="0"/>
    <w:rPr>
      <w:rFonts w:hint="eastAsia" w:ascii="宋体" w:hAnsi="宋体" w:eastAsia="宋体"/>
      <w:b/>
      <w:bCs/>
      <w:color w:val="0000FF"/>
      <w:kern w:val="2"/>
      <w:sz w:val="24"/>
      <w:szCs w:val="24"/>
      <w:lang w:val="en-US" w:eastAsia="zh-CN" w:bidi="ar-SA"/>
    </w:rPr>
  </w:style>
  <w:style w:type="character" w:customStyle="1" w:styleId="569">
    <w:name w:val="emailstyle145"/>
    <w:autoRedefine/>
    <w:qFormat/>
    <w:uiPriority w:val="0"/>
    <w:rPr>
      <w:rFonts w:eastAsia="宋体"/>
      <w:color w:val="000000"/>
      <w:kern w:val="2"/>
      <w:sz w:val="24"/>
      <w:szCs w:val="24"/>
      <w:lang w:val="en-US" w:eastAsia="zh-CN" w:bidi="ar-SA"/>
    </w:rPr>
  </w:style>
  <w:style w:type="character" w:customStyle="1" w:styleId="570">
    <w:name w:val="charchar"/>
    <w:autoRedefine/>
    <w:qFormat/>
    <w:uiPriority w:val="0"/>
    <w:rPr>
      <w:rFonts w:hint="eastAsia" w:ascii="宋体" w:hAnsi="宋体" w:eastAsia="宋体"/>
      <w:kern w:val="2"/>
      <w:sz w:val="24"/>
      <w:szCs w:val="24"/>
      <w:lang w:val="en-US" w:eastAsia="zh-CN" w:bidi="ar-SA"/>
    </w:rPr>
  </w:style>
  <w:style w:type="character" w:customStyle="1" w:styleId="571">
    <w:name w:val="charchar7"/>
    <w:autoRedefine/>
    <w:qFormat/>
    <w:uiPriority w:val="0"/>
    <w:rPr>
      <w:rFonts w:hint="eastAsia" w:ascii="宋体" w:hAnsi="宋体" w:eastAsia="宋体"/>
      <w:kern w:val="2"/>
      <w:sz w:val="24"/>
      <w:szCs w:val="24"/>
      <w:lang w:val="en-US" w:eastAsia="zh-CN" w:bidi="ar-SA"/>
    </w:rPr>
  </w:style>
  <w:style w:type="character" w:customStyle="1" w:styleId="572">
    <w:name w:val="EmailStyle1581"/>
    <w:autoRedefine/>
    <w:qFormat/>
    <w:uiPriority w:val="0"/>
    <w:rPr>
      <w:rFonts w:ascii="Arial" w:hAnsi="Arial" w:eastAsia="宋体" w:cs="Arial"/>
      <w:color w:val="auto"/>
      <w:kern w:val="2"/>
      <w:sz w:val="18"/>
      <w:szCs w:val="20"/>
      <w:lang w:val="en-US" w:eastAsia="zh-CN" w:bidi="ar-SA"/>
    </w:rPr>
  </w:style>
  <w:style w:type="character" w:customStyle="1" w:styleId="573">
    <w:name w:val="Char Char29"/>
    <w:autoRedefine/>
    <w:qFormat/>
    <w:uiPriority w:val="0"/>
    <w:rPr>
      <w:rFonts w:ascii="Arial" w:hAnsi="Arial" w:eastAsia="黑体"/>
      <w:kern w:val="2"/>
      <w:sz w:val="24"/>
      <w:lang w:val="en-US" w:eastAsia="zh-CN" w:bidi="ar-SA"/>
    </w:rPr>
  </w:style>
  <w:style w:type="character" w:customStyle="1" w:styleId="574">
    <w:name w:val="charchar9"/>
    <w:autoRedefine/>
    <w:qFormat/>
    <w:uiPriority w:val="0"/>
    <w:rPr>
      <w:rFonts w:hint="eastAsia" w:ascii="宋体" w:hAnsi="宋体" w:eastAsia="宋体"/>
      <w:kern w:val="2"/>
      <w:sz w:val="24"/>
      <w:szCs w:val="24"/>
      <w:lang w:val="en-US" w:eastAsia="zh-CN" w:bidi="ar-SA"/>
    </w:rPr>
  </w:style>
  <w:style w:type="character" w:customStyle="1" w:styleId="575">
    <w:name w:val="charchar2"/>
    <w:autoRedefine/>
    <w:qFormat/>
    <w:uiPriority w:val="0"/>
    <w:rPr>
      <w:rFonts w:hint="eastAsia" w:ascii="宋体" w:hAnsi="宋体" w:eastAsia="宋体"/>
      <w:kern w:val="2"/>
      <w:sz w:val="24"/>
      <w:szCs w:val="24"/>
      <w:lang w:val="en-US" w:eastAsia="zh-CN" w:bidi="ar-SA"/>
    </w:rPr>
  </w:style>
  <w:style w:type="character" w:customStyle="1" w:styleId="576">
    <w:name w:val="charchar16"/>
    <w:autoRedefine/>
    <w:qFormat/>
    <w:uiPriority w:val="0"/>
    <w:rPr>
      <w:rFonts w:hint="default" w:ascii="Arial" w:hAnsi="Arial" w:eastAsia="宋体" w:cs="Arial"/>
      <w:color w:val="000000"/>
      <w:kern w:val="2"/>
      <w:sz w:val="24"/>
      <w:szCs w:val="24"/>
      <w:lang w:val="en-US" w:eastAsia="zh-CN" w:bidi="ar-SA"/>
    </w:rPr>
  </w:style>
  <w:style w:type="character" w:customStyle="1" w:styleId="577">
    <w:name w:val="Char Char26"/>
    <w:autoRedefine/>
    <w:qFormat/>
    <w:uiPriority w:val="0"/>
    <w:rPr>
      <w:rFonts w:eastAsia="宋体"/>
      <w:kern w:val="2"/>
      <w:sz w:val="21"/>
      <w:lang w:val="en-US" w:eastAsia="zh-CN" w:bidi="ar-SA"/>
    </w:rPr>
  </w:style>
  <w:style w:type="character" w:customStyle="1" w:styleId="578">
    <w:name w:val="emailstyle117"/>
    <w:autoRedefine/>
    <w:qFormat/>
    <w:uiPriority w:val="0"/>
    <w:rPr>
      <w:rFonts w:eastAsia="宋体"/>
      <w:color w:val="000000"/>
      <w:kern w:val="2"/>
      <w:sz w:val="24"/>
      <w:szCs w:val="24"/>
      <w:lang w:val="en-US" w:eastAsia="zh-CN" w:bidi="ar-SA"/>
    </w:rPr>
  </w:style>
  <w:style w:type="character" w:customStyle="1" w:styleId="579">
    <w:name w:val="Char Char28"/>
    <w:autoRedefine/>
    <w:qFormat/>
    <w:uiPriority w:val="0"/>
    <w:rPr>
      <w:rFonts w:ascii="Arial" w:hAnsi="Arial" w:eastAsia="黑体"/>
      <w:kern w:val="2"/>
      <w:sz w:val="21"/>
      <w:lang w:val="en-US" w:eastAsia="zh-CN" w:bidi="ar-SA"/>
    </w:rPr>
  </w:style>
  <w:style w:type="character" w:customStyle="1" w:styleId="580">
    <w:name w:val="charchar18"/>
    <w:autoRedefine/>
    <w:qFormat/>
    <w:uiPriority w:val="0"/>
    <w:rPr>
      <w:rFonts w:hint="eastAsia" w:ascii="宋体" w:hAnsi="宋体" w:eastAsia="宋体"/>
      <w:b/>
      <w:bCs/>
      <w:kern w:val="2"/>
      <w:sz w:val="24"/>
      <w:szCs w:val="24"/>
      <w:lang w:val="en-US" w:eastAsia="zh-CN" w:bidi="ar-SA"/>
    </w:rPr>
  </w:style>
  <w:style w:type="character" w:customStyle="1" w:styleId="581">
    <w:name w:val="标题 4 Char3"/>
    <w:autoRedefine/>
    <w:qFormat/>
    <w:uiPriority w:val="0"/>
    <w:rPr>
      <w:rFonts w:ascii="Arial" w:hAnsi="Arial" w:eastAsia="黑体"/>
      <w:b/>
      <w:bCs/>
      <w:kern w:val="2"/>
      <w:sz w:val="28"/>
      <w:szCs w:val="28"/>
      <w:lang w:val="en-US" w:eastAsia="zh-CN" w:bidi="ar-SA"/>
    </w:rPr>
  </w:style>
  <w:style w:type="character" w:customStyle="1" w:styleId="582">
    <w:name w:val="应答文本 Char"/>
    <w:autoRedefine/>
    <w:qFormat/>
    <w:uiPriority w:val="0"/>
    <w:rPr>
      <w:rFonts w:ascii="Arial" w:hAnsi="Arial" w:eastAsia="楷体_GB2312"/>
      <w:spacing w:val="10"/>
      <w:lang w:bidi="ar-SA"/>
    </w:rPr>
  </w:style>
  <w:style w:type="character" w:customStyle="1" w:styleId="583">
    <w:name w:val="列表框1 Char"/>
    <w:autoRedefine/>
    <w:qFormat/>
    <w:uiPriority w:val="0"/>
    <w:rPr>
      <w:rFonts w:ascii="Arial" w:hAnsi="Arial"/>
      <w:spacing w:val="10"/>
      <w:sz w:val="24"/>
      <w:szCs w:val="24"/>
      <w:lang w:bidi="ar-SA"/>
    </w:rPr>
  </w:style>
  <w:style w:type="character" w:customStyle="1" w:styleId="584">
    <w:name w:val="Text Char1"/>
    <w:link w:val="585"/>
    <w:autoRedefine/>
    <w:qFormat/>
    <w:uiPriority w:val="0"/>
    <w:rPr>
      <w:rFonts w:ascii="Arial" w:hAnsi="Arial"/>
      <w:sz w:val="22"/>
      <w:lang w:val="en-GB" w:eastAsia="fr-FR"/>
    </w:rPr>
  </w:style>
  <w:style w:type="paragraph" w:customStyle="1" w:styleId="585">
    <w:name w:val="Text"/>
    <w:basedOn w:val="1"/>
    <w:link w:val="584"/>
    <w:autoRedefine/>
    <w:qFormat/>
    <w:uiPriority w:val="0"/>
    <w:pPr>
      <w:widowControl/>
      <w:ind w:left="1021"/>
      <w:jc w:val="left"/>
    </w:pPr>
    <w:rPr>
      <w:rFonts w:ascii="Arial" w:hAnsi="Arial"/>
      <w:kern w:val="0"/>
      <w:sz w:val="22"/>
      <w:lang w:val="en-GB" w:eastAsia="fr-FR"/>
    </w:rPr>
  </w:style>
  <w:style w:type="character" w:customStyle="1" w:styleId="586">
    <w:name w:val="样式 宋体 8 磅 加粗1"/>
    <w:autoRedefine/>
    <w:qFormat/>
    <w:uiPriority w:val="0"/>
    <w:rPr>
      <w:rFonts w:ascii="宋体" w:hAnsi="宋体" w:eastAsia="宋体"/>
      <w:bCs/>
      <w:sz w:val="21"/>
    </w:rPr>
  </w:style>
  <w:style w:type="character" w:customStyle="1" w:styleId="587">
    <w:name w:val="合同正文 Char Char"/>
    <w:link w:val="588"/>
    <w:autoRedefine/>
    <w:qFormat/>
    <w:uiPriority w:val="0"/>
    <w:rPr>
      <w:rFonts w:ascii="宋体" w:hAnsi="宋体"/>
      <w:spacing w:val="10"/>
      <w:szCs w:val="21"/>
    </w:rPr>
  </w:style>
  <w:style w:type="paragraph" w:customStyle="1" w:styleId="588">
    <w:name w:val="合同正文"/>
    <w:basedOn w:val="1"/>
    <w:link w:val="587"/>
    <w:autoRedefine/>
    <w:qFormat/>
    <w:uiPriority w:val="0"/>
    <w:pPr>
      <w:widowControl/>
      <w:spacing w:afterLines="50" w:line="360" w:lineRule="auto"/>
      <w:ind w:firstLine="200" w:firstLineChars="200"/>
      <w:jc w:val="left"/>
    </w:pPr>
    <w:rPr>
      <w:rFonts w:ascii="宋体" w:hAnsi="宋体"/>
      <w:spacing w:val="10"/>
      <w:kern w:val="0"/>
      <w:sz w:val="20"/>
      <w:szCs w:val="21"/>
    </w:rPr>
  </w:style>
  <w:style w:type="character" w:customStyle="1" w:styleId="589">
    <w:name w:val="txt121"/>
    <w:autoRedefine/>
    <w:qFormat/>
    <w:uiPriority w:val="0"/>
    <w:rPr>
      <w:rFonts w:hint="default" w:ascii="Verdana" w:hAnsi="Verdana"/>
      <w:spacing w:val="15"/>
      <w:sz w:val="18"/>
      <w:szCs w:val="18"/>
    </w:rPr>
  </w:style>
  <w:style w:type="character" w:customStyle="1" w:styleId="590">
    <w:name w:val="Default Char"/>
    <w:link w:val="264"/>
    <w:autoRedefine/>
    <w:qFormat/>
    <w:uiPriority w:val="0"/>
    <w:rPr>
      <w:rFonts w:ascii="黑体" w:eastAsia="黑体" w:cs="黑体"/>
      <w:color w:val="000000"/>
      <w:sz w:val="24"/>
      <w:szCs w:val="24"/>
    </w:rPr>
  </w:style>
  <w:style w:type="character" w:customStyle="1" w:styleId="591">
    <w:name w:val="题注格式 Char"/>
    <w:link w:val="592"/>
    <w:autoRedefine/>
    <w:qFormat/>
    <w:uiPriority w:val="0"/>
    <w:rPr>
      <w:rFonts w:ascii="Arial" w:hAnsi="Arial"/>
    </w:rPr>
  </w:style>
  <w:style w:type="paragraph" w:customStyle="1" w:styleId="592">
    <w:name w:val="题注格式"/>
    <w:basedOn w:val="16"/>
    <w:link w:val="591"/>
    <w:autoRedefine/>
    <w:qFormat/>
    <w:uiPriority w:val="0"/>
    <w:pPr>
      <w:widowControl/>
      <w:spacing w:before="0" w:after="0" w:line="400" w:lineRule="exact"/>
      <w:jc w:val="center"/>
      <w:outlineLvl w:val="8"/>
    </w:pPr>
    <w:rPr>
      <w:rFonts w:hint="default" w:eastAsia="宋体"/>
      <w:kern w:val="0"/>
    </w:rPr>
  </w:style>
  <w:style w:type="character" w:customStyle="1" w:styleId="593">
    <w:name w:val="批注主题 Char1"/>
    <w:autoRedefine/>
    <w:qFormat/>
    <w:uiPriority w:val="0"/>
    <w:rPr>
      <w:rFonts w:ascii="Calibri" w:hAnsi="Calibri" w:eastAsia="宋体" w:cs="Times New Roman"/>
      <w:b/>
      <w:bCs/>
    </w:rPr>
  </w:style>
  <w:style w:type="character" w:customStyle="1" w:styleId="594">
    <w:name w:val="正文首行缩进 Char1"/>
    <w:autoRedefine/>
    <w:semiHidden/>
    <w:qFormat/>
    <w:uiPriority w:val="0"/>
  </w:style>
  <w:style w:type="character" w:customStyle="1" w:styleId="595">
    <w:name w:val="正文首行缩进 2 Char1"/>
    <w:autoRedefine/>
    <w:qFormat/>
    <w:uiPriority w:val="0"/>
  </w:style>
  <w:style w:type="character" w:customStyle="1" w:styleId="596">
    <w:name w:val="引用正文 Char Char"/>
    <w:link w:val="597"/>
    <w:autoRedefine/>
    <w:qFormat/>
    <w:uiPriority w:val="0"/>
    <w:rPr>
      <w:rFonts w:ascii="宋体" w:hAnsi="宋体"/>
    </w:rPr>
  </w:style>
  <w:style w:type="paragraph" w:customStyle="1" w:styleId="597">
    <w:name w:val="引用正文"/>
    <w:basedOn w:val="25"/>
    <w:link w:val="596"/>
    <w:autoRedefine/>
    <w:qFormat/>
    <w:uiPriority w:val="0"/>
    <w:pPr>
      <w:overflowPunct/>
      <w:autoSpaceDE/>
      <w:autoSpaceDN/>
      <w:snapToGrid w:val="0"/>
      <w:ind w:firstLine="420" w:firstLineChars="200"/>
      <w:jc w:val="left"/>
      <w:textAlignment w:val="auto"/>
    </w:pPr>
    <w:rPr>
      <w:rFonts w:hAnsi="宋体"/>
      <w:spacing w:val="0"/>
      <w:sz w:val="20"/>
    </w:rPr>
  </w:style>
  <w:style w:type="character" w:customStyle="1" w:styleId="598">
    <w:name w:val="表文"/>
    <w:autoRedefine/>
    <w:qFormat/>
    <w:uiPriority w:val="0"/>
    <w:rPr>
      <w:rFonts w:hint="default" w:ascii="Arial" w:hAnsi="Arial" w:eastAsia="宋体" w:cs="Arial"/>
      <w:spacing w:val="0"/>
      <w:kern w:val="0"/>
      <w:sz w:val="21"/>
      <w:szCs w:val="18"/>
      <w:u w:val="none"/>
      <w:vertAlign w:val="baseline"/>
    </w:rPr>
  </w:style>
  <w:style w:type="character" w:customStyle="1" w:styleId="599">
    <w:name w:val="引用 Char"/>
    <w:link w:val="600"/>
    <w:autoRedefine/>
    <w:qFormat/>
    <w:uiPriority w:val="0"/>
    <w:rPr>
      <w:i/>
      <w:sz w:val="24"/>
      <w:szCs w:val="24"/>
      <w:lang w:eastAsia="en-US" w:bidi="en-US"/>
    </w:rPr>
  </w:style>
  <w:style w:type="paragraph" w:styleId="600">
    <w:name w:val="Quote"/>
    <w:basedOn w:val="1"/>
    <w:next w:val="1"/>
    <w:link w:val="599"/>
    <w:autoRedefine/>
    <w:qFormat/>
    <w:uiPriority w:val="0"/>
    <w:pPr>
      <w:widowControl/>
      <w:jc w:val="left"/>
    </w:pPr>
    <w:rPr>
      <w:i/>
      <w:kern w:val="0"/>
      <w:sz w:val="24"/>
      <w:szCs w:val="24"/>
      <w:lang w:eastAsia="en-US" w:bidi="en-US"/>
    </w:rPr>
  </w:style>
  <w:style w:type="character" w:customStyle="1" w:styleId="601">
    <w:name w:val="引用 Char1"/>
    <w:basedOn w:val="70"/>
    <w:autoRedefine/>
    <w:qFormat/>
    <w:uiPriority w:val="99"/>
    <w:rPr>
      <w:i/>
      <w:iCs/>
      <w:color w:val="404040" w:themeColor="text1" w:themeTint="BF"/>
      <w:kern w:val="2"/>
      <w:sz w:val="21"/>
      <w14:textFill>
        <w14:solidFill>
          <w14:schemeClr w14:val="tx1">
            <w14:lumMod w14:val="75000"/>
            <w14:lumOff w14:val="25000"/>
          </w14:schemeClr>
        </w14:solidFill>
      </w14:textFill>
    </w:rPr>
  </w:style>
  <w:style w:type="character" w:customStyle="1" w:styleId="602">
    <w:name w:val="引用 字符"/>
    <w:basedOn w:val="70"/>
    <w:autoRedefine/>
    <w:qFormat/>
    <w:uiPriority w:val="29"/>
    <w:rPr>
      <w:rFonts w:ascii="Calibri" w:hAnsi="Calibri" w:eastAsia="宋体" w:cs="Times New Roman"/>
      <w:i/>
      <w:iCs/>
      <w:color w:val="404040" w:themeColor="text1" w:themeTint="BF"/>
      <w14:textFill>
        <w14:solidFill>
          <w14:schemeClr w14:val="tx1">
            <w14:lumMod w14:val="75000"/>
            <w14:lumOff w14:val="25000"/>
          </w14:schemeClr>
        </w14:solidFill>
      </w14:textFill>
    </w:rPr>
  </w:style>
  <w:style w:type="character" w:customStyle="1" w:styleId="603">
    <w:name w:val="明显引用 Char"/>
    <w:link w:val="604"/>
    <w:autoRedefine/>
    <w:qFormat/>
    <w:uiPriority w:val="0"/>
    <w:rPr>
      <w:b/>
      <w:i/>
      <w:sz w:val="24"/>
      <w:lang w:eastAsia="en-US" w:bidi="en-US"/>
    </w:rPr>
  </w:style>
  <w:style w:type="paragraph" w:styleId="604">
    <w:name w:val="Intense Quote"/>
    <w:basedOn w:val="1"/>
    <w:next w:val="1"/>
    <w:link w:val="603"/>
    <w:autoRedefine/>
    <w:qFormat/>
    <w:uiPriority w:val="0"/>
    <w:pPr>
      <w:widowControl/>
      <w:ind w:left="720" w:right="720"/>
      <w:jc w:val="left"/>
    </w:pPr>
    <w:rPr>
      <w:b/>
      <w:i/>
      <w:kern w:val="0"/>
      <w:sz w:val="24"/>
      <w:lang w:eastAsia="en-US" w:bidi="en-US"/>
    </w:rPr>
  </w:style>
  <w:style w:type="character" w:customStyle="1" w:styleId="605">
    <w:name w:val="明显引用 Char1"/>
    <w:basedOn w:val="70"/>
    <w:autoRedefine/>
    <w:qFormat/>
    <w:uiPriority w:val="99"/>
    <w:rPr>
      <w:i/>
      <w:iCs/>
      <w:color w:val="4472C4" w:themeColor="accent1"/>
      <w:kern w:val="2"/>
      <w:sz w:val="21"/>
      <w14:textFill>
        <w14:solidFill>
          <w14:schemeClr w14:val="accent1"/>
        </w14:solidFill>
      </w14:textFill>
    </w:rPr>
  </w:style>
  <w:style w:type="character" w:customStyle="1" w:styleId="606">
    <w:name w:val="明显引用 字符"/>
    <w:basedOn w:val="70"/>
    <w:autoRedefine/>
    <w:qFormat/>
    <w:uiPriority w:val="30"/>
    <w:rPr>
      <w:rFonts w:ascii="Calibri" w:hAnsi="Calibri" w:eastAsia="宋体" w:cs="Times New Roman"/>
      <w:i/>
      <w:iCs/>
      <w:color w:val="4472C4" w:themeColor="accent1"/>
      <w14:textFill>
        <w14:solidFill>
          <w14:schemeClr w14:val="accent1"/>
        </w14:solidFill>
      </w14:textFill>
    </w:rPr>
  </w:style>
  <w:style w:type="character" w:customStyle="1" w:styleId="607">
    <w:name w:val="明显强调1"/>
    <w:autoRedefine/>
    <w:qFormat/>
    <w:uiPriority w:val="0"/>
    <w:rPr>
      <w:b/>
      <w:i/>
      <w:sz w:val="24"/>
      <w:szCs w:val="24"/>
      <w:u w:val="single"/>
    </w:rPr>
  </w:style>
  <w:style w:type="character" w:customStyle="1" w:styleId="608">
    <w:name w:val="书籍标题1"/>
    <w:autoRedefine/>
    <w:qFormat/>
    <w:uiPriority w:val="0"/>
    <w:rPr>
      <w:rFonts w:ascii="Cambria" w:hAnsi="Cambria" w:eastAsia="宋体"/>
      <w:b/>
      <w:i/>
      <w:sz w:val="24"/>
      <w:szCs w:val="24"/>
    </w:rPr>
  </w:style>
  <w:style w:type="character" w:customStyle="1" w:styleId="609">
    <w:name w:val="验交标准一级 Char"/>
    <w:link w:val="610"/>
    <w:autoRedefine/>
    <w:qFormat/>
    <w:uiPriority w:val="0"/>
    <w:rPr>
      <w:b/>
      <w:bCs/>
      <w:kern w:val="44"/>
      <w:sz w:val="30"/>
      <w:szCs w:val="28"/>
      <w:lang w:eastAsia="en-US" w:bidi="en-US"/>
    </w:rPr>
  </w:style>
  <w:style w:type="paragraph" w:customStyle="1" w:styleId="610">
    <w:name w:val="验交标准一级"/>
    <w:basedOn w:val="1"/>
    <w:link w:val="609"/>
    <w:autoRedefine/>
    <w:qFormat/>
    <w:uiPriority w:val="0"/>
    <w:pPr>
      <w:pageBreakBefore/>
      <w:spacing w:before="200" w:after="200" w:line="360" w:lineRule="auto"/>
      <w:ind w:left="420" w:hanging="420"/>
      <w:jc w:val="center"/>
      <w:outlineLvl w:val="0"/>
    </w:pPr>
    <w:rPr>
      <w:b/>
      <w:bCs/>
      <w:kern w:val="44"/>
      <w:sz w:val="30"/>
      <w:szCs w:val="28"/>
      <w:lang w:eastAsia="en-US" w:bidi="en-US"/>
    </w:rPr>
  </w:style>
  <w:style w:type="character" w:customStyle="1" w:styleId="611">
    <w:name w:val="验交标准三级 Char"/>
    <w:link w:val="612"/>
    <w:autoRedefine/>
    <w:qFormat/>
    <w:uiPriority w:val="0"/>
    <w:rPr>
      <w:rFonts w:cs="宋体"/>
      <w:b/>
      <w:bCs/>
      <w:kern w:val="44"/>
      <w:sz w:val="24"/>
      <w:szCs w:val="24"/>
      <w:lang w:val="fr-FR" w:eastAsia="en-US" w:bidi="en-US"/>
    </w:rPr>
  </w:style>
  <w:style w:type="paragraph" w:customStyle="1" w:styleId="612">
    <w:name w:val="验交标准三级"/>
    <w:basedOn w:val="272"/>
    <w:link w:val="611"/>
    <w:autoRedefine/>
    <w:qFormat/>
    <w:uiPriority w:val="0"/>
    <w:pPr>
      <w:widowControl/>
      <w:tabs>
        <w:tab w:val="left" w:pos="1260"/>
      </w:tabs>
      <w:ind w:left="1260" w:hanging="420"/>
      <w:outlineLvl w:val="2"/>
    </w:pPr>
    <w:rPr>
      <w:rFonts w:ascii="Times New Roman" w:cs="宋体"/>
      <w:b/>
      <w:bCs/>
      <w:kern w:val="44"/>
      <w:szCs w:val="24"/>
      <w:lang w:val="fr-FR" w:eastAsia="en-US" w:bidi="en-US"/>
    </w:rPr>
  </w:style>
  <w:style w:type="character" w:customStyle="1" w:styleId="613">
    <w:name w:val="样式 初号 加粗"/>
    <w:autoRedefine/>
    <w:qFormat/>
    <w:uiPriority w:val="0"/>
    <w:rPr>
      <w:rFonts w:eastAsia="宋体"/>
      <w:b/>
      <w:bCs/>
      <w:kern w:val="2"/>
      <w:sz w:val="84"/>
      <w:szCs w:val="24"/>
      <w:lang w:val="en-US" w:eastAsia="zh-CN" w:bidi="ar-SA"/>
    </w:rPr>
  </w:style>
  <w:style w:type="character" w:customStyle="1" w:styleId="614">
    <w:name w:val="Char Char61"/>
    <w:autoRedefine/>
    <w:qFormat/>
    <w:uiPriority w:val="0"/>
    <w:rPr>
      <w:smallCaps/>
      <w:sz w:val="52"/>
      <w:szCs w:val="52"/>
    </w:rPr>
  </w:style>
  <w:style w:type="character" w:customStyle="1" w:styleId="615">
    <w:name w:val="样式1 Char Char"/>
    <w:autoRedefine/>
    <w:qFormat/>
    <w:uiPriority w:val="0"/>
    <w:rPr>
      <w:b/>
      <w:bCs/>
      <w:kern w:val="44"/>
      <w:sz w:val="24"/>
      <w:szCs w:val="28"/>
      <w:lang w:eastAsia="en-US" w:bidi="en-US"/>
    </w:rPr>
  </w:style>
  <w:style w:type="character" w:customStyle="1" w:styleId="616">
    <w:name w:val="标题 7 Char1"/>
    <w:autoRedefine/>
    <w:semiHidden/>
    <w:qFormat/>
    <w:uiPriority w:val="0"/>
    <w:rPr>
      <w:b/>
      <w:bCs/>
      <w:kern w:val="2"/>
      <w:sz w:val="24"/>
      <w:szCs w:val="24"/>
    </w:rPr>
  </w:style>
  <w:style w:type="character" w:customStyle="1" w:styleId="617">
    <w:name w:val="new-text1"/>
    <w:autoRedefine/>
    <w:qFormat/>
    <w:uiPriority w:val="0"/>
    <w:rPr>
      <w:sz w:val="22"/>
      <w:szCs w:val="22"/>
    </w:rPr>
  </w:style>
  <w:style w:type="character" w:customStyle="1" w:styleId="618">
    <w:name w:val="标题 4 Char1"/>
    <w:autoRedefine/>
    <w:qFormat/>
    <w:uiPriority w:val="0"/>
    <w:rPr>
      <w:rFonts w:ascii="Arial" w:hAnsi="Arial" w:eastAsia="宋体" w:cs="Times New Roman"/>
      <w:b/>
      <w:bCs/>
      <w:kern w:val="0"/>
      <w:sz w:val="20"/>
      <w:szCs w:val="21"/>
    </w:rPr>
  </w:style>
  <w:style w:type="character" w:customStyle="1" w:styleId="619">
    <w:name w:val="Char Char12"/>
    <w:autoRedefine/>
    <w:qFormat/>
    <w:uiPriority w:val="99"/>
    <w:rPr>
      <w:rFonts w:ascii="Times New Roman" w:hAnsi="Times New Roman" w:eastAsia="宋体" w:cs="Times New Roman"/>
      <w:szCs w:val="20"/>
    </w:rPr>
  </w:style>
  <w:style w:type="character" w:customStyle="1" w:styleId="620">
    <w:name w:val="ca-1"/>
    <w:autoRedefine/>
    <w:qFormat/>
    <w:uiPriority w:val="0"/>
    <w:rPr>
      <w:rFonts w:ascii="Tahoma" w:hAnsi="Tahoma"/>
      <w:sz w:val="24"/>
    </w:rPr>
  </w:style>
  <w:style w:type="character" w:customStyle="1" w:styleId="621">
    <w:name w:val="Char Char10"/>
    <w:autoRedefine/>
    <w:qFormat/>
    <w:uiPriority w:val="99"/>
    <w:rPr>
      <w:rFonts w:hint="eastAsia" w:ascii="宋体" w:hAnsi="Times New Roman" w:eastAsia="宋体"/>
      <w:kern w:val="0"/>
      <w:sz w:val="24"/>
    </w:rPr>
  </w:style>
  <w:style w:type="character" w:customStyle="1" w:styleId="622">
    <w:name w:val="fontp1"/>
    <w:autoRedefine/>
    <w:qFormat/>
    <w:uiPriority w:val="99"/>
    <w:rPr>
      <w:rFonts w:hint="eastAsia" w:ascii="宋体" w:hAnsi="宋体" w:eastAsia="宋体"/>
      <w:kern w:val="0"/>
      <w:sz w:val="18"/>
      <w:lang w:eastAsia="en-US"/>
    </w:rPr>
  </w:style>
  <w:style w:type="character" w:customStyle="1" w:styleId="623">
    <w:name w:val="Plain Text Char1"/>
    <w:autoRedefine/>
    <w:semiHidden/>
    <w:qFormat/>
    <w:uiPriority w:val="99"/>
    <w:rPr>
      <w:rFonts w:hint="eastAsia" w:ascii="宋体" w:hAnsi="Courier New" w:eastAsia="宋体" w:cs="Courier New"/>
      <w:szCs w:val="21"/>
    </w:rPr>
  </w:style>
  <w:style w:type="character" w:customStyle="1" w:styleId="624">
    <w:name w:val="纯文本 Char4"/>
    <w:autoRedefine/>
    <w:qFormat/>
    <w:uiPriority w:val="99"/>
    <w:rPr>
      <w:rFonts w:ascii="宋体" w:hAnsi="Courier New" w:cs="Courier New"/>
      <w:kern w:val="2"/>
      <w:sz w:val="21"/>
      <w:szCs w:val="21"/>
    </w:rPr>
  </w:style>
  <w:style w:type="character" w:customStyle="1" w:styleId="625">
    <w:name w:val="标准正文 Char Char"/>
    <w:autoRedefine/>
    <w:qFormat/>
    <w:uiPriority w:val="0"/>
    <w:rPr>
      <w:szCs w:val="24"/>
    </w:rPr>
  </w:style>
  <w:style w:type="character" w:customStyle="1" w:styleId="626">
    <w:name w:val="HTML 预设格式 Char1"/>
    <w:autoRedefine/>
    <w:semiHidden/>
    <w:qFormat/>
    <w:uiPriority w:val="99"/>
    <w:rPr>
      <w:rFonts w:ascii="Courier New" w:hAnsi="Courier New" w:cs="Courier New"/>
      <w:kern w:val="2"/>
    </w:rPr>
  </w:style>
  <w:style w:type="character" w:customStyle="1" w:styleId="627">
    <w:name w:val="批注框文本 Char2"/>
    <w:autoRedefine/>
    <w:semiHidden/>
    <w:qFormat/>
    <w:uiPriority w:val="99"/>
    <w:rPr>
      <w:sz w:val="18"/>
      <w:szCs w:val="18"/>
    </w:rPr>
  </w:style>
  <w:style w:type="character" w:customStyle="1" w:styleId="628">
    <w:name w:val="HTML 预设格式 Char2"/>
    <w:autoRedefine/>
    <w:semiHidden/>
    <w:qFormat/>
    <w:uiPriority w:val="99"/>
    <w:rPr>
      <w:rFonts w:ascii="Courier New" w:hAnsi="Courier New" w:cs="Courier New"/>
      <w:sz w:val="20"/>
      <w:szCs w:val="20"/>
    </w:rPr>
  </w:style>
  <w:style w:type="character" w:customStyle="1" w:styleId="629">
    <w:name w:val="p141"/>
    <w:autoRedefine/>
    <w:qFormat/>
    <w:uiPriority w:val="99"/>
    <w:rPr>
      <w:sz w:val="21"/>
      <w:szCs w:val="21"/>
    </w:rPr>
  </w:style>
  <w:style w:type="character" w:customStyle="1" w:styleId="630">
    <w:name w:val="正文文本缩进 3 Char3"/>
    <w:autoRedefine/>
    <w:qFormat/>
    <w:uiPriority w:val="99"/>
    <w:rPr>
      <w:kern w:val="2"/>
      <w:sz w:val="16"/>
      <w:szCs w:val="16"/>
    </w:rPr>
  </w:style>
  <w:style w:type="character" w:customStyle="1" w:styleId="631">
    <w:name w:val="日期 Char2"/>
    <w:autoRedefine/>
    <w:semiHidden/>
    <w:qFormat/>
    <w:uiPriority w:val="99"/>
  </w:style>
  <w:style w:type="character" w:customStyle="1" w:styleId="632">
    <w:name w:val="正文文本 Char2"/>
    <w:autoRedefine/>
    <w:semiHidden/>
    <w:qFormat/>
    <w:uiPriority w:val="99"/>
  </w:style>
  <w:style w:type="character" w:customStyle="1" w:styleId="633">
    <w:name w:val="ll1"/>
    <w:autoRedefine/>
    <w:qFormat/>
    <w:uiPriority w:val="99"/>
    <w:rPr>
      <w:spacing w:val="31680"/>
    </w:rPr>
  </w:style>
  <w:style w:type="character" w:customStyle="1" w:styleId="634">
    <w:name w:val="尾注文本 Char1"/>
    <w:autoRedefine/>
    <w:qFormat/>
    <w:uiPriority w:val="99"/>
    <w:rPr>
      <w:kern w:val="2"/>
      <w:sz w:val="21"/>
      <w:szCs w:val="22"/>
    </w:rPr>
  </w:style>
  <w:style w:type="character" w:customStyle="1" w:styleId="635">
    <w:name w:val="wf1"/>
    <w:autoRedefine/>
    <w:qFormat/>
    <w:uiPriority w:val="99"/>
    <w:rPr>
      <w:rFonts w:hint="eastAsia" w:ascii="宋体" w:hAnsi="宋体" w:eastAsia="宋体"/>
      <w:sz w:val="24"/>
    </w:rPr>
  </w:style>
  <w:style w:type="character" w:customStyle="1" w:styleId="636">
    <w:name w:val="Char Char201"/>
    <w:autoRedefine/>
    <w:qFormat/>
    <w:uiPriority w:val="99"/>
    <w:rPr>
      <w:rFonts w:hint="eastAsia" w:ascii="宋体" w:hAnsi="Times New Roman" w:eastAsia="宋体"/>
      <w:kern w:val="0"/>
      <w:sz w:val="24"/>
    </w:rPr>
  </w:style>
  <w:style w:type="character" w:customStyle="1" w:styleId="637">
    <w:name w:val="正文文本 2 Char2"/>
    <w:autoRedefine/>
    <w:semiHidden/>
    <w:qFormat/>
    <w:uiPriority w:val="99"/>
  </w:style>
  <w:style w:type="character" w:customStyle="1" w:styleId="638">
    <w:name w:val="正文文本 2 Char1"/>
    <w:autoRedefine/>
    <w:semiHidden/>
    <w:qFormat/>
    <w:uiPriority w:val="99"/>
    <w:rPr>
      <w:kern w:val="2"/>
      <w:sz w:val="21"/>
      <w:szCs w:val="22"/>
    </w:rPr>
  </w:style>
  <w:style w:type="character" w:customStyle="1" w:styleId="639">
    <w:name w:val="正文文本缩进 2 Char3"/>
    <w:autoRedefine/>
    <w:qFormat/>
    <w:uiPriority w:val="99"/>
    <w:rPr>
      <w:kern w:val="2"/>
      <w:sz w:val="21"/>
      <w:szCs w:val="22"/>
    </w:rPr>
  </w:style>
  <w:style w:type="character" w:customStyle="1" w:styleId="640">
    <w:name w:val="日期 Char3"/>
    <w:autoRedefine/>
    <w:qFormat/>
    <w:uiPriority w:val="99"/>
    <w:rPr>
      <w:kern w:val="2"/>
      <w:sz w:val="21"/>
      <w:szCs w:val="22"/>
    </w:rPr>
  </w:style>
  <w:style w:type="character" w:customStyle="1" w:styleId="641">
    <w:name w:val="文档结构图 Char2"/>
    <w:autoRedefine/>
    <w:qFormat/>
    <w:uiPriority w:val="99"/>
    <w:rPr>
      <w:rFonts w:ascii="宋体" w:eastAsia="宋体"/>
      <w:sz w:val="18"/>
      <w:szCs w:val="18"/>
    </w:rPr>
  </w:style>
  <w:style w:type="character" w:customStyle="1" w:styleId="642">
    <w:name w:val="批注框文本 Char3"/>
    <w:autoRedefine/>
    <w:semiHidden/>
    <w:qFormat/>
    <w:uiPriority w:val="99"/>
    <w:rPr>
      <w:kern w:val="2"/>
      <w:sz w:val="18"/>
      <w:szCs w:val="18"/>
    </w:rPr>
  </w:style>
  <w:style w:type="character" w:customStyle="1" w:styleId="643">
    <w:name w:val="正文文本 2 Char3"/>
    <w:autoRedefine/>
    <w:qFormat/>
    <w:uiPriority w:val="99"/>
    <w:rPr>
      <w:kern w:val="2"/>
      <w:sz w:val="21"/>
      <w:szCs w:val="22"/>
    </w:rPr>
  </w:style>
  <w:style w:type="character" w:customStyle="1" w:styleId="644">
    <w:name w:val="正文文本 3 Char3"/>
    <w:autoRedefine/>
    <w:qFormat/>
    <w:uiPriority w:val="99"/>
    <w:rPr>
      <w:kern w:val="2"/>
      <w:sz w:val="16"/>
      <w:szCs w:val="16"/>
    </w:rPr>
  </w:style>
  <w:style w:type="character" w:customStyle="1" w:styleId="645">
    <w:name w:val="Char Char8"/>
    <w:autoRedefine/>
    <w:qFormat/>
    <w:uiPriority w:val="99"/>
    <w:rPr>
      <w:rFonts w:hint="eastAsia" w:ascii="宋体" w:hAnsi="Times New Roman" w:eastAsia="宋体"/>
      <w:kern w:val="0"/>
      <w:sz w:val="24"/>
    </w:rPr>
  </w:style>
  <w:style w:type="character" w:customStyle="1" w:styleId="646">
    <w:name w:val="正文文本缩进 Char3"/>
    <w:autoRedefine/>
    <w:qFormat/>
    <w:uiPriority w:val="99"/>
    <w:rPr>
      <w:kern w:val="2"/>
      <w:sz w:val="21"/>
      <w:szCs w:val="22"/>
    </w:rPr>
  </w:style>
  <w:style w:type="character" w:customStyle="1" w:styleId="647">
    <w:name w:val="正文文本 3 Char2"/>
    <w:autoRedefine/>
    <w:semiHidden/>
    <w:qFormat/>
    <w:uiPriority w:val="99"/>
    <w:rPr>
      <w:sz w:val="16"/>
      <w:szCs w:val="16"/>
    </w:rPr>
  </w:style>
  <w:style w:type="character" w:customStyle="1" w:styleId="648">
    <w:name w:val="批注主题 Char2"/>
    <w:autoRedefine/>
    <w:semiHidden/>
    <w:qFormat/>
    <w:uiPriority w:val="99"/>
    <w:rPr>
      <w:b/>
      <w:bCs/>
    </w:rPr>
  </w:style>
  <w:style w:type="character" w:customStyle="1" w:styleId="649">
    <w:name w:val="文档结构图 Char4"/>
    <w:autoRedefine/>
    <w:semiHidden/>
    <w:qFormat/>
    <w:uiPriority w:val="99"/>
    <w:rPr>
      <w:rFonts w:ascii="宋体" w:eastAsia="宋体"/>
      <w:sz w:val="18"/>
      <w:szCs w:val="18"/>
    </w:rPr>
  </w:style>
  <w:style w:type="character" w:customStyle="1" w:styleId="650">
    <w:name w:val="纯文本 Char5"/>
    <w:autoRedefine/>
    <w:semiHidden/>
    <w:qFormat/>
    <w:uiPriority w:val="99"/>
    <w:rPr>
      <w:rFonts w:ascii="宋体" w:hAnsi="Courier New" w:eastAsia="宋体" w:cs="Courier New"/>
      <w:szCs w:val="21"/>
    </w:rPr>
  </w:style>
  <w:style w:type="character" w:customStyle="1" w:styleId="651">
    <w:name w:val="HTML 预设格式 Char4"/>
    <w:autoRedefine/>
    <w:semiHidden/>
    <w:qFormat/>
    <w:uiPriority w:val="99"/>
    <w:rPr>
      <w:rFonts w:ascii="Courier New" w:hAnsi="Courier New" w:cs="Courier New"/>
      <w:sz w:val="20"/>
      <w:szCs w:val="20"/>
    </w:rPr>
  </w:style>
  <w:style w:type="character" w:customStyle="1" w:styleId="652">
    <w:name w:val="尾注文本 Char2"/>
    <w:autoRedefine/>
    <w:semiHidden/>
    <w:qFormat/>
    <w:uiPriority w:val="99"/>
  </w:style>
  <w:style w:type="character" w:customStyle="1" w:styleId="653">
    <w:name w:val="脚注文本 Char2"/>
    <w:autoRedefine/>
    <w:semiHidden/>
    <w:qFormat/>
    <w:uiPriority w:val="99"/>
    <w:rPr>
      <w:sz w:val="18"/>
      <w:szCs w:val="18"/>
    </w:rPr>
  </w:style>
  <w:style w:type="character" w:customStyle="1" w:styleId="654">
    <w:name w:val="正文文本 3 Char4"/>
    <w:autoRedefine/>
    <w:semiHidden/>
    <w:qFormat/>
    <w:uiPriority w:val="99"/>
    <w:rPr>
      <w:sz w:val="16"/>
      <w:szCs w:val="16"/>
    </w:rPr>
  </w:style>
  <w:style w:type="character" w:customStyle="1" w:styleId="655">
    <w:name w:val="Footer Char"/>
    <w:autoRedefine/>
    <w:semiHidden/>
    <w:qFormat/>
    <w:locked/>
    <w:uiPriority w:val="99"/>
    <w:rPr>
      <w:sz w:val="18"/>
      <w:szCs w:val="18"/>
    </w:rPr>
  </w:style>
  <w:style w:type="character" w:customStyle="1" w:styleId="656">
    <w:name w:val="标题 1 字符1"/>
    <w:autoRedefine/>
    <w:qFormat/>
    <w:uiPriority w:val="0"/>
    <w:rPr>
      <w:rFonts w:ascii="Times New Roman" w:hAnsi="Times New Roman" w:eastAsia="黑体" w:cs="Times New Roman"/>
      <w:color w:val="FF0000"/>
      <w:kern w:val="24"/>
      <w:sz w:val="28"/>
      <w:szCs w:val="20"/>
    </w:rPr>
  </w:style>
  <w:style w:type="character" w:customStyle="1" w:styleId="657">
    <w:name w:val="标题 2 字符1"/>
    <w:autoRedefine/>
    <w:qFormat/>
    <w:uiPriority w:val="0"/>
    <w:rPr>
      <w:rFonts w:ascii="Arial" w:hAnsi="Arial" w:eastAsia="黑体" w:cs="Times New Roman"/>
      <w:b/>
      <w:color w:val="0000FF"/>
      <w:kern w:val="0"/>
      <w:sz w:val="24"/>
      <w:szCs w:val="20"/>
    </w:rPr>
  </w:style>
  <w:style w:type="character" w:customStyle="1" w:styleId="658">
    <w:name w:val="标题 3 字符1"/>
    <w:autoRedefine/>
    <w:qFormat/>
    <w:uiPriority w:val="0"/>
    <w:rPr>
      <w:rFonts w:ascii="Times New Roman" w:hAnsi="Times New Roman" w:eastAsia="宋体" w:cs="Times New Roman"/>
      <w:b/>
      <w:bCs/>
      <w:kern w:val="0"/>
      <w:sz w:val="32"/>
      <w:szCs w:val="32"/>
    </w:rPr>
  </w:style>
  <w:style w:type="character" w:customStyle="1" w:styleId="659">
    <w:name w:val="标题 4 字符1"/>
    <w:autoRedefine/>
    <w:qFormat/>
    <w:uiPriority w:val="0"/>
    <w:rPr>
      <w:rFonts w:ascii="Arial" w:hAnsi="Arial" w:eastAsia="宋体" w:cs="Times New Roman"/>
      <w:color w:val="000000"/>
      <w:kern w:val="0"/>
      <w:sz w:val="24"/>
      <w:szCs w:val="24"/>
    </w:rPr>
  </w:style>
  <w:style w:type="character" w:customStyle="1" w:styleId="660">
    <w:name w:val="标题 5 字符1"/>
    <w:autoRedefine/>
    <w:qFormat/>
    <w:uiPriority w:val="0"/>
    <w:rPr>
      <w:rFonts w:ascii="宋体" w:hAnsi="Arial" w:eastAsia="宋体" w:cs="宋体"/>
      <w:kern w:val="0"/>
      <w:sz w:val="20"/>
      <w:szCs w:val="20"/>
    </w:rPr>
  </w:style>
  <w:style w:type="character" w:customStyle="1" w:styleId="661">
    <w:name w:val="标题 6 字符1"/>
    <w:autoRedefine/>
    <w:qFormat/>
    <w:uiPriority w:val="0"/>
    <w:rPr>
      <w:rFonts w:ascii="Arial" w:hAnsi="Arial" w:eastAsia="黑体" w:cs="Times New Roman"/>
      <w:b/>
      <w:bCs/>
      <w:kern w:val="0"/>
      <w:sz w:val="24"/>
      <w:szCs w:val="24"/>
    </w:rPr>
  </w:style>
  <w:style w:type="character" w:customStyle="1" w:styleId="662">
    <w:name w:val="标题 7 字符1"/>
    <w:autoRedefine/>
    <w:qFormat/>
    <w:uiPriority w:val="99"/>
    <w:rPr>
      <w:rFonts w:ascii="Times New Roman" w:hAnsi="Times New Roman" w:eastAsia="宋体" w:cs="Times New Roman"/>
      <w:b/>
      <w:kern w:val="0"/>
      <w:sz w:val="24"/>
      <w:szCs w:val="20"/>
    </w:rPr>
  </w:style>
  <w:style w:type="character" w:customStyle="1" w:styleId="663">
    <w:name w:val="标题 8 字符1"/>
    <w:autoRedefine/>
    <w:qFormat/>
    <w:uiPriority w:val="99"/>
    <w:rPr>
      <w:rFonts w:ascii="Arial" w:hAnsi="Arial" w:eastAsia="黑体" w:cs="Times New Roman"/>
      <w:kern w:val="0"/>
      <w:sz w:val="24"/>
      <w:szCs w:val="20"/>
    </w:rPr>
  </w:style>
  <w:style w:type="character" w:customStyle="1" w:styleId="664">
    <w:name w:val="标题 9 字符1"/>
    <w:autoRedefine/>
    <w:qFormat/>
    <w:uiPriority w:val="99"/>
    <w:rPr>
      <w:rFonts w:ascii="Arial" w:hAnsi="Arial" w:eastAsia="黑体" w:cs="Times New Roman"/>
      <w:kern w:val="0"/>
      <w:sz w:val="20"/>
      <w:szCs w:val="20"/>
    </w:rPr>
  </w:style>
  <w:style w:type="character" w:customStyle="1" w:styleId="665">
    <w:name w:val="页眉 字符1"/>
    <w:autoRedefine/>
    <w:qFormat/>
    <w:locked/>
    <w:uiPriority w:val="99"/>
    <w:rPr>
      <w:rFonts w:ascii="Times New Roman" w:hAnsi="Times New Roman"/>
      <w:sz w:val="18"/>
      <w:szCs w:val="18"/>
    </w:rPr>
  </w:style>
  <w:style w:type="character" w:customStyle="1" w:styleId="666">
    <w:name w:val="尾注文本 字符1"/>
    <w:autoRedefine/>
    <w:qFormat/>
    <w:uiPriority w:val="99"/>
    <w:rPr>
      <w:rFonts w:ascii="Calibri" w:hAnsi="Calibri" w:eastAsia="宋体" w:cs="Times New Roman"/>
      <w:kern w:val="0"/>
      <w:sz w:val="24"/>
      <w:szCs w:val="24"/>
    </w:rPr>
  </w:style>
  <w:style w:type="character" w:customStyle="1" w:styleId="667">
    <w:name w:val="标题 字符1"/>
    <w:autoRedefine/>
    <w:qFormat/>
    <w:uiPriority w:val="99"/>
    <w:rPr>
      <w:rFonts w:ascii="Cambria" w:hAnsi="Cambria" w:eastAsia="宋体" w:cs="Times New Roman"/>
      <w:b/>
      <w:bCs/>
      <w:kern w:val="0"/>
      <w:sz w:val="32"/>
      <w:szCs w:val="32"/>
    </w:rPr>
  </w:style>
  <w:style w:type="character" w:customStyle="1" w:styleId="668">
    <w:name w:val="日期 字符1"/>
    <w:autoRedefine/>
    <w:qFormat/>
    <w:uiPriority w:val="99"/>
    <w:rPr>
      <w:rFonts w:ascii="宋体" w:hAnsi="Times New Roman" w:eastAsia="宋体" w:cs="Times New Roman"/>
      <w:kern w:val="0"/>
      <w:sz w:val="28"/>
      <w:szCs w:val="20"/>
    </w:rPr>
  </w:style>
  <w:style w:type="character" w:customStyle="1" w:styleId="669">
    <w:name w:val="正文文本缩进 3 字符1"/>
    <w:autoRedefine/>
    <w:qFormat/>
    <w:uiPriority w:val="99"/>
    <w:rPr>
      <w:rFonts w:ascii="Times New Roman" w:hAnsi="Times New Roman" w:eastAsia="宋体" w:cs="Times New Roman"/>
      <w:kern w:val="0"/>
      <w:sz w:val="24"/>
      <w:szCs w:val="20"/>
    </w:rPr>
  </w:style>
  <w:style w:type="character" w:customStyle="1" w:styleId="670">
    <w:name w:val="文档结构图 字符1"/>
    <w:autoRedefine/>
    <w:qFormat/>
    <w:uiPriority w:val="99"/>
    <w:rPr>
      <w:rFonts w:ascii="Times New Roman" w:hAnsi="Times New Roman" w:eastAsia="宋体" w:cs="Times New Roman"/>
      <w:kern w:val="0"/>
      <w:sz w:val="20"/>
      <w:szCs w:val="24"/>
      <w:shd w:val="clear" w:color="auto" w:fill="000080"/>
    </w:rPr>
  </w:style>
  <w:style w:type="character" w:customStyle="1" w:styleId="671">
    <w:name w:val="纯文本 字符1"/>
    <w:autoRedefine/>
    <w:qFormat/>
    <w:uiPriority w:val="99"/>
    <w:rPr>
      <w:rFonts w:ascii="宋体" w:hAnsi="Courier New" w:eastAsia="宋体" w:cs="Times New Roman"/>
      <w:kern w:val="0"/>
      <w:sz w:val="20"/>
      <w:szCs w:val="21"/>
    </w:rPr>
  </w:style>
  <w:style w:type="character" w:customStyle="1" w:styleId="672">
    <w:name w:val="2、需求书正文 Char"/>
    <w:link w:val="673"/>
    <w:autoRedefine/>
    <w:qFormat/>
    <w:locked/>
    <w:uiPriority w:val="0"/>
    <w:rPr>
      <w:sz w:val="24"/>
      <w:szCs w:val="21"/>
    </w:rPr>
  </w:style>
  <w:style w:type="paragraph" w:customStyle="1" w:styleId="673">
    <w:name w:val="2、需求书正文"/>
    <w:basedOn w:val="1"/>
    <w:link w:val="672"/>
    <w:autoRedefine/>
    <w:qFormat/>
    <w:uiPriority w:val="0"/>
    <w:pPr>
      <w:widowControl/>
      <w:adjustRightInd w:val="0"/>
      <w:snapToGrid w:val="0"/>
      <w:spacing w:line="288" w:lineRule="auto"/>
      <w:ind w:firstLine="420" w:firstLineChars="200"/>
      <w:jc w:val="left"/>
    </w:pPr>
    <w:rPr>
      <w:kern w:val="0"/>
      <w:sz w:val="24"/>
      <w:szCs w:val="21"/>
    </w:rPr>
  </w:style>
  <w:style w:type="character" w:customStyle="1" w:styleId="674">
    <w:name w:val="1、需求书标题2 Char"/>
    <w:link w:val="675"/>
    <w:autoRedefine/>
    <w:qFormat/>
    <w:locked/>
    <w:uiPriority w:val="0"/>
    <w:rPr>
      <w:b/>
      <w:sz w:val="28"/>
    </w:rPr>
  </w:style>
  <w:style w:type="paragraph" w:customStyle="1" w:styleId="675">
    <w:name w:val="1、需求书标题2"/>
    <w:next w:val="1"/>
    <w:link w:val="674"/>
    <w:autoRedefine/>
    <w:qFormat/>
    <w:uiPriority w:val="0"/>
    <w:pPr>
      <w:adjustRightInd w:val="0"/>
      <w:snapToGrid w:val="0"/>
      <w:spacing w:line="360" w:lineRule="auto"/>
    </w:pPr>
    <w:rPr>
      <w:rFonts w:ascii="Times New Roman" w:hAnsi="Times New Roman" w:eastAsia="宋体" w:cs="Times New Roman"/>
      <w:b/>
      <w:sz w:val="28"/>
      <w:lang w:val="en-US" w:eastAsia="zh-CN" w:bidi="ar-SA"/>
    </w:rPr>
  </w:style>
  <w:style w:type="character" w:customStyle="1" w:styleId="676">
    <w:name w:val="脚注文本 Char3"/>
    <w:autoRedefine/>
    <w:semiHidden/>
    <w:qFormat/>
    <w:uiPriority w:val="99"/>
    <w:rPr>
      <w:kern w:val="2"/>
      <w:sz w:val="18"/>
      <w:szCs w:val="18"/>
    </w:rPr>
  </w:style>
  <w:style w:type="character" w:customStyle="1" w:styleId="677">
    <w:name w:val="页脚 Char3"/>
    <w:autoRedefine/>
    <w:semiHidden/>
    <w:qFormat/>
    <w:uiPriority w:val="99"/>
    <w:rPr>
      <w:rFonts w:hint="default" w:ascii="Times New Roman" w:hAnsi="Times New Roman" w:eastAsia="宋体" w:cs="Times New Roman"/>
      <w:sz w:val="18"/>
      <w:szCs w:val="18"/>
    </w:rPr>
  </w:style>
  <w:style w:type="character" w:customStyle="1" w:styleId="678">
    <w:name w:val="纯文本 Char8"/>
    <w:autoRedefine/>
    <w:semiHidden/>
    <w:qFormat/>
    <w:uiPriority w:val="99"/>
    <w:rPr>
      <w:rFonts w:hint="eastAsia" w:ascii="宋体" w:hAnsi="Courier New" w:eastAsia="宋体" w:cs="Courier New"/>
      <w:szCs w:val="21"/>
    </w:rPr>
  </w:style>
  <w:style w:type="character" w:customStyle="1" w:styleId="679">
    <w:name w:val="纯文本 Char7"/>
    <w:autoRedefine/>
    <w:semiHidden/>
    <w:qFormat/>
    <w:uiPriority w:val="99"/>
    <w:rPr>
      <w:rFonts w:hint="eastAsia" w:ascii="宋体" w:hAnsi="Courier New" w:eastAsia="宋体" w:cs="Courier New"/>
      <w:kern w:val="2"/>
      <w:sz w:val="21"/>
      <w:szCs w:val="21"/>
    </w:rPr>
  </w:style>
  <w:style w:type="character" w:customStyle="1" w:styleId="680">
    <w:name w:val="文档结构图 Char6"/>
    <w:autoRedefine/>
    <w:semiHidden/>
    <w:qFormat/>
    <w:uiPriority w:val="99"/>
    <w:rPr>
      <w:rFonts w:hint="eastAsia" w:ascii="宋体" w:hAnsi="宋体" w:eastAsia="宋体"/>
      <w:kern w:val="2"/>
      <w:sz w:val="18"/>
      <w:szCs w:val="18"/>
    </w:rPr>
  </w:style>
  <w:style w:type="character" w:customStyle="1" w:styleId="681">
    <w:name w:val="文档结构图 Char5"/>
    <w:autoRedefine/>
    <w:semiHidden/>
    <w:qFormat/>
    <w:uiPriority w:val="99"/>
    <w:rPr>
      <w:rFonts w:hint="eastAsia" w:ascii="宋体" w:hAnsi="宋体" w:eastAsia="宋体"/>
      <w:kern w:val="2"/>
      <w:sz w:val="18"/>
      <w:szCs w:val="18"/>
    </w:rPr>
  </w:style>
  <w:style w:type="character" w:customStyle="1" w:styleId="682">
    <w:name w:val="批注主题 Char4"/>
    <w:autoRedefine/>
    <w:semiHidden/>
    <w:qFormat/>
    <w:uiPriority w:val="99"/>
    <w:rPr>
      <w:b/>
      <w:bCs/>
      <w:kern w:val="2"/>
      <w:sz w:val="21"/>
      <w:szCs w:val="22"/>
    </w:rPr>
  </w:style>
  <w:style w:type="character" w:customStyle="1" w:styleId="683">
    <w:name w:val="正文文本缩进 Char5"/>
    <w:autoRedefine/>
    <w:semiHidden/>
    <w:qFormat/>
    <w:uiPriority w:val="99"/>
    <w:rPr>
      <w:kern w:val="2"/>
      <w:sz w:val="21"/>
      <w:szCs w:val="22"/>
    </w:rPr>
  </w:style>
  <w:style w:type="character" w:customStyle="1" w:styleId="684">
    <w:name w:val="文档结构图 Char7"/>
    <w:autoRedefine/>
    <w:semiHidden/>
    <w:qFormat/>
    <w:uiPriority w:val="99"/>
    <w:rPr>
      <w:rFonts w:hint="eastAsia" w:ascii="宋体" w:hAnsi="宋体" w:eastAsia="宋体"/>
      <w:sz w:val="18"/>
      <w:szCs w:val="18"/>
    </w:rPr>
  </w:style>
  <w:style w:type="character" w:customStyle="1" w:styleId="685">
    <w:name w:val="正文文本 3 Char7"/>
    <w:autoRedefine/>
    <w:semiHidden/>
    <w:qFormat/>
    <w:uiPriority w:val="99"/>
    <w:rPr>
      <w:sz w:val="16"/>
      <w:szCs w:val="16"/>
    </w:rPr>
  </w:style>
  <w:style w:type="character" w:customStyle="1" w:styleId="686">
    <w:name w:val="正文文本 Char6"/>
    <w:autoRedefine/>
    <w:semiHidden/>
    <w:qFormat/>
    <w:uiPriority w:val="99"/>
    <w:rPr>
      <w:kern w:val="2"/>
      <w:sz w:val="21"/>
      <w:szCs w:val="22"/>
    </w:rPr>
  </w:style>
  <w:style w:type="character" w:customStyle="1" w:styleId="687">
    <w:name w:val="正文文本缩进 Char7"/>
    <w:autoRedefine/>
    <w:semiHidden/>
    <w:qFormat/>
    <w:uiPriority w:val="99"/>
  </w:style>
  <w:style w:type="character" w:customStyle="1" w:styleId="688">
    <w:name w:val="HTML 预设格式 Char5"/>
    <w:autoRedefine/>
    <w:semiHidden/>
    <w:qFormat/>
    <w:uiPriority w:val="99"/>
    <w:rPr>
      <w:rFonts w:hint="default" w:ascii="Courier New" w:hAnsi="Courier New" w:cs="Courier New"/>
      <w:kern w:val="2"/>
    </w:rPr>
  </w:style>
  <w:style w:type="character" w:customStyle="1" w:styleId="689">
    <w:name w:val="日期 Char5"/>
    <w:autoRedefine/>
    <w:semiHidden/>
    <w:qFormat/>
    <w:uiPriority w:val="99"/>
    <w:rPr>
      <w:kern w:val="2"/>
      <w:sz w:val="21"/>
      <w:szCs w:val="22"/>
    </w:rPr>
  </w:style>
  <w:style w:type="character" w:customStyle="1" w:styleId="690">
    <w:name w:val="脚注文本 Char4"/>
    <w:autoRedefine/>
    <w:semiHidden/>
    <w:qFormat/>
    <w:uiPriority w:val="99"/>
    <w:rPr>
      <w:kern w:val="2"/>
      <w:sz w:val="18"/>
      <w:szCs w:val="18"/>
    </w:rPr>
  </w:style>
  <w:style w:type="character" w:customStyle="1" w:styleId="691">
    <w:name w:val="尾注文本 Char4"/>
    <w:autoRedefine/>
    <w:semiHidden/>
    <w:qFormat/>
    <w:uiPriority w:val="99"/>
    <w:rPr>
      <w:kern w:val="2"/>
      <w:sz w:val="21"/>
      <w:szCs w:val="22"/>
    </w:rPr>
  </w:style>
  <w:style w:type="character" w:customStyle="1" w:styleId="692">
    <w:name w:val="正文文本 3 Char6"/>
    <w:autoRedefine/>
    <w:semiHidden/>
    <w:qFormat/>
    <w:uiPriority w:val="99"/>
    <w:rPr>
      <w:kern w:val="2"/>
      <w:sz w:val="16"/>
      <w:szCs w:val="16"/>
    </w:rPr>
  </w:style>
  <w:style w:type="character" w:customStyle="1" w:styleId="693">
    <w:name w:val="页眉 Char4"/>
    <w:autoRedefine/>
    <w:semiHidden/>
    <w:qFormat/>
    <w:uiPriority w:val="99"/>
    <w:rPr>
      <w:kern w:val="2"/>
      <w:sz w:val="18"/>
      <w:szCs w:val="18"/>
    </w:rPr>
  </w:style>
  <w:style w:type="character" w:customStyle="1" w:styleId="694">
    <w:name w:val="批注文字 Char4"/>
    <w:autoRedefine/>
    <w:qFormat/>
    <w:uiPriority w:val="99"/>
    <w:rPr>
      <w:kern w:val="2"/>
      <w:sz w:val="21"/>
      <w:szCs w:val="22"/>
    </w:rPr>
  </w:style>
  <w:style w:type="character" w:customStyle="1" w:styleId="695">
    <w:name w:val="页脚 Char5"/>
    <w:autoRedefine/>
    <w:semiHidden/>
    <w:qFormat/>
    <w:uiPriority w:val="99"/>
    <w:rPr>
      <w:kern w:val="2"/>
      <w:sz w:val="18"/>
      <w:szCs w:val="18"/>
    </w:rPr>
  </w:style>
  <w:style w:type="character" w:customStyle="1" w:styleId="696">
    <w:name w:val="正文文本缩进 3 Char5"/>
    <w:autoRedefine/>
    <w:semiHidden/>
    <w:qFormat/>
    <w:uiPriority w:val="99"/>
    <w:rPr>
      <w:kern w:val="2"/>
      <w:sz w:val="16"/>
      <w:szCs w:val="16"/>
    </w:rPr>
  </w:style>
  <w:style w:type="character" w:customStyle="1" w:styleId="697">
    <w:name w:val="页眉 Char3"/>
    <w:autoRedefine/>
    <w:semiHidden/>
    <w:qFormat/>
    <w:uiPriority w:val="99"/>
    <w:rPr>
      <w:rFonts w:hint="default" w:ascii="Times New Roman" w:hAnsi="Times New Roman" w:eastAsia="宋体" w:cs="Times New Roman"/>
      <w:sz w:val="18"/>
      <w:szCs w:val="18"/>
    </w:rPr>
  </w:style>
  <w:style w:type="character" w:customStyle="1" w:styleId="698">
    <w:name w:val="正文文本 2 Char6"/>
    <w:autoRedefine/>
    <w:semiHidden/>
    <w:qFormat/>
    <w:uiPriority w:val="99"/>
    <w:rPr>
      <w:kern w:val="2"/>
      <w:sz w:val="21"/>
      <w:szCs w:val="22"/>
    </w:rPr>
  </w:style>
  <w:style w:type="character" w:customStyle="1" w:styleId="699">
    <w:name w:val="脚注文本 Char5"/>
    <w:autoRedefine/>
    <w:semiHidden/>
    <w:qFormat/>
    <w:uiPriority w:val="99"/>
    <w:rPr>
      <w:sz w:val="18"/>
      <w:szCs w:val="18"/>
    </w:rPr>
  </w:style>
  <w:style w:type="character" w:customStyle="1" w:styleId="700">
    <w:name w:val="标题 Char3"/>
    <w:autoRedefine/>
    <w:qFormat/>
    <w:uiPriority w:val="10"/>
    <w:rPr>
      <w:rFonts w:hint="default" w:ascii="Cambria" w:hAnsi="Cambria" w:cs="Times New Roman"/>
      <w:b/>
      <w:bCs/>
      <w:kern w:val="2"/>
      <w:sz w:val="32"/>
      <w:szCs w:val="32"/>
    </w:rPr>
  </w:style>
  <w:style w:type="character" w:customStyle="1" w:styleId="701">
    <w:name w:val="日期 Char7"/>
    <w:autoRedefine/>
    <w:semiHidden/>
    <w:qFormat/>
    <w:uiPriority w:val="99"/>
  </w:style>
  <w:style w:type="character" w:customStyle="1" w:styleId="702">
    <w:name w:val="尾注文本 Char3"/>
    <w:autoRedefine/>
    <w:semiHidden/>
    <w:qFormat/>
    <w:uiPriority w:val="99"/>
    <w:rPr>
      <w:kern w:val="2"/>
      <w:sz w:val="21"/>
      <w:szCs w:val="22"/>
    </w:rPr>
  </w:style>
  <w:style w:type="character" w:customStyle="1" w:styleId="703">
    <w:name w:val="批注主题 Char3"/>
    <w:autoRedefine/>
    <w:semiHidden/>
    <w:qFormat/>
    <w:uiPriority w:val="99"/>
    <w:rPr>
      <w:b/>
      <w:bCs/>
      <w:kern w:val="2"/>
      <w:sz w:val="21"/>
      <w:szCs w:val="22"/>
    </w:rPr>
  </w:style>
  <w:style w:type="character" w:customStyle="1" w:styleId="704">
    <w:name w:val="正文文本 2 Char7"/>
    <w:autoRedefine/>
    <w:semiHidden/>
    <w:qFormat/>
    <w:uiPriority w:val="99"/>
  </w:style>
  <w:style w:type="character" w:customStyle="1" w:styleId="705">
    <w:name w:val="批注框文本 Char5"/>
    <w:autoRedefine/>
    <w:semiHidden/>
    <w:qFormat/>
    <w:uiPriority w:val="99"/>
    <w:rPr>
      <w:kern w:val="2"/>
      <w:sz w:val="18"/>
      <w:szCs w:val="18"/>
    </w:rPr>
  </w:style>
  <w:style w:type="character" w:customStyle="1" w:styleId="706">
    <w:name w:val="标题 Char4"/>
    <w:autoRedefine/>
    <w:qFormat/>
    <w:uiPriority w:val="10"/>
    <w:rPr>
      <w:rFonts w:hint="default" w:ascii="Cambria" w:hAnsi="Cambria" w:eastAsia="宋体" w:cs="Times New Roman"/>
      <w:b/>
      <w:bCs/>
      <w:sz w:val="32"/>
      <w:szCs w:val="32"/>
    </w:rPr>
  </w:style>
  <w:style w:type="character" w:customStyle="1" w:styleId="707">
    <w:name w:val="正文文本 Char7"/>
    <w:autoRedefine/>
    <w:qFormat/>
    <w:uiPriority w:val="0"/>
    <w:rPr>
      <w:rFonts w:hint="default" w:ascii="Calibri" w:hAnsi="Calibri" w:eastAsia="宋体" w:cs="Times New Roman"/>
    </w:rPr>
  </w:style>
  <w:style w:type="character" w:customStyle="1" w:styleId="708">
    <w:name w:val="正文文本缩进 3 Char6"/>
    <w:autoRedefine/>
    <w:semiHidden/>
    <w:qFormat/>
    <w:uiPriority w:val="99"/>
    <w:rPr>
      <w:kern w:val="2"/>
      <w:sz w:val="16"/>
      <w:szCs w:val="16"/>
    </w:rPr>
  </w:style>
  <w:style w:type="character" w:customStyle="1" w:styleId="709">
    <w:name w:val="正文首行缩进 Char2"/>
    <w:autoRedefine/>
    <w:semiHidden/>
    <w:qFormat/>
    <w:uiPriority w:val="99"/>
  </w:style>
  <w:style w:type="character" w:customStyle="1" w:styleId="710">
    <w:name w:val="正文文本 2 Char5"/>
    <w:autoRedefine/>
    <w:semiHidden/>
    <w:qFormat/>
    <w:uiPriority w:val="99"/>
    <w:rPr>
      <w:kern w:val="2"/>
      <w:sz w:val="21"/>
      <w:szCs w:val="22"/>
    </w:rPr>
  </w:style>
  <w:style w:type="character" w:customStyle="1" w:styleId="711">
    <w:name w:val="批注主题 Char5"/>
    <w:autoRedefine/>
    <w:semiHidden/>
    <w:qFormat/>
    <w:uiPriority w:val="99"/>
    <w:rPr>
      <w:rFonts w:hint="default" w:ascii="Calibri" w:hAnsi="Calibri" w:eastAsia="宋体" w:cs="Times New Roman"/>
      <w:b/>
      <w:bCs/>
    </w:rPr>
  </w:style>
  <w:style w:type="character" w:customStyle="1" w:styleId="712">
    <w:name w:val="正文首行缩进 Char3"/>
    <w:autoRedefine/>
    <w:semiHidden/>
    <w:qFormat/>
    <w:uiPriority w:val="99"/>
  </w:style>
  <w:style w:type="character" w:customStyle="1" w:styleId="713">
    <w:name w:val="批注框文本 Char6"/>
    <w:autoRedefine/>
    <w:semiHidden/>
    <w:qFormat/>
    <w:uiPriority w:val="99"/>
    <w:rPr>
      <w:kern w:val="2"/>
      <w:sz w:val="18"/>
      <w:szCs w:val="18"/>
    </w:rPr>
  </w:style>
  <w:style w:type="character" w:customStyle="1" w:styleId="714">
    <w:name w:val="正文文本缩进 2 Char5"/>
    <w:autoRedefine/>
    <w:semiHidden/>
    <w:qFormat/>
    <w:uiPriority w:val="99"/>
    <w:rPr>
      <w:kern w:val="2"/>
      <w:sz w:val="21"/>
      <w:szCs w:val="22"/>
    </w:rPr>
  </w:style>
  <w:style w:type="character" w:customStyle="1" w:styleId="715">
    <w:name w:val="脚注文本 Char6"/>
    <w:autoRedefine/>
    <w:semiHidden/>
    <w:qFormat/>
    <w:uiPriority w:val="99"/>
    <w:rPr>
      <w:kern w:val="2"/>
      <w:sz w:val="18"/>
      <w:szCs w:val="18"/>
    </w:rPr>
  </w:style>
  <w:style w:type="character" w:customStyle="1" w:styleId="716">
    <w:name w:val="尾注文本 Char6"/>
    <w:autoRedefine/>
    <w:semiHidden/>
    <w:qFormat/>
    <w:uiPriority w:val="99"/>
    <w:rPr>
      <w:kern w:val="2"/>
      <w:sz w:val="21"/>
      <w:szCs w:val="22"/>
    </w:rPr>
  </w:style>
  <w:style w:type="character" w:customStyle="1" w:styleId="717">
    <w:name w:val="HTML 预设格式 Char8"/>
    <w:autoRedefine/>
    <w:semiHidden/>
    <w:qFormat/>
    <w:uiPriority w:val="99"/>
    <w:rPr>
      <w:rFonts w:hint="default" w:ascii="Courier New" w:hAnsi="Courier New" w:cs="Courier New"/>
      <w:kern w:val="2"/>
    </w:rPr>
  </w:style>
  <w:style w:type="character" w:customStyle="1" w:styleId="718">
    <w:name w:val="注释标题 字符1"/>
    <w:autoRedefine/>
    <w:qFormat/>
    <w:uiPriority w:val="0"/>
    <w:rPr>
      <w:rFonts w:ascii="Times New Roman" w:hAnsi="Times New Roman" w:eastAsia="宋体" w:cs="Times New Roman"/>
      <w:kern w:val="0"/>
      <w:sz w:val="20"/>
      <w:szCs w:val="20"/>
    </w:rPr>
  </w:style>
  <w:style w:type="character" w:customStyle="1" w:styleId="719">
    <w:name w:val="题注 字符"/>
    <w:autoRedefine/>
    <w:qFormat/>
    <w:uiPriority w:val="99"/>
    <w:rPr>
      <w:rFonts w:ascii="Cambria" w:hAnsi="Cambria" w:eastAsia="黑体" w:cs="Times New Roman"/>
      <w:kern w:val="0"/>
      <w:sz w:val="20"/>
      <w:szCs w:val="20"/>
    </w:rPr>
  </w:style>
  <w:style w:type="character" w:customStyle="1" w:styleId="720">
    <w:name w:val="p141_0"/>
    <w:autoRedefine/>
    <w:qFormat/>
    <w:uiPriority w:val="0"/>
    <w:rPr>
      <w:rFonts w:ascii="Calibri" w:hAnsi="Calibri"/>
      <w:sz w:val="21"/>
      <w:szCs w:val="21"/>
    </w:rPr>
  </w:style>
  <w:style w:type="character" w:customStyle="1" w:styleId="721">
    <w:name w:val="正文文本首行缩进 字符1"/>
    <w:autoRedefine/>
    <w:semiHidden/>
    <w:qFormat/>
    <w:uiPriority w:val="99"/>
    <w:rPr>
      <w:rFonts w:ascii="Calibri" w:hAnsi="Calibri" w:eastAsia="宋体" w:cs="Times New Roman"/>
      <w:kern w:val="0"/>
      <w:sz w:val="20"/>
      <w:szCs w:val="20"/>
    </w:rPr>
  </w:style>
  <w:style w:type="character" w:customStyle="1" w:styleId="722">
    <w:name w:val="正文文本首行缩进 2 字符1"/>
    <w:autoRedefine/>
    <w:semiHidden/>
    <w:qFormat/>
    <w:uiPriority w:val="99"/>
    <w:rPr>
      <w:rFonts w:ascii="Calibri" w:hAnsi="Calibri" w:eastAsia="宋体" w:cs="Times New Roman"/>
      <w:kern w:val="0"/>
      <w:sz w:val="20"/>
      <w:szCs w:val="20"/>
    </w:rPr>
  </w:style>
  <w:style w:type="character" w:customStyle="1" w:styleId="723">
    <w:name w:val="内容 Char"/>
    <w:link w:val="724"/>
    <w:autoRedefine/>
    <w:semiHidden/>
    <w:qFormat/>
    <w:uiPriority w:val="0"/>
    <w:rPr>
      <w:rFonts w:ascii="宋体" w:hAnsi="宋体"/>
      <w:bCs/>
      <w:sz w:val="28"/>
      <w:szCs w:val="28"/>
    </w:rPr>
  </w:style>
  <w:style w:type="paragraph" w:customStyle="1" w:styleId="724">
    <w:name w:val="内容"/>
    <w:basedOn w:val="1"/>
    <w:link w:val="723"/>
    <w:autoRedefine/>
    <w:semiHidden/>
    <w:qFormat/>
    <w:uiPriority w:val="0"/>
    <w:pPr>
      <w:ind w:firstLine="200" w:firstLineChars="200"/>
    </w:pPr>
    <w:rPr>
      <w:rFonts w:ascii="宋体" w:hAnsi="宋体"/>
      <w:bCs/>
      <w:kern w:val="0"/>
      <w:sz w:val="28"/>
      <w:szCs w:val="28"/>
    </w:rPr>
  </w:style>
  <w:style w:type="character" w:customStyle="1" w:styleId="725">
    <w:name w:val="彩色列表 - 强调文字颜色 1 Char Char"/>
    <w:link w:val="726"/>
    <w:autoRedefine/>
    <w:qFormat/>
    <w:uiPriority w:val="0"/>
  </w:style>
  <w:style w:type="paragraph" w:customStyle="1" w:styleId="726">
    <w:name w:val="彩色列表 - 强调文字颜色 11"/>
    <w:basedOn w:val="1"/>
    <w:link w:val="725"/>
    <w:autoRedefine/>
    <w:qFormat/>
    <w:uiPriority w:val="0"/>
    <w:pPr>
      <w:ind w:firstLine="420" w:firstLineChars="200"/>
    </w:pPr>
    <w:rPr>
      <w:kern w:val="0"/>
      <w:sz w:val="20"/>
    </w:rPr>
  </w:style>
  <w:style w:type="character" w:customStyle="1" w:styleId="727">
    <w:name w:val="正文首行缩进 2 Char2"/>
    <w:autoRedefine/>
    <w:qFormat/>
    <w:uiPriority w:val="99"/>
    <w:rPr>
      <w:kern w:val="2"/>
      <w:sz w:val="21"/>
    </w:rPr>
  </w:style>
  <w:style w:type="character" w:customStyle="1" w:styleId="728">
    <w:name w:val="Char Char91"/>
    <w:autoRedefine/>
    <w:qFormat/>
    <w:uiPriority w:val="0"/>
    <w:rPr>
      <w:rFonts w:ascii="宋体" w:hAnsi="宋体" w:eastAsia="宋体"/>
      <w:kern w:val="2"/>
      <w:sz w:val="21"/>
      <w:lang w:val="en-US" w:eastAsia="zh-CN" w:bidi="ar-SA"/>
    </w:rPr>
  </w:style>
  <w:style w:type="character" w:customStyle="1" w:styleId="729">
    <w:name w:val="条文正文 Char"/>
    <w:link w:val="730"/>
    <w:autoRedefine/>
    <w:qFormat/>
    <w:uiPriority w:val="0"/>
    <w:rPr>
      <w:rFonts w:ascii="宋体" w:hAnsi="宋体"/>
      <w:color w:val="000000"/>
      <w:sz w:val="26"/>
      <w:szCs w:val="26"/>
    </w:rPr>
  </w:style>
  <w:style w:type="paragraph" w:customStyle="1" w:styleId="730">
    <w:name w:val="条文正文"/>
    <w:basedOn w:val="1"/>
    <w:link w:val="729"/>
    <w:autoRedefine/>
    <w:qFormat/>
    <w:uiPriority w:val="0"/>
    <w:pPr>
      <w:ind w:firstLine="420"/>
    </w:pPr>
    <w:rPr>
      <w:rFonts w:ascii="宋体" w:hAnsi="宋体"/>
      <w:color w:val="000000"/>
      <w:kern w:val="0"/>
      <w:sz w:val="26"/>
      <w:szCs w:val="26"/>
    </w:rPr>
  </w:style>
  <w:style w:type="character" w:customStyle="1" w:styleId="731">
    <w:name w:val="dash6b63_6587__char1"/>
    <w:autoRedefine/>
    <w:qFormat/>
    <w:uiPriority w:val="0"/>
    <w:rPr>
      <w:rFonts w:hint="default" w:ascii="Calibri" w:hAnsi="Calibri" w:cs="Calibri"/>
      <w:sz w:val="20"/>
      <w:szCs w:val="20"/>
      <w:u w:val="none"/>
    </w:rPr>
  </w:style>
  <w:style w:type="character" w:customStyle="1" w:styleId="732">
    <w:name w:val="dash666e_901a_8868_683c__char1"/>
    <w:autoRedefine/>
    <w:qFormat/>
    <w:uiPriority w:val="0"/>
    <w:rPr>
      <w:u w:val="none"/>
    </w:rPr>
  </w:style>
  <w:style w:type="character" w:customStyle="1" w:styleId="733">
    <w:name w:val="r3"/>
    <w:autoRedefine/>
    <w:qFormat/>
    <w:uiPriority w:val="0"/>
    <w:rPr>
      <w:rFonts w:eastAsia="宋体"/>
      <w:kern w:val="2"/>
      <w:sz w:val="24"/>
      <w:szCs w:val="24"/>
      <w:lang w:val="en-US" w:eastAsia="zh-CN" w:bidi="ar-SA"/>
    </w:rPr>
  </w:style>
  <w:style w:type="character" w:customStyle="1" w:styleId="734">
    <w:name w:val="颜怡翥"/>
    <w:autoRedefine/>
    <w:semiHidden/>
    <w:qFormat/>
    <w:uiPriority w:val="0"/>
    <w:rPr>
      <w:rFonts w:ascii="Arial" w:hAnsi="Arial" w:eastAsia="宋体" w:cs="Arial"/>
      <w:color w:val="auto"/>
      <w:kern w:val="2"/>
      <w:sz w:val="18"/>
      <w:szCs w:val="20"/>
      <w:lang w:val="en-US" w:eastAsia="zh-CN" w:bidi="ar-SA"/>
    </w:rPr>
  </w:style>
  <w:style w:type="character" w:customStyle="1" w:styleId="735">
    <w:name w:val="样式1 Char"/>
    <w:autoRedefine/>
    <w:qFormat/>
    <w:uiPriority w:val="0"/>
    <w:rPr>
      <w:b/>
      <w:bCs/>
      <w:kern w:val="44"/>
      <w:sz w:val="24"/>
      <w:szCs w:val="28"/>
      <w:lang w:eastAsia="en-US" w:bidi="en-US"/>
    </w:rPr>
  </w:style>
  <w:style w:type="character" w:customStyle="1" w:styleId="736">
    <w:name w:val="标题 1.1 Char Char"/>
    <w:autoRedefine/>
    <w:qFormat/>
    <w:uiPriority w:val="0"/>
    <w:rPr>
      <w:rFonts w:ascii="Arial" w:hAnsi="Arial" w:eastAsia="黑体" w:cs="Arial"/>
      <w:sz w:val="32"/>
      <w:szCs w:val="32"/>
    </w:rPr>
  </w:style>
  <w:style w:type="character" w:customStyle="1" w:styleId="737">
    <w:name w:val="黄尤炜"/>
    <w:autoRedefine/>
    <w:semiHidden/>
    <w:qFormat/>
    <w:uiPriority w:val="0"/>
    <w:rPr>
      <w:rFonts w:ascii="Arial" w:hAnsi="Arial" w:eastAsia="宋体" w:cs="Arial"/>
      <w:color w:val="000080"/>
      <w:kern w:val="2"/>
      <w:sz w:val="18"/>
      <w:szCs w:val="20"/>
      <w:lang w:val="en-US" w:eastAsia="zh-CN" w:bidi="ar-SA"/>
    </w:rPr>
  </w:style>
  <w:style w:type="character" w:customStyle="1" w:styleId="738">
    <w:name w:val="正文首行缩进 Char5"/>
    <w:autoRedefine/>
    <w:semiHidden/>
    <w:qFormat/>
    <w:uiPriority w:val="99"/>
    <w:rPr>
      <w:rFonts w:ascii="Times New Roman" w:hAnsi="Times New Roman" w:eastAsia="宋体" w:cs="Times New Roman"/>
      <w:szCs w:val="20"/>
    </w:rPr>
  </w:style>
  <w:style w:type="character" w:customStyle="1" w:styleId="739">
    <w:name w:val="访问过的超链接1"/>
    <w:autoRedefine/>
    <w:unhideWhenUsed/>
    <w:qFormat/>
    <w:uiPriority w:val="99"/>
    <w:rPr>
      <w:color w:val="800080"/>
      <w:u w:val="single"/>
    </w:rPr>
  </w:style>
  <w:style w:type="paragraph" w:customStyle="1" w:styleId="740">
    <w:name w:val="样式 目录 1"/>
    <w:basedOn w:val="42"/>
    <w:autoRedefine/>
    <w:qFormat/>
    <w:uiPriority w:val="0"/>
    <w:pPr>
      <w:tabs>
        <w:tab w:val="left" w:pos="525"/>
        <w:tab w:val="left" w:pos="1680"/>
        <w:tab w:val="right" w:pos="9060"/>
      </w:tabs>
      <w:spacing w:before="0" w:after="0"/>
      <w:ind w:left="525" w:hanging="425"/>
      <w:jc w:val="both"/>
    </w:pPr>
    <w:rPr>
      <w:rFonts w:cs="宋体"/>
      <w:bCs w:val="0"/>
      <w:caps w:val="0"/>
    </w:rPr>
  </w:style>
  <w:style w:type="paragraph" w:customStyle="1" w:styleId="741">
    <w:name w:val="xl277"/>
    <w:basedOn w:val="1"/>
    <w:autoRedefine/>
    <w:qFormat/>
    <w:uiPriority w:val="0"/>
    <w:pPr>
      <w:widowControl/>
      <w:pBdr>
        <w:left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742">
    <w:name w:val="Para"/>
    <w:basedOn w:val="1"/>
    <w:autoRedefine/>
    <w:qFormat/>
    <w:uiPriority w:val="0"/>
    <w:pPr>
      <w:widowControl/>
      <w:tabs>
        <w:tab w:val="left" w:pos="1138"/>
        <w:tab w:val="left" w:pos="1699"/>
        <w:tab w:val="left" w:pos="2261"/>
        <w:tab w:val="left" w:pos="2822"/>
        <w:tab w:val="left" w:pos="3384"/>
        <w:tab w:val="left" w:pos="3946"/>
        <w:tab w:val="left" w:pos="4507"/>
        <w:tab w:val="left" w:pos="5069"/>
        <w:tab w:val="left" w:pos="5630"/>
        <w:tab w:val="left" w:pos="6192"/>
        <w:tab w:val="left" w:pos="6754"/>
        <w:tab w:val="left" w:pos="7315"/>
        <w:tab w:val="left" w:pos="7877"/>
        <w:tab w:val="left" w:pos="8438"/>
        <w:tab w:val="left" w:pos="9000"/>
        <w:tab w:val="left" w:pos="9562"/>
        <w:tab w:val="left" w:pos="10123"/>
      </w:tabs>
      <w:spacing w:after="240"/>
      <w:ind w:left="1134"/>
      <w:jc w:val="left"/>
    </w:pPr>
    <w:rPr>
      <w:rFonts w:eastAsia="PMingLiU"/>
      <w:kern w:val="0"/>
      <w:sz w:val="22"/>
      <w:lang w:val="en-AU" w:eastAsia="en-US" w:bidi="en-US"/>
    </w:rPr>
  </w:style>
  <w:style w:type="paragraph" w:customStyle="1" w:styleId="743">
    <w:name w:val="&gt;1:nota:nota"/>
    <w:basedOn w:val="744"/>
    <w:next w:val="1"/>
    <w:autoRedefine/>
    <w:qFormat/>
    <w:uiPriority w:val="0"/>
    <w:pPr>
      <w:tabs>
        <w:tab w:val="left" w:pos="351"/>
        <w:tab w:val="left" w:pos="709"/>
        <w:tab w:val="left" w:pos="1061"/>
        <w:tab w:val="left" w:pos="1418"/>
      </w:tabs>
      <w:ind w:left="567" w:hanging="567"/>
    </w:pPr>
  </w:style>
  <w:style w:type="paragraph" w:customStyle="1" w:styleId="744">
    <w:name w:val="&gt;1:nota:nota 1)"/>
    <w:basedOn w:val="1"/>
    <w:next w:val="1"/>
    <w:autoRedefine/>
    <w:qFormat/>
    <w:uiPriority w:val="0"/>
    <w:pPr>
      <w:widowControl/>
      <w:tabs>
        <w:tab w:val="left" w:pos="351"/>
        <w:tab w:val="left" w:pos="709"/>
        <w:tab w:val="left" w:pos="1061"/>
        <w:tab w:val="left" w:pos="1418"/>
      </w:tabs>
      <w:spacing w:before="50" w:after="50" w:line="280" w:lineRule="exact"/>
      <w:ind w:left="568" w:hanging="284"/>
      <w:jc w:val="left"/>
    </w:pPr>
    <w:rPr>
      <w:rFonts w:ascii="Arial" w:hAnsi="Arial"/>
      <w:i/>
      <w:kern w:val="0"/>
      <w:sz w:val="20"/>
      <w:lang w:eastAsia="fr-FR" w:bidi="en-US"/>
    </w:rPr>
  </w:style>
  <w:style w:type="paragraph" w:customStyle="1" w:styleId="745">
    <w:name w:val="font18"/>
    <w:basedOn w:val="1"/>
    <w:autoRedefine/>
    <w:qFormat/>
    <w:uiPriority w:val="0"/>
    <w:pPr>
      <w:widowControl/>
      <w:spacing w:before="100" w:beforeAutospacing="1" w:after="100" w:afterAutospacing="1"/>
      <w:jc w:val="left"/>
    </w:pPr>
    <w:rPr>
      <w:rFonts w:ascii="楷体_GB2312" w:hAnsi="宋体" w:eastAsia="楷体_GB2312" w:cs="宋体"/>
      <w:kern w:val="0"/>
      <w:sz w:val="14"/>
      <w:szCs w:val="14"/>
    </w:rPr>
  </w:style>
  <w:style w:type="paragraph" w:customStyle="1" w:styleId="746">
    <w:name w:val="列表框 Char Char Char Char Char"/>
    <w:basedOn w:val="747"/>
    <w:next w:val="747"/>
    <w:autoRedefine/>
    <w:qFormat/>
    <w:uiPriority w:val="0"/>
    <w:pPr>
      <w:tabs>
        <w:tab w:val="left" w:pos="874"/>
      </w:tabs>
      <w:adjustRightInd w:val="0"/>
      <w:snapToGrid w:val="0"/>
      <w:ind w:left="874" w:leftChars="0" w:right="-5" w:rightChars="-5" w:hanging="420" w:firstLineChars="0"/>
    </w:pPr>
    <w:rPr>
      <w:rFonts w:ascii="Times New Roman" w:hAnsi="Times New Roman"/>
      <w:szCs w:val="21"/>
    </w:rPr>
  </w:style>
  <w:style w:type="paragraph" w:customStyle="1" w:styleId="747">
    <w:name w:val="正常文本 Char Char Char Char Char Char Char Char Char Char Char Char Char Char"/>
    <w:basedOn w:val="1"/>
    <w:autoRedefine/>
    <w:qFormat/>
    <w:uiPriority w:val="0"/>
    <w:pPr>
      <w:spacing w:afterLines="50" w:line="320" w:lineRule="exact"/>
      <w:ind w:left="600" w:leftChars="600" w:firstLine="208" w:firstLineChars="208"/>
    </w:pPr>
    <w:rPr>
      <w:rFonts w:ascii="宋体" w:hAnsi="宋体" w:eastAsia="楷体_GB2312"/>
      <w:szCs w:val="18"/>
    </w:rPr>
  </w:style>
  <w:style w:type="paragraph" w:customStyle="1" w:styleId="748">
    <w:name w:val="点项"/>
    <w:basedOn w:val="1"/>
    <w:autoRedefine/>
    <w:qFormat/>
    <w:uiPriority w:val="0"/>
    <w:pPr>
      <w:widowControl/>
      <w:spacing w:line="360" w:lineRule="auto"/>
      <w:jc w:val="left"/>
    </w:pPr>
    <w:rPr>
      <w:bCs/>
      <w:iCs/>
      <w:kern w:val="0"/>
      <w:sz w:val="24"/>
      <w:szCs w:val="21"/>
      <w:lang w:eastAsia="en-US" w:bidi="en-US"/>
    </w:rPr>
  </w:style>
  <w:style w:type="paragraph" w:customStyle="1" w:styleId="749">
    <w:name w:val="样式 8 磅 加粗 两端对齐 左侧:  0 厘米 段前: 0 磅 段后: 0 磅"/>
    <w:basedOn w:val="1"/>
    <w:autoRedefine/>
    <w:qFormat/>
    <w:uiPriority w:val="0"/>
    <w:pPr>
      <w:widowControl/>
      <w:jc w:val="left"/>
    </w:pPr>
    <w:rPr>
      <w:rFonts w:ascii="Arial" w:hAnsi="Arial" w:cs="宋体"/>
      <w:bCs/>
      <w:kern w:val="0"/>
      <w:sz w:val="24"/>
      <w:lang w:val="en-GB" w:eastAsia="en-US" w:bidi="en-US"/>
    </w:rPr>
  </w:style>
  <w:style w:type="paragraph" w:customStyle="1" w:styleId="750">
    <w:name w:val="&gt;1:enum1 -:suite"/>
    <w:basedOn w:val="1"/>
    <w:autoRedefine/>
    <w:qFormat/>
    <w:uiPriority w:val="0"/>
    <w:pPr>
      <w:widowControl/>
      <w:tabs>
        <w:tab w:val="left" w:pos="351"/>
        <w:tab w:val="left" w:pos="709"/>
        <w:tab w:val="left" w:pos="1061"/>
        <w:tab w:val="left" w:pos="1418"/>
      </w:tabs>
      <w:spacing w:after="50" w:line="280" w:lineRule="exact"/>
      <w:ind w:left="284"/>
      <w:jc w:val="left"/>
    </w:pPr>
    <w:rPr>
      <w:rFonts w:ascii="Arial" w:hAnsi="Arial"/>
      <w:kern w:val="0"/>
      <w:sz w:val="20"/>
      <w:lang w:eastAsia="fr-FR" w:bidi="en-US"/>
    </w:rPr>
  </w:style>
  <w:style w:type="paragraph" w:customStyle="1" w:styleId="751">
    <w:name w:val="样式 列表框 Char Char Char Char Char + 段后: 0.5 行"/>
    <w:basedOn w:val="747"/>
    <w:autoRedefine/>
    <w:qFormat/>
    <w:uiPriority w:val="0"/>
    <w:pPr>
      <w:spacing w:after="156"/>
    </w:pPr>
    <w:rPr>
      <w:rFonts w:cs="宋体"/>
      <w:szCs w:val="20"/>
    </w:rPr>
  </w:style>
  <w:style w:type="paragraph" w:customStyle="1" w:styleId="752">
    <w:name w:val="列项◆（三级）"/>
    <w:basedOn w:val="1"/>
    <w:autoRedefine/>
    <w:qFormat/>
    <w:uiPriority w:val="0"/>
    <w:pPr>
      <w:numPr>
        <w:ilvl w:val="2"/>
        <w:numId w:val="3"/>
      </w:numPr>
    </w:pPr>
    <w:rPr>
      <w:rFonts w:ascii="宋体"/>
      <w:szCs w:val="21"/>
    </w:rPr>
  </w:style>
  <w:style w:type="paragraph" w:customStyle="1" w:styleId="753">
    <w:name w:val="xl224"/>
    <w:basedOn w:val="1"/>
    <w:autoRedefine/>
    <w:qFormat/>
    <w:uiPriority w:val="0"/>
    <w:pPr>
      <w:widowControl/>
      <w:pBdr>
        <w:top w:val="single" w:color="auto" w:sz="4" w:space="0"/>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754">
    <w:name w:val="xl125"/>
    <w:basedOn w:val="1"/>
    <w:autoRedefine/>
    <w:qFormat/>
    <w:uiPriority w:val="0"/>
    <w:pPr>
      <w:widowControl/>
      <w:pBdr>
        <w:top w:val="single" w:color="auto" w:sz="4" w:space="0"/>
        <w:left w:val="double" w:color="auto" w:sz="6" w:space="0"/>
        <w:bottom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755">
    <w:name w:val="xl242"/>
    <w:basedOn w:val="1"/>
    <w:autoRedefine/>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756">
    <w:name w:val="xl167"/>
    <w:basedOn w:val="1"/>
    <w:autoRedefine/>
    <w:qFormat/>
    <w:uiPriority w:val="0"/>
    <w:pPr>
      <w:widowControl/>
      <w:pBdr>
        <w:left w:val="single" w:color="auto" w:sz="4" w:space="0"/>
        <w:bottom w:val="double" w:color="auto" w:sz="6"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757">
    <w:name w:val="xl160"/>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宋体" w:hAnsi="宋体" w:cs="宋体"/>
      <w:b/>
      <w:bCs/>
      <w:kern w:val="0"/>
      <w:sz w:val="20"/>
    </w:rPr>
  </w:style>
  <w:style w:type="paragraph" w:customStyle="1" w:styleId="758">
    <w:name w:val="xl13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759">
    <w:name w:val="xl240"/>
    <w:basedOn w:val="1"/>
    <w:autoRedefine/>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760">
    <w:name w:val="a3"/>
    <w:basedOn w:val="1"/>
    <w:autoRedefine/>
    <w:qFormat/>
    <w:uiPriority w:val="0"/>
    <w:pPr>
      <w:widowControl/>
      <w:spacing w:line="360" w:lineRule="auto"/>
      <w:ind w:left="4094" w:right="607"/>
      <w:jc w:val="center"/>
    </w:pPr>
    <w:rPr>
      <w:rFonts w:ascii="仿宋_GB2312" w:hAnsi="宋体" w:eastAsia="仿宋_GB2312" w:cs="宋体"/>
      <w:color w:val="000000"/>
      <w:kern w:val="0"/>
      <w:sz w:val="32"/>
      <w:szCs w:val="32"/>
    </w:rPr>
  </w:style>
  <w:style w:type="paragraph" w:customStyle="1" w:styleId="761">
    <w:name w:val="xl120"/>
    <w:basedOn w:val="1"/>
    <w:autoRedefine/>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762">
    <w:name w:val="xl218"/>
    <w:basedOn w:val="1"/>
    <w:autoRedefine/>
    <w:qFormat/>
    <w:uiPriority w:val="0"/>
    <w:pPr>
      <w:widowControl/>
      <w:pBdr>
        <w:top w:val="single" w:color="auto" w:sz="4" w:space="0"/>
        <w:left w:val="double" w:color="auto" w:sz="6" w:space="0"/>
        <w:bottom w:val="double" w:color="auto" w:sz="6" w:space="0"/>
        <w:right w:val="single" w:color="auto" w:sz="4" w:space="0"/>
      </w:pBdr>
      <w:shd w:val="clear" w:color="auto" w:fill="CCFFFF"/>
      <w:spacing w:before="100" w:beforeAutospacing="1" w:after="100" w:afterAutospacing="1"/>
      <w:jc w:val="center"/>
    </w:pPr>
    <w:rPr>
      <w:rFonts w:ascii="宋体" w:hAnsi="宋体" w:cs="宋体"/>
      <w:b/>
      <w:bCs/>
      <w:kern w:val="0"/>
      <w:sz w:val="20"/>
    </w:rPr>
  </w:style>
  <w:style w:type="paragraph" w:customStyle="1" w:styleId="763">
    <w:name w:val="xl255"/>
    <w:basedOn w:val="1"/>
    <w:autoRedefine/>
    <w:qFormat/>
    <w:uiPriority w:val="0"/>
    <w:pPr>
      <w:widowControl/>
      <w:pBdr>
        <w:top w:val="single" w:color="auto" w:sz="4" w:space="0"/>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764">
    <w:name w:val="xl27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765">
    <w:name w:val="xl131"/>
    <w:basedOn w:val="1"/>
    <w:autoRedefine/>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766">
    <w:name w:val="Char Char33"/>
    <w:basedOn w:val="1"/>
    <w:autoRedefine/>
    <w:qFormat/>
    <w:uiPriority w:val="0"/>
    <w:rPr>
      <w:rFonts w:ascii="Tahoma" w:hAnsi="Tahoma"/>
      <w:sz w:val="24"/>
    </w:rPr>
  </w:style>
  <w:style w:type="paragraph" w:customStyle="1" w:styleId="767">
    <w:name w:val="xl154"/>
    <w:basedOn w:val="1"/>
    <w:autoRedefine/>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768">
    <w:name w:val="xl101"/>
    <w:basedOn w:val="1"/>
    <w:autoRedefine/>
    <w:qFormat/>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left"/>
    </w:pPr>
    <w:rPr>
      <w:rFonts w:ascii="宋体" w:hAnsi="宋体" w:cs="宋体"/>
      <w:color w:val="000000"/>
      <w:kern w:val="0"/>
      <w:sz w:val="18"/>
      <w:szCs w:val="18"/>
    </w:rPr>
  </w:style>
  <w:style w:type="paragraph" w:customStyle="1" w:styleId="769">
    <w:name w:val="font19"/>
    <w:basedOn w:val="1"/>
    <w:autoRedefine/>
    <w:qFormat/>
    <w:uiPriority w:val="0"/>
    <w:pPr>
      <w:widowControl/>
      <w:spacing w:before="100" w:beforeAutospacing="1" w:after="100" w:afterAutospacing="1"/>
      <w:jc w:val="left"/>
    </w:pPr>
    <w:rPr>
      <w:rFonts w:ascii="楷体_GB2312" w:hAnsi="宋体" w:eastAsia="楷体_GB2312" w:cs="宋体"/>
      <w:kern w:val="0"/>
      <w:sz w:val="20"/>
    </w:rPr>
  </w:style>
  <w:style w:type="paragraph" w:customStyle="1" w:styleId="770">
    <w:name w:val="字母编号列项（一级）"/>
    <w:autoRedefine/>
    <w:qFormat/>
    <w:uiPriority w:val="0"/>
    <w:pPr>
      <w:numPr>
        <w:ilvl w:val="0"/>
        <w:numId w:val="4"/>
      </w:numPr>
      <w:jc w:val="both"/>
    </w:pPr>
    <w:rPr>
      <w:rFonts w:ascii="宋体" w:hAnsi="Times New Roman" w:eastAsia="宋体" w:cs="Times New Roman"/>
      <w:sz w:val="21"/>
      <w:lang w:val="en-US" w:eastAsia="zh-CN" w:bidi="ar-SA"/>
    </w:rPr>
  </w:style>
  <w:style w:type="paragraph" w:customStyle="1" w:styleId="771">
    <w:name w:val="paragraph"/>
    <w:basedOn w:val="1"/>
    <w:autoRedefine/>
    <w:qFormat/>
    <w:uiPriority w:val="0"/>
    <w:pPr>
      <w:widowControl/>
      <w:spacing w:before="80" w:after="80"/>
      <w:ind w:left="1701"/>
      <w:jc w:val="left"/>
    </w:pPr>
    <w:rPr>
      <w:kern w:val="0"/>
      <w:sz w:val="22"/>
      <w:lang w:val="en-AU" w:eastAsia="en-US" w:bidi="en-US"/>
    </w:rPr>
  </w:style>
  <w:style w:type="paragraph" w:customStyle="1" w:styleId="772">
    <w:name w:val="批注框文本 Char Char"/>
    <w:basedOn w:val="1"/>
    <w:autoRedefine/>
    <w:qFormat/>
    <w:uiPriority w:val="0"/>
    <w:pPr>
      <w:widowControl/>
      <w:jc w:val="left"/>
    </w:pPr>
    <w:rPr>
      <w:rFonts w:ascii="Calibri" w:hAnsi="Calibri"/>
      <w:kern w:val="0"/>
      <w:sz w:val="18"/>
      <w:lang w:eastAsia="en-US" w:bidi="en-US"/>
    </w:rPr>
  </w:style>
  <w:style w:type="paragraph" w:customStyle="1" w:styleId="773">
    <w:name w:val="xl281"/>
    <w:basedOn w:val="1"/>
    <w:autoRedefine/>
    <w:qFormat/>
    <w:uiPriority w:val="0"/>
    <w:pPr>
      <w:widowControl/>
      <w:pBdr>
        <w:lef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774">
    <w:name w:val="样式 目录 3 + 左侧:  2.15 字符"/>
    <w:basedOn w:val="32"/>
    <w:autoRedefine/>
    <w:qFormat/>
    <w:uiPriority w:val="0"/>
    <w:pPr>
      <w:tabs>
        <w:tab w:val="left" w:pos="1342"/>
        <w:tab w:val="right" w:leader="dot" w:pos="9060"/>
      </w:tabs>
      <w:ind w:left="215" w:leftChars="215"/>
    </w:pPr>
    <w:rPr>
      <w:rFonts w:ascii="Arial" w:hAnsi="Arial" w:cs="宋体"/>
      <w:iCs w:val="0"/>
      <w:color w:val="000000"/>
      <w:sz w:val="21"/>
    </w:rPr>
  </w:style>
  <w:style w:type="paragraph" w:customStyle="1" w:styleId="775">
    <w:name w:val="TX/DEBUT"/>
    <w:basedOn w:val="1"/>
    <w:autoRedefine/>
    <w:qFormat/>
    <w:uiPriority w:val="0"/>
    <w:pPr>
      <w:widowControl/>
      <w:spacing w:line="280" w:lineRule="atLeast"/>
      <w:ind w:left="2727" w:hanging="2727"/>
      <w:jc w:val="left"/>
    </w:pPr>
    <w:rPr>
      <w:rFonts w:ascii="FuturaA Bk BT" w:hAnsi="FuturaA Bk BT" w:eastAsia="PMingLiU"/>
      <w:kern w:val="0"/>
      <w:sz w:val="20"/>
      <w:lang w:val="fr-FR" w:eastAsia="en-US" w:bidi="en-US"/>
    </w:rPr>
  </w:style>
  <w:style w:type="paragraph" w:customStyle="1" w:styleId="776">
    <w:name w:val="xl282"/>
    <w:basedOn w:val="1"/>
    <w:autoRedefine/>
    <w:qFormat/>
    <w:uiPriority w:val="0"/>
    <w:pPr>
      <w:widowControl/>
      <w:shd w:val="clear" w:color="auto" w:fill="FFFF99"/>
      <w:spacing w:before="100" w:beforeAutospacing="1" w:after="100" w:afterAutospacing="1"/>
      <w:jc w:val="left"/>
    </w:pPr>
    <w:rPr>
      <w:rFonts w:ascii="宋体" w:hAnsi="宋体" w:cs="宋体"/>
      <w:b/>
      <w:bCs/>
      <w:kern w:val="0"/>
      <w:sz w:val="20"/>
    </w:rPr>
  </w:style>
  <w:style w:type="paragraph" w:customStyle="1" w:styleId="777">
    <w:name w:val="Para 1st Subpara"/>
    <w:basedOn w:val="742"/>
    <w:autoRedefine/>
    <w:qFormat/>
    <w:uiPriority w:val="0"/>
    <w:pPr>
      <w:ind w:left="1700" w:hanging="562"/>
    </w:pPr>
  </w:style>
  <w:style w:type="paragraph" w:customStyle="1" w:styleId="778">
    <w:name w:val="endReq"/>
    <w:basedOn w:val="779"/>
    <w:autoRedefine/>
    <w:qFormat/>
    <w:uiPriority w:val="0"/>
    <w:rPr>
      <w:b/>
      <w:i/>
      <w:smallCaps/>
    </w:rPr>
  </w:style>
  <w:style w:type="paragraph" w:customStyle="1" w:styleId="779">
    <w:name w:val="&gt;1: texte-text"/>
    <w:basedOn w:val="1"/>
    <w:autoRedefine/>
    <w:qFormat/>
    <w:uiPriority w:val="0"/>
    <w:pPr>
      <w:widowControl/>
      <w:spacing w:before="50" w:after="50" w:line="280" w:lineRule="exact"/>
      <w:jc w:val="left"/>
    </w:pPr>
    <w:rPr>
      <w:rFonts w:ascii="Arial" w:hAnsi="Arial"/>
      <w:kern w:val="0"/>
      <w:sz w:val="20"/>
      <w:lang w:eastAsia="fr-FR" w:bidi="en-US"/>
    </w:rPr>
  </w:style>
  <w:style w:type="paragraph" w:customStyle="1" w:styleId="780">
    <w:name w:val="&gt;1:list1  A)suite"/>
    <w:basedOn w:val="781"/>
    <w:autoRedefine/>
    <w:qFormat/>
    <w:uiPriority w:val="0"/>
    <w:pPr>
      <w:tabs>
        <w:tab w:val="left" w:pos="352"/>
        <w:tab w:val="left" w:pos="709"/>
        <w:tab w:val="left" w:pos="1061"/>
        <w:tab w:val="left" w:pos="1418"/>
      </w:tabs>
      <w:spacing w:before="50"/>
      <w:ind w:left="0" w:firstLine="0"/>
      <w:jc w:val="both"/>
    </w:pPr>
    <w:rPr>
      <w:b w:val="0"/>
    </w:rPr>
  </w:style>
  <w:style w:type="paragraph" w:customStyle="1" w:styleId="781">
    <w:name w:val="&gt;1:list1  A)"/>
    <w:basedOn w:val="1"/>
    <w:autoRedefine/>
    <w:qFormat/>
    <w:uiPriority w:val="0"/>
    <w:pPr>
      <w:widowControl/>
      <w:tabs>
        <w:tab w:val="left" w:pos="352"/>
        <w:tab w:val="left" w:pos="709"/>
        <w:tab w:val="left" w:pos="1061"/>
        <w:tab w:val="left" w:pos="1418"/>
      </w:tabs>
      <w:spacing w:before="170" w:after="50" w:line="280" w:lineRule="exact"/>
      <w:ind w:left="284" w:hanging="284"/>
      <w:jc w:val="left"/>
    </w:pPr>
    <w:rPr>
      <w:rFonts w:ascii="Arial" w:hAnsi="Arial"/>
      <w:b/>
      <w:kern w:val="0"/>
      <w:sz w:val="20"/>
      <w:lang w:eastAsia="fr-FR" w:bidi="en-US"/>
    </w:rPr>
  </w:style>
  <w:style w:type="paragraph" w:customStyle="1" w:styleId="782">
    <w:name w:val="font17"/>
    <w:basedOn w:val="1"/>
    <w:autoRedefine/>
    <w:qFormat/>
    <w:uiPriority w:val="0"/>
    <w:pPr>
      <w:widowControl/>
      <w:spacing w:before="100" w:beforeAutospacing="1" w:after="100" w:afterAutospacing="1"/>
      <w:jc w:val="left"/>
    </w:pPr>
    <w:rPr>
      <w:rFonts w:ascii="宋体" w:hAnsi="宋体" w:cs="宋体"/>
      <w:kern w:val="0"/>
      <w:sz w:val="16"/>
      <w:szCs w:val="16"/>
    </w:rPr>
  </w:style>
  <w:style w:type="paragraph" w:customStyle="1" w:styleId="783">
    <w:name w:val="xl27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784">
    <w:name w:val="xl276"/>
    <w:basedOn w:val="1"/>
    <w:autoRedefine/>
    <w:qFormat/>
    <w:uiPriority w:val="0"/>
    <w:pPr>
      <w:widowControl/>
      <w:pBdr>
        <w:right w:val="single" w:color="auto" w:sz="4" w:space="0"/>
      </w:pBdr>
      <w:spacing w:before="100" w:beforeAutospacing="1" w:after="100" w:afterAutospacing="1"/>
      <w:jc w:val="left"/>
    </w:pPr>
    <w:rPr>
      <w:rFonts w:ascii="宋体" w:hAnsi="宋体" w:cs="宋体"/>
      <w:kern w:val="0"/>
      <w:sz w:val="24"/>
      <w:szCs w:val="24"/>
    </w:rPr>
  </w:style>
  <w:style w:type="paragraph" w:customStyle="1" w:styleId="785">
    <w:name w:val="xl280"/>
    <w:basedOn w:val="1"/>
    <w:autoRedefine/>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86">
    <w:name w:val="xl128"/>
    <w:basedOn w:val="1"/>
    <w:autoRedefine/>
    <w:qFormat/>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787">
    <w:name w:val="Body Text table"/>
    <w:basedOn w:val="24"/>
    <w:autoRedefine/>
    <w:qFormat/>
    <w:uiPriority w:val="0"/>
    <w:pPr>
      <w:widowControl/>
      <w:spacing w:before="60" w:after="60"/>
      <w:ind w:left="1080"/>
      <w:jc w:val="left"/>
    </w:pPr>
    <w:rPr>
      <w:rFonts w:ascii="Arial" w:hAnsi="Arial" w:eastAsia="PMingLiU"/>
      <w:kern w:val="0"/>
      <w:sz w:val="20"/>
      <w:lang w:val="de-DE" w:eastAsia="zh-TW" w:bidi="en-US"/>
    </w:rPr>
  </w:style>
  <w:style w:type="paragraph" w:customStyle="1" w:styleId="788">
    <w:name w:val="Char Char Char2 Char"/>
    <w:basedOn w:val="1"/>
    <w:autoRedefine/>
    <w:qFormat/>
    <w:uiPriority w:val="0"/>
    <w:pPr>
      <w:ind w:firstLine="360" w:firstLineChars="150"/>
    </w:pPr>
    <w:rPr>
      <w:rFonts w:ascii="Calibri" w:hAnsi="Calibri"/>
      <w:szCs w:val="22"/>
    </w:rPr>
  </w:style>
  <w:style w:type="paragraph" w:customStyle="1" w:styleId="789">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790">
    <w:name w:val="xl27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791">
    <w:name w:val="xl279"/>
    <w:basedOn w:val="1"/>
    <w:autoRedefine/>
    <w:qFormat/>
    <w:uiPriority w:val="0"/>
    <w:pPr>
      <w:widowControl/>
      <w:pBdr>
        <w:left w:val="single" w:color="auto" w:sz="4" w:space="0"/>
        <w:bottom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792">
    <w:name w:val="xl143"/>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793">
    <w:name w:val="xl253"/>
    <w:basedOn w:val="1"/>
    <w:autoRedefine/>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94">
    <w:name w:val="&gt;tab: titre-titl"/>
    <w:basedOn w:val="795"/>
    <w:autoRedefine/>
    <w:qFormat/>
    <w:uiPriority w:val="0"/>
  </w:style>
  <w:style w:type="paragraph" w:customStyle="1" w:styleId="795">
    <w:name w:val="&gt;fig:titre-title"/>
    <w:basedOn w:val="1"/>
    <w:autoRedefine/>
    <w:qFormat/>
    <w:uiPriority w:val="0"/>
    <w:pPr>
      <w:widowControl/>
      <w:spacing w:before="280" w:after="280" w:line="240" w:lineRule="exact"/>
      <w:ind w:left="283" w:hanging="283"/>
      <w:jc w:val="center"/>
    </w:pPr>
    <w:rPr>
      <w:rFonts w:ascii="Arial" w:hAnsi="Arial"/>
      <w:b/>
      <w:kern w:val="0"/>
      <w:sz w:val="20"/>
      <w:lang w:eastAsia="fr-FR" w:bidi="en-US"/>
    </w:rPr>
  </w:style>
  <w:style w:type="paragraph" w:customStyle="1" w:styleId="796">
    <w:name w:val="xl121"/>
    <w:basedOn w:val="1"/>
    <w:autoRedefine/>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97">
    <w:name w:val="副标题1"/>
    <w:basedOn w:val="61"/>
    <w:autoRedefine/>
    <w:qFormat/>
    <w:uiPriority w:val="0"/>
    <w:pPr>
      <w:widowControl/>
      <w:spacing w:before="1000" w:after="1000"/>
      <w:jc w:val="left"/>
    </w:pPr>
    <w:rPr>
      <w:rFonts w:ascii="Invensys Andale" w:hAnsi="Invensys Andale"/>
      <w:kern w:val="28"/>
      <w:sz w:val="32"/>
      <w:szCs w:val="20"/>
      <w:lang w:val="en-AU" w:eastAsia="en-AU"/>
    </w:rPr>
  </w:style>
  <w:style w:type="paragraph" w:customStyle="1" w:styleId="798">
    <w:name w:val="xl117"/>
    <w:basedOn w:val="1"/>
    <w:autoRedefine/>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799">
    <w:name w:val="Tableau_norm2"/>
    <w:basedOn w:val="1"/>
    <w:autoRedefine/>
    <w:qFormat/>
    <w:uiPriority w:val="0"/>
    <w:pPr>
      <w:widowControl/>
      <w:spacing w:before="72"/>
      <w:jc w:val="center"/>
    </w:pPr>
    <w:rPr>
      <w:rFonts w:ascii="Helvetica" w:hAnsi="Helvetica"/>
      <w:kern w:val="0"/>
      <w:sz w:val="16"/>
      <w:lang w:eastAsia="fr-FR" w:bidi="en-US"/>
    </w:rPr>
  </w:style>
  <w:style w:type="paragraph" w:customStyle="1" w:styleId="800">
    <w:name w:val="xl139"/>
    <w:basedOn w:val="1"/>
    <w:autoRedefine/>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801">
    <w:name w:val="Heading #1"/>
    <w:basedOn w:val="1"/>
    <w:autoRedefine/>
    <w:qFormat/>
    <w:uiPriority w:val="0"/>
    <w:pPr>
      <w:widowControl/>
      <w:tabs>
        <w:tab w:val="left" w:pos="851"/>
      </w:tabs>
      <w:jc w:val="left"/>
    </w:pPr>
    <w:rPr>
      <w:rFonts w:ascii="Arial" w:hAnsi="Arial" w:eastAsia="PMingLiU"/>
      <w:b/>
      <w:caps/>
      <w:kern w:val="0"/>
      <w:sz w:val="24"/>
      <w:lang w:val="en-AU" w:eastAsia="en-US" w:bidi="en-US"/>
    </w:rPr>
  </w:style>
  <w:style w:type="paragraph" w:customStyle="1" w:styleId="802">
    <w:name w:val="样式 目录 1 + 小四"/>
    <w:basedOn w:val="42"/>
    <w:autoRedefine/>
    <w:qFormat/>
    <w:uiPriority w:val="0"/>
    <w:pPr>
      <w:tabs>
        <w:tab w:val="left" w:pos="488"/>
        <w:tab w:val="right" w:leader="dot" w:pos="9060"/>
      </w:tabs>
      <w:spacing w:before="0" w:after="0"/>
      <w:jc w:val="both"/>
    </w:pPr>
    <w:rPr>
      <w:rFonts w:ascii="Arial" w:hAnsi="Arial" w:eastAsia="黑体"/>
      <w:b w:val="0"/>
      <w:bCs w:val="0"/>
      <w:caps w:val="0"/>
      <w:szCs w:val="24"/>
    </w:rPr>
  </w:style>
  <w:style w:type="paragraph" w:customStyle="1" w:styleId="803">
    <w:name w:val="xl123"/>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804">
    <w:name w:val="charcharcharchar"/>
    <w:basedOn w:val="1"/>
    <w:autoRedefine/>
    <w:qFormat/>
    <w:uiPriority w:val="0"/>
    <w:pPr>
      <w:widowControl/>
      <w:spacing w:line="360" w:lineRule="auto"/>
      <w:ind w:firstLine="640"/>
      <w:jc w:val="left"/>
    </w:pPr>
    <w:rPr>
      <w:b/>
      <w:bCs/>
      <w:kern w:val="0"/>
      <w:sz w:val="24"/>
      <w:szCs w:val="24"/>
    </w:rPr>
  </w:style>
  <w:style w:type="paragraph" w:customStyle="1" w:styleId="805">
    <w:name w:val="样式 样式 列表框 Char Char Char Char Char + 段后: 0.5 行 + 左侧:  6 字符 首行缩进..."/>
    <w:basedOn w:val="751"/>
    <w:autoRedefine/>
    <w:qFormat/>
    <w:uiPriority w:val="0"/>
    <w:pPr>
      <w:numPr>
        <w:ilvl w:val="0"/>
        <w:numId w:val="5"/>
      </w:numPr>
      <w:ind w:left="0" w:leftChars="0" w:firstLine="0" w:firstLineChars="0"/>
    </w:pPr>
  </w:style>
  <w:style w:type="paragraph" w:customStyle="1" w:styleId="806">
    <w:name w:val="样式 目录 1 + 左侧:  3 字符"/>
    <w:basedOn w:val="42"/>
    <w:autoRedefine/>
    <w:qFormat/>
    <w:uiPriority w:val="0"/>
    <w:pPr>
      <w:numPr>
        <w:ilvl w:val="0"/>
        <w:numId w:val="6"/>
      </w:numPr>
      <w:tabs>
        <w:tab w:val="left" w:pos="1680"/>
        <w:tab w:val="right" w:pos="9060"/>
      </w:tabs>
      <w:spacing w:before="0" w:after="0"/>
      <w:jc w:val="both"/>
    </w:pPr>
    <w:rPr>
      <w:rFonts w:cs="宋体"/>
      <w:bCs w:val="0"/>
      <w:caps w:val="0"/>
    </w:rPr>
  </w:style>
  <w:style w:type="paragraph" w:customStyle="1" w:styleId="807">
    <w:name w:val="xl132"/>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808">
    <w:name w:val="Tableau_évol"/>
    <w:basedOn w:val="799"/>
    <w:autoRedefine/>
    <w:qFormat/>
    <w:uiPriority w:val="0"/>
    <w:pPr>
      <w:tabs>
        <w:tab w:val="left" w:pos="1702"/>
        <w:tab w:val="left" w:pos="3828"/>
      </w:tabs>
      <w:spacing w:before="60"/>
      <w:jc w:val="left"/>
    </w:pPr>
    <w:rPr>
      <w:rFonts w:ascii="Arial" w:hAnsi="Arial"/>
      <w:sz w:val="20"/>
    </w:rPr>
  </w:style>
  <w:style w:type="paragraph" w:customStyle="1" w:styleId="809">
    <w:name w:val="Tableau_norm3"/>
    <w:basedOn w:val="799"/>
    <w:autoRedefine/>
    <w:qFormat/>
    <w:uiPriority w:val="0"/>
    <w:pPr>
      <w:spacing w:before="0" w:after="48"/>
    </w:pPr>
  </w:style>
  <w:style w:type="paragraph" w:customStyle="1" w:styleId="810">
    <w:name w:val="Institution"/>
    <w:basedOn w:val="1"/>
    <w:next w:val="811"/>
    <w:autoRedefine/>
    <w:qFormat/>
    <w:uiPriority w:val="0"/>
    <w:pPr>
      <w:widowControl/>
      <w:tabs>
        <w:tab w:val="left" w:pos="2160"/>
        <w:tab w:val="right" w:pos="7542"/>
      </w:tabs>
      <w:spacing w:before="240" w:after="60" w:line="220" w:lineRule="atLeast"/>
      <w:jc w:val="left"/>
    </w:pPr>
    <w:rPr>
      <w:rFonts w:ascii="Arial" w:hAnsi="Arial" w:eastAsia="PMingLiU"/>
      <w:kern w:val="0"/>
      <w:sz w:val="20"/>
      <w:lang w:eastAsia="en-US" w:bidi="en-US"/>
    </w:rPr>
  </w:style>
  <w:style w:type="paragraph" w:customStyle="1" w:styleId="811">
    <w:name w:val="Achievement"/>
    <w:basedOn w:val="24"/>
    <w:autoRedefine/>
    <w:qFormat/>
    <w:uiPriority w:val="0"/>
    <w:pPr>
      <w:widowControl/>
      <w:spacing w:after="60" w:line="220" w:lineRule="atLeast"/>
      <w:ind w:left="245" w:hanging="245"/>
      <w:jc w:val="left"/>
    </w:pPr>
    <w:rPr>
      <w:rFonts w:ascii="Arial" w:hAnsi="Arial" w:eastAsia="PMingLiU"/>
      <w:spacing w:val="-5"/>
      <w:kern w:val="0"/>
      <w:sz w:val="20"/>
      <w:lang w:eastAsia="en-US" w:bidi="en-US"/>
    </w:rPr>
  </w:style>
  <w:style w:type="paragraph" w:customStyle="1" w:styleId="812">
    <w:name w:val="xl420"/>
    <w:basedOn w:val="1"/>
    <w:autoRedefine/>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813">
    <w:name w:val="条文 3"/>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814">
    <w:name w:val="xl4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815">
    <w:name w:val="xl421"/>
    <w:basedOn w:val="1"/>
    <w:autoRedefine/>
    <w:qFormat/>
    <w:uiPriority w:val="0"/>
    <w:pPr>
      <w:widowControl/>
      <w:pBdr>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816">
    <w:name w:val="xl415"/>
    <w:basedOn w:val="1"/>
    <w:autoRedefine/>
    <w:qFormat/>
    <w:uiPriority w:val="0"/>
    <w:pPr>
      <w:widowControl/>
      <w:pBdr>
        <w:top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817">
    <w:name w:val="xl126"/>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818">
    <w:name w:val="Name"/>
    <w:basedOn w:val="1"/>
    <w:next w:val="1"/>
    <w:autoRedefine/>
    <w:qFormat/>
    <w:uiPriority w:val="0"/>
    <w:pPr>
      <w:widowControl/>
      <w:pBdr>
        <w:bottom w:val="single" w:color="auto" w:sz="6" w:space="4"/>
      </w:pBdr>
      <w:spacing w:after="440" w:line="240" w:lineRule="atLeast"/>
      <w:jc w:val="left"/>
    </w:pPr>
    <w:rPr>
      <w:rFonts w:ascii="Arial Black" w:hAnsi="Arial Black" w:eastAsia="PMingLiU"/>
      <w:spacing w:val="-35"/>
      <w:kern w:val="0"/>
      <w:sz w:val="54"/>
      <w:lang w:eastAsia="en-US" w:bidi="en-US"/>
    </w:rPr>
  </w:style>
  <w:style w:type="paragraph" w:customStyle="1" w:styleId="819">
    <w:name w:val="xl13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820">
    <w:name w:val="招标文件》"/>
    <w:basedOn w:val="1"/>
    <w:autoRedefine/>
    <w:qFormat/>
    <w:uiPriority w:val="0"/>
    <w:pPr>
      <w:widowControl/>
      <w:tabs>
        <w:tab w:val="left" w:pos="560"/>
      </w:tabs>
      <w:spacing w:before="120" w:after="120" w:line="300" w:lineRule="auto"/>
      <w:ind w:left="200"/>
      <w:jc w:val="left"/>
    </w:pPr>
    <w:rPr>
      <w:rFonts w:ascii="宋体"/>
      <w:spacing w:val="10"/>
      <w:w w:val="95"/>
      <w:kern w:val="0"/>
      <w:sz w:val="24"/>
      <w:lang w:eastAsia="en-US" w:bidi="en-US"/>
    </w:rPr>
  </w:style>
  <w:style w:type="paragraph" w:customStyle="1" w:styleId="821">
    <w:name w:val="a"/>
    <w:basedOn w:val="1"/>
    <w:autoRedefine/>
    <w:qFormat/>
    <w:uiPriority w:val="0"/>
    <w:pPr>
      <w:widowControl/>
      <w:spacing w:line="360" w:lineRule="auto"/>
      <w:jc w:val="center"/>
    </w:pPr>
    <w:rPr>
      <w:rFonts w:ascii="黑体" w:hAnsi="宋体" w:eastAsia="黑体" w:cs="宋体"/>
      <w:kern w:val="0"/>
      <w:sz w:val="24"/>
      <w:szCs w:val="24"/>
    </w:rPr>
  </w:style>
  <w:style w:type="paragraph" w:customStyle="1" w:styleId="822">
    <w:name w:val="xl137"/>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823">
    <w:name w:val="a2"/>
    <w:basedOn w:val="1"/>
    <w:autoRedefine/>
    <w:qFormat/>
    <w:uiPriority w:val="0"/>
    <w:pPr>
      <w:widowControl/>
      <w:spacing w:before="260" w:after="260"/>
      <w:ind w:left="1469" w:right="1542"/>
      <w:jc w:val="center"/>
    </w:pPr>
    <w:rPr>
      <w:b/>
      <w:bCs/>
      <w:kern w:val="0"/>
      <w:sz w:val="44"/>
      <w:szCs w:val="44"/>
    </w:rPr>
  </w:style>
  <w:style w:type="paragraph" w:customStyle="1" w:styleId="824">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825">
    <w:name w:val="样式 正文缩进 + 宋体 小四 首行缩进:  2 字符"/>
    <w:basedOn w:val="5"/>
    <w:autoRedefine/>
    <w:qFormat/>
    <w:uiPriority w:val="0"/>
    <w:pPr>
      <w:spacing w:beforeLines="50" w:afterLines="50" w:line="360" w:lineRule="auto"/>
      <w:ind w:firstLine="200" w:firstLineChars="200"/>
    </w:pPr>
    <w:rPr>
      <w:rFonts w:ascii="宋体" w:hAnsi="宋体" w:cs="宋体"/>
      <w:sz w:val="24"/>
      <w:lang w:eastAsia="en-US" w:bidi="en-US"/>
    </w:rPr>
  </w:style>
  <w:style w:type="paragraph" w:customStyle="1" w:styleId="826">
    <w:name w:val="正文内容"/>
    <w:basedOn w:val="1"/>
    <w:autoRedefine/>
    <w:qFormat/>
    <w:uiPriority w:val="0"/>
    <w:pPr>
      <w:jc w:val="center"/>
    </w:pPr>
    <w:rPr>
      <w:rFonts w:ascii="宋体" w:hAnsi="宋体"/>
      <w:color w:val="000000"/>
      <w:sz w:val="18"/>
      <w:szCs w:val="28"/>
    </w:rPr>
  </w:style>
  <w:style w:type="paragraph" w:customStyle="1" w:styleId="827">
    <w:name w:val="样式 楷体_GB2312 小四 首行缩进:  0.8 厘米 行距: 固定值 28 磅"/>
    <w:basedOn w:val="1"/>
    <w:autoRedefine/>
    <w:qFormat/>
    <w:uiPriority w:val="0"/>
    <w:pPr>
      <w:spacing w:line="360" w:lineRule="auto"/>
      <w:jc w:val="center"/>
    </w:pPr>
    <w:rPr>
      <w:rFonts w:eastAsia="仿宋_GB2312"/>
      <w:szCs w:val="21"/>
    </w:rPr>
  </w:style>
  <w:style w:type="paragraph" w:customStyle="1" w:styleId="828">
    <w:name w:val="样式 列表框 + 行距: 固定值 20 磅1"/>
    <w:basedOn w:val="829"/>
    <w:autoRedefine/>
    <w:qFormat/>
    <w:uiPriority w:val="0"/>
    <w:pPr>
      <w:tabs>
        <w:tab w:val="left" w:pos="874"/>
        <w:tab w:val="left" w:pos="966"/>
        <w:tab w:val="left" w:pos="1028"/>
      </w:tabs>
      <w:spacing w:afterLines="0" w:line="400" w:lineRule="exact"/>
      <w:ind w:left="0" w:leftChars="0"/>
    </w:pPr>
    <w:rPr>
      <w:rFonts w:eastAsia="宋体"/>
      <w:color w:val="000000"/>
      <w:szCs w:val="20"/>
    </w:rPr>
  </w:style>
  <w:style w:type="paragraph" w:customStyle="1" w:styleId="829">
    <w:name w:val="列表框"/>
    <w:basedOn w:val="747"/>
    <w:next w:val="747"/>
    <w:autoRedefine/>
    <w:qFormat/>
    <w:uiPriority w:val="0"/>
    <w:pPr>
      <w:tabs>
        <w:tab w:val="left" w:pos="874"/>
        <w:tab w:val="left" w:pos="966"/>
      </w:tabs>
      <w:adjustRightInd w:val="0"/>
      <w:snapToGrid w:val="0"/>
      <w:spacing w:line="360" w:lineRule="exact"/>
      <w:ind w:left="800" w:leftChars="800" w:firstLine="0" w:firstLineChars="0"/>
    </w:pPr>
    <w:rPr>
      <w:rFonts w:ascii="Times New Roman" w:hAnsi="Times New Roman"/>
      <w:szCs w:val="21"/>
    </w:rPr>
  </w:style>
  <w:style w:type="paragraph" w:customStyle="1" w:styleId="830">
    <w:name w:val="X:Annexe"/>
    <w:basedOn w:val="1"/>
    <w:autoRedefine/>
    <w:qFormat/>
    <w:uiPriority w:val="0"/>
    <w:pPr>
      <w:widowControl/>
      <w:spacing w:after="400"/>
      <w:jc w:val="center"/>
    </w:pPr>
    <w:rPr>
      <w:rFonts w:ascii="Arial" w:hAnsi="Arial"/>
      <w:b/>
      <w:kern w:val="0"/>
      <w:sz w:val="36"/>
      <w:lang w:eastAsia="fr-FR" w:bidi="en-US"/>
    </w:rPr>
  </w:style>
  <w:style w:type="paragraph" w:customStyle="1" w:styleId="831">
    <w:name w:val="样式 目录 1 + 左侧:  2 字符"/>
    <w:basedOn w:val="42"/>
    <w:autoRedefine/>
    <w:qFormat/>
    <w:uiPriority w:val="0"/>
    <w:pPr>
      <w:tabs>
        <w:tab w:val="left" w:pos="1680"/>
        <w:tab w:val="right" w:pos="9060"/>
      </w:tabs>
      <w:spacing w:before="0" w:after="0"/>
      <w:ind w:left="720"/>
      <w:jc w:val="both"/>
    </w:pPr>
    <w:rPr>
      <w:rFonts w:eastAsia="黑体" w:cs="宋体"/>
      <w:b w:val="0"/>
      <w:bCs w:val="0"/>
      <w:caps w:val="0"/>
    </w:rPr>
  </w:style>
  <w:style w:type="paragraph" w:customStyle="1" w:styleId="832">
    <w:name w:val="文本"/>
    <w:basedOn w:val="24"/>
    <w:autoRedefine/>
    <w:qFormat/>
    <w:uiPriority w:val="0"/>
    <w:pPr>
      <w:snapToGrid w:val="0"/>
      <w:spacing w:after="0" w:line="360" w:lineRule="auto"/>
      <w:ind w:left="840" w:leftChars="400"/>
      <w:jc w:val="center"/>
    </w:pPr>
    <w:rPr>
      <w:kern w:val="0"/>
      <w:sz w:val="28"/>
    </w:rPr>
  </w:style>
  <w:style w:type="paragraph" w:customStyle="1" w:styleId="833">
    <w:name w:val="X:pied_page3"/>
    <w:basedOn w:val="834"/>
    <w:autoRedefine/>
    <w:qFormat/>
    <w:uiPriority w:val="0"/>
    <w:rPr>
      <w:rFonts w:ascii="Arial Narrow" w:hAnsi="Arial Narrow"/>
      <w:b/>
      <w:sz w:val="24"/>
    </w:rPr>
  </w:style>
  <w:style w:type="paragraph" w:customStyle="1" w:styleId="834">
    <w:name w:val="X:pied_page2"/>
    <w:basedOn w:val="809"/>
    <w:autoRedefine/>
    <w:qFormat/>
    <w:uiPriority w:val="0"/>
  </w:style>
  <w:style w:type="paragraph" w:customStyle="1" w:styleId="835">
    <w:name w:val="样式 宋体 行距: 1.5 倍行距"/>
    <w:basedOn w:val="1"/>
    <w:autoRedefine/>
    <w:qFormat/>
    <w:uiPriority w:val="0"/>
    <w:pPr>
      <w:adjustRightInd w:val="0"/>
      <w:spacing w:line="360" w:lineRule="auto"/>
      <w:ind w:firstLine="420" w:firstLineChars="200"/>
      <w:textAlignment w:val="baseline"/>
    </w:pPr>
    <w:rPr>
      <w:rFonts w:ascii="Arial" w:hAnsi="Arial" w:cs="宋体"/>
      <w:kern w:val="0"/>
      <w:szCs w:val="21"/>
    </w:rPr>
  </w:style>
  <w:style w:type="paragraph" w:customStyle="1" w:styleId="836">
    <w:name w:val="blockquote"/>
    <w:basedOn w:val="1"/>
    <w:autoRedefine/>
    <w:qFormat/>
    <w:uiPriority w:val="0"/>
    <w:pPr>
      <w:widowControl/>
      <w:spacing w:before="100" w:after="100"/>
      <w:ind w:left="360" w:right="360"/>
      <w:jc w:val="left"/>
    </w:pPr>
    <w:rPr>
      <w:kern w:val="0"/>
      <w:sz w:val="24"/>
      <w:szCs w:val="24"/>
    </w:rPr>
  </w:style>
  <w:style w:type="paragraph" w:customStyle="1" w:styleId="837">
    <w:name w:val="Balloon Text1"/>
    <w:basedOn w:val="1"/>
    <w:autoRedefine/>
    <w:qFormat/>
    <w:uiPriority w:val="0"/>
    <w:pPr>
      <w:widowControl/>
      <w:spacing w:before="120" w:after="120"/>
      <w:ind w:left="562"/>
      <w:jc w:val="left"/>
    </w:pPr>
    <w:rPr>
      <w:rFonts w:ascii="Tahoma" w:hAnsi="Tahoma" w:cs="Tahoma"/>
      <w:kern w:val="0"/>
      <w:sz w:val="16"/>
      <w:szCs w:val="16"/>
      <w:lang w:val="en-GB" w:eastAsia="en-US" w:bidi="en-US"/>
    </w:rPr>
  </w:style>
  <w:style w:type="paragraph" w:customStyle="1" w:styleId="838">
    <w:name w:val="样式 样式 标题 3第二层条第三层论文标题 21.1.1 标题 3Para3Title2h333 bullet + ... + ...1"/>
    <w:basedOn w:val="839"/>
    <w:autoRedefine/>
    <w:qFormat/>
    <w:uiPriority w:val="0"/>
    <w:pPr>
      <w:tabs>
        <w:tab w:val="left" w:pos="840"/>
        <w:tab w:val="left" w:pos="907"/>
      </w:tabs>
      <w:spacing w:before="120" w:after="120"/>
      <w:ind w:left="1531" w:hanging="1531"/>
    </w:pPr>
    <w:rPr>
      <w:sz w:val="24"/>
      <w:szCs w:val="24"/>
    </w:rPr>
  </w:style>
  <w:style w:type="paragraph" w:customStyle="1" w:styleId="839">
    <w:name w:val="样式 标题 3第二层条第三层论文标题 21.1.1 标题 3Para3Title2h333 bullet + ..."/>
    <w:basedOn w:val="4"/>
    <w:autoRedefine/>
    <w:qFormat/>
    <w:uiPriority w:val="0"/>
    <w:pPr>
      <w:widowControl w:val="0"/>
      <w:tabs>
        <w:tab w:val="left" w:pos="840"/>
      </w:tabs>
      <w:adjustRightInd w:val="0"/>
      <w:spacing w:before="50" w:after="50"/>
      <w:jc w:val="both"/>
      <w:textAlignment w:val="baseline"/>
    </w:pPr>
    <w:rPr>
      <w:rFonts w:ascii="Arial" w:hAnsi="Arial" w:cs="宋体"/>
      <w:bCs/>
      <w:color w:val="000000"/>
      <w:szCs w:val="32"/>
    </w:rPr>
  </w:style>
  <w:style w:type="paragraph" w:customStyle="1" w:styleId="840">
    <w:name w:val="正文项目"/>
    <w:basedOn w:val="1"/>
    <w:autoRedefine/>
    <w:qFormat/>
    <w:uiPriority w:val="0"/>
    <w:pPr>
      <w:numPr>
        <w:ilvl w:val="0"/>
        <w:numId w:val="7"/>
      </w:numPr>
      <w:spacing w:line="360" w:lineRule="auto"/>
    </w:pPr>
    <w:rPr>
      <w:rFonts w:ascii="宋体"/>
      <w:szCs w:val="24"/>
    </w:rPr>
  </w:style>
  <w:style w:type="paragraph" w:customStyle="1" w:styleId="841">
    <w:name w:val="a7"/>
    <w:basedOn w:val="1"/>
    <w:autoRedefine/>
    <w:qFormat/>
    <w:uiPriority w:val="0"/>
    <w:pPr>
      <w:widowControl/>
    </w:pPr>
    <w:rPr>
      <w:kern w:val="0"/>
      <w:szCs w:val="21"/>
    </w:rPr>
  </w:style>
  <w:style w:type="paragraph" w:customStyle="1" w:styleId="842">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kern w:val="0"/>
      <w:sz w:val="20"/>
    </w:rPr>
  </w:style>
  <w:style w:type="paragraph" w:customStyle="1" w:styleId="843">
    <w:name w:val="样式 标题 1 + 段前: 7.8 磅"/>
    <w:basedOn w:val="2"/>
    <w:autoRedefine/>
    <w:qFormat/>
    <w:uiPriority w:val="0"/>
    <w:pPr>
      <w:keepNext w:val="0"/>
      <w:widowControl w:val="0"/>
      <w:shd w:val="clear" w:color="auto" w:fill="FFFFFF"/>
      <w:tabs>
        <w:tab w:val="clear" w:pos="885"/>
      </w:tabs>
      <w:adjustRightInd w:val="0"/>
      <w:snapToGrid w:val="0"/>
      <w:spacing w:before="480" w:beforeLines="100" w:after="480"/>
      <w:ind w:left="0" w:firstLine="207" w:firstLineChars="98"/>
      <w:jc w:val="left"/>
    </w:pPr>
    <w:rPr>
      <w:rFonts w:ascii="宋体" w:hAnsi="宋体"/>
      <w:bCs/>
      <w:kern w:val="0"/>
      <w:sz w:val="28"/>
      <w:szCs w:val="20"/>
    </w:rPr>
  </w:style>
  <w:style w:type="paragraph" w:customStyle="1" w:styleId="844">
    <w:name w:val="xl21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845">
    <w:name w:val="xl102"/>
    <w:basedOn w:val="1"/>
    <w:autoRedefine/>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left"/>
    </w:pPr>
    <w:rPr>
      <w:color w:val="000000"/>
      <w:kern w:val="0"/>
      <w:sz w:val="18"/>
      <w:szCs w:val="18"/>
    </w:rPr>
  </w:style>
  <w:style w:type="paragraph" w:customStyle="1" w:styleId="846">
    <w:name w:val="样式 小四 行距: 1.5 倍行距"/>
    <w:basedOn w:val="1"/>
    <w:autoRedefine/>
    <w:qFormat/>
    <w:uiPriority w:val="0"/>
    <w:pPr>
      <w:widowControl/>
      <w:spacing w:line="360" w:lineRule="auto"/>
      <w:jc w:val="left"/>
    </w:pPr>
    <w:rPr>
      <w:rFonts w:cs="宋体"/>
      <w:kern w:val="0"/>
      <w:sz w:val="24"/>
      <w:lang w:eastAsia="en-US" w:bidi="en-US"/>
    </w:rPr>
  </w:style>
  <w:style w:type="paragraph" w:customStyle="1" w:styleId="847">
    <w:name w:val="合同书"/>
    <w:basedOn w:val="1"/>
    <w:autoRedefine/>
    <w:qFormat/>
    <w:uiPriority w:val="0"/>
    <w:pPr>
      <w:adjustRightInd w:val="0"/>
      <w:spacing w:afterLines="100" w:line="360" w:lineRule="atLeast"/>
      <w:textAlignment w:val="baseline"/>
      <w:outlineLvl w:val="0"/>
    </w:pPr>
    <w:rPr>
      <w:rFonts w:ascii="楷体_GB2312" w:eastAsia="楷体_GB2312"/>
      <w:b/>
      <w:color w:val="000000"/>
      <w:sz w:val="32"/>
      <w:szCs w:val="32"/>
    </w:rPr>
  </w:style>
  <w:style w:type="paragraph" w:customStyle="1" w:styleId="848">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849">
    <w:name w:val="_Style 29"/>
    <w:basedOn w:val="1"/>
    <w:next w:val="1"/>
    <w:autoRedefine/>
    <w:qFormat/>
    <w:uiPriority w:val="60"/>
    <w:rPr>
      <w:rFonts w:ascii="Calibri" w:hAnsi="Calibri"/>
      <w:color w:val="76923C"/>
      <w:szCs w:val="22"/>
    </w:rPr>
  </w:style>
  <w:style w:type="paragraph" w:customStyle="1" w:styleId="850">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851">
    <w:name w:val="条文1 Char"/>
    <w:basedOn w:val="1"/>
    <w:autoRedefine/>
    <w:qFormat/>
    <w:uiPriority w:val="99"/>
    <w:pPr>
      <w:widowControl/>
      <w:spacing w:line="360" w:lineRule="auto"/>
      <w:jc w:val="left"/>
    </w:pPr>
    <w:rPr>
      <w:rFonts w:ascii="MS UI Gothic" w:hAnsi="MS UI Gothic"/>
      <w:bCs/>
      <w:kern w:val="44"/>
      <w:sz w:val="24"/>
      <w:szCs w:val="44"/>
    </w:rPr>
  </w:style>
  <w:style w:type="paragraph" w:customStyle="1" w:styleId="852">
    <w:name w:val="M:VAR:doc_nom_2"/>
    <w:basedOn w:val="1"/>
    <w:next w:val="1"/>
    <w:autoRedefine/>
    <w:qFormat/>
    <w:uiPriority w:val="0"/>
    <w:pPr>
      <w:widowControl/>
      <w:spacing w:before="1680" w:after="120"/>
      <w:jc w:val="center"/>
    </w:pPr>
    <w:rPr>
      <w:rFonts w:ascii="Arial" w:hAnsi="Arial"/>
      <w:b/>
      <w:caps/>
      <w:kern w:val="0"/>
      <w:sz w:val="28"/>
      <w:lang w:eastAsia="fr-FR" w:bidi="en-US"/>
    </w:rPr>
  </w:style>
  <w:style w:type="paragraph" w:customStyle="1" w:styleId="853">
    <w:name w:val="表头"/>
    <w:basedOn w:val="1"/>
    <w:autoRedefine/>
    <w:qFormat/>
    <w:uiPriority w:val="0"/>
    <w:pPr>
      <w:spacing w:line="360" w:lineRule="auto"/>
      <w:jc w:val="center"/>
    </w:pPr>
    <w:rPr>
      <w:rFonts w:ascii="黑体" w:eastAsia="黑体"/>
      <w:kern w:val="0"/>
      <w:sz w:val="24"/>
    </w:rPr>
  </w:style>
  <w:style w:type="paragraph" w:customStyle="1" w:styleId="854">
    <w:name w:val="Char Char Char Char2"/>
    <w:basedOn w:val="1"/>
    <w:autoRedefine/>
    <w:qFormat/>
    <w:uiPriority w:val="99"/>
    <w:pPr>
      <w:tabs>
        <w:tab w:val="left" w:pos="480"/>
      </w:tabs>
      <w:ind w:left="480" w:hanging="480"/>
    </w:pPr>
    <w:rPr>
      <w:rFonts w:ascii="宋体"/>
      <w:sz w:val="24"/>
      <w:szCs w:val="24"/>
    </w:rPr>
  </w:style>
  <w:style w:type="paragraph" w:customStyle="1" w:styleId="855">
    <w:name w:val="正文缩近"/>
    <w:basedOn w:val="1"/>
    <w:autoRedefine/>
    <w:qFormat/>
    <w:uiPriority w:val="99"/>
    <w:pPr>
      <w:spacing w:line="360" w:lineRule="auto"/>
      <w:ind w:firstLine="200" w:firstLineChars="200"/>
    </w:pPr>
    <w:rPr>
      <w:rFonts w:ascii="宋体"/>
      <w:sz w:val="24"/>
      <w:szCs w:val="24"/>
    </w:rPr>
  </w:style>
  <w:style w:type="paragraph" w:customStyle="1" w:styleId="856">
    <w:name w:val="msolistparagraph"/>
    <w:basedOn w:val="1"/>
    <w:autoRedefine/>
    <w:qFormat/>
    <w:uiPriority w:val="0"/>
    <w:pPr>
      <w:widowControl/>
      <w:spacing w:before="100" w:beforeAutospacing="1" w:after="100" w:afterAutospacing="1"/>
      <w:jc w:val="left"/>
    </w:pPr>
    <w:rPr>
      <w:rFonts w:hint="eastAsia" w:ascii="Arial Unicode MS" w:hAnsi="Arial Unicode MS" w:eastAsia="Arial Unicode MS" w:cs="Arial Unicode MS"/>
      <w:kern w:val="0"/>
      <w:sz w:val="24"/>
      <w:szCs w:val="24"/>
    </w:rPr>
  </w:style>
  <w:style w:type="paragraph" w:customStyle="1" w:styleId="857">
    <w:name w:val="公文标题"/>
    <w:basedOn w:val="4"/>
    <w:autoRedefine/>
    <w:qFormat/>
    <w:uiPriority w:val="0"/>
    <w:pPr>
      <w:widowControl w:val="0"/>
      <w:tabs>
        <w:tab w:val="left" w:pos="360"/>
        <w:tab w:val="center" w:pos="4819"/>
        <w:tab w:val="left" w:pos="7635"/>
      </w:tabs>
      <w:spacing w:before="480"/>
      <w:ind w:left="720" w:hanging="432"/>
    </w:pPr>
    <w:rPr>
      <w:rFonts w:ascii="宋体" w:hAnsi="宋体"/>
      <w:sz w:val="28"/>
      <w:szCs w:val="28"/>
    </w:rPr>
  </w:style>
  <w:style w:type="paragraph" w:customStyle="1" w:styleId="858">
    <w:name w:val="xl414"/>
    <w:basedOn w:val="1"/>
    <w:autoRedefine/>
    <w:qFormat/>
    <w:uiPriority w:val="0"/>
    <w:pPr>
      <w:widowControl/>
      <w:pBdr>
        <w:top w:val="single" w:color="000000" w:sz="4" w:space="0"/>
        <w:left w:val="single" w:color="000000" w:sz="4" w:space="0"/>
        <w:bottom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859">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color w:val="000000"/>
      <w:kern w:val="0"/>
      <w:sz w:val="20"/>
    </w:rPr>
  </w:style>
  <w:style w:type="paragraph" w:customStyle="1" w:styleId="860">
    <w:name w:val="发文落款"/>
    <w:basedOn w:val="130"/>
    <w:autoRedefine/>
    <w:qFormat/>
    <w:uiPriority w:val="0"/>
    <w:pPr>
      <w:ind w:left="4094" w:right="607" w:firstLine="0"/>
      <w:jc w:val="center"/>
    </w:pPr>
    <w:rPr>
      <w:rFonts w:cstheme="minorBidi"/>
      <w:kern w:val="2"/>
      <w:szCs w:val="22"/>
    </w:rPr>
  </w:style>
  <w:style w:type="paragraph" w:customStyle="1" w:styleId="861">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b/>
      <w:bCs/>
      <w:kern w:val="0"/>
      <w:sz w:val="20"/>
    </w:rPr>
  </w:style>
  <w:style w:type="paragraph" w:customStyle="1" w:styleId="862">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863">
    <w:name w:val="xl201"/>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left"/>
    </w:pPr>
    <w:rPr>
      <w:rFonts w:ascii="宋体" w:hAnsi="宋体" w:cs="宋体"/>
      <w:kern w:val="0"/>
      <w:sz w:val="24"/>
      <w:szCs w:val="24"/>
    </w:rPr>
  </w:style>
  <w:style w:type="paragraph" w:customStyle="1" w:styleId="864">
    <w:name w:val="xl210"/>
    <w:basedOn w:val="1"/>
    <w:autoRedefine/>
    <w:qFormat/>
    <w:uiPriority w:val="0"/>
    <w:pPr>
      <w:widowControl/>
      <w:pBdr>
        <w:left w:val="single" w:color="auto" w:sz="4" w:space="0"/>
        <w:right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865">
    <w:name w:val="xl181"/>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right"/>
    </w:pPr>
    <w:rPr>
      <w:rFonts w:ascii="宋体" w:hAnsi="宋体" w:cs="宋体"/>
      <w:b/>
      <w:bCs/>
      <w:kern w:val="0"/>
      <w:sz w:val="18"/>
      <w:szCs w:val="18"/>
    </w:rPr>
  </w:style>
  <w:style w:type="paragraph" w:customStyle="1" w:styleId="866">
    <w:name w:val="xl211"/>
    <w:basedOn w:val="1"/>
    <w:autoRedefine/>
    <w:qFormat/>
    <w:uiPriority w:val="0"/>
    <w:pPr>
      <w:widowControl/>
      <w:pBdr>
        <w:top w:val="single" w:color="auto" w:sz="4" w:space="0"/>
        <w:left w:val="double" w:color="auto" w:sz="6" w:space="0"/>
        <w:bottom w:val="single" w:color="auto" w:sz="4" w:space="0"/>
      </w:pBdr>
      <w:shd w:val="clear" w:color="auto" w:fill="FFFFFF"/>
      <w:spacing w:before="100" w:beforeAutospacing="1" w:after="100" w:afterAutospacing="1"/>
      <w:jc w:val="left"/>
    </w:pPr>
    <w:rPr>
      <w:rFonts w:ascii="宋体" w:hAnsi="宋体" w:cs="宋体"/>
      <w:b/>
      <w:bCs/>
      <w:kern w:val="0"/>
      <w:sz w:val="20"/>
    </w:rPr>
  </w:style>
  <w:style w:type="paragraph" w:customStyle="1" w:styleId="867">
    <w:name w:val="xl109"/>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868">
    <w:name w:val="xl18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869">
    <w:name w:val="xl21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870">
    <w:name w:val="xl254"/>
    <w:basedOn w:val="1"/>
    <w:autoRedefine/>
    <w:qFormat/>
    <w:uiPriority w:val="0"/>
    <w:pPr>
      <w:widowControl/>
      <w:pBdr>
        <w:top w:val="single" w:color="auto" w:sz="4" w:space="0"/>
        <w:left w:val="double" w:color="auto" w:sz="6" w:space="0"/>
        <w:bottom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871">
    <w:name w:val="xl209"/>
    <w:basedOn w:val="1"/>
    <w:autoRedefine/>
    <w:qFormat/>
    <w:uiPriority w:val="0"/>
    <w:pPr>
      <w:widowControl/>
      <w:pBdr>
        <w:top w:val="single" w:color="auto" w:sz="4" w:space="0"/>
        <w:left w:val="double" w:color="auto" w:sz="6" w:space="0"/>
        <w:bottom w:val="single" w:color="auto" w:sz="4" w:space="0"/>
      </w:pBdr>
      <w:spacing w:before="100" w:beforeAutospacing="1" w:after="100" w:afterAutospacing="1"/>
      <w:jc w:val="left"/>
    </w:pPr>
    <w:rPr>
      <w:rFonts w:ascii="宋体" w:hAnsi="宋体" w:cs="宋体"/>
      <w:b/>
      <w:bCs/>
      <w:kern w:val="0"/>
      <w:sz w:val="20"/>
    </w:rPr>
  </w:style>
  <w:style w:type="paragraph" w:customStyle="1" w:styleId="872">
    <w:name w:val="xl270"/>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right"/>
    </w:pPr>
    <w:rPr>
      <w:rFonts w:ascii="宋体" w:hAnsi="宋体" w:cs="宋体"/>
      <w:b/>
      <w:bCs/>
      <w:kern w:val="0"/>
      <w:sz w:val="18"/>
      <w:szCs w:val="18"/>
    </w:rPr>
  </w:style>
  <w:style w:type="paragraph" w:customStyle="1" w:styleId="873">
    <w:name w:val="Char3"/>
    <w:basedOn w:val="1"/>
    <w:autoRedefine/>
    <w:qFormat/>
    <w:uiPriority w:val="99"/>
    <w:pPr>
      <w:ind w:left="567" w:hanging="279"/>
    </w:pPr>
    <w:rPr>
      <w:sz w:val="24"/>
      <w:szCs w:val="24"/>
    </w:rPr>
  </w:style>
  <w:style w:type="paragraph" w:customStyle="1" w:styleId="874">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b/>
      <w:bCs/>
      <w:kern w:val="0"/>
      <w:sz w:val="20"/>
    </w:rPr>
  </w:style>
  <w:style w:type="paragraph" w:customStyle="1" w:styleId="875">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000000"/>
      <w:kern w:val="0"/>
      <w:sz w:val="20"/>
    </w:rPr>
  </w:style>
  <w:style w:type="paragraph" w:customStyle="1" w:styleId="876">
    <w:name w:val="xl5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color w:val="FF0000"/>
      <w:kern w:val="0"/>
      <w:sz w:val="20"/>
    </w:rPr>
  </w:style>
  <w:style w:type="paragraph" w:customStyle="1" w:styleId="877">
    <w:name w:val="font0"/>
    <w:basedOn w:val="1"/>
    <w:autoRedefine/>
    <w:qFormat/>
    <w:uiPriority w:val="0"/>
    <w:pPr>
      <w:widowControl/>
      <w:spacing w:before="100" w:beforeAutospacing="1" w:after="100" w:afterAutospacing="1"/>
      <w:jc w:val="left"/>
    </w:pPr>
    <w:rPr>
      <w:rFonts w:hint="eastAsia" w:ascii="宋体" w:hAnsi="宋体"/>
      <w:kern w:val="0"/>
      <w:sz w:val="24"/>
      <w:szCs w:val="24"/>
    </w:rPr>
  </w:style>
  <w:style w:type="paragraph" w:customStyle="1" w:styleId="878">
    <w:name w:val="a1"/>
    <w:basedOn w:val="1"/>
    <w:autoRedefine/>
    <w:qFormat/>
    <w:uiPriority w:val="0"/>
    <w:pPr>
      <w:widowControl/>
      <w:spacing w:line="360" w:lineRule="auto"/>
      <w:ind w:firstLine="629"/>
    </w:pPr>
    <w:rPr>
      <w:rFonts w:ascii="仿宋_GB2312" w:hAnsi="宋体" w:eastAsia="仿宋_GB2312" w:cs="宋体"/>
      <w:color w:val="000000"/>
      <w:kern w:val="0"/>
      <w:sz w:val="32"/>
      <w:szCs w:val="32"/>
    </w:rPr>
  </w:style>
  <w:style w:type="paragraph" w:customStyle="1" w:styleId="879">
    <w:name w:val="20"/>
    <w:basedOn w:val="1"/>
    <w:autoRedefine/>
    <w:qFormat/>
    <w:uiPriority w:val="0"/>
    <w:pPr>
      <w:widowControl/>
      <w:spacing w:line="360" w:lineRule="auto"/>
    </w:pPr>
    <w:rPr>
      <w:rFonts w:ascii="宋体" w:hAnsi="宋体" w:cs="宋体"/>
      <w:kern w:val="0"/>
      <w:szCs w:val="21"/>
    </w:rPr>
  </w:style>
  <w:style w:type="paragraph" w:customStyle="1" w:styleId="880">
    <w:name w:val="样式 (西文) 宋体 四号 首行缩进:  2 字符1"/>
    <w:basedOn w:val="1"/>
    <w:autoRedefine/>
    <w:qFormat/>
    <w:uiPriority w:val="0"/>
    <w:pPr>
      <w:spacing w:line="360" w:lineRule="auto"/>
      <w:ind w:firstLine="480" w:firstLineChars="200"/>
    </w:pPr>
    <w:rPr>
      <w:rFonts w:ascii="宋体" w:hAnsi="宋体" w:cs="宋体"/>
      <w:sz w:val="24"/>
      <w:szCs w:val="24"/>
    </w:rPr>
  </w:style>
  <w:style w:type="paragraph" w:customStyle="1" w:styleId="881">
    <w:name w:val="xl162"/>
    <w:basedOn w:val="1"/>
    <w:autoRedefine/>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882">
    <w:name w:val="xl23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883">
    <w:name w:val="表格文本"/>
    <w:autoRedefine/>
    <w:qFormat/>
    <w:uiPriority w:val="0"/>
    <w:pPr>
      <w:widowControl w:val="0"/>
      <w:adjustRightInd w:val="0"/>
      <w:snapToGrid w:val="0"/>
      <w:spacing w:line="300" w:lineRule="exact"/>
      <w:jc w:val="both"/>
    </w:pPr>
    <w:rPr>
      <w:rFonts w:ascii="Arial" w:hAnsi="Arial" w:eastAsia="楷体_GB2312" w:cs="Arial"/>
      <w:kern w:val="2"/>
      <w:sz w:val="21"/>
      <w:szCs w:val="21"/>
      <w:lang w:val="en-US" w:eastAsia="zh-CN" w:bidi="ar-SA"/>
    </w:rPr>
  </w:style>
  <w:style w:type="paragraph" w:customStyle="1" w:styleId="884">
    <w:name w:val="&gt;1:enum3 -:enum"/>
    <w:basedOn w:val="1"/>
    <w:autoRedefine/>
    <w:qFormat/>
    <w:uiPriority w:val="0"/>
    <w:pPr>
      <w:widowControl/>
      <w:tabs>
        <w:tab w:val="left" w:pos="1060"/>
        <w:tab w:val="left" w:pos="1418"/>
      </w:tabs>
      <w:spacing w:before="50" w:after="50" w:line="280" w:lineRule="exact"/>
      <w:ind w:left="851" w:hanging="284"/>
      <w:jc w:val="left"/>
    </w:pPr>
    <w:rPr>
      <w:rFonts w:ascii="Arial" w:hAnsi="Arial"/>
      <w:kern w:val="0"/>
      <w:sz w:val="20"/>
      <w:lang w:eastAsia="fr-FR" w:bidi="en-US"/>
    </w:rPr>
  </w:style>
  <w:style w:type="paragraph" w:customStyle="1" w:styleId="885">
    <w:name w:val="列表框2"/>
    <w:basedOn w:val="140"/>
    <w:autoRedefine/>
    <w:qFormat/>
    <w:uiPriority w:val="0"/>
    <w:pPr>
      <w:numPr>
        <w:ilvl w:val="0"/>
        <w:numId w:val="8"/>
      </w:numPr>
      <w:tabs>
        <w:tab w:val="left" w:pos="480"/>
        <w:tab w:val="left" w:pos="720"/>
        <w:tab w:val="left" w:pos="780"/>
        <w:tab w:val="clear" w:pos="2896"/>
        <w:tab w:val="clear" w:pos="795"/>
      </w:tabs>
      <w:ind w:left="880" w:leftChars="700" w:right="-11" w:hanging="180" w:hangingChars="180"/>
    </w:pPr>
    <w:rPr>
      <w:rFonts w:cstheme="minorBidi"/>
      <w:szCs w:val="22"/>
    </w:rPr>
  </w:style>
  <w:style w:type="paragraph" w:customStyle="1" w:styleId="886">
    <w:name w:val="简单回函地址"/>
    <w:basedOn w:val="1"/>
    <w:autoRedefine/>
    <w:qFormat/>
    <w:uiPriority w:val="0"/>
    <w:rPr>
      <w:szCs w:val="24"/>
    </w:rPr>
  </w:style>
  <w:style w:type="paragraph" w:customStyle="1" w:styleId="887">
    <w:name w:val="样式 居中"/>
    <w:basedOn w:val="1"/>
    <w:autoRedefine/>
    <w:qFormat/>
    <w:uiPriority w:val="0"/>
    <w:pPr>
      <w:spacing w:line="360" w:lineRule="auto"/>
      <w:jc w:val="center"/>
    </w:pPr>
  </w:style>
  <w:style w:type="paragraph" w:customStyle="1" w:styleId="888">
    <w:name w:val="图形布置"/>
    <w:basedOn w:val="1"/>
    <w:autoRedefine/>
    <w:qFormat/>
    <w:uiPriority w:val="0"/>
    <w:pPr>
      <w:jc w:val="center"/>
    </w:pPr>
    <w:rPr>
      <w:rFonts w:cs="宋体"/>
      <w:kern w:val="0"/>
    </w:rPr>
  </w:style>
  <w:style w:type="paragraph" w:customStyle="1" w:styleId="889">
    <w:name w:val="a0"/>
    <w:basedOn w:val="1"/>
    <w:autoRedefine/>
    <w:qFormat/>
    <w:uiPriority w:val="0"/>
    <w:pPr>
      <w:widowControl/>
    </w:pPr>
    <w:rPr>
      <w:rFonts w:ascii="仿宋_GB2312" w:hAnsi="宋体" w:eastAsia="仿宋_GB2312" w:cs="宋体"/>
      <w:kern w:val="0"/>
      <w:sz w:val="30"/>
      <w:szCs w:val="30"/>
    </w:rPr>
  </w:style>
  <w:style w:type="paragraph" w:customStyle="1" w:styleId="890">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891">
    <w:name w:val="xl245"/>
    <w:basedOn w:val="1"/>
    <w:autoRedefine/>
    <w:qFormat/>
    <w:uiPriority w:val="0"/>
    <w:pPr>
      <w:widowControl/>
      <w:pBdr>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892">
    <w:name w:val="Body text 1"/>
    <w:basedOn w:val="232"/>
    <w:autoRedefine/>
    <w:qFormat/>
    <w:uiPriority w:val="0"/>
    <w:pPr>
      <w:tabs>
        <w:tab w:val="left" w:pos="1134"/>
      </w:tabs>
      <w:autoSpaceDE w:val="0"/>
      <w:autoSpaceDN w:val="0"/>
      <w:adjustRightInd w:val="0"/>
      <w:spacing w:before="170" w:line="300" w:lineRule="atLeast"/>
      <w:ind w:left="1134" w:hanging="1134"/>
    </w:pPr>
    <w:rPr>
      <w:rFonts w:ascii="Times New Roman"/>
      <w:sz w:val="24"/>
    </w:rPr>
  </w:style>
  <w:style w:type="paragraph" w:customStyle="1" w:styleId="893">
    <w:name w:val="p17"/>
    <w:basedOn w:val="1"/>
    <w:autoRedefine/>
    <w:qFormat/>
    <w:uiPriority w:val="0"/>
    <w:pPr>
      <w:widowControl/>
      <w:spacing w:after="120"/>
    </w:pPr>
    <w:rPr>
      <w:rFonts w:eastAsia="Arial Unicode MS"/>
      <w:kern w:val="0"/>
      <w:szCs w:val="21"/>
    </w:rPr>
  </w:style>
  <w:style w:type="paragraph" w:customStyle="1" w:styleId="894">
    <w:name w:val="xl185"/>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895">
    <w:name w:val="xl21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896">
    <w:name w:val="xl169"/>
    <w:basedOn w:val="1"/>
    <w:autoRedefine/>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897">
    <w:name w:val="xl234"/>
    <w:basedOn w:val="1"/>
    <w:autoRedefine/>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898">
    <w:name w:val="标准封面/目次/前言"/>
    <w:basedOn w:val="1"/>
    <w:autoRedefine/>
    <w:qFormat/>
    <w:uiPriority w:val="0"/>
    <w:pPr>
      <w:adjustRightInd w:val="0"/>
      <w:spacing w:line="312" w:lineRule="atLeast"/>
      <w:jc w:val="center"/>
      <w:textAlignment w:val="baseline"/>
    </w:pPr>
    <w:rPr>
      <w:rFonts w:ascii="隶书"/>
      <w:kern w:val="0"/>
      <w:sz w:val="84"/>
      <w:szCs w:val="84"/>
    </w:rPr>
  </w:style>
  <w:style w:type="paragraph" w:customStyle="1" w:styleId="899">
    <w:name w:val="xl208"/>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900">
    <w:name w:val="xl213"/>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rPr>
  </w:style>
  <w:style w:type="paragraph" w:customStyle="1" w:styleId="901">
    <w:name w:val="xl168"/>
    <w:basedOn w:val="1"/>
    <w:autoRedefine/>
    <w:qFormat/>
    <w:uiPriority w:val="0"/>
    <w:pPr>
      <w:widowControl/>
      <w:pBdr>
        <w:top w:val="single" w:color="auto" w:sz="4" w:space="0"/>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902">
    <w:name w:val="xl129"/>
    <w:basedOn w:val="1"/>
    <w:autoRedefine/>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903">
    <w:name w:val="xl18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904">
    <w:name w:val="xl248"/>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905">
    <w:name w:val="投标-表格文字"/>
    <w:basedOn w:val="1"/>
    <w:autoRedefine/>
    <w:qFormat/>
    <w:uiPriority w:val="0"/>
    <w:pPr>
      <w:adjustRightInd w:val="0"/>
      <w:textAlignment w:val="baseline"/>
    </w:pPr>
    <w:rPr>
      <w:sz w:val="24"/>
      <w:szCs w:val="24"/>
    </w:rPr>
  </w:style>
  <w:style w:type="paragraph" w:customStyle="1" w:styleId="906">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b/>
      <w:bCs/>
      <w:kern w:val="0"/>
      <w:sz w:val="24"/>
      <w:szCs w:val="24"/>
    </w:rPr>
  </w:style>
  <w:style w:type="paragraph" w:customStyle="1" w:styleId="907">
    <w:name w:val="样式 三号 加粗 居中"/>
    <w:basedOn w:val="1"/>
    <w:autoRedefine/>
    <w:qFormat/>
    <w:uiPriority w:val="0"/>
    <w:pPr>
      <w:spacing w:line="360" w:lineRule="auto"/>
      <w:jc w:val="center"/>
    </w:pPr>
    <w:rPr>
      <w:b/>
      <w:bCs/>
      <w:sz w:val="32"/>
    </w:rPr>
  </w:style>
  <w:style w:type="paragraph" w:customStyle="1" w:styleId="908">
    <w:name w:val="Char Char Char Char Char Char Char Char Char Char Char Char Char Char Char Char Char Char Char Char Char Char Char Char Char Char Char Char Char Char1 Char Char Char Char Char Char Char"/>
    <w:basedOn w:val="1"/>
    <w:autoRedefine/>
    <w:qFormat/>
    <w:uiPriority w:val="0"/>
    <w:pPr>
      <w:tabs>
        <w:tab w:val="left" w:pos="720"/>
      </w:tabs>
      <w:ind w:left="720" w:hanging="720"/>
    </w:pPr>
    <w:rPr>
      <w:sz w:val="24"/>
      <w:szCs w:val="24"/>
    </w:rPr>
  </w:style>
  <w:style w:type="paragraph" w:customStyle="1" w:styleId="909">
    <w:name w:val="标题 5，"/>
    <w:basedOn w:val="7"/>
    <w:autoRedefine/>
    <w:qFormat/>
    <w:uiPriority w:val="0"/>
    <w:pPr>
      <w:widowControl w:val="0"/>
      <w:spacing w:before="480" w:line="376" w:lineRule="auto"/>
      <w:ind w:left="720" w:hanging="432"/>
      <w:jc w:val="both"/>
    </w:pPr>
    <w:rPr>
      <w:rFonts w:ascii="Times New Roman" w:hAnsi="Times New Roman"/>
      <w:bCs/>
      <w:sz w:val="28"/>
      <w:szCs w:val="28"/>
    </w:rPr>
  </w:style>
  <w:style w:type="paragraph" w:customStyle="1" w:styleId="910">
    <w:name w:val="xl7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11">
    <w:name w:val="内部地址"/>
    <w:basedOn w:val="1"/>
    <w:autoRedefine/>
    <w:qFormat/>
    <w:uiPriority w:val="0"/>
  </w:style>
  <w:style w:type="paragraph" w:customStyle="1" w:styleId="912">
    <w:name w:val="t1"/>
    <w:basedOn w:val="1"/>
    <w:autoRedefine/>
    <w:qFormat/>
    <w:uiPriority w:val="0"/>
    <w:pPr>
      <w:numPr>
        <w:ilvl w:val="0"/>
        <w:numId w:val="9"/>
      </w:numPr>
      <w:tabs>
        <w:tab w:val="left" w:pos="879"/>
        <w:tab w:val="clear" w:pos="644"/>
      </w:tabs>
      <w:spacing w:after="120" w:line="360" w:lineRule="auto"/>
      <w:ind w:left="1155" w:hanging="215"/>
    </w:pPr>
    <w:rPr>
      <w:rFonts w:ascii="宋体"/>
      <w:sz w:val="24"/>
    </w:rPr>
  </w:style>
  <w:style w:type="paragraph" w:customStyle="1" w:styleId="913">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14">
    <w:name w:val="Char Char Char Char Char Char Char Char Char Char Char Char Char"/>
    <w:basedOn w:val="1"/>
    <w:autoRedefine/>
    <w:qFormat/>
    <w:uiPriority w:val="0"/>
    <w:pPr>
      <w:ind w:left="567" w:hanging="279"/>
    </w:pPr>
    <w:rPr>
      <w:sz w:val="24"/>
      <w:szCs w:val="24"/>
    </w:rPr>
  </w:style>
  <w:style w:type="paragraph" w:customStyle="1" w:styleId="915">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16">
    <w:name w:val="xl21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rPr>
  </w:style>
  <w:style w:type="paragraph" w:customStyle="1" w:styleId="917">
    <w:name w:val="项目符号1"/>
    <w:basedOn w:val="1"/>
    <w:autoRedefine/>
    <w:qFormat/>
    <w:uiPriority w:val="0"/>
    <w:pPr>
      <w:adjustRightInd w:val="0"/>
      <w:spacing w:line="360" w:lineRule="atLeast"/>
      <w:textAlignment w:val="baseline"/>
    </w:pPr>
  </w:style>
  <w:style w:type="paragraph" w:customStyle="1" w:styleId="918">
    <w:name w:val="xl105"/>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6"/>
      <w:szCs w:val="16"/>
    </w:rPr>
  </w:style>
  <w:style w:type="paragraph" w:customStyle="1" w:styleId="919">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20">
    <w:name w:val="目录标题"/>
    <w:basedOn w:val="1"/>
    <w:autoRedefine/>
    <w:qFormat/>
    <w:uiPriority w:val="0"/>
    <w:pPr>
      <w:spacing w:afterLines="100"/>
      <w:jc w:val="center"/>
    </w:pPr>
    <w:rPr>
      <w:rFonts w:ascii="黑体" w:eastAsia="黑体"/>
      <w:kern w:val="0"/>
      <w:sz w:val="32"/>
      <w:szCs w:val="32"/>
    </w:rPr>
  </w:style>
  <w:style w:type="paragraph" w:customStyle="1" w:styleId="921">
    <w:name w:val="xl5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922">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23">
    <w:name w:val="xl17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4">
    <w:name w:val="xl262"/>
    <w:basedOn w:val="1"/>
    <w:autoRedefine/>
    <w:qFormat/>
    <w:uiPriority w:val="0"/>
    <w:pPr>
      <w:widowControl/>
      <w:pBdr>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25">
    <w:name w:val="xl165"/>
    <w:basedOn w:val="1"/>
    <w:autoRedefine/>
    <w:qFormat/>
    <w:uiPriority w:val="0"/>
    <w:pPr>
      <w:widowControl/>
      <w:pBdr>
        <w:left w:val="single" w:color="auto" w:sz="4" w:space="0"/>
        <w:right w:val="double" w:color="auto" w:sz="6" w:space="0"/>
      </w:pBdr>
      <w:spacing w:before="100" w:beforeAutospacing="1" w:after="100" w:afterAutospacing="1"/>
      <w:textAlignment w:val="top"/>
    </w:pPr>
    <w:rPr>
      <w:kern w:val="0"/>
      <w:sz w:val="18"/>
      <w:szCs w:val="18"/>
    </w:rPr>
  </w:style>
  <w:style w:type="paragraph" w:styleId="926">
    <w:name w:val="No Spacing"/>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27">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28">
    <w:name w:val="xl163"/>
    <w:basedOn w:val="1"/>
    <w:autoRedefine/>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929">
    <w:name w:val="60"/>
    <w:basedOn w:val="1"/>
    <w:autoRedefine/>
    <w:qFormat/>
    <w:uiPriority w:val="0"/>
    <w:pPr>
      <w:widowControl/>
      <w:spacing w:line="360" w:lineRule="auto"/>
      <w:jc w:val="center"/>
    </w:pPr>
    <w:rPr>
      <w:kern w:val="0"/>
      <w:szCs w:val="21"/>
    </w:rPr>
  </w:style>
  <w:style w:type="paragraph" w:customStyle="1" w:styleId="930">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31">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32">
    <w:name w:val="xl9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33">
    <w:name w:val="a6"/>
    <w:basedOn w:val="1"/>
    <w:autoRedefine/>
    <w:qFormat/>
    <w:uiPriority w:val="0"/>
    <w:pPr>
      <w:widowControl/>
      <w:jc w:val="center"/>
    </w:pPr>
    <w:rPr>
      <w:rFonts w:ascii="隶书" w:hAnsi="宋体" w:eastAsia="隶书" w:cs="宋体"/>
      <w:kern w:val="0"/>
      <w:sz w:val="84"/>
      <w:szCs w:val="84"/>
    </w:rPr>
  </w:style>
  <w:style w:type="paragraph" w:customStyle="1" w:styleId="934">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935">
    <w:name w:val="a8"/>
    <w:basedOn w:val="1"/>
    <w:autoRedefine/>
    <w:qFormat/>
    <w:uiPriority w:val="0"/>
    <w:pPr>
      <w:widowControl/>
    </w:pPr>
    <w:rPr>
      <w:kern w:val="0"/>
      <w:szCs w:val="21"/>
    </w:rPr>
  </w:style>
  <w:style w:type="paragraph" w:customStyle="1" w:styleId="936">
    <w:name w:val="p15"/>
    <w:basedOn w:val="1"/>
    <w:autoRedefine/>
    <w:qFormat/>
    <w:uiPriority w:val="0"/>
    <w:pPr>
      <w:widowControl/>
      <w:spacing w:line="360" w:lineRule="auto"/>
      <w:jc w:val="center"/>
    </w:pPr>
    <w:rPr>
      <w:rFonts w:eastAsia="Arial Unicode MS"/>
      <w:kern w:val="0"/>
      <w:szCs w:val="21"/>
    </w:rPr>
  </w:style>
  <w:style w:type="paragraph" w:customStyle="1" w:styleId="937">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938">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39">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940">
    <w:name w:val="char10"/>
    <w:basedOn w:val="1"/>
    <w:autoRedefine/>
    <w:qFormat/>
    <w:uiPriority w:val="0"/>
    <w:pPr>
      <w:widowControl/>
    </w:pPr>
    <w:rPr>
      <w:kern w:val="0"/>
      <w:szCs w:val="21"/>
    </w:rPr>
  </w:style>
  <w:style w:type="paragraph" w:customStyle="1" w:styleId="941">
    <w:name w:val="xl146"/>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18"/>
      <w:szCs w:val="18"/>
    </w:rPr>
  </w:style>
  <w:style w:type="paragraph" w:customStyle="1" w:styleId="942">
    <w:name w:val="样式 样式 标题 3第二层条第三层论文标题 21.1.1 标题 3Para3Title2h333 bullet + ... + ..."/>
    <w:basedOn w:val="839"/>
    <w:autoRedefine/>
    <w:qFormat/>
    <w:uiPriority w:val="0"/>
    <w:pPr>
      <w:ind w:left="737" w:hanging="737"/>
    </w:pPr>
    <w:rPr>
      <w:szCs w:val="20"/>
    </w:rPr>
  </w:style>
  <w:style w:type="paragraph" w:customStyle="1" w:styleId="943">
    <w:name w:val="&gt; attention"/>
    <w:basedOn w:val="1"/>
    <w:autoRedefine/>
    <w:qFormat/>
    <w:uiPriority w:val="0"/>
    <w:pPr>
      <w:widowControl/>
      <w:spacing w:after="120" w:line="280" w:lineRule="exact"/>
      <w:jc w:val="left"/>
    </w:pPr>
    <w:rPr>
      <w:rFonts w:ascii="Arial" w:hAnsi="Arial"/>
      <w:b/>
      <w:kern w:val="0"/>
      <w:sz w:val="20"/>
      <w:lang w:eastAsia="fr-FR" w:bidi="en-US"/>
    </w:rPr>
  </w:style>
  <w:style w:type="paragraph" w:customStyle="1" w:styleId="944">
    <w:name w:val="xl148"/>
    <w:basedOn w:val="1"/>
    <w:autoRedefine/>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945">
    <w:name w:val="high15"/>
    <w:basedOn w:val="1"/>
    <w:autoRedefine/>
    <w:qFormat/>
    <w:uiPriority w:val="0"/>
    <w:pPr>
      <w:widowControl/>
      <w:spacing w:before="100" w:beforeAutospacing="1" w:after="100" w:afterAutospacing="1" w:line="300" w:lineRule="atLeast"/>
      <w:jc w:val="left"/>
    </w:pPr>
    <w:rPr>
      <w:rFonts w:ascii="Arial Unicode MS" w:hAnsi="Arial Unicode MS" w:eastAsia="Arial Unicode MS" w:cs="Arial Unicode MS"/>
      <w:kern w:val="0"/>
      <w:sz w:val="18"/>
      <w:szCs w:val="18"/>
    </w:rPr>
  </w:style>
  <w:style w:type="paragraph" w:customStyle="1" w:styleId="946">
    <w:name w:val="样式 样式 标题 2标题 1.1第一层条第二层论文标题 1Para2Title1H2h22l2list + ch...1 + 右..."/>
    <w:basedOn w:val="133"/>
    <w:autoRedefine/>
    <w:qFormat/>
    <w:uiPriority w:val="0"/>
    <w:pPr>
      <w:spacing w:beforeLines="100" w:afterLines="100"/>
    </w:pPr>
    <w:rPr>
      <w:kern w:val="0"/>
      <w:szCs w:val="20"/>
    </w:rPr>
  </w:style>
  <w:style w:type="paragraph" w:customStyle="1" w:styleId="947">
    <w:name w:val="xl231"/>
    <w:basedOn w:val="1"/>
    <w:autoRedefine/>
    <w:qFormat/>
    <w:uiPriority w:val="0"/>
    <w:pPr>
      <w:widowControl/>
      <w:pBdr>
        <w:top w:val="single" w:color="auto" w:sz="4" w:space="0"/>
        <w:bottom w:val="single" w:color="auto" w:sz="4" w:space="0"/>
      </w:pBdr>
      <w:shd w:val="clear" w:color="auto" w:fill="FFFF99"/>
      <w:spacing w:before="100" w:beforeAutospacing="1" w:after="100" w:afterAutospacing="1"/>
      <w:jc w:val="left"/>
    </w:pPr>
    <w:rPr>
      <w:rFonts w:ascii="宋体" w:hAnsi="宋体" w:cs="宋体"/>
      <w:kern w:val="0"/>
      <w:sz w:val="24"/>
      <w:szCs w:val="24"/>
    </w:rPr>
  </w:style>
  <w:style w:type="paragraph" w:customStyle="1" w:styleId="948">
    <w:name w:val="char"/>
    <w:basedOn w:val="1"/>
    <w:autoRedefine/>
    <w:qFormat/>
    <w:uiPriority w:val="0"/>
    <w:pPr>
      <w:widowControl/>
      <w:ind w:left="567" w:hanging="279"/>
    </w:pPr>
    <w:rPr>
      <w:kern w:val="0"/>
      <w:sz w:val="24"/>
      <w:szCs w:val="24"/>
    </w:rPr>
  </w:style>
  <w:style w:type="paragraph" w:customStyle="1" w:styleId="949">
    <w:name w:val="charcharcharcharcharcharcharcharcharcharcharcharcharcharcharcharcharcharcharcharcharcharcharcharcharcharcharcharcharchar1charcharcharcharcharcharchar"/>
    <w:basedOn w:val="1"/>
    <w:autoRedefine/>
    <w:qFormat/>
    <w:uiPriority w:val="0"/>
    <w:pPr>
      <w:widowControl/>
      <w:ind w:left="720" w:hanging="720"/>
    </w:pPr>
    <w:rPr>
      <w:kern w:val="0"/>
      <w:sz w:val="24"/>
      <w:szCs w:val="24"/>
    </w:rPr>
  </w:style>
  <w:style w:type="paragraph" w:customStyle="1" w:styleId="950">
    <w:name w:val="xl158"/>
    <w:basedOn w:val="1"/>
    <w:autoRedefine/>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4"/>
      <w:szCs w:val="24"/>
    </w:rPr>
  </w:style>
  <w:style w:type="paragraph" w:customStyle="1" w:styleId="951">
    <w:name w:val="p16"/>
    <w:basedOn w:val="1"/>
    <w:autoRedefine/>
    <w:qFormat/>
    <w:uiPriority w:val="0"/>
    <w:pPr>
      <w:widowControl/>
      <w:spacing w:after="120"/>
    </w:pPr>
    <w:rPr>
      <w:rFonts w:eastAsia="Arial Unicode MS"/>
      <w:kern w:val="0"/>
      <w:szCs w:val="21"/>
    </w:rPr>
  </w:style>
  <w:style w:type="paragraph" w:customStyle="1" w:styleId="952">
    <w:name w:val="Char Char Char Char Char Char Char Char Char Char Char Char Char Char Char Char Char Char Char Char Char Char"/>
    <w:basedOn w:val="1"/>
    <w:autoRedefine/>
    <w:qFormat/>
    <w:uiPriority w:val="0"/>
    <w:pPr>
      <w:tabs>
        <w:tab w:val="left" w:pos="360"/>
      </w:tabs>
      <w:ind w:left="360" w:hanging="360" w:hangingChars="200"/>
    </w:pPr>
    <w:rPr>
      <w:szCs w:val="24"/>
    </w:rPr>
  </w:style>
  <w:style w:type="paragraph" w:customStyle="1" w:styleId="953">
    <w:name w:val="xl149"/>
    <w:basedOn w:val="1"/>
    <w:autoRedefine/>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954">
    <w:name w:val="修订3"/>
    <w:autoRedefine/>
    <w:qFormat/>
    <w:uiPriority w:val="99"/>
    <w:rPr>
      <w:rFonts w:ascii="Times New Roman" w:hAnsi="Times New Roman" w:eastAsia="宋体" w:cs="Times New Roman"/>
      <w:kern w:val="2"/>
      <w:sz w:val="21"/>
      <w:lang w:val="en-US" w:eastAsia="zh-CN" w:bidi="ar-SA"/>
    </w:rPr>
  </w:style>
  <w:style w:type="paragraph" w:customStyle="1" w:styleId="955">
    <w:name w:val="heading2"/>
    <w:basedOn w:val="1"/>
    <w:autoRedefine/>
    <w:qFormat/>
    <w:uiPriority w:val="0"/>
    <w:pPr>
      <w:widowControl/>
      <w:spacing w:before="100" w:after="100"/>
      <w:jc w:val="left"/>
    </w:pPr>
    <w:rPr>
      <w:rFonts w:ascii="Arial Unicode MS" w:hAnsi="Arial Unicode MS" w:eastAsia="Arial Unicode MS"/>
      <w:kern w:val="0"/>
      <w:sz w:val="24"/>
      <w:szCs w:val="24"/>
    </w:rPr>
  </w:style>
  <w:style w:type="paragraph" w:customStyle="1" w:styleId="956">
    <w:name w:val="xl144"/>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left"/>
    </w:pPr>
    <w:rPr>
      <w:rFonts w:ascii="宋体" w:hAnsi="宋体" w:cs="宋体"/>
      <w:kern w:val="0"/>
      <w:sz w:val="24"/>
      <w:szCs w:val="24"/>
    </w:rPr>
  </w:style>
  <w:style w:type="paragraph" w:customStyle="1" w:styleId="957">
    <w:name w:val="font12"/>
    <w:basedOn w:val="1"/>
    <w:autoRedefine/>
    <w:qFormat/>
    <w:uiPriority w:val="0"/>
    <w:pPr>
      <w:widowControl/>
      <w:spacing w:before="100" w:beforeAutospacing="1" w:after="100" w:afterAutospacing="1"/>
      <w:jc w:val="left"/>
    </w:pPr>
    <w:rPr>
      <w:rFonts w:eastAsia="Arial Unicode MS"/>
      <w:color w:val="0000FF"/>
      <w:kern w:val="0"/>
      <w:sz w:val="20"/>
    </w:rPr>
  </w:style>
  <w:style w:type="paragraph" w:customStyle="1" w:styleId="958">
    <w:name w:val="&gt;1:enum1 -:enum"/>
    <w:basedOn w:val="1"/>
    <w:autoRedefine/>
    <w:qFormat/>
    <w:uiPriority w:val="0"/>
    <w:pPr>
      <w:widowControl/>
      <w:tabs>
        <w:tab w:val="left" w:pos="352"/>
        <w:tab w:val="left" w:pos="709"/>
        <w:tab w:val="left" w:pos="1061"/>
        <w:tab w:val="left" w:pos="1418"/>
      </w:tabs>
      <w:spacing w:before="50" w:after="50" w:line="280" w:lineRule="exact"/>
      <w:ind w:left="568" w:hanging="284"/>
      <w:jc w:val="left"/>
    </w:pPr>
    <w:rPr>
      <w:rFonts w:ascii="Arial" w:hAnsi="Arial"/>
      <w:kern w:val="0"/>
      <w:position w:val="6"/>
      <w:sz w:val="20"/>
      <w:lang w:eastAsia="fr-FR" w:bidi="en-US"/>
    </w:rPr>
  </w:style>
  <w:style w:type="paragraph" w:customStyle="1" w:styleId="959">
    <w:name w:val="默认段落字体 Para Char Char Char Char"/>
    <w:basedOn w:val="1"/>
    <w:autoRedefine/>
    <w:qFormat/>
    <w:uiPriority w:val="0"/>
    <w:rPr>
      <w:szCs w:val="24"/>
    </w:rPr>
  </w:style>
  <w:style w:type="paragraph" w:customStyle="1" w:styleId="960">
    <w:name w:val="公文抬头"/>
    <w:basedOn w:val="5"/>
    <w:autoRedefine/>
    <w:qFormat/>
    <w:uiPriority w:val="0"/>
    <w:pPr>
      <w:widowControl w:val="0"/>
      <w:ind w:firstLine="0"/>
      <w:jc w:val="both"/>
    </w:pPr>
    <w:rPr>
      <w:rFonts w:ascii="仿宋_GB2312" w:eastAsia="仿宋_GB2312"/>
      <w:kern w:val="2"/>
      <w:sz w:val="30"/>
      <w:szCs w:val="24"/>
    </w:rPr>
  </w:style>
  <w:style w:type="paragraph" w:customStyle="1" w:styleId="961">
    <w:name w:val="Char Char Char Char Char Char Char Char Char Char Char Char Char Char Char Char Char Char Char"/>
    <w:basedOn w:val="1"/>
    <w:autoRedefine/>
    <w:qFormat/>
    <w:uiPriority w:val="0"/>
    <w:pPr>
      <w:widowControl/>
      <w:spacing w:after="160" w:line="240" w:lineRule="exact"/>
      <w:jc w:val="left"/>
    </w:pPr>
    <w:rPr>
      <w:szCs w:val="24"/>
    </w:rPr>
  </w:style>
  <w:style w:type="paragraph" w:customStyle="1" w:styleId="962">
    <w:name w:val="font10"/>
    <w:basedOn w:val="1"/>
    <w:autoRedefine/>
    <w:qFormat/>
    <w:uiPriority w:val="0"/>
    <w:pPr>
      <w:widowControl/>
      <w:spacing w:before="100" w:beforeAutospacing="1" w:after="100" w:afterAutospacing="1"/>
      <w:jc w:val="left"/>
    </w:pPr>
    <w:rPr>
      <w:rFonts w:hint="eastAsia" w:ascii="宋体" w:hAnsi="宋体" w:cs="Arial Unicode MS"/>
      <w:b/>
      <w:bCs/>
      <w:color w:val="000000"/>
      <w:kern w:val="0"/>
      <w:sz w:val="16"/>
      <w:szCs w:val="16"/>
    </w:rPr>
  </w:style>
  <w:style w:type="paragraph" w:customStyle="1" w:styleId="963">
    <w:name w:val="Char Char Char Char Char Char Char Char Char Char Char Char Char Char Char Char Char Char Char Char Char Char Char Char Char Char Char Char"/>
    <w:basedOn w:val="1"/>
    <w:autoRedefine/>
    <w:qFormat/>
    <w:uiPriority w:val="0"/>
    <w:pPr>
      <w:tabs>
        <w:tab w:val="left" w:pos="720"/>
        <w:tab w:val="left" w:pos="1418"/>
      </w:tabs>
      <w:ind w:left="2172" w:hanging="1605"/>
    </w:pPr>
    <w:rPr>
      <w:szCs w:val="24"/>
    </w:rPr>
  </w:style>
  <w:style w:type="paragraph" w:customStyle="1" w:styleId="964">
    <w:name w:val="Char Char Char1 Char"/>
    <w:basedOn w:val="19"/>
    <w:autoRedefine/>
    <w:qFormat/>
    <w:uiPriority w:val="0"/>
    <w:rPr>
      <w:rFonts w:ascii="Tahoma" w:hAnsi="Tahoma"/>
      <w:kern w:val="0"/>
      <w:sz w:val="24"/>
      <w:szCs w:val="24"/>
    </w:rPr>
  </w:style>
  <w:style w:type="paragraph" w:customStyle="1" w:styleId="965">
    <w:name w:val="0"/>
    <w:basedOn w:val="1"/>
    <w:autoRedefine/>
    <w:qFormat/>
    <w:uiPriority w:val="0"/>
    <w:pPr>
      <w:widowControl/>
      <w:snapToGrid w:val="0"/>
      <w:jc w:val="left"/>
    </w:pPr>
    <w:rPr>
      <w:rFonts w:ascii="楷体_GB2312" w:hAnsi="宋体" w:eastAsia="楷体_GB2312" w:cs="宋体"/>
      <w:color w:val="000000"/>
      <w:kern w:val="0"/>
      <w:sz w:val="44"/>
      <w:szCs w:val="44"/>
    </w:rPr>
  </w:style>
  <w:style w:type="paragraph" w:customStyle="1" w:styleId="966">
    <w:name w:val="标题 0"/>
    <w:basedOn w:val="2"/>
    <w:autoRedefine/>
    <w:qFormat/>
    <w:uiPriority w:val="0"/>
    <w:pPr>
      <w:keepNext w:val="0"/>
      <w:widowControl w:val="0"/>
      <w:shd w:val="clear" w:color="auto" w:fill="FFFFFF"/>
      <w:tabs>
        <w:tab w:val="clear" w:pos="885"/>
      </w:tabs>
      <w:autoSpaceDE w:val="0"/>
      <w:autoSpaceDN w:val="0"/>
      <w:adjustRightInd w:val="0"/>
      <w:snapToGrid w:val="0"/>
      <w:spacing w:beforeLines="100"/>
      <w:ind w:left="0" w:firstLine="207" w:firstLineChars="98"/>
      <w:jc w:val="left"/>
    </w:pPr>
    <w:rPr>
      <w:rFonts w:ascii="宋体" w:hAnsi="Times New Roman" w:eastAsia="宋体"/>
      <w:snapToGrid w:val="0"/>
      <w:color w:val="000000"/>
      <w:kern w:val="0"/>
      <w:sz w:val="44"/>
      <w:szCs w:val="20"/>
    </w:rPr>
  </w:style>
  <w:style w:type="paragraph" w:customStyle="1" w:styleId="967">
    <w:name w:val="xl219"/>
    <w:basedOn w:val="1"/>
    <w:autoRedefine/>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968">
    <w:name w:val="xl172"/>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969">
    <w:name w:val="font13"/>
    <w:basedOn w:val="1"/>
    <w:autoRedefine/>
    <w:qFormat/>
    <w:uiPriority w:val="0"/>
    <w:pPr>
      <w:widowControl/>
      <w:spacing w:before="100" w:beforeAutospacing="1" w:after="100" w:afterAutospacing="1"/>
      <w:jc w:val="left"/>
    </w:pPr>
    <w:rPr>
      <w:rFonts w:eastAsia="Arial Unicode MS"/>
      <w:color w:val="FF00FF"/>
      <w:kern w:val="0"/>
      <w:sz w:val="20"/>
    </w:rPr>
  </w:style>
  <w:style w:type="paragraph" w:customStyle="1" w:styleId="970">
    <w:name w:val="xl166"/>
    <w:basedOn w:val="1"/>
    <w:autoRedefine/>
    <w:qFormat/>
    <w:uiPriority w:val="0"/>
    <w:pPr>
      <w:widowControl/>
      <w:pBdr>
        <w:left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971">
    <w:name w:val="charcharchar1char"/>
    <w:basedOn w:val="1"/>
    <w:autoRedefine/>
    <w:qFormat/>
    <w:uiPriority w:val="0"/>
    <w:pPr>
      <w:widowControl/>
      <w:shd w:val="clear" w:color="auto" w:fill="000080"/>
    </w:pPr>
    <w:rPr>
      <w:rFonts w:ascii="Tahoma" w:hAnsi="Tahoma" w:cs="Tahoma"/>
      <w:kern w:val="0"/>
      <w:sz w:val="24"/>
      <w:szCs w:val="24"/>
    </w:rPr>
  </w:style>
  <w:style w:type="paragraph" w:customStyle="1" w:styleId="972">
    <w:name w:val="Tableau_norm2droite"/>
    <w:basedOn w:val="1"/>
    <w:autoRedefine/>
    <w:qFormat/>
    <w:uiPriority w:val="0"/>
    <w:pPr>
      <w:widowControl/>
      <w:spacing w:before="72"/>
      <w:jc w:val="right"/>
    </w:pPr>
    <w:rPr>
      <w:rFonts w:ascii="Arial" w:hAnsi="Arial"/>
      <w:kern w:val="0"/>
      <w:sz w:val="24"/>
      <w:szCs w:val="24"/>
      <w:lang w:eastAsia="fr-FR"/>
    </w:rPr>
  </w:style>
  <w:style w:type="paragraph" w:customStyle="1" w:styleId="973">
    <w:name w:val="xl152"/>
    <w:basedOn w:val="1"/>
    <w:autoRedefine/>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974">
    <w:name w:val="Titre 2 lignes module"/>
    <w:basedOn w:val="1"/>
    <w:autoRedefine/>
    <w:qFormat/>
    <w:uiPriority w:val="0"/>
    <w:pPr>
      <w:widowControl/>
      <w:spacing w:before="120"/>
      <w:jc w:val="center"/>
    </w:pPr>
    <w:rPr>
      <w:rFonts w:ascii="Arial" w:hAnsi="Arial"/>
      <w:b/>
      <w:kern w:val="0"/>
      <w:sz w:val="24"/>
      <w:szCs w:val="24"/>
      <w:lang w:eastAsia="fr-FR"/>
    </w:rPr>
  </w:style>
  <w:style w:type="paragraph" w:customStyle="1" w:styleId="975">
    <w:name w:val="a5"/>
    <w:basedOn w:val="1"/>
    <w:autoRedefine/>
    <w:qFormat/>
    <w:uiPriority w:val="0"/>
    <w:pPr>
      <w:widowControl/>
      <w:spacing w:line="360" w:lineRule="auto"/>
      <w:jc w:val="center"/>
    </w:pPr>
    <w:rPr>
      <w:b/>
      <w:bCs/>
      <w:kern w:val="0"/>
      <w:sz w:val="32"/>
      <w:szCs w:val="32"/>
    </w:rPr>
  </w:style>
  <w:style w:type="paragraph" w:customStyle="1" w:styleId="976">
    <w:name w:val="样式 标题 2标题 1.1第一层条第二层论文标题 1Para2Title1H2h22l2list + ch..."/>
    <w:basedOn w:val="3"/>
    <w:autoRedefine/>
    <w:qFormat/>
    <w:uiPriority w:val="0"/>
    <w:pPr>
      <w:widowControl w:val="0"/>
      <w:adjustRightInd w:val="0"/>
      <w:spacing w:before="0" w:after="0" w:line="360" w:lineRule="auto"/>
      <w:jc w:val="both"/>
      <w:textAlignment w:val="baseline"/>
    </w:pPr>
    <w:rPr>
      <w:rFonts w:cs="宋体"/>
      <w:bCs/>
      <w:color w:val="000000"/>
      <w:sz w:val="20"/>
      <w:szCs w:val="21"/>
    </w:rPr>
  </w:style>
  <w:style w:type="paragraph" w:customStyle="1" w:styleId="977">
    <w:name w:val="bodytext1"/>
    <w:basedOn w:val="1"/>
    <w:autoRedefine/>
    <w:qFormat/>
    <w:uiPriority w:val="0"/>
    <w:pPr>
      <w:widowControl/>
      <w:spacing w:before="170" w:line="300" w:lineRule="atLeast"/>
      <w:ind w:left="1134" w:hanging="1134"/>
    </w:pPr>
    <w:rPr>
      <w:color w:val="000000"/>
      <w:kern w:val="0"/>
      <w:sz w:val="24"/>
      <w:szCs w:val="24"/>
    </w:rPr>
  </w:style>
  <w:style w:type="paragraph" w:customStyle="1" w:styleId="978">
    <w:name w:val="xl260"/>
    <w:basedOn w:val="1"/>
    <w:autoRedefine/>
    <w:qFormat/>
    <w:uiPriority w:val="0"/>
    <w:pPr>
      <w:widowControl/>
      <w:pBdr>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79">
    <w:name w:val="文件标题"/>
    <w:basedOn w:val="1"/>
    <w:autoRedefine/>
    <w:qFormat/>
    <w:uiPriority w:val="0"/>
    <w:pPr>
      <w:spacing w:line="360" w:lineRule="auto"/>
      <w:jc w:val="center"/>
    </w:pPr>
    <w:rPr>
      <w:rFonts w:ascii="华文彩云" w:hAnsi="Swis721 BlkOul BT" w:eastAsia="华文彩云"/>
      <w:kern w:val="0"/>
      <w:sz w:val="72"/>
      <w:szCs w:val="72"/>
    </w:rPr>
  </w:style>
  <w:style w:type="paragraph" w:customStyle="1" w:styleId="980">
    <w:name w:val="xl261"/>
    <w:basedOn w:val="1"/>
    <w:autoRedefine/>
    <w:qFormat/>
    <w:uiPriority w:val="0"/>
    <w:pPr>
      <w:widowControl/>
      <w:pBdr>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81">
    <w:name w:val="首页页眉"/>
    <w:basedOn w:val="41"/>
    <w:autoRedefine/>
    <w:qFormat/>
    <w:uiPriority w:val="0"/>
    <w:pPr>
      <w:widowControl w:val="0"/>
      <w:pBdr>
        <w:bottom w:val="none" w:color="auto" w:sz="0" w:space="0"/>
      </w:pBdr>
      <w:spacing w:line="240" w:lineRule="atLeast"/>
    </w:pPr>
    <w:rPr>
      <w:rFonts w:ascii="Calibri" w:hAnsi="Calibri"/>
      <w:b/>
      <w:kern w:val="0"/>
      <w:szCs w:val="18"/>
    </w:rPr>
  </w:style>
  <w:style w:type="paragraph" w:customStyle="1" w:styleId="982">
    <w:name w:val="xl98"/>
    <w:basedOn w:val="1"/>
    <w:autoRedefine/>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kern w:val="0"/>
      <w:sz w:val="20"/>
    </w:rPr>
  </w:style>
  <w:style w:type="paragraph" w:customStyle="1" w:styleId="983">
    <w:name w:val="xl145"/>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20"/>
    </w:rPr>
  </w:style>
  <w:style w:type="paragraph" w:customStyle="1" w:styleId="984">
    <w:name w:val="落款样式"/>
    <w:basedOn w:val="1"/>
    <w:autoRedefine/>
    <w:qFormat/>
    <w:uiPriority w:val="0"/>
    <w:pPr>
      <w:jc w:val="left"/>
    </w:pPr>
    <w:rPr>
      <w:rFonts w:cs="宋体"/>
      <w:kern w:val="0"/>
      <w:sz w:val="24"/>
    </w:rPr>
  </w:style>
  <w:style w:type="paragraph" w:customStyle="1" w:styleId="985">
    <w:name w:val="Job Title"/>
    <w:next w:val="811"/>
    <w:autoRedefine/>
    <w:qFormat/>
    <w:uiPriority w:val="0"/>
    <w:pPr>
      <w:spacing w:after="60" w:line="220" w:lineRule="atLeast"/>
    </w:pPr>
    <w:rPr>
      <w:rFonts w:ascii="Arial Black" w:hAnsi="Arial Black" w:eastAsia="PMingLiU" w:cs="Times New Roman"/>
      <w:spacing w:val="-10"/>
      <w:lang w:val="en-US" w:eastAsia="en-US" w:bidi="en-US"/>
    </w:rPr>
  </w:style>
  <w:style w:type="paragraph" w:customStyle="1" w:styleId="986">
    <w:name w:val="图形题注"/>
    <w:basedOn w:val="16"/>
    <w:autoRedefine/>
    <w:qFormat/>
    <w:uiPriority w:val="0"/>
    <w:pPr>
      <w:adjustRightInd w:val="0"/>
      <w:spacing w:before="0" w:after="0" w:afterLines="50" w:line="320" w:lineRule="exact"/>
      <w:jc w:val="center"/>
    </w:pPr>
    <w:rPr>
      <w:rFonts w:hint="default" w:eastAsia="楷体_GB2312"/>
      <w:spacing w:val="10"/>
      <w:kern w:val="0"/>
    </w:rPr>
  </w:style>
  <w:style w:type="paragraph" w:customStyle="1" w:styleId="987">
    <w:name w:val="xl186"/>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988">
    <w:name w:val="xl220"/>
    <w:basedOn w:val="1"/>
    <w:autoRedefine/>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989">
    <w:name w:val="xl171"/>
    <w:basedOn w:val="1"/>
    <w:autoRedefine/>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90">
    <w:name w:val="xl157"/>
    <w:basedOn w:val="1"/>
    <w:autoRedefine/>
    <w:qFormat/>
    <w:uiPriority w:val="0"/>
    <w:pPr>
      <w:widowControl/>
      <w:pBdr>
        <w:top w:val="single" w:color="auto" w:sz="4" w:space="0"/>
        <w:left w:val="single" w:color="auto" w:sz="4" w:space="0"/>
      </w:pBdr>
      <w:spacing w:before="100" w:beforeAutospacing="1" w:after="100" w:afterAutospacing="1"/>
      <w:jc w:val="center"/>
    </w:pPr>
    <w:rPr>
      <w:rFonts w:ascii="宋体" w:hAnsi="宋体" w:cs="宋体"/>
      <w:b/>
      <w:bCs/>
      <w:kern w:val="0"/>
      <w:sz w:val="20"/>
    </w:rPr>
  </w:style>
  <w:style w:type="paragraph" w:customStyle="1" w:styleId="991">
    <w:name w:val="font14"/>
    <w:basedOn w:val="1"/>
    <w:autoRedefine/>
    <w:qFormat/>
    <w:uiPriority w:val="0"/>
    <w:pPr>
      <w:widowControl/>
      <w:spacing w:before="100" w:beforeAutospacing="1" w:after="100" w:afterAutospacing="1"/>
      <w:jc w:val="left"/>
    </w:pPr>
    <w:rPr>
      <w:rFonts w:ascii="Arial" w:hAnsi="Arial" w:cs="Arial"/>
      <w:color w:val="000000"/>
      <w:kern w:val="0"/>
      <w:sz w:val="16"/>
      <w:szCs w:val="16"/>
    </w:rPr>
  </w:style>
  <w:style w:type="paragraph" w:customStyle="1" w:styleId="992">
    <w:name w:val="xl256"/>
    <w:basedOn w:val="1"/>
    <w:autoRedefine/>
    <w:qFormat/>
    <w:uiPriority w:val="0"/>
    <w:pPr>
      <w:widowControl/>
      <w:pBdr>
        <w:top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93">
    <w:name w:val="xl173"/>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994">
    <w:name w:val="xl147"/>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995">
    <w:name w:val="表头样式"/>
    <w:basedOn w:val="883"/>
    <w:autoRedefine/>
    <w:qFormat/>
    <w:uiPriority w:val="0"/>
    <w:pPr>
      <w:jc w:val="center"/>
    </w:pPr>
    <w:rPr>
      <w:rFonts w:cs="宋体"/>
      <w:szCs w:val="20"/>
    </w:rPr>
  </w:style>
  <w:style w:type="paragraph" w:customStyle="1" w:styleId="996">
    <w:name w:val="xl187"/>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997">
    <w:name w:val="xl221"/>
    <w:basedOn w:val="1"/>
    <w:autoRedefine/>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pPr>
    <w:rPr>
      <w:rFonts w:ascii="宋体" w:hAnsi="宋体" w:cs="宋体"/>
      <w:kern w:val="0"/>
      <w:sz w:val="18"/>
      <w:szCs w:val="18"/>
    </w:rPr>
  </w:style>
  <w:style w:type="paragraph" w:customStyle="1" w:styleId="998">
    <w:name w:val="xl198"/>
    <w:basedOn w:val="1"/>
    <w:autoRedefine/>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999">
    <w:name w:val="标书原文本"/>
    <w:basedOn w:val="1"/>
    <w:autoRedefine/>
    <w:qFormat/>
    <w:uiPriority w:val="0"/>
    <w:pPr>
      <w:spacing w:afterLines="50" w:line="320" w:lineRule="exact"/>
      <w:ind w:left="720" w:leftChars="300" w:firstLine="420" w:firstLineChars="200"/>
    </w:pPr>
    <w:rPr>
      <w:rFonts w:ascii="Arial" w:hAnsi="Arial" w:cs="宋体"/>
      <w:szCs w:val="21"/>
    </w:rPr>
  </w:style>
  <w:style w:type="paragraph" w:customStyle="1" w:styleId="1000">
    <w:name w:val="font16"/>
    <w:basedOn w:val="1"/>
    <w:autoRedefine/>
    <w:qFormat/>
    <w:uiPriority w:val="0"/>
    <w:pPr>
      <w:widowControl/>
      <w:spacing w:before="100" w:beforeAutospacing="1" w:after="100" w:afterAutospacing="1"/>
      <w:jc w:val="left"/>
    </w:pPr>
    <w:rPr>
      <w:rFonts w:ascii="宋体" w:hAnsi="宋体" w:cs="宋体"/>
      <w:kern w:val="0"/>
      <w:sz w:val="16"/>
      <w:szCs w:val="16"/>
    </w:rPr>
  </w:style>
  <w:style w:type="paragraph" w:customStyle="1" w:styleId="1001">
    <w:name w:val="xl22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02">
    <w:name w:val="xl199"/>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03">
    <w:name w:val="xl115"/>
    <w:basedOn w:val="1"/>
    <w:autoRedefine/>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04">
    <w:name w:val="xl188"/>
    <w:basedOn w:val="1"/>
    <w:autoRedefine/>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1005">
    <w:name w:val="xl232"/>
    <w:basedOn w:val="1"/>
    <w:autoRedefine/>
    <w:qFormat/>
    <w:uiPriority w:val="0"/>
    <w:pPr>
      <w:widowControl/>
      <w:pBdr>
        <w:top w:val="single" w:color="auto" w:sz="4" w:space="0"/>
        <w:bottom w:val="single" w:color="auto" w:sz="4" w:space="0"/>
        <w:right w:val="single" w:color="auto" w:sz="4" w:space="0"/>
      </w:pBdr>
      <w:shd w:val="clear" w:color="auto" w:fill="FFFF99"/>
      <w:spacing w:before="100" w:beforeAutospacing="1" w:after="100" w:afterAutospacing="1"/>
      <w:jc w:val="left"/>
    </w:pPr>
    <w:rPr>
      <w:rFonts w:ascii="宋体" w:hAnsi="宋体" w:cs="宋体"/>
      <w:kern w:val="0"/>
      <w:sz w:val="24"/>
      <w:szCs w:val="24"/>
    </w:rPr>
  </w:style>
  <w:style w:type="paragraph" w:customStyle="1" w:styleId="1006">
    <w:name w:val="xl17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1007">
    <w:name w:val="xl226"/>
    <w:basedOn w:val="1"/>
    <w:autoRedefine/>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1008">
    <w:name w:val="xl18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009">
    <w:name w:val="xl235"/>
    <w:basedOn w:val="1"/>
    <w:autoRedefine/>
    <w:qFormat/>
    <w:uiPriority w:val="0"/>
    <w:pPr>
      <w:widowControl/>
      <w:pBdr>
        <w:top w:val="single" w:color="auto" w:sz="4" w:space="0"/>
        <w:bottom w:val="single" w:color="auto" w:sz="4" w:space="0"/>
      </w:pBdr>
      <w:shd w:val="clear" w:color="auto" w:fill="FFFF99"/>
      <w:spacing w:before="100" w:beforeAutospacing="1" w:after="100" w:afterAutospacing="1"/>
      <w:jc w:val="left"/>
      <w:textAlignment w:val="center"/>
    </w:pPr>
    <w:rPr>
      <w:rFonts w:ascii="宋体" w:hAnsi="宋体" w:cs="宋体"/>
      <w:kern w:val="0"/>
      <w:sz w:val="24"/>
      <w:szCs w:val="24"/>
    </w:rPr>
  </w:style>
  <w:style w:type="paragraph" w:customStyle="1" w:styleId="1010">
    <w:name w:val="xl177"/>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18"/>
      <w:szCs w:val="18"/>
    </w:rPr>
  </w:style>
  <w:style w:type="paragraph" w:customStyle="1" w:styleId="1011">
    <w:name w:val="表格题注"/>
    <w:basedOn w:val="16"/>
    <w:autoRedefine/>
    <w:qFormat/>
    <w:uiPriority w:val="0"/>
    <w:pPr>
      <w:adjustRightInd w:val="0"/>
      <w:spacing w:before="0" w:after="0" w:afterLines="50" w:line="320" w:lineRule="exact"/>
    </w:pPr>
    <w:rPr>
      <w:rFonts w:hint="default" w:eastAsia="楷体_GB2312"/>
      <w:spacing w:val="10"/>
      <w:kern w:val="0"/>
    </w:rPr>
  </w:style>
  <w:style w:type="paragraph" w:customStyle="1" w:styleId="1012">
    <w:name w:val="xl19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13">
    <w:name w:val="xl236"/>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1014">
    <w:name w:val="xl18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1015">
    <w:name w:val="xl104"/>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6"/>
      <w:szCs w:val="16"/>
    </w:rPr>
  </w:style>
  <w:style w:type="paragraph" w:customStyle="1" w:styleId="1016">
    <w:name w:val="xl134"/>
    <w:basedOn w:val="1"/>
    <w:autoRedefine/>
    <w:qFormat/>
    <w:uiPriority w:val="0"/>
    <w:pPr>
      <w:widowControl/>
      <w:pBdr>
        <w:left w:val="single" w:color="auto" w:sz="4" w:space="0"/>
        <w:right w:val="single" w:color="auto" w:sz="4" w:space="0"/>
      </w:pBdr>
      <w:spacing w:before="100" w:beforeAutospacing="1" w:after="100" w:afterAutospacing="1"/>
      <w:jc w:val="center"/>
    </w:pPr>
    <w:rPr>
      <w:kern w:val="0"/>
      <w:sz w:val="18"/>
      <w:szCs w:val="18"/>
    </w:rPr>
  </w:style>
  <w:style w:type="paragraph" w:customStyle="1" w:styleId="1017">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18">
    <w:name w:val="xl223"/>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19">
    <w:name w:val="样式 只在字下加下划线 首行缩进:  2 字符"/>
    <w:basedOn w:val="1"/>
    <w:autoRedefine/>
    <w:qFormat/>
    <w:uiPriority w:val="0"/>
    <w:pPr>
      <w:spacing w:before="120" w:line="420" w:lineRule="atLeast"/>
      <w:ind w:left="600" w:leftChars="600" w:firstLine="200" w:firstLineChars="200"/>
    </w:pPr>
    <w:rPr>
      <w:rFonts w:cs="宋体"/>
      <w:sz w:val="24"/>
      <w:u w:val="words"/>
    </w:rPr>
  </w:style>
  <w:style w:type="paragraph" w:customStyle="1" w:styleId="1020">
    <w:name w:val="标书条款"/>
    <w:basedOn w:val="999"/>
    <w:next w:val="999"/>
    <w:autoRedefine/>
    <w:qFormat/>
    <w:uiPriority w:val="0"/>
    <w:rPr>
      <w:u w:val="single"/>
    </w:rPr>
  </w:style>
  <w:style w:type="paragraph" w:customStyle="1" w:styleId="1021">
    <w:name w:val="xl251"/>
    <w:basedOn w:val="1"/>
    <w:autoRedefine/>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22">
    <w:name w:val="xl114"/>
    <w:basedOn w:val="1"/>
    <w:autoRedefine/>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23">
    <w:name w:val="Char Char Char Char Char Char Char Char Char Char Char Char Char Char Char Char Char Char Char Char Char Char Char Char Char Char Char Char Char Char Char Char Char1"/>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1024">
    <w:name w:val="xl61"/>
    <w:basedOn w:val="1"/>
    <w:autoRedefine/>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1025">
    <w:name w:val="Company Name"/>
    <w:basedOn w:val="1"/>
    <w:next w:val="1"/>
    <w:autoRedefine/>
    <w:qFormat/>
    <w:uiPriority w:val="0"/>
    <w:pPr>
      <w:widowControl/>
      <w:tabs>
        <w:tab w:val="left" w:pos="2160"/>
        <w:tab w:val="right" w:pos="7362"/>
      </w:tabs>
      <w:spacing w:before="240" w:after="40" w:line="220" w:lineRule="atLeast"/>
      <w:jc w:val="left"/>
    </w:pPr>
    <w:rPr>
      <w:rFonts w:ascii="Arial" w:hAnsi="Arial" w:eastAsia="PMingLiU"/>
      <w:kern w:val="0"/>
      <w:sz w:val="20"/>
      <w:lang w:eastAsia="en-US" w:bidi="en-US"/>
    </w:rPr>
  </w:style>
  <w:style w:type="paragraph" w:customStyle="1" w:styleId="1026">
    <w:name w:val="xl250"/>
    <w:basedOn w:val="1"/>
    <w:autoRedefine/>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27">
    <w:name w:val="xl59"/>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28">
    <w:name w:val="xl108"/>
    <w:basedOn w:val="1"/>
    <w:autoRedefine/>
    <w:qFormat/>
    <w:uiPriority w:val="0"/>
    <w:pPr>
      <w:widowControl/>
      <w:pBdr>
        <w:bottom w:val="single" w:color="auto" w:sz="4" w:space="0"/>
        <w:right w:val="single" w:color="auto" w:sz="4" w:space="0"/>
      </w:pBdr>
      <w:spacing w:before="100" w:beforeAutospacing="1" w:after="100" w:afterAutospacing="1"/>
      <w:jc w:val="left"/>
    </w:pPr>
    <w:rPr>
      <w:rFonts w:ascii="黑体" w:hAnsi="宋体" w:eastAsia="黑体" w:cs="宋体"/>
      <w:kern w:val="0"/>
      <w:sz w:val="16"/>
      <w:szCs w:val="16"/>
    </w:rPr>
  </w:style>
  <w:style w:type="paragraph" w:customStyle="1" w:styleId="1029">
    <w:name w:val="xl6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30">
    <w:name w:val="&gt;1:enum4 .enum"/>
    <w:basedOn w:val="1"/>
    <w:autoRedefine/>
    <w:qFormat/>
    <w:uiPriority w:val="0"/>
    <w:pPr>
      <w:widowControl/>
      <w:spacing w:before="50" w:after="50" w:line="280" w:lineRule="exact"/>
      <w:ind w:left="1135" w:hanging="284"/>
      <w:jc w:val="left"/>
    </w:pPr>
    <w:rPr>
      <w:rFonts w:ascii="Arial" w:hAnsi="Arial"/>
      <w:kern w:val="0"/>
      <w:sz w:val="20"/>
      <w:lang w:eastAsia="fr-FR" w:bidi="en-US"/>
    </w:rPr>
  </w:style>
  <w:style w:type="paragraph" w:customStyle="1" w:styleId="1031">
    <w:name w:val="xl23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4"/>
      <w:szCs w:val="24"/>
    </w:rPr>
  </w:style>
  <w:style w:type="paragraph" w:customStyle="1" w:styleId="1032">
    <w:name w:val="xl25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1033">
    <w:name w:val="font20"/>
    <w:basedOn w:val="1"/>
    <w:autoRedefine/>
    <w:qFormat/>
    <w:uiPriority w:val="0"/>
    <w:pPr>
      <w:widowControl/>
      <w:spacing w:before="100" w:beforeAutospacing="1" w:after="100" w:afterAutospacing="1"/>
      <w:jc w:val="left"/>
    </w:pPr>
    <w:rPr>
      <w:color w:val="0000FF"/>
      <w:kern w:val="0"/>
      <w:sz w:val="20"/>
    </w:rPr>
  </w:style>
  <w:style w:type="paragraph" w:customStyle="1" w:styleId="1034">
    <w:name w:val="xl6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035">
    <w:name w:val="xl116"/>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36">
    <w:name w:val="xl63"/>
    <w:basedOn w:val="1"/>
    <w:autoRedefine/>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37">
    <w:name w:val="xl225"/>
    <w:basedOn w:val="1"/>
    <w:autoRedefine/>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1038">
    <w:name w:val="font22"/>
    <w:basedOn w:val="1"/>
    <w:autoRedefine/>
    <w:qFormat/>
    <w:uiPriority w:val="0"/>
    <w:pPr>
      <w:widowControl/>
      <w:spacing w:before="100" w:beforeAutospacing="1" w:after="100" w:afterAutospacing="1"/>
      <w:jc w:val="left"/>
    </w:pPr>
    <w:rPr>
      <w:kern w:val="0"/>
      <w:sz w:val="24"/>
      <w:szCs w:val="24"/>
    </w:rPr>
  </w:style>
  <w:style w:type="paragraph" w:customStyle="1" w:styleId="1039">
    <w:name w:val="xl229"/>
    <w:basedOn w:val="1"/>
    <w:autoRedefine/>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40">
    <w:name w:val="&gt;1:list2  1)suite"/>
    <w:basedOn w:val="1041"/>
    <w:autoRedefine/>
    <w:qFormat/>
    <w:uiPriority w:val="0"/>
    <w:pPr>
      <w:tabs>
        <w:tab w:val="left" w:pos="709"/>
        <w:tab w:val="left" w:pos="1061"/>
        <w:tab w:val="left" w:pos="1418"/>
      </w:tabs>
      <w:spacing w:before="50"/>
      <w:ind w:left="0" w:firstLine="0"/>
      <w:jc w:val="both"/>
    </w:pPr>
  </w:style>
  <w:style w:type="paragraph" w:customStyle="1" w:styleId="1041">
    <w:name w:val="&gt;1:list2  1)"/>
    <w:basedOn w:val="1"/>
    <w:autoRedefine/>
    <w:qFormat/>
    <w:uiPriority w:val="0"/>
    <w:pPr>
      <w:widowControl/>
      <w:tabs>
        <w:tab w:val="left" w:pos="709"/>
        <w:tab w:val="left" w:pos="1061"/>
        <w:tab w:val="left" w:pos="1418"/>
      </w:tabs>
      <w:spacing w:before="170" w:after="50" w:line="280" w:lineRule="exact"/>
      <w:ind w:left="568" w:hanging="284"/>
      <w:jc w:val="left"/>
    </w:pPr>
    <w:rPr>
      <w:rFonts w:ascii="Arial" w:hAnsi="Arial"/>
      <w:kern w:val="0"/>
      <w:sz w:val="20"/>
      <w:lang w:eastAsia="fr-FR" w:bidi="en-US"/>
    </w:rPr>
  </w:style>
  <w:style w:type="paragraph" w:customStyle="1" w:styleId="1042">
    <w:name w:val="font23"/>
    <w:basedOn w:val="1"/>
    <w:autoRedefine/>
    <w:qFormat/>
    <w:uiPriority w:val="0"/>
    <w:pPr>
      <w:widowControl/>
      <w:spacing w:before="100" w:beforeAutospacing="1" w:after="100" w:afterAutospacing="1"/>
      <w:jc w:val="left"/>
    </w:pPr>
    <w:rPr>
      <w:rFonts w:ascii="仿宋_GB2312" w:hAnsi="宋体" w:eastAsia="仿宋_GB2312" w:cs="宋体"/>
      <w:color w:val="000000"/>
      <w:kern w:val="0"/>
      <w:sz w:val="20"/>
    </w:rPr>
  </w:style>
  <w:style w:type="paragraph" w:customStyle="1" w:styleId="1043">
    <w:name w:val="xl64"/>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44">
    <w:name w:val="xl247"/>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45">
    <w:name w:val="Char Char Char Char Char Char Char Char Char Char Char Char Char Char Char Char Char Char Char Char Char Char Char Char Char Char Char Char Char Char Char Char Char2"/>
    <w:basedOn w:val="1"/>
    <w:autoRedefine/>
    <w:qFormat/>
    <w:uiPriority w:val="0"/>
    <w:pPr>
      <w:widowControl/>
      <w:spacing w:after="160" w:line="240" w:lineRule="exact"/>
      <w:jc w:val="left"/>
    </w:pPr>
    <w:rPr>
      <w:rFonts w:ascii="Verdana" w:hAnsi="Verdana" w:eastAsia="仿宋_GB2312" w:cs="Verdana"/>
      <w:kern w:val="0"/>
      <w:sz w:val="24"/>
      <w:szCs w:val="24"/>
      <w:lang w:eastAsia="en-US"/>
    </w:rPr>
  </w:style>
  <w:style w:type="paragraph" w:customStyle="1" w:styleId="1046">
    <w:name w:val="Char Char9 Char Char"/>
    <w:basedOn w:val="1"/>
    <w:autoRedefine/>
    <w:qFormat/>
    <w:uiPriority w:val="0"/>
    <w:rPr>
      <w:rFonts w:ascii="Tahoma" w:hAnsi="Tahoma"/>
      <w:sz w:val="24"/>
    </w:rPr>
  </w:style>
  <w:style w:type="paragraph" w:customStyle="1" w:styleId="1047">
    <w:name w:val="&gt;1:enum2 .suite"/>
    <w:basedOn w:val="1"/>
    <w:autoRedefine/>
    <w:qFormat/>
    <w:uiPriority w:val="0"/>
    <w:pPr>
      <w:widowControl/>
      <w:tabs>
        <w:tab w:val="left" w:pos="709"/>
        <w:tab w:val="left" w:pos="1061"/>
        <w:tab w:val="left" w:pos="1418"/>
      </w:tabs>
      <w:spacing w:after="50" w:line="280" w:lineRule="exact"/>
      <w:ind w:left="562"/>
      <w:jc w:val="left"/>
    </w:pPr>
    <w:rPr>
      <w:rFonts w:ascii="Arial" w:hAnsi="Arial"/>
      <w:kern w:val="0"/>
      <w:sz w:val="20"/>
      <w:lang w:eastAsia="fr-FR" w:bidi="en-US"/>
    </w:rPr>
  </w:style>
  <w:style w:type="paragraph" w:customStyle="1" w:styleId="1048">
    <w:name w:val="xl13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49">
    <w:name w:val="&gt;1:enum3 -:suite"/>
    <w:basedOn w:val="1"/>
    <w:autoRedefine/>
    <w:qFormat/>
    <w:uiPriority w:val="0"/>
    <w:pPr>
      <w:widowControl/>
      <w:tabs>
        <w:tab w:val="left" w:pos="351"/>
        <w:tab w:val="left" w:pos="709"/>
        <w:tab w:val="left" w:pos="1061"/>
        <w:tab w:val="left" w:pos="1418"/>
      </w:tabs>
      <w:spacing w:after="50" w:line="280" w:lineRule="exact"/>
      <w:ind w:left="851"/>
      <w:jc w:val="left"/>
    </w:pPr>
    <w:rPr>
      <w:rFonts w:ascii="Arial" w:hAnsi="Arial"/>
      <w:kern w:val="0"/>
      <w:sz w:val="20"/>
      <w:lang w:eastAsia="fr-FR" w:bidi="en-US"/>
    </w:rPr>
  </w:style>
  <w:style w:type="paragraph" w:customStyle="1" w:styleId="1050">
    <w:name w:val="xl382"/>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051">
    <w:name w:val="xl99"/>
    <w:basedOn w:val="1"/>
    <w:autoRedefine/>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0"/>
    </w:rPr>
  </w:style>
  <w:style w:type="paragraph" w:customStyle="1" w:styleId="1052">
    <w:name w:val="xl122"/>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53">
    <w:name w:val="xl25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1054">
    <w:name w:val="xl230"/>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pPr>
    <w:rPr>
      <w:rFonts w:ascii="宋体" w:hAnsi="宋体" w:cs="宋体"/>
      <w:b/>
      <w:bCs/>
      <w:kern w:val="0"/>
      <w:sz w:val="20"/>
    </w:rPr>
  </w:style>
  <w:style w:type="paragraph" w:customStyle="1" w:styleId="1055">
    <w:name w:val="xl227"/>
    <w:basedOn w:val="1"/>
    <w:autoRedefine/>
    <w:qFormat/>
    <w:uiPriority w:val="0"/>
    <w:pPr>
      <w:widowControl/>
      <w:pBdr>
        <w:left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56">
    <w:name w:val="xl118"/>
    <w:basedOn w:val="1"/>
    <w:autoRedefine/>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57">
    <w:name w:val="xl100"/>
    <w:basedOn w:val="1"/>
    <w:autoRedefine/>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0"/>
    </w:rPr>
  </w:style>
  <w:style w:type="paragraph" w:customStyle="1" w:styleId="1058">
    <w:name w:val="xl12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059">
    <w:name w:val="xl130"/>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60">
    <w:name w:val="xl119"/>
    <w:basedOn w:val="1"/>
    <w:autoRedefine/>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61">
    <w:name w:val="xl233"/>
    <w:basedOn w:val="1"/>
    <w:autoRedefine/>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62">
    <w:name w:val="xl127"/>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63">
    <w:name w:val="xl228"/>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64">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rPr>
  </w:style>
  <w:style w:type="paragraph" w:customStyle="1" w:styleId="1065">
    <w:name w:val="xl241"/>
    <w:basedOn w:val="1"/>
    <w:autoRedefine/>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66">
    <w:name w:val="xl14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067">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4"/>
      <w:szCs w:val="24"/>
    </w:rPr>
  </w:style>
  <w:style w:type="paragraph" w:customStyle="1" w:styleId="1068">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color w:val="000000"/>
      <w:kern w:val="0"/>
      <w:sz w:val="16"/>
      <w:szCs w:val="16"/>
    </w:rPr>
  </w:style>
  <w:style w:type="paragraph" w:customStyle="1" w:styleId="1069">
    <w:name w:val="xl110"/>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1070">
    <w:name w:val="xl23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top"/>
    </w:pPr>
    <w:rPr>
      <w:rFonts w:ascii="宋体" w:hAnsi="宋体" w:cs="宋体"/>
      <w:kern w:val="0"/>
      <w:sz w:val="20"/>
    </w:rPr>
  </w:style>
  <w:style w:type="paragraph" w:customStyle="1" w:styleId="1071">
    <w:name w:val="xl263"/>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0"/>
    </w:rPr>
  </w:style>
  <w:style w:type="paragraph" w:customStyle="1" w:styleId="1072">
    <w:name w:val="xl136"/>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73">
    <w:name w:val="xl111"/>
    <w:basedOn w:val="1"/>
    <w:autoRedefine/>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74">
    <w:name w:val="xl259"/>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kern w:val="0"/>
      <w:sz w:val="20"/>
    </w:rPr>
  </w:style>
  <w:style w:type="paragraph" w:customStyle="1" w:styleId="1075">
    <w:name w:val="xl156"/>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76">
    <w:name w:val="xl112"/>
    <w:basedOn w:val="1"/>
    <w:autoRedefine/>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1077">
    <w:name w:val="&gt;1:enum4 .suite"/>
    <w:basedOn w:val="1"/>
    <w:autoRedefine/>
    <w:qFormat/>
    <w:uiPriority w:val="0"/>
    <w:pPr>
      <w:widowControl/>
      <w:spacing w:after="50" w:line="280" w:lineRule="exact"/>
      <w:ind w:left="1134"/>
      <w:jc w:val="left"/>
    </w:pPr>
    <w:rPr>
      <w:rFonts w:ascii="Arial" w:hAnsi="Arial"/>
      <w:kern w:val="0"/>
      <w:sz w:val="20"/>
      <w:lang w:eastAsia="fr-FR" w:bidi="en-US"/>
    </w:rPr>
  </w:style>
  <w:style w:type="paragraph" w:customStyle="1" w:styleId="1078">
    <w:name w:val="xl244"/>
    <w:basedOn w:val="1"/>
    <w:autoRedefine/>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1079">
    <w:name w:val="xl141"/>
    <w:basedOn w:val="1"/>
    <w:autoRedefine/>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80">
    <w:name w:val="xl150"/>
    <w:basedOn w:val="1"/>
    <w:autoRedefine/>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pPr>
    <w:rPr>
      <w:rFonts w:ascii="宋体" w:hAnsi="宋体" w:cs="宋体"/>
      <w:kern w:val="0"/>
      <w:sz w:val="18"/>
      <w:szCs w:val="18"/>
    </w:rPr>
  </w:style>
  <w:style w:type="paragraph" w:customStyle="1" w:styleId="1081">
    <w:name w:val="xl142"/>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82">
    <w:name w:val="xl2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0"/>
    </w:rPr>
  </w:style>
  <w:style w:type="paragraph" w:customStyle="1" w:styleId="1083">
    <w:name w:val="xl155"/>
    <w:basedOn w:val="1"/>
    <w:autoRedefine/>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84">
    <w:name w:val="xl15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85">
    <w:name w:val="xl161"/>
    <w:basedOn w:val="1"/>
    <w:autoRedefine/>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86">
    <w:name w:val="xl153"/>
    <w:basedOn w:val="1"/>
    <w:autoRedefine/>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87">
    <w:name w:val="xl246"/>
    <w:basedOn w:val="1"/>
    <w:autoRedefine/>
    <w:qFormat/>
    <w:uiPriority w:val="0"/>
    <w:pPr>
      <w:widowControl/>
      <w:pBdr>
        <w:left w:val="single" w:color="auto" w:sz="4" w:space="0"/>
        <w:bottom w:val="double" w:color="auto" w:sz="6"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88">
    <w:name w:val="xl215"/>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1089">
    <w:name w:val="xl159"/>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90">
    <w:name w:val="&gt;1:nota:nota suite"/>
    <w:basedOn w:val="744"/>
    <w:autoRedefine/>
    <w:qFormat/>
    <w:uiPriority w:val="0"/>
    <w:pPr>
      <w:ind w:left="567" w:firstLine="0"/>
      <w:jc w:val="both"/>
    </w:pPr>
  </w:style>
  <w:style w:type="paragraph" w:customStyle="1" w:styleId="1091">
    <w:name w:val="xl164"/>
    <w:basedOn w:val="1"/>
    <w:autoRedefine/>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1092">
    <w:name w:val="Char Char9 Char Char1"/>
    <w:basedOn w:val="1"/>
    <w:autoRedefine/>
    <w:qFormat/>
    <w:uiPriority w:val="0"/>
    <w:rPr>
      <w:rFonts w:ascii="Tahoma" w:hAnsi="Tahoma"/>
      <w:sz w:val="24"/>
    </w:rPr>
  </w:style>
  <w:style w:type="paragraph" w:customStyle="1" w:styleId="1093">
    <w:name w:val="xl206"/>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94">
    <w:name w:val="xl207"/>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95">
    <w:name w:val="xl170"/>
    <w:basedOn w:val="1"/>
    <w:autoRedefine/>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1096">
    <w:name w:val="font15"/>
    <w:basedOn w:val="1"/>
    <w:autoRedefine/>
    <w:qFormat/>
    <w:uiPriority w:val="0"/>
    <w:pPr>
      <w:widowControl/>
      <w:spacing w:before="100" w:beforeAutospacing="1" w:after="100" w:afterAutospacing="1"/>
      <w:jc w:val="left"/>
    </w:pPr>
    <w:rPr>
      <w:rFonts w:ascii="Arial" w:hAnsi="Arial" w:cs="Arial"/>
      <w:kern w:val="0"/>
      <w:sz w:val="16"/>
      <w:szCs w:val="16"/>
    </w:rPr>
  </w:style>
  <w:style w:type="paragraph" w:customStyle="1" w:styleId="1097">
    <w:name w:val="&gt;1:enum2 .enum"/>
    <w:basedOn w:val="1"/>
    <w:autoRedefine/>
    <w:qFormat/>
    <w:uiPriority w:val="0"/>
    <w:pPr>
      <w:widowControl/>
      <w:tabs>
        <w:tab w:val="left" w:pos="709"/>
        <w:tab w:val="left" w:pos="1061"/>
        <w:tab w:val="left" w:pos="1418"/>
      </w:tabs>
      <w:spacing w:before="50" w:after="50" w:line="280" w:lineRule="exact"/>
      <w:ind w:left="568" w:hanging="284"/>
      <w:jc w:val="left"/>
    </w:pPr>
    <w:rPr>
      <w:rFonts w:ascii="Arial" w:hAnsi="Arial"/>
      <w:kern w:val="0"/>
      <w:sz w:val="20"/>
      <w:lang w:eastAsia="fr-FR" w:bidi="en-US"/>
    </w:rPr>
  </w:style>
  <w:style w:type="paragraph" w:customStyle="1" w:styleId="1098">
    <w:name w:val="xl17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1099">
    <w:name w:val="xl191"/>
    <w:basedOn w:val="1"/>
    <w:autoRedefine/>
    <w:qFormat/>
    <w:uiPriority w:val="0"/>
    <w:pPr>
      <w:widowControl/>
      <w:pBdr>
        <w:left w:val="single" w:color="auto" w:sz="4" w:space="0"/>
        <w:right w:val="single" w:color="auto" w:sz="4" w:space="0"/>
      </w:pBdr>
      <w:spacing w:before="100" w:beforeAutospacing="1" w:after="100" w:afterAutospacing="1"/>
      <w:jc w:val="center"/>
    </w:pPr>
    <w:rPr>
      <w:kern w:val="0"/>
      <w:sz w:val="18"/>
      <w:szCs w:val="18"/>
    </w:rPr>
  </w:style>
  <w:style w:type="paragraph" w:customStyle="1" w:styleId="1100">
    <w:name w:val="xl24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101">
    <w:name w:val="xl17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kern w:val="0"/>
      <w:sz w:val="18"/>
      <w:szCs w:val="18"/>
    </w:rPr>
  </w:style>
  <w:style w:type="paragraph" w:customStyle="1" w:styleId="1102">
    <w:name w:val="xl19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1103">
    <w:name w:val="xl252"/>
    <w:basedOn w:val="1"/>
    <w:autoRedefine/>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1104">
    <w:name w:val="xl17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pPr>
    <w:rPr>
      <w:rFonts w:ascii="宋体" w:hAnsi="宋体" w:cs="宋体"/>
      <w:kern w:val="0"/>
      <w:sz w:val="18"/>
      <w:szCs w:val="18"/>
    </w:rPr>
  </w:style>
  <w:style w:type="paragraph" w:customStyle="1" w:styleId="1105">
    <w:name w:val="xl193"/>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106">
    <w:name w:val="xl264"/>
    <w:basedOn w:val="1"/>
    <w:autoRedefine/>
    <w:qFormat/>
    <w:uiPriority w:val="0"/>
    <w:pPr>
      <w:widowControl/>
      <w:pBdr>
        <w:top w:val="single" w:color="auto" w:sz="4" w:space="0"/>
        <w:left w:val="double" w:color="auto" w:sz="6" w:space="0"/>
        <w:bottom w:val="single" w:color="auto" w:sz="4" w:space="0"/>
      </w:pBdr>
      <w:shd w:val="clear" w:color="auto" w:fill="FFFF00"/>
      <w:spacing w:before="100" w:beforeAutospacing="1" w:after="100" w:afterAutospacing="1"/>
      <w:jc w:val="center"/>
    </w:pPr>
    <w:rPr>
      <w:rFonts w:ascii="宋体" w:hAnsi="宋体" w:cs="宋体"/>
      <w:b/>
      <w:bCs/>
      <w:kern w:val="0"/>
      <w:sz w:val="20"/>
    </w:rPr>
  </w:style>
  <w:style w:type="paragraph" w:customStyle="1" w:styleId="1107">
    <w:name w:val="xl18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18"/>
      <w:szCs w:val="18"/>
    </w:rPr>
  </w:style>
  <w:style w:type="paragraph" w:customStyle="1" w:styleId="1108">
    <w:name w:val="xl19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109">
    <w:name w:val="xl265"/>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kern w:val="0"/>
      <w:sz w:val="20"/>
    </w:rPr>
  </w:style>
  <w:style w:type="paragraph" w:customStyle="1" w:styleId="1110">
    <w:name w:val="xl194"/>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1111">
    <w:name w:val="xl20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rPr>
  </w:style>
  <w:style w:type="paragraph" w:customStyle="1" w:styleId="1112">
    <w:name w:val="xl266"/>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18"/>
      <w:szCs w:val="18"/>
    </w:rPr>
  </w:style>
  <w:style w:type="paragraph" w:customStyle="1" w:styleId="1113">
    <w:name w:val="xl196"/>
    <w:basedOn w:val="1"/>
    <w:autoRedefine/>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1114">
    <w:name w:val="xl19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115">
    <w:name w:val="xl26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kern w:val="0"/>
      <w:sz w:val="18"/>
      <w:szCs w:val="18"/>
    </w:rPr>
  </w:style>
  <w:style w:type="paragraph" w:customStyle="1" w:styleId="1116">
    <w:name w:val="xl200"/>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1117">
    <w:name w:val="格式1"/>
    <w:basedOn w:val="2"/>
    <w:autoRedefine/>
    <w:qFormat/>
    <w:uiPriority w:val="0"/>
    <w:pPr>
      <w:keepNext w:val="0"/>
      <w:widowControl w:val="0"/>
      <w:tabs>
        <w:tab w:val="clear" w:pos="885"/>
      </w:tabs>
      <w:adjustRightInd w:val="0"/>
      <w:snapToGrid w:val="0"/>
      <w:spacing w:before="240" w:beforeLines="100"/>
      <w:ind w:left="-359" w:firstLine="207" w:firstLineChars="98"/>
      <w:jc w:val="both"/>
    </w:pPr>
    <w:rPr>
      <w:rFonts w:hAnsi="宋体" w:cs="Arial"/>
      <w:color w:val="000000"/>
      <w:sz w:val="28"/>
    </w:rPr>
  </w:style>
  <w:style w:type="paragraph" w:customStyle="1" w:styleId="1118">
    <w:name w:val="xl202"/>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20"/>
    </w:rPr>
  </w:style>
  <w:style w:type="paragraph" w:customStyle="1" w:styleId="1119">
    <w:name w:val="xl26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pPr>
    <w:rPr>
      <w:rFonts w:ascii="宋体" w:hAnsi="宋体" w:cs="宋体"/>
      <w:kern w:val="0"/>
      <w:sz w:val="18"/>
      <w:szCs w:val="18"/>
    </w:rPr>
  </w:style>
  <w:style w:type="paragraph" w:customStyle="1" w:styleId="1120">
    <w:name w:val="xl203"/>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18"/>
      <w:szCs w:val="18"/>
    </w:rPr>
  </w:style>
  <w:style w:type="paragraph" w:customStyle="1" w:styleId="1121">
    <w:name w:val="xl205"/>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FF"/>
      <w:spacing w:before="100" w:beforeAutospacing="1" w:after="100" w:afterAutospacing="1"/>
      <w:jc w:val="left"/>
    </w:pPr>
    <w:rPr>
      <w:rFonts w:ascii="宋体" w:hAnsi="宋体" w:cs="宋体"/>
      <w:kern w:val="0"/>
      <w:sz w:val="20"/>
    </w:rPr>
  </w:style>
  <w:style w:type="paragraph" w:customStyle="1" w:styleId="1122">
    <w:name w:val="xl26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18"/>
      <w:szCs w:val="18"/>
    </w:rPr>
  </w:style>
  <w:style w:type="paragraph" w:customStyle="1" w:styleId="1123">
    <w:name w:val="正文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4">
    <w:name w:val="样式 列表框 Char Char Char Char Char + 右侧:  -0.05 字符"/>
    <w:basedOn w:val="746"/>
    <w:autoRedefine/>
    <w:qFormat/>
    <w:uiPriority w:val="0"/>
    <w:pPr>
      <w:tabs>
        <w:tab w:val="clear" w:pos="874"/>
      </w:tabs>
      <w:ind w:left="0" w:firstLine="0"/>
    </w:pPr>
    <w:rPr>
      <w:rFonts w:cs="宋体"/>
      <w:color w:val="000000"/>
      <w:szCs w:val="20"/>
    </w:rPr>
  </w:style>
  <w:style w:type="paragraph" w:customStyle="1" w:styleId="1125">
    <w:name w:val="char1"/>
    <w:basedOn w:val="1"/>
    <w:autoRedefine/>
    <w:qFormat/>
    <w:uiPriority w:val="0"/>
    <w:pPr>
      <w:widowControl/>
    </w:pPr>
    <w:rPr>
      <w:rFonts w:ascii="Tahoma" w:hAnsi="Tahoma" w:cs="Tahoma"/>
      <w:kern w:val="0"/>
      <w:sz w:val="24"/>
      <w:szCs w:val="24"/>
    </w:rPr>
  </w:style>
  <w:style w:type="paragraph" w:customStyle="1" w:styleId="1126">
    <w:name w:val="xl284"/>
    <w:basedOn w:val="1"/>
    <w:autoRedefine/>
    <w:qFormat/>
    <w:uiPriority w:val="0"/>
    <w:pPr>
      <w:widowControl/>
      <w:pBdr>
        <w:left w:val="single" w:color="auto" w:sz="4" w:space="0"/>
      </w:pBdr>
      <w:spacing w:before="100" w:beforeAutospacing="1" w:after="100" w:afterAutospacing="1"/>
      <w:jc w:val="left"/>
    </w:pPr>
    <w:rPr>
      <w:rFonts w:ascii="宋体" w:hAnsi="宋体" w:cs="宋体"/>
      <w:kern w:val="0"/>
      <w:sz w:val="20"/>
    </w:rPr>
  </w:style>
  <w:style w:type="paragraph" w:customStyle="1" w:styleId="1127">
    <w:name w:val="...."/>
    <w:basedOn w:val="1"/>
    <w:next w:val="1"/>
    <w:autoRedefine/>
    <w:qFormat/>
    <w:uiPriority w:val="0"/>
    <w:pPr>
      <w:widowControl/>
      <w:autoSpaceDE w:val="0"/>
      <w:autoSpaceDN w:val="0"/>
      <w:adjustRightInd w:val="0"/>
      <w:spacing w:after="220"/>
      <w:jc w:val="left"/>
    </w:pPr>
    <w:rPr>
      <w:rFonts w:ascii="Sim Sun" w:eastAsia="Sim Sun"/>
      <w:kern w:val="0"/>
      <w:sz w:val="24"/>
      <w:szCs w:val="24"/>
      <w:lang w:eastAsia="en-US" w:bidi="en-US"/>
    </w:rPr>
  </w:style>
  <w:style w:type="paragraph" w:customStyle="1" w:styleId="1128">
    <w:name w:val="Company Name One"/>
    <w:basedOn w:val="1025"/>
    <w:next w:val="1"/>
    <w:autoRedefine/>
    <w:qFormat/>
    <w:uiPriority w:val="0"/>
    <w:pPr>
      <w:tabs>
        <w:tab w:val="right" w:pos="7542"/>
        <w:tab w:val="clear" w:pos="2160"/>
        <w:tab w:val="clear" w:pos="7362"/>
      </w:tabs>
      <w:spacing w:before="280"/>
    </w:pPr>
  </w:style>
  <w:style w:type="paragraph" w:customStyle="1" w:styleId="1129">
    <w:name w:val="样式 列表框 Char Char Char Char Char + 右侧:  -0.05 字符 段后: 0.5 行"/>
    <w:basedOn w:val="746"/>
    <w:autoRedefine/>
    <w:qFormat/>
    <w:uiPriority w:val="0"/>
    <w:pPr>
      <w:tabs>
        <w:tab w:val="clear" w:pos="874"/>
      </w:tabs>
      <w:ind w:left="0" w:firstLine="0"/>
    </w:pPr>
    <w:rPr>
      <w:rFonts w:cs="宋体"/>
      <w:szCs w:val="20"/>
    </w:rPr>
  </w:style>
  <w:style w:type="paragraph" w:customStyle="1" w:styleId="1130">
    <w:name w:val="列项●（二级）"/>
    <w:autoRedefine/>
    <w:qFormat/>
    <w:uiPriority w:val="0"/>
    <w:pPr>
      <w:numPr>
        <w:ilvl w:val="1"/>
        <w:numId w:val="3"/>
      </w:numPr>
      <w:tabs>
        <w:tab w:val="left" w:pos="840"/>
      </w:tabs>
      <w:jc w:val="both"/>
    </w:pPr>
    <w:rPr>
      <w:rFonts w:ascii="宋体" w:hAnsi="Times New Roman" w:eastAsia="宋体" w:cs="Times New Roman"/>
      <w:sz w:val="21"/>
      <w:lang w:val="en-US" w:eastAsia="zh-CN" w:bidi="ar-SA"/>
    </w:rPr>
  </w:style>
  <w:style w:type="paragraph" w:customStyle="1" w:styleId="1131">
    <w:name w:val="X:pied_page1"/>
    <w:basedOn w:val="799"/>
    <w:autoRedefine/>
    <w:qFormat/>
    <w:uiPriority w:val="0"/>
    <w:rPr>
      <w:b/>
      <w:sz w:val="28"/>
    </w:rPr>
  </w:style>
  <w:style w:type="paragraph" w:customStyle="1" w:styleId="1132">
    <w:name w:val="样式 样式 列表框 Char Char Char Char Char + 右侧:  -0.05 字符 段后: 0.5 行 + 右..."/>
    <w:basedOn w:val="1129"/>
    <w:autoRedefine/>
    <w:qFormat/>
    <w:uiPriority w:val="0"/>
    <w:pPr/>
  </w:style>
  <w:style w:type="paragraph" w:customStyle="1" w:styleId="1133">
    <w:name w:val="xl274"/>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1134">
    <w:name w:val="Enumération"/>
    <w:basedOn w:val="1135"/>
    <w:autoRedefine/>
    <w:qFormat/>
    <w:uiPriority w:val="0"/>
    <w:pPr>
      <w:spacing w:after="0"/>
    </w:pPr>
  </w:style>
  <w:style w:type="paragraph" w:customStyle="1" w:styleId="1135">
    <w:name w:val="Tiret"/>
    <w:basedOn w:val="1"/>
    <w:autoRedefine/>
    <w:qFormat/>
    <w:uiPriority w:val="0"/>
    <w:pPr>
      <w:keepLines/>
      <w:widowControl/>
      <w:overflowPunct w:val="0"/>
      <w:autoSpaceDE w:val="0"/>
      <w:autoSpaceDN w:val="0"/>
      <w:adjustRightInd w:val="0"/>
      <w:spacing w:before="20" w:after="240" w:line="240" w:lineRule="exact"/>
      <w:ind w:left="1276" w:hanging="284"/>
      <w:jc w:val="left"/>
      <w:textAlignment w:val="baseline"/>
    </w:pPr>
    <w:rPr>
      <w:rFonts w:ascii="Arial" w:hAnsi="Arial" w:eastAsia="PMingLiU"/>
      <w:kern w:val="0"/>
      <w:sz w:val="22"/>
      <w:lang w:val="en-GB" w:eastAsia="en-US" w:bidi="en-US"/>
    </w:rPr>
  </w:style>
  <w:style w:type="paragraph" w:customStyle="1" w:styleId="1136">
    <w:name w:val="图表标题"/>
    <w:basedOn w:val="1"/>
    <w:autoRedefine/>
    <w:qFormat/>
    <w:uiPriority w:val="0"/>
    <w:pPr>
      <w:spacing w:line="360" w:lineRule="auto"/>
      <w:jc w:val="center"/>
    </w:pPr>
    <w:rPr>
      <w:rFonts w:ascii="Calibri" w:hAnsi="Calibri"/>
      <w:sz w:val="24"/>
      <w:szCs w:val="22"/>
    </w:rPr>
  </w:style>
  <w:style w:type="paragraph" w:customStyle="1" w:styleId="1137">
    <w:name w:val="xl275"/>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1138">
    <w:name w:val="样式 正常文本 Char Char Char Char Char Char Char Char Char Char Char C..."/>
    <w:basedOn w:val="747"/>
    <w:autoRedefine/>
    <w:qFormat/>
    <w:uiPriority w:val="0"/>
    <w:pPr>
      <w:ind w:left="1100" w:leftChars="1100"/>
    </w:pPr>
    <w:rPr>
      <w:rFonts w:cs="宋体"/>
      <w:szCs w:val="20"/>
    </w:rPr>
  </w:style>
  <w:style w:type="paragraph" w:customStyle="1" w:styleId="1139">
    <w:name w:val="Para 3rd Subpara"/>
    <w:basedOn w:val="777"/>
    <w:autoRedefine/>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2822" w:hanging="561"/>
    </w:pPr>
  </w:style>
  <w:style w:type="paragraph" w:customStyle="1" w:styleId="1140">
    <w:name w:val="样式 目录 1 + 左侧:  0 字符"/>
    <w:basedOn w:val="42"/>
    <w:next w:val="774"/>
    <w:autoRedefine/>
    <w:qFormat/>
    <w:uiPriority w:val="0"/>
    <w:pPr>
      <w:tabs>
        <w:tab w:val="left" w:pos="1680"/>
        <w:tab w:val="right" w:pos="9060"/>
      </w:tabs>
      <w:spacing w:before="0" w:after="0"/>
      <w:ind w:left="720"/>
      <w:jc w:val="both"/>
    </w:pPr>
    <w:rPr>
      <w:rFonts w:eastAsia="黑体" w:cs="宋体"/>
      <w:b w:val="0"/>
      <w:bCs w:val="0"/>
      <w:caps w:val="0"/>
      <w:szCs w:val="24"/>
    </w:rPr>
  </w:style>
  <w:style w:type="paragraph" w:customStyle="1" w:styleId="1141">
    <w:name w:val="xl278"/>
    <w:basedOn w:val="1"/>
    <w:autoRedefine/>
    <w:qFormat/>
    <w:uiPriority w:val="0"/>
    <w:pPr>
      <w:widowControl/>
      <w:pBdr>
        <w:left w:val="single" w:color="auto" w:sz="4" w:space="0"/>
      </w:pBdr>
      <w:spacing w:before="100" w:beforeAutospacing="1" w:after="100" w:afterAutospacing="1"/>
      <w:jc w:val="left"/>
    </w:pPr>
    <w:rPr>
      <w:rFonts w:ascii="宋体" w:hAnsi="宋体" w:cs="宋体"/>
      <w:kern w:val="0"/>
      <w:sz w:val="20"/>
    </w:rPr>
  </w:style>
  <w:style w:type="paragraph" w:customStyle="1" w:styleId="1142">
    <w:name w:val="表格文字小 (左对齐)"/>
    <w:basedOn w:val="1"/>
    <w:autoRedefine/>
    <w:qFormat/>
    <w:uiPriority w:val="0"/>
    <w:pPr>
      <w:widowControl/>
      <w:adjustRightInd w:val="0"/>
      <w:spacing w:line="240" w:lineRule="atLeast"/>
      <w:jc w:val="left"/>
      <w:textAlignment w:val="baseline"/>
    </w:pPr>
    <w:rPr>
      <w:rFonts w:ascii="宋体"/>
      <w:kern w:val="0"/>
      <w:sz w:val="18"/>
      <w:szCs w:val="18"/>
      <w:lang w:eastAsia="en-US" w:bidi="en-US"/>
    </w:rPr>
  </w:style>
  <w:style w:type="paragraph" w:customStyle="1" w:styleId="1143">
    <w:name w:val="_Style 134"/>
    <w:basedOn w:val="1"/>
    <w:autoRedefine/>
    <w:qFormat/>
    <w:uiPriority w:val="0"/>
    <w:pPr>
      <w:widowControl/>
      <w:jc w:val="left"/>
    </w:pPr>
    <w:rPr>
      <w:kern w:val="0"/>
      <w:sz w:val="24"/>
      <w:szCs w:val="24"/>
      <w:lang w:eastAsia="en-US" w:bidi="en-US"/>
    </w:rPr>
  </w:style>
  <w:style w:type="paragraph" w:customStyle="1" w:styleId="1144">
    <w:name w:val="6"/>
    <w:autoRedefine/>
    <w:unhideWhenUsed/>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145">
    <w:name w:val="_Style 146"/>
    <w:basedOn w:val="1"/>
    <w:autoRedefine/>
    <w:qFormat/>
    <w:uiPriority w:val="0"/>
    <w:pPr>
      <w:widowControl/>
      <w:jc w:val="left"/>
    </w:pPr>
    <w:rPr>
      <w:kern w:val="0"/>
      <w:sz w:val="24"/>
      <w:szCs w:val="24"/>
      <w:lang w:eastAsia="en-US" w:bidi="en-US"/>
    </w:rPr>
  </w:style>
  <w:style w:type="paragraph" w:customStyle="1" w:styleId="1146">
    <w:name w:val="xl283"/>
    <w:basedOn w:val="1"/>
    <w:autoRedefine/>
    <w:qFormat/>
    <w:uiPriority w:val="0"/>
    <w:pPr>
      <w:widowControl/>
      <w:pBdr>
        <w:lef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147">
    <w:name w:val="Appendix1"/>
    <w:basedOn w:val="1"/>
    <w:next w:val="1"/>
    <w:autoRedefine/>
    <w:qFormat/>
    <w:uiPriority w:val="0"/>
    <w:pPr>
      <w:keepNext/>
      <w:keepLines/>
      <w:widowControl/>
      <w:spacing w:before="4000" w:after="240" w:line="240" w:lineRule="exact"/>
      <w:ind w:left="992"/>
      <w:jc w:val="center"/>
    </w:pPr>
    <w:rPr>
      <w:rFonts w:ascii="Arial" w:hAnsi="Arial"/>
      <w:b/>
      <w:caps/>
      <w:kern w:val="0"/>
      <w:sz w:val="40"/>
      <w:u w:val="single"/>
      <w:lang w:val="en-GB" w:eastAsia="en-US" w:bidi="en-US"/>
    </w:rPr>
  </w:style>
  <w:style w:type="paragraph" w:customStyle="1" w:styleId="1148">
    <w:name w:val="默认段落字体 Para Char"/>
    <w:basedOn w:val="1"/>
    <w:next w:val="1"/>
    <w:autoRedefine/>
    <w:qFormat/>
    <w:uiPriority w:val="0"/>
    <w:pPr>
      <w:widowControl/>
      <w:adjustRightInd w:val="0"/>
      <w:spacing w:line="360" w:lineRule="auto"/>
      <w:ind w:firstLine="200" w:firstLineChars="200"/>
      <w:jc w:val="left"/>
    </w:pPr>
    <w:rPr>
      <w:rFonts w:ascii="Arial" w:hAnsi="Arial"/>
      <w:kern w:val="0"/>
      <w:sz w:val="24"/>
      <w:lang w:eastAsia="en-US" w:bidi="en-US"/>
    </w:rPr>
  </w:style>
  <w:style w:type="paragraph" w:customStyle="1" w:styleId="1149">
    <w:name w:val="Char Char Char Char Char1 Char Char Char Char Char Char"/>
    <w:autoRedefine/>
    <w:qFormat/>
    <w:uiPriority w:val="0"/>
    <w:pPr>
      <w:widowControl w:val="0"/>
      <w:spacing w:after="200" w:line="276" w:lineRule="auto"/>
      <w:jc w:val="both"/>
    </w:pPr>
    <w:rPr>
      <w:rFonts w:ascii="Lucida Grande" w:hAnsi="Lucida Grande" w:eastAsia="ヒラギノ角ゴ Pro W3" w:cs="Times New Roman"/>
      <w:color w:val="000000"/>
      <w:sz w:val="22"/>
      <w:lang w:val="en-US" w:eastAsia="en-US" w:bidi="en-US"/>
    </w:rPr>
  </w:style>
  <w:style w:type="paragraph" w:customStyle="1" w:styleId="1150">
    <w:name w:val="X:copyright"/>
    <w:basedOn w:val="1"/>
    <w:autoRedefine/>
    <w:qFormat/>
    <w:uiPriority w:val="0"/>
    <w:pPr>
      <w:widowControl/>
      <w:jc w:val="left"/>
    </w:pPr>
    <w:rPr>
      <w:rFonts w:ascii="Helvetica" w:hAnsi="Helvetica"/>
      <w:kern w:val="0"/>
      <w:sz w:val="12"/>
      <w:lang w:eastAsia="fr-FR" w:bidi="en-US"/>
    </w:rPr>
  </w:style>
  <w:style w:type="paragraph" w:customStyle="1" w:styleId="1151">
    <w:name w:val="X:entete"/>
    <w:basedOn w:val="799"/>
    <w:autoRedefine/>
    <w:qFormat/>
    <w:uiPriority w:val="0"/>
    <w:rPr>
      <w:sz w:val="20"/>
    </w:rPr>
  </w:style>
  <w:style w:type="paragraph" w:customStyle="1" w:styleId="1152">
    <w:name w:val="样式 目录 2 + 左侧:  0.96 字符"/>
    <w:basedOn w:val="55"/>
    <w:autoRedefine/>
    <w:qFormat/>
    <w:uiPriority w:val="0"/>
    <w:pPr>
      <w:tabs>
        <w:tab w:val="left" w:pos="697"/>
        <w:tab w:val="left" w:pos="1680"/>
        <w:tab w:val="right" w:leader="dot" w:pos="9059"/>
      </w:tabs>
      <w:autoSpaceDN w:val="0"/>
      <w:ind w:left="400" w:leftChars="400"/>
      <w:jc w:val="both"/>
    </w:pPr>
    <w:rPr>
      <w:rFonts w:ascii="Arial" w:hAnsi="Arial" w:cs="宋体"/>
      <w:smallCaps w:val="0"/>
    </w:rPr>
  </w:style>
  <w:style w:type="paragraph" w:customStyle="1" w:styleId="1153">
    <w:name w:val="样式 列表框1 + 右侧:  -0.05 字符"/>
    <w:basedOn w:val="140"/>
    <w:autoRedefine/>
    <w:qFormat/>
    <w:uiPriority w:val="0"/>
    <w:pPr>
      <w:tabs>
        <w:tab w:val="left" w:pos="480"/>
        <w:tab w:val="left" w:pos="2618"/>
        <w:tab w:val="clear" w:pos="1628"/>
        <w:tab w:val="clear" w:pos="2086"/>
      </w:tabs>
      <w:spacing w:after="50"/>
      <w:ind w:left="0" w:leftChars="0" w:right="-5" w:rightChars="-5" w:firstLine="0" w:firstLineChars="0"/>
      <w:jc w:val="left"/>
    </w:pPr>
    <w:rPr>
      <w:rFonts w:ascii="Times New Roman" w:hAnsi="Times New Roman" w:cs="宋体"/>
      <w:spacing w:val="0"/>
      <w:szCs w:val="22"/>
    </w:rPr>
  </w:style>
  <w:style w:type="paragraph" w:customStyle="1" w:styleId="1154">
    <w:name w:val="样式 标题 5 + 左侧:  0 厘米 首行缩进:  1.6 厘米"/>
    <w:basedOn w:val="7"/>
    <w:autoRedefine/>
    <w:qFormat/>
    <w:uiPriority w:val="0"/>
    <w:pPr>
      <w:widowControl w:val="0"/>
      <w:tabs>
        <w:tab w:val="left" w:pos="840"/>
        <w:tab w:val="left" w:pos="1050"/>
        <w:tab w:val="left" w:pos="1134"/>
      </w:tabs>
      <w:adjustRightInd w:val="0"/>
      <w:spacing w:before="480" w:line="376" w:lineRule="atLeast"/>
      <w:ind w:left="1758" w:hanging="1531"/>
      <w:jc w:val="both"/>
      <w:textAlignment w:val="baseline"/>
    </w:pPr>
    <w:rPr>
      <w:rFonts w:ascii="Times New Roman" w:hAnsi="Times New Roman" w:cs="宋体"/>
      <w:bCs/>
      <w:sz w:val="21"/>
      <w:szCs w:val="21"/>
    </w:rPr>
  </w:style>
  <w:style w:type="paragraph" w:customStyle="1" w:styleId="1155">
    <w:name w:val="正文列表框"/>
    <w:basedOn w:val="1"/>
    <w:autoRedefine/>
    <w:qFormat/>
    <w:uiPriority w:val="0"/>
    <w:pPr>
      <w:numPr>
        <w:ilvl w:val="0"/>
        <w:numId w:val="10"/>
      </w:numPr>
      <w:spacing w:afterLines="50" w:line="320" w:lineRule="exact"/>
    </w:pPr>
    <w:rPr>
      <w:rFonts w:ascii="宋体" w:hAnsi="Arial" w:cs="Arial"/>
      <w:snapToGrid w:val="0"/>
      <w:color w:val="000000"/>
      <w:kern w:val="0"/>
      <w:szCs w:val="21"/>
      <w:lang w:val="en-GB"/>
    </w:rPr>
  </w:style>
  <w:style w:type="paragraph" w:customStyle="1" w:styleId="1156">
    <w:name w:val="正文条款"/>
    <w:basedOn w:val="1"/>
    <w:next w:val="1"/>
    <w:autoRedefine/>
    <w:qFormat/>
    <w:uiPriority w:val="0"/>
    <w:pPr>
      <w:spacing w:afterLines="50" w:line="320" w:lineRule="exact"/>
      <w:ind w:left="200" w:leftChars="200" w:firstLine="200" w:firstLineChars="200"/>
    </w:pPr>
    <w:rPr>
      <w:rFonts w:ascii="Arial" w:hAnsi="Arial" w:cs="Arial"/>
      <w:snapToGrid w:val="0"/>
      <w:color w:val="0000FF"/>
      <w:kern w:val="0"/>
      <w:szCs w:val="21"/>
      <w:lang w:val="en-GB"/>
    </w:rPr>
  </w:style>
  <w:style w:type="paragraph" w:customStyle="1" w:styleId="1157">
    <w:name w:val="p18"/>
    <w:basedOn w:val="1"/>
    <w:autoRedefine/>
    <w:qFormat/>
    <w:uiPriority w:val="0"/>
    <w:pPr>
      <w:widowControl/>
      <w:spacing w:line="360" w:lineRule="auto"/>
      <w:ind w:firstLine="420"/>
    </w:pPr>
    <w:rPr>
      <w:rFonts w:hint="eastAsia"/>
    </w:rPr>
  </w:style>
  <w:style w:type="paragraph" w:customStyle="1" w:styleId="1158">
    <w:name w:val="bodytext"/>
    <w:basedOn w:val="1"/>
    <w:autoRedefine/>
    <w:qFormat/>
    <w:uiPriority w:val="0"/>
    <w:pPr>
      <w:widowControl/>
      <w:spacing w:before="170" w:line="300" w:lineRule="atLeast"/>
      <w:ind w:left="1134"/>
    </w:pPr>
    <w:rPr>
      <w:color w:val="000000"/>
      <w:kern w:val="0"/>
      <w:sz w:val="24"/>
      <w:szCs w:val="24"/>
    </w:rPr>
  </w:style>
  <w:style w:type="paragraph" w:customStyle="1" w:styleId="1159">
    <w:name w:val="说明文字"/>
    <w:basedOn w:val="1"/>
    <w:autoRedefine/>
    <w:qFormat/>
    <w:uiPriority w:val="0"/>
    <w:pPr>
      <w:widowControl/>
      <w:jc w:val="left"/>
    </w:pPr>
    <w:rPr>
      <w:rFonts w:ascii="Tahoma" w:hAnsi="Tahoma"/>
      <w:kern w:val="0"/>
      <w:sz w:val="24"/>
      <w:lang w:eastAsia="en-US" w:bidi="en-US"/>
    </w:rPr>
  </w:style>
  <w:style w:type="paragraph" w:customStyle="1" w:styleId="1160">
    <w:name w:val="a4"/>
    <w:basedOn w:val="1"/>
    <w:autoRedefine/>
    <w:qFormat/>
    <w:uiPriority w:val="0"/>
    <w:pPr>
      <w:widowControl/>
      <w:spacing w:line="360" w:lineRule="auto"/>
      <w:jc w:val="center"/>
    </w:pPr>
    <w:rPr>
      <w:kern w:val="0"/>
      <w:szCs w:val="21"/>
    </w:rPr>
  </w:style>
  <w:style w:type="paragraph" w:customStyle="1" w:styleId="1161">
    <w:name w:val="charcharcharcharcharcharcharcharcharcharcharcharchar"/>
    <w:basedOn w:val="1"/>
    <w:autoRedefine/>
    <w:qFormat/>
    <w:uiPriority w:val="0"/>
    <w:pPr>
      <w:widowControl/>
      <w:ind w:left="567" w:hanging="279"/>
    </w:pPr>
    <w:rPr>
      <w:kern w:val="0"/>
      <w:sz w:val="24"/>
      <w:szCs w:val="24"/>
    </w:rPr>
  </w:style>
  <w:style w:type="paragraph" w:customStyle="1" w:styleId="1162">
    <w:name w:val="capability style"/>
    <w:basedOn w:val="1"/>
    <w:autoRedefine/>
    <w:qFormat/>
    <w:uiPriority w:val="0"/>
    <w:pPr>
      <w:widowControl/>
      <w:spacing w:before="50" w:after="50" w:line="280" w:lineRule="exact"/>
      <w:jc w:val="left"/>
    </w:pPr>
    <w:rPr>
      <w:rFonts w:ascii="Arial" w:hAnsi="Arial"/>
      <w:color w:val="008000"/>
      <w:kern w:val="0"/>
      <w:sz w:val="20"/>
      <w:lang w:eastAsia="fr-FR" w:bidi="en-US"/>
    </w:rPr>
  </w:style>
  <w:style w:type="paragraph" w:customStyle="1" w:styleId="1163">
    <w:name w:val="Section Title"/>
    <w:basedOn w:val="1"/>
    <w:next w:val="1"/>
    <w:autoRedefine/>
    <w:qFormat/>
    <w:uiPriority w:val="0"/>
    <w:pPr>
      <w:widowControl/>
      <w:spacing w:line="220" w:lineRule="atLeast"/>
      <w:jc w:val="left"/>
    </w:pPr>
    <w:rPr>
      <w:rFonts w:ascii="Arial Black" w:hAnsi="Arial Black" w:eastAsia="PMingLiU"/>
      <w:spacing w:val="-10"/>
      <w:kern w:val="0"/>
      <w:sz w:val="20"/>
      <w:lang w:eastAsia="en-US" w:bidi="en-US"/>
    </w:rPr>
  </w:style>
  <w:style w:type="paragraph" w:customStyle="1" w:styleId="1164">
    <w:name w:val="List  2"/>
    <w:basedOn w:val="1"/>
    <w:autoRedefine/>
    <w:qFormat/>
    <w:uiPriority w:val="0"/>
    <w:pPr>
      <w:widowControl/>
      <w:spacing w:before="20" w:after="60" w:line="240" w:lineRule="atLeast"/>
      <w:ind w:left="1559" w:hanging="283"/>
      <w:jc w:val="left"/>
    </w:pPr>
    <w:rPr>
      <w:rFonts w:ascii="Arial" w:hAnsi="Arial" w:eastAsia="PMingLiU"/>
      <w:kern w:val="0"/>
      <w:sz w:val="24"/>
      <w:lang w:val="en-GB" w:eastAsia="en-US" w:bidi="en-US"/>
    </w:rPr>
  </w:style>
  <w:style w:type="paragraph" w:customStyle="1" w:styleId="1165">
    <w:name w:val="List  1"/>
    <w:basedOn w:val="1"/>
    <w:autoRedefine/>
    <w:qFormat/>
    <w:uiPriority w:val="0"/>
    <w:pPr>
      <w:widowControl/>
      <w:tabs>
        <w:tab w:val="left" w:pos="1276"/>
      </w:tabs>
      <w:spacing w:before="20" w:after="60" w:line="240" w:lineRule="exact"/>
      <w:ind w:left="1276" w:hanging="283"/>
      <w:jc w:val="left"/>
    </w:pPr>
    <w:rPr>
      <w:rFonts w:ascii="Arial" w:hAnsi="Arial" w:eastAsia="PMingLiU"/>
      <w:kern w:val="0"/>
      <w:sz w:val="22"/>
      <w:lang w:val="en-GB" w:eastAsia="en-US" w:bidi="en-US"/>
    </w:rPr>
  </w:style>
  <w:style w:type="paragraph" w:customStyle="1" w:styleId="1166">
    <w:name w:val="wsaFooter"/>
    <w:basedOn w:val="1"/>
    <w:autoRedefine/>
    <w:qFormat/>
    <w:uiPriority w:val="0"/>
    <w:pPr>
      <w:widowControl/>
      <w:jc w:val="right"/>
    </w:pPr>
    <w:rPr>
      <w:rFonts w:ascii="Invensys Andale" w:hAnsi="Invensys Andale"/>
      <w:color w:val="FFFFFF"/>
      <w:kern w:val="0"/>
      <w:sz w:val="16"/>
      <w:szCs w:val="16"/>
      <w:lang w:val="en-AU" w:eastAsia="en-US" w:bidi="en-US"/>
    </w:rPr>
  </w:style>
  <w:style w:type="paragraph" w:customStyle="1" w:styleId="1167">
    <w:name w:val="Char Char Char Char Char Char1 Char Char Char Char"/>
    <w:basedOn w:val="1"/>
    <w:autoRedefine/>
    <w:qFormat/>
    <w:uiPriority w:val="0"/>
    <w:pPr>
      <w:widowControl/>
      <w:jc w:val="left"/>
    </w:pPr>
    <w:rPr>
      <w:rFonts w:ascii="仿宋_GB2312" w:eastAsia="仿宋_GB2312"/>
      <w:b/>
      <w:kern w:val="0"/>
      <w:sz w:val="32"/>
      <w:szCs w:val="32"/>
      <w:lang w:eastAsia="en-US" w:bidi="en-US"/>
    </w:rPr>
  </w:style>
  <w:style w:type="paragraph" w:customStyle="1" w:styleId="1168">
    <w:name w:val="样式 标题 4Para4CDR_Lev 4Title3h44 dashddash3 dash3rd order..."/>
    <w:basedOn w:val="6"/>
    <w:autoRedefine/>
    <w:qFormat/>
    <w:uiPriority w:val="0"/>
    <w:pPr>
      <w:keepLines w:val="0"/>
      <w:spacing w:before="480" w:after="60"/>
      <w:jc w:val="both"/>
    </w:pPr>
    <w:rPr>
      <w:rFonts w:eastAsia="宋体" w:cs="宋体"/>
      <w:b/>
      <w:bCs/>
      <w:kern w:val="0"/>
      <w:sz w:val="20"/>
      <w:szCs w:val="20"/>
    </w:rPr>
  </w:style>
  <w:style w:type="paragraph" w:customStyle="1" w:styleId="1169">
    <w:name w:val="Char Char4"/>
    <w:basedOn w:val="1"/>
    <w:autoRedefine/>
    <w:qFormat/>
    <w:uiPriority w:val="0"/>
    <w:pPr>
      <w:widowControl/>
      <w:ind w:firstLine="360" w:firstLineChars="150"/>
      <w:jc w:val="left"/>
    </w:pPr>
    <w:rPr>
      <w:rFonts w:ascii="Tahoma" w:hAnsi="Tahoma"/>
      <w:kern w:val="0"/>
      <w:sz w:val="24"/>
      <w:lang w:eastAsia="en-US" w:bidi="en-US"/>
    </w:rPr>
  </w:style>
  <w:style w:type="paragraph" w:customStyle="1" w:styleId="1170">
    <w:name w:val="样式 标题 3第二层条第三层论文标题 21.1.1 标题 3正文 + 标题 31.1.1 标题 3 + 宋体五号..."/>
    <w:basedOn w:val="4"/>
    <w:autoRedefine/>
    <w:qFormat/>
    <w:uiPriority w:val="0"/>
    <w:pPr>
      <w:keepLines w:val="0"/>
      <w:tabs>
        <w:tab w:val="left" w:pos="720"/>
      </w:tabs>
      <w:spacing w:before="480" w:line="240" w:lineRule="auto"/>
      <w:ind w:left="720" w:hanging="720"/>
      <w:jc w:val="left"/>
    </w:pPr>
    <w:rPr>
      <w:rFonts w:ascii="宋体" w:hAnsi="宋体" w:cs="Arial"/>
      <w:bCs/>
      <w:sz w:val="26"/>
      <w:szCs w:val="28"/>
      <w:lang w:eastAsia="en-US" w:bidi="en-US"/>
    </w:rPr>
  </w:style>
  <w:style w:type="paragraph" w:customStyle="1" w:styleId="1171">
    <w:name w:val="样式 (符号) 宋体 行距: 1.5 倍行距"/>
    <w:basedOn w:val="1"/>
    <w:autoRedefine/>
    <w:qFormat/>
    <w:uiPriority w:val="0"/>
    <w:pPr>
      <w:widowControl/>
      <w:spacing w:line="360" w:lineRule="auto"/>
      <w:jc w:val="left"/>
    </w:pPr>
    <w:rPr>
      <w:rFonts w:hAnsi="宋体" w:cs="宋体"/>
      <w:kern w:val="0"/>
      <w:sz w:val="24"/>
      <w:lang w:eastAsia="en-US" w:bidi="en-US"/>
    </w:rPr>
  </w:style>
  <w:style w:type="paragraph" w:customStyle="1" w:styleId="1172">
    <w:name w:val="样式 标题 3Para3Title2h333 bulletbulletbullets2nd order hd2..."/>
    <w:basedOn w:val="4"/>
    <w:autoRedefine/>
    <w:qFormat/>
    <w:uiPriority w:val="0"/>
    <w:pPr>
      <w:keepLines w:val="0"/>
      <w:spacing w:before="480" w:line="240" w:lineRule="auto"/>
      <w:jc w:val="left"/>
    </w:pPr>
    <w:rPr>
      <w:rFonts w:ascii="Cambria" w:hAnsi="Cambria" w:cs="宋体"/>
      <w:bCs/>
      <w:sz w:val="26"/>
      <w:lang w:eastAsia="en-US" w:bidi="en-US"/>
    </w:rPr>
  </w:style>
  <w:style w:type="paragraph" w:customStyle="1" w:styleId="1173">
    <w:name w:val="X:titre"/>
    <w:basedOn w:val="1"/>
    <w:autoRedefine/>
    <w:qFormat/>
    <w:uiPriority w:val="0"/>
    <w:pPr>
      <w:widowControl/>
      <w:spacing w:after="120"/>
      <w:jc w:val="center"/>
    </w:pPr>
    <w:rPr>
      <w:rFonts w:ascii="Arial" w:hAnsi="Arial"/>
      <w:b/>
      <w:kern w:val="0"/>
      <w:sz w:val="36"/>
      <w:lang w:eastAsia="fr-FR" w:bidi="en-US"/>
    </w:rPr>
  </w:style>
  <w:style w:type="paragraph" w:customStyle="1" w:styleId="1174">
    <w:name w:val="X:doc_lang"/>
    <w:basedOn w:val="1"/>
    <w:autoRedefine/>
    <w:qFormat/>
    <w:uiPriority w:val="0"/>
    <w:pPr>
      <w:widowControl/>
      <w:jc w:val="right"/>
    </w:pPr>
    <w:rPr>
      <w:rFonts w:ascii="Helvetica" w:hAnsi="Helvetica"/>
      <w:b/>
      <w:kern w:val="0"/>
      <w:sz w:val="24"/>
      <w:lang w:eastAsia="fr-FR" w:bidi="en-US"/>
    </w:rPr>
  </w:style>
  <w:style w:type="paragraph" w:customStyle="1" w:styleId="1175">
    <w:name w:val="Normal_table_10"/>
    <w:basedOn w:val="1"/>
    <w:autoRedefine/>
    <w:qFormat/>
    <w:uiPriority w:val="0"/>
    <w:pPr>
      <w:widowControl/>
      <w:spacing w:before="20" w:after="40" w:line="360" w:lineRule="auto"/>
      <w:jc w:val="left"/>
    </w:pPr>
    <w:rPr>
      <w:rFonts w:ascii="Arial" w:hAnsi="Arial" w:eastAsia="Times New Roman"/>
      <w:kern w:val="0"/>
      <w:sz w:val="20"/>
      <w:lang w:eastAsia="en-US" w:bidi="en-US"/>
    </w:rPr>
  </w:style>
  <w:style w:type="paragraph" w:customStyle="1" w:styleId="1176">
    <w:name w:val="Char Char Char Char1 Char Char Char"/>
    <w:basedOn w:val="1"/>
    <w:autoRedefine/>
    <w:qFormat/>
    <w:uiPriority w:val="0"/>
    <w:pPr>
      <w:widowControl/>
      <w:jc w:val="left"/>
    </w:pPr>
    <w:rPr>
      <w:rFonts w:ascii="Tahoma" w:hAnsi="Tahoma"/>
      <w:kern w:val="0"/>
      <w:sz w:val="24"/>
      <w:lang w:eastAsia="en-US" w:bidi="en-US"/>
    </w:rPr>
  </w:style>
  <w:style w:type="paragraph" w:customStyle="1" w:styleId="1177">
    <w:name w:val="Enumeration1"/>
    <w:basedOn w:val="1"/>
    <w:autoRedefine/>
    <w:qFormat/>
    <w:uiPriority w:val="0"/>
    <w:pPr>
      <w:widowControl/>
      <w:tabs>
        <w:tab w:val="left" w:pos="1418"/>
      </w:tabs>
      <w:ind w:left="397" w:hanging="397"/>
      <w:jc w:val="left"/>
    </w:pPr>
    <w:rPr>
      <w:rFonts w:ascii="Arial" w:hAnsi="Arial" w:eastAsia="Times New Roman"/>
      <w:kern w:val="0"/>
      <w:sz w:val="22"/>
      <w:lang w:val="fr-FR" w:eastAsia="fr-FR" w:bidi="en-US"/>
    </w:rPr>
  </w:style>
  <w:style w:type="paragraph" w:customStyle="1" w:styleId="1178">
    <w:name w:val="样式 8 磅 加粗 左侧:  0 厘米 段前: 0 磅 段后: 0 磅"/>
    <w:basedOn w:val="1"/>
    <w:autoRedefine/>
    <w:qFormat/>
    <w:uiPriority w:val="0"/>
    <w:pPr>
      <w:widowControl/>
      <w:jc w:val="left"/>
    </w:pPr>
    <w:rPr>
      <w:rFonts w:ascii="Arial" w:hAnsi="Arial" w:cs="宋体"/>
      <w:bCs/>
      <w:kern w:val="0"/>
      <w:sz w:val="24"/>
      <w:lang w:val="en-GB" w:eastAsia="en-US" w:bidi="en-US"/>
    </w:rPr>
  </w:style>
  <w:style w:type="paragraph" w:customStyle="1" w:styleId="1179">
    <w:name w:val="样式 8 磅 加粗 全部大写 居中 左侧:  0 厘米"/>
    <w:basedOn w:val="1"/>
    <w:autoRedefine/>
    <w:qFormat/>
    <w:uiPriority w:val="0"/>
    <w:pPr>
      <w:widowControl/>
      <w:spacing w:before="120" w:after="120"/>
      <w:jc w:val="center"/>
    </w:pPr>
    <w:rPr>
      <w:rFonts w:ascii="Arial" w:hAnsi="Arial" w:cs="宋体"/>
      <w:bCs/>
      <w:caps/>
      <w:kern w:val="0"/>
      <w:sz w:val="24"/>
      <w:lang w:val="en-GB" w:eastAsia="en-US" w:bidi="en-US"/>
    </w:rPr>
  </w:style>
  <w:style w:type="paragraph" w:customStyle="1" w:styleId="1180">
    <w:name w:val="&gt;1:remarque"/>
    <w:basedOn w:val="1090"/>
    <w:autoRedefine/>
    <w:qFormat/>
    <w:uiPriority w:val="0"/>
    <w:pPr>
      <w:tabs>
        <w:tab w:val="clear" w:pos="351"/>
        <w:tab w:val="clear" w:pos="709"/>
        <w:tab w:val="clear" w:pos="1061"/>
        <w:tab w:val="clear" w:pos="1418"/>
      </w:tabs>
      <w:ind w:left="1276" w:hanging="1276"/>
    </w:pPr>
    <w:rPr>
      <w:i w:val="0"/>
    </w:rPr>
  </w:style>
  <w:style w:type="paragraph" w:customStyle="1" w:styleId="1181">
    <w:name w:val="样式 8 磅 加粗 左侧:  -0.01 厘米 段前: 0 磅 段后: 0 磅"/>
    <w:basedOn w:val="1"/>
    <w:autoRedefine/>
    <w:qFormat/>
    <w:uiPriority w:val="0"/>
    <w:pPr>
      <w:widowControl/>
      <w:ind w:left="-6"/>
      <w:jc w:val="left"/>
    </w:pPr>
    <w:rPr>
      <w:rFonts w:ascii="Arial" w:hAnsi="Arial" w:cs="宋体"/>
      <w:bCs/>
      <w:kern w:val="0"/>
      <w:sz w:val="24"/>
      <w:lang w:val="en-GB" w:eastAsia="en-US" w:bidi="en-US"/>
    </w:rPr>
  </w:style>
  <w:style w:type="paragraph" w:customStyle="1" w:styleId="1182">
    <w:name w:val="样式 8 磅 加粗 两端对齐 左侧:  -0.01 厘米 段前: 0 磅 段后: 0 磅"/>
    <w:basedOn w:val="1"/>
    <w:autoRedefine/>
    <w:qFormat/>
    <w:uiPriority w:val="0"/>
    <w:pPr>
      <w:widowControl/>
      <w:ind w:left="-6"/>
      <w:jc w:val="left"/>
    </w:pPr>
    <w:rPr>
      <w:rFonts w:ascii="Arial" w:hAnsi="Arial" w:cs="宋体"/>
      <w:bCs/>
      <w:kern w:val="0"/>
      <w:sz w:val="24"/>
      <w:lang w:val="en-GB" w:eastAsia="en-US" w:bidi="en-US"/>
    </w:rPr>
  </w:style>
  <w:style w:type="paragraph" w:customStyle="1" w:styleId="1183">
    <w:name w:val="样式 8 磅 加粗 两端对齐 左侧:  -0.01 厘米 段前: 0 磅 段后: 0 磅1"/>
    <w:basedOn w:val="1"/>
    <w:autoRedefine/>
    <w:qFormat/>
    <w:uiPriority w:val="0"/>
    <w:pPr>
      <w:widowControl/>
      <w:ind w:left="-3"/>
      <w:jc w:val="left"/>
    </w:pPr>
    <w:rPr>
      <w:rFonts w:ascii="Arial" w:hAnsi="Arial" w:cs="宋体"/>
      <w:bCs/>
      <w:kern w:val="0"/>
      <w:sz w:val="24"/>
      <w:lang w:val="en-GB" w:eastAsia="en-US" w:bidi="en-US"/>
    </w:rPr>
  </w:style>
  <w:style w:type="paragraph" w:customStyle="1" w:styleId="1184">
    <w:name w:val="样式 8 磅 加粗 全部大写 居中 左侧:  -0.19 厘米 右侧:  -0.19 厘米"/>
    <w:basedOn w:val="1"/>
    <w:autoRedefine/>
    <w:qFormat/>
    <w:uiPriority w:val="0"/>
    <w:pPr>
      <w:widowControl/>
      <w:spacing w:before="120" w:after="120"/>
      <w:ind w:left="-108" w:right="-108"/>
      <w:jc w:val="center"/>
    </w:pPr>
    <w:rPr>
      <w:rFonts w:ascii="Arial" w:hAnsi="Arial" w:cs="宋体"/>
      <w:bCs/>
      <w:caps/>
      <w:kern w:val="0"/>
      <w:sz w:val="24"/>
      <w:lang w:val="en-GB" w:eastAsia="en-US" w:bidi="en-US"/>
    </w:rPr>
  </w:style>
  <w:style w:type="paragraph" w:customStyle="1" w:styleId="1185">
    <w:name w:val="样式 Textttexttest + 8 磅 加粗 左侧:  0.05 厘米"/>
    <w:basedOn w:val="585"/>
    <w:autoRedefine/>
    <w:qFormat/>
    <w:uiPriority w:val="0"/>
    <w:pPr>
      <w:ind w:left="31"/>
    </w:pPr>
    <w:rPr>
      <w:rFonts w:cs="宋体"/>
      <w:bCs/>
      <w:sz w:val="21"/>
    </w:rPr>
  </w:style>
  <w:style w:type="paragraph" w:customStyle="1" w:styleId="1186">
    <w:name w:val="样式 Textttexttest + 8 磅 加粗"/>
    <w:basedOn w:val="585"/>
    <w:autoRedefine/>
    <w:qFormat/>
    <w:uiPriority w:val="0"/>
    <w:rPr>
      <w:bCs/>
      <w:sz w:val="21"/>
    </w:rPr>
  </w:style>
  <w:style w:type="paragraph" w:customStyle="1" w:styleId="1187">
    <w:name w:val="样式 8 磅 加粗 居中 左侧:  0.05 厘米"/>
    <w:basedOn w:val="1"/>
    <w:autoRedefine/>
    <w:qFormat/>
    <w:uiPriority w:val="0"/>
    <w:pPr>
      <w:widowControl/>
      <w:spacing w:before="120" w:after="120"/>
      <w:ind w:left="31"/>
      <w:jc w:val="center"/>
    </w:pPr>
    <w:rPr>
      <w:rFonts w:ascii="Arial" w:hAnsi="Arial" w:cs="宋体"/>
      <w:bCs/>
      <w:kern w:val="0"/>
      <w:sz w:val="24"/>
      <w:lang w:val="en-GB" w:eastAsia="en-US" w:bidi="en-US"/>
    </w:rPr>
  </w:style>
  <w:style w:type="paragraph" w:customStyle="1" w:styleId="1188">
    <w:name w:val="样式 Textttexttest + 8 磅 加粗 左侧:  0.05 厘米1"/>
    <w:basedOn w:val="585"/>
    <w:autoRedefine/>
    <w:qFormat/>
    <w:uiPriority w:val="0"/>
    <w:pPr>
      <w:ind w:left="31"/>
    </w:pPr>
    <w:rPr>
      <w:rFonts w:cs="宋体"/>
      <w:bCs/>
      <w:sz w:val="21"/>
    </w:rPr>
  </w:style>
  <w:style w:type="paragraph" w:customStyle="1" w:styleId="1189">
    <w:name w:val="样式 Textttexttest + 8 磅 加粗 左侧:  0.05 厘米2"/>
    <w:basedOn w:val="585"/>
    <w:autoRedefine/>
    <w:qFormat/>
    <w:uiPriority w:val="0"/>
    <w:pPr>
      <w:ind w:left="31"/>
    </w:pPr>
    <w:rPr>
      <w:rFonts w:cs="宋体"/>
      <w:bCs/>
      <w:sz w:val="21"/>
    </w:rPr>
  </w:style>
  <w:style w:type="paragraph" w:customStyle="1" w:styleId="1190">
    <w:name w:val="样式 宋体 小四 左 行距: 固定值 25 磅"/>
    <w:basedOn w:val="1"/>
    <w:autoRedefine/>
    <w:qFormat/>
    <w:uiPriority w:val="0"/>
    <w:pPr>
      <w:widowControl/>
      <w:tabs>
        <w:tab w:val="left" w:pos="876"/>
      </w:tabs>
      <w:spacing w:line="500" w:lineRule="exact"/>
      <w:ind w:left="1191" w:hanging="735"/>
      <w:jc w:val="left"/>
    </w:pPr>
    <w:rPr>
      <w:rFonts w:ascii="宋体" w:hAnsi="宋体" w:cs="宋体"/>
      <w:kern w:val="0"/>
      <w:sz w:val="24"/>
      <w:lang w:eastAsia="en-US" w:bidi="en-US"/>
    </w:rPr>
  </w:style>
  <w:style w:type="paragraph" w:customStyle="1" w:styleId="1191">
    <w:name w:val="&gt;div:listing"/>
    <w:basedOn w:val="1"/>
    <w:autoRedefine/>
    <w:qFormat/>
    <w:uiPriority w:val="0"/>
    <w:pPr>
      <w:widowControl/>
      <w:spacing w:line="240" w:lineRule="exact"/>
      <w:jc w:val="left"/>
    </w:pPr>
    <w:rPr>
      <w:rFonts w:ascii="Courier" w:hAnsi="Courier"/>
      <w:b/>
      <w:kern w:val="0"/>
      <w:sz w:val="20"/>
      <w:lang w:eastAsia="fr-FR" w:bidi="en-US"/>
    </w:rPr>
  </w:style>
  <w:style w:type="paragraph" w:customStyle="1" w:styleId="1192">
    <w:name w:val="Normal_table_8"/>
    <w:basedOn w:val="1"/>
    <w:autoRedefine/>
    <w:qFormat/>
    <w:uiPriority w:val="0"/>
    <w:pPr>
      <w:keepLines/>
      <w:widowControl/>
      <w:spacing w:before="20" w:after="40" w:line="360" w:lineRule="auto"/>
      <w:jc w:val="left"/>
    </w:pPr>
    <w:rPr>
      <w:rFonts w:ascii="Arial" w:hAnsi="Arial" w:eastAsia="Times New Roman"/>
      <w:kern w:val="0"/>
      <w:sz w:val="16"/>
      <w:lang w:eastAsia="en-US" w:bidi="en-US"/>
    </w:rPr>
  </w:style>
  <w:style w:type="paragraph" w:customStyle="1" w:styleId="1193">
    <w:name w:val="Para Bullet"/>
    <w:basedOn w:val="742"/>
    <w:autoRedefine/>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1700" w:hanging="562"/>
    </w:pPr>
  </w:style>
  <w:style w:type="paragraph" w:customStyle="1" w:styleId="1194">
    <w:name w:val="Column Title"/>
    <w:basedOn w:val="1"/>
    <w:autoRedefine/>
    <w:qFormat/>
    <w:uiPriority w:val="0"/>
    <w:pPr>
      <w:widowControl/>
      <w:spacing w:line="240" w:lineRule="exact"/>
      <w:jc w:val="left"/>
    </w:pPr>
    <w:rPr>
      <w:rFonts w:ascii="Arial" w:hAnsi="Arial"/>
      <w:b/>
      <w:kern w:val="0"/>
      <w:sz w:val="20"/>
      <w:lang w:eastAsia="fr-FR" w:bidi="en-US"/>
    </w:rPr>
  </w:style>
  <w:style w:type="paragraph" w:customStyle="1" w:styleId="1195">
    <w:name w:val="&gt;caution"/>
    <w:basedOn w:val="1090"/>
    <w:autoRedefine/>
    <w:qFormat/>
    <w:uiPriority w:val="0"/>
    <w:pPr>
      <w:tabs>
        <w:tab w:val="clear" w:pos="351"/>
        <w:tab w:val="clear" w:pos="709"/>
        <w:tab w:val="clear" w:pos="1061"/>
        <w:tab w:val="clear" w:pos="1418"/>
      </w:tabs>
      <w:spacing w:before="10"/>
      <w:ind w:left="0"/>
    </w:pPr>
    <w:rPr>
      <w:b/>
    </w:rPr>
  </w:style>
  <w:style w:type="paragraph" w:customStyle="1" w:styleId="1196">
    <w:name w:val="Column Cell"/>
    <w:basedOn w:val="1194"/>
    <w:autoRedefine/>
    <w:qFormat/>
    <w:uiPriority w:val="0"/>
    <w:rPr>
      <w:b w:val="0"/>
      <w:sz w:val="16"/>
    </w:rPr>
  </w:style>
  <w:style w:type="paragraph" w:customStyle="1" w:styleId="1197">
    <w:name w:val="info"/>
    <w:basedOn w:val="1"/>
    <w:autoRedefine/>
    <w:qFormat/>
    <w:uiPriority w:val="0"/>
    <w:pPr>
      <w:widowControl/>
      <w:jc w:val="center"/>
    </w:pPr>
    <w:rPr>
      <w:rFonts w:ascii="Arial" w:hAnsi="Arial"/>
      <w:b/>
      <w:vanish/>
      <w:color w:val="FF0000"/>
      <w:kern w:val="0"/>
      <w:sz w:val="20"/>
      <w:lang w:eastAsia="fr-FR" w:bidi="en-US"/>
    </w:rPr>
  </w:style>
  <w:style w:type="paragraph" w:customStyle="1" w:styleId="1198">
    <w:name w:val="M:VAR:doc_nom"/>
    <w:basedOn w:val="1"/>
    <w:next w:val="1"/>
    <w:autoRedefine/>
    <w:qFormat/>
    <w:uiPriority w:val="0"/>
    <w:pPr>
      <w:widowControl/>
      <w:spacing w:before="1680" w:after="120"/>
      <w:jc w:val="center"/>
    </w:pPr>
    <w:rPr>
      <w:rFonts w:ascii="Arial" w:hAnsi="Arial"/>
      <w:b/>
      <w:kern w:val="0"/>
      <w:sz w:val="28"/>
      <w:lang w:eastAsia="fr-FR" w:bidi="en-US"/>
    </w:rPr>
  </w:style>
  <w:style w:type="paragraph" w:customStyle="1" w:styleId="1199">
    <w:name w:val="M:VAR:num_mod"/>
    <w:basedOn w:val="1"/>
    <w:autoRedefine/>
    <w:qFormat/>
    <w:uiPriority w:val="0"/>
    <w:pPr>
      <w:widowControl/>
      <w:spacing w:before="120" w:after="120"/>
      <w:jc w:val="center"/>
    </w:pPr>
    <w:rPr>
      <w:rFonts w:ascii="Arial" w:hAnsi="Arial"/>
      <w:b/>
      <w:kern w:val="0"/>
      <w:sz w:val="20"/>
      <w:lang w:eastAsia="fr-FR" w:bidi="en-US"/>
    </w:rPr>
  </w:style>
  <w:style w:type="paragraph" w:customStyle="1" w:styleId="1200">
    <w:name w:val="M:VAR:doc_securit"/>
    <w:basedOn w:val="1199"/>
    <w:autoRedefine/>
    <w:qFormat/>
    <w:uiPriority w:val="0"/>
    <w:pPr>
      <w:spacing w:before="0"/>
    </w:pPr>
    <w:rPr>
      <w:b w:val="0"/>
      <w:caps/>
    </w:rPr>
  </w:style>
  <w:style w:type="paragraph" w:customStyle="1" w:styleId="1201">
    <w:name w:val="M:VAR:titre title"/>
    <w:basedOn w:val="1"/>
    <w:autoRedefine/>
    <w:qFormat/>
    <w:uiPriority w:val="0"/>
    <w:pPr>
      <w:widowControl/>
      <w:spacing w:before="1600" w:line="900" w:lineRule="exact"/>
      <w:jc w:val="center"/>
    </w:pPr>
    <w:rPr>
      <w:rFonts w:ascii="Arial" w:hAnsi="Arial"/>
      <w:b/>
      <w:caps/>
      <w:kern w:val="0"/>
      <w:sz w:val="48"/>
      <w:lang w:eastAsia="fr-FR" w:bidi="en-US"/>
    </w:rPr>
  </w:style>
  <w:style w:type="paragraph" w:customStyle="1" w:styleId="1202">
    <w:name w:val="M:VAR:titre suite title"/>
    <w:basedOn w:val="1201"/>
    <w:autoRedefine/>
    <w:qFormat/>
    <w:uiPriority w:val="0"/>
    <w:pPr>
      <w:spacing w:before="600"/>
    </w:pPr>
  </w:style>
  <w:style w:type="paragraph" w:customStyle="1" w:styleId="1203">
    <w:name w:val="requirement style"/>
    <w:basedOn w:val="779"/>
    <w:autoRedefine/>
    <w:qFormat/>
    <w:uiPriority w:val="0"/>
    <w:rPr>
      <w:color w:val="0000FF"/>
      <w:sz w:val="24"/>
    </w:rPr>
  </w:style>
  <w:style w:type="paragraph" w:customStyle="1" w:styleId="1204">
    <w:name w:val="M:VAR:num_ref"/>
    <w:basedOn w:val="1199"/>
    <w:autoRedefine/>
    <w:qFormat/>
    <w:uiPriority w:val="0"/>
    <w:pPr>
      <w:spacing w:before="0" w:after="0"/>
      <w:ind w:right="57"/>
      <w:jc w:val="right"/>
    </w:pPr>
    <w:rPr>
      <w:b w:val="0"/>
      <w:sz w:val="16"/>
    </w:rPr>
  </w:style>
  <w:style w:type="paragraph" w:customStyle="1" w:styleId="1205">
    <w:name w:val="Tab_text2li"/>
    <w:basedOn w:val="799"/>
    <w:autoRedefine/>
    <w:qFormat/>
    <w:uiPriority w:val="0"/>
    <w:pPr>
      <w:spacing w:before="120"/>
    </w:pPr>
    <w:rPr>
      <w:rFonts w:ascii="Arial" w:hAnsi="Arial"/>
      <w:sz w:val="20"/>
    </w:rPr>
  </w:style>
  <w:style w:type="paragraph" w:customStyle="1" w:styleId="1206">
    <w:name w:val="PUID"/>
    <w:basedOn w:val="779"/>
    <w:autoRedefine/>
    <w:qFormat/>
    <w:uiPriority w:val="0"/>
    <w:pPr>
      <w:pBdr>
        <w:top w:val="single" w:color="auto" w:sz="4" w:space="1"/>
        <w:left w:val="single" w:color="auto" w:sz="4" w:space="4"/>
        <w:bottom w:val="single" w:color="auto" w:sz="4" w:space="1"/>
        <w:right w:val="single" w:color="auto" w:sz="4" w:space="4"/>
      </w:pBdr>
      <w:shd w:val="pct5" w:color="auto" w:fill="auto"/>
      <w:spacing w:after="0"/>
    </w:pPr>
    <w:rPr>
      <w:b/>
      <w:i/>
      <w:sz w:val="16"/>
    </w:rPr>
  </w:style>
  <w:style w:type="paragraph" w:customStyle="1" w:styleId="1207">
    <w:name w:val="Tableau_norm1"/>
    <w:basedOn w:val="809"/>
    <w:autoRedefine/>
    <w:qFormat/>
    <w:uiPriority w:val="0"/>
    <w:pPr>
      <w:spacing w:before="40"/>
    </w:pPr>
    <w:rPr>
      <w:rFonts w:ascii="Arial" w:hAnsi="Arial"/>
    </w:rPr>
  </w:style>
  <w:style w:type="paragraph" w:customStyle="1" w:styleId="1208">
    <w:name w:val="Tab_text1li"/>
    <w:basedOn w:val="1194"/>
    <w:autoRedefine/>
    <w:qFormat/>
    <w:uiPriority w:val="0"/>
    <w:pPr>
      <w:spacing w:before="180" w:after="180" w:line="280" w:lineRule="exact"/>
      <w:jc w:val="center"/>
    </w:pPr>
  </w:style>
  <w:style w:type="paragraph" w:customStyle="1" w:styleId="1209">
    <w:name w:val="Tableau_norm2centré"/>
    <w:basedOn w:val="799"/>
    <w:autoRedefine/>
    <w:qFormat/>
    <w:uiPriority w:val="0"/>
    <w:pPr>
      <w:ind w:right="3"/>
    </w:pPr>
    <w:rPr>
      <w:rFonts w:ascii="Arial" w:hAnsi="Arial"/>
      <w:sz w:val="24"/>
    </w:rPr>
  </w:style>
  <w:style w:type="paragraph" w:customStyle="1" w:styleId="1210">
    <w:name w:val="Tableau_textecentré"/>
    <w:basedOn w:val="799"/>
    <w:autoRedefine/>
    <w:qFormat/>
    <w:uiPriority w:val="0"/>
    <w:rPr>
      <w:rFonts w:ascii="Arial" w:hAnsi="Arial"/>
      <w:sz w:val="20"/>
    </w:rPr>
  </w:style>
  <w:style w:type="paragraph" w:customStyle="1" w:styleId="1211">
    <w:name w:val="Tableau_titre"/>
    <w:autoRedefine/>
    <w:qFormat/>
    <w:uiPriority w:val="0"/>
    <w:pPr>
      <w:spacing w:before="240" w:after="240" w:line="276" w:lineRule="auto"/>
      <w:jc w:val="center"/>
    </w:pPr>
    <w:rPr>
      <w:rFonts w:ascii="Times New Roman" w:hAnsi="Times New Roman" w:eastAsia="宋体" w:cs="Times New Roman"/>
      <w:b/>
      <w:caps/>
      <w:sz w:val="36"/>
      <w:lang w:val="fr-FR" w:eastAsia="fr-FR" w:bidi="en-US"/>
    </w:rPr>
  </w:style>
  <w:style w:type="paragraph" w:customStyle="1" w:styleId="1212">
    <w:name w:val="Titre 2 lignes titre doc"/>
    <w:basedOn w:val="1"/>
    <w:autoRedefine/>
    <w:qFormat/>
    <w:uiPriority w:val="0"/>
    <w:pPr>
      <w:widowControl/>
      <w:spacing w:after="240"/>
      <w:jc w:val="center"/>
    </w:pPr>
    <w:rPr>
      <w:rFonts w:ascii="Arial" w:hAnsi="Arial"/>
      <w:b/>
      <w:caps/>
      <w:kern w:val="0"/>
      <w:sz w:val="24"/>
      <w:lang w:eastAsia="fr-FR" w:bidi="en-US"/>
    </w:rPr>
  </w:style>
  <w:style w:type="paragraph" w:customStyle="1" w:styleId="1213">
    <w:name w:val="Heading #2"/>
    <w:basedOn w:val="41"/>
    <w:autoRedefine/>
    <w:qFormat/>
    <w:uiPriority w:val="0"/>
    <w:pPr>
      <w:pBdr>
        <w:bottom w:val="single" w:color="auto" w:sz="4" w:space="1"/>
      </w:pBdr>
      <w:tabs>
        <w:tab w:val="left" w:pos="851"/>
        <w:tab w:val="clear" w:pos="4153"/>
        <w:tab w:val="clear" w:pos="8306"/>
      </w:tabs>
      <w:snapToGrid/>
      <w:jc w:val="both"/>
    </w:pPr>
    <w:rPr>
      <w:rFonts w:ascii="Arial" w:hAnsi="Arial" w:eastAsia="PMingLiU"/>
      <w:b/>
      <w:kern w:val="0"/>
      <w:sz w:val="24"/>
      <w:szCs w:val="20"/>
      <w:lang w:val="en-AU"/>
    </w:rPr>
  </w:style>
  <w:style w:type="paragraph" w:customStyle="1" w:styleId="1214">
    <w:name w:val="IndentParaLevel1"/>
    <w:basedOn w:val="1"/>
    <w:autoRedefine/>
    <w:qFormat/>
    <w:uiPriority w:val="0"/>
    <w:pPr>
      <w:widowControl/>
      <w:spacing w:after="200"/>
      <w:ind w:left="709"/>
      <w:jc w:val="left"/>
    </w:pPr>
    <w:rPr>
      <w:rFonts w:eastAsia="PMingLiU"/>
      <w:kern w:val="0"/>
      <w:sz w:val="24"/>
      <w:szCs w:val="24"/>
      <w:lang w:val="en-AU" w:eastAsia="en-US" w:bidi="en-US"/>
    </w:rPr>
  </w:style>
  <w:style w:type="paragraph" w:customStyle="1" w:styleId="1215">
    <w:name w:val="SecurityClassification"/>
    <w:basedOn w:val="41"/>
    <w:next w:val="41"/>
    <w:autoRedefine/>
    <w:qFormat/>
    <w:uiPriority w:val="0"/>
    <w:pPr>
      <w:pBdr>
        <w:bottom w:val="single" w:color="auto" w:sz="4" w:space="1"/>
      </w:pBdr>
      <w:tabs>
        <w:tab w:val="center" w:pos="4320"/>
        <w:tab w:val="right" w:pos="8640"/>
        <w:tab w:val="clear" w:pos="4153"/>
        <w:tab w:val="clear" w:pos="8306"/>
      </w:tabs>
      <w:snapToGrid/>
      <w:spacing w:before="480"/>
    </w:pPr>
    <w:rPr>
      <w:rFonts w:ascii="Arial" w:hAnsi="Arial" w:eastAsia="PMingLiU"/>
      <w:b/>
      <w:kern w:val="0"/>
      <w:szCs w:val="20"/>
      <w:lang w:val="en-AU"/>
    </w:rPr>
  </w:style>
  <w:style w:type="paragraph" w:customStyle="1" w:styleId="1216">
    <w:name w:val="Table Bullet"/>
    <w:basedOn w:val="1217"/>
    <w:autoRedefine/>
    <w:qFormat/>
    <w:uiPriority w:val="0"/>
    <w:pPr>
      <w:keepNext/>
      <w:tabs>
        <w:tab w:val="left" w:pos="198"/>
        <w:tab w:val="left" w:pos="360"/>
      </w:tabs>
      <w:ind w:left="360" w:hanging="360"/>
    </w:pPr>
  </w:style>
  <w:style w:type="paragraph" w:customStyle="1" w:styleId="1217">
    <w:name w:val="TableText"/>
    <w:basedOn w:val="1"/>
    <w:autoRedefine/>
    <w:qFormat/>
    <w:uiPriority w:val="0"/>
    <w:pPr>
      <w:widowControl/>
      <w:spacing w:before="40" w:after="40"/>
      <w:ind w:right="113"/>
      <w:jc w:val="left"/>
    </w:pPr>
    <w:rPr>
      <w:rFonts w:ascii="Arial" w:hAnsi="Arial" w:eastAsia="PMingLiU"/>
      <w:snapToGrid w:val="0"/>
      <w:kern w:val="0"/>
      <w:sz w:val="18"/>
      <w:lang w:val="en-AU" w:eastAsia="en-US" w:bidi="en-US"/>
    </w:rPr>
  </w:style>
  <w:style w:type="paragraph" w:customStyle="1" w:styleId="1218">
    <w:name w:val="Schedule Heading"/>
    <w:basedOn w:val="1"/>
    <w:autoRedefine/>
    <w:qFormat/>
    <w:uiPriority w:val="0"/>
    <w:pPr>
      <w:widowControl/>
      <w:spacing w:after="200" w:line="360" w:lineRule="auto"/>
      <w:jc w:val="center"/>
    </w:pPr>
    <w:rPr>
      <w:rFonts w:eastAsia="PMingLiU"/>
      <w:b/>
      <w:kern w:val="0"/>
      <w:sz w:val="24"/>
      <w:szCs w:val="24"/>
      <w:lang w:val="en-AU" w:eastAsia="en-US" w:bidi="en-US"/>
    </w:rPr>
  </w:style>
  <w:style w:type="paragraph" w:customStyle="1" w:styleId="1219">
    <w:name w:val="TX/EXP/1"/>
    <w:basedOn w:val="1"/>
    <w:autoRedefine/>
    <w:qFormat/>
    <w:uiPriority w:val="0"/>
    <w:pPr>
      <w:widowControl/>
      <w:tabs>
        <w:tab w:val="left" w:pos="1700"/>
        <w:tab w:val="left" w:pos="3140"/>
        <w:tab w:val="left" w:pos="3420"/>
      </w:tabs>
      <w:spacing w:line="280" w:lineRule="atLeast"/>
      <w:ind w:left="2820" w:hanging="2820"/>
      <w:jc w:val="left"/>
    </w:pPr>
    <w:rPr>
      <w:rFonts w:ascii="FuturaA Bk BT" w:hAnsi="FuturaA Bk BT" w:eastAsia="PMingLiU"/>
      <w:kern w:val="0"/>
      <w:sz w:val="20"/>
      <w:lang w:val="en-GB" w:eastAsia="en-US" w:bidi="en-US"/>
    </w:rPr>
  </w:style>
  <w:style w:type="paragraph" w:customStyle="1" w:styleId="1220">
    <w:name w:val="Para 2nd Subpara"/>
    <w:basedOn w:val="777"/>
    <w:autoRedefine/>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2261"/>
    </w:pPr>
  </w:style>
  <w:style w:type="paragraph" w:customStyle="1" w:styleId="1221">
    <w:name w:val="FrontPageVersion"/>
    <w:basedOn w:val="1"/>
    <w:autoRedefine/>
    <w:qFormat/>
    <w:uiPriority w:val="0"/>
    <w:pPr>
      <w:widowControl/>
      <w:tabs>
        <w:tab w:val="left" w:pos="1134"/>
      </w:tabs>
      <w:spacing w:line="280" w:lineRule="atLeast"/>
      <w:jc w:val="left"/>
    </w:pPr>
    <w:rPr>
      <w:rFonts w:ascii="Invensys Andale" w:hAnsi="Invensys Andale"/>
      <w:kern w:val="0"/>
      <w:sz w:val="20"/>
      <w:szCs w:val="21"/>
      <w:lang w:val="en-AU" w:eastAsia="en-US" w:bidi="en-US"/>
    </w:rPr>
  </w:style>
  <w:style w:type="paragraph" w:customStyle="1" w:styleId="1222">
    <w:name w:val="TOC 标题2"/>
    <w:basedOn w:val="2"/>
    <w:next w:val="1"/>
    <w:autoRedefine/>
    <w:qFormat/>
    <w:uiPriority w:val="39"/>
    <w:pPr>
      <w:keepNext w:val="0"/>
      <w:tabs>
        <w:tab w:val="clear" w:pos="885"/>
      </w:tabs>
      <w:adjustRightInd w:val="0"/>
      <w:snapToGrid w:val="0"/>
      <w:spacing w:before="240" w:beforeLines="100"/>
      <w:ind w:left="0" w:firstLine="207" w:firstLineChars="98"/>
      <w:jc w:val="both"/>
      <w:outlineLvl w:val="9"/>
    </w:pPr>
    <w:rPr>
      <w:rFonts w:ascii="Cambria" w:hAnsi="Cambria" w:eastAsia="宋体"/>
      <w:bCs/>
      <w:kern w:val="32"/>
      <w:sz w:val="28"/>
      <w:szCs w:val="28"/>
      <w:lang w:eastAsia="en-US" w:bidi="en-US"/>
    </w:rPr>
  </w:style>
  <w:style w:type="paragraph" w:customStyle="1" w:styleId="1223">
    <w:name w:val="1.5行距正文"/>
    <w:basedOn w:val="1"/>
    <w:autoRedefine/>
    <w:qFormat/>
    <w:uiPriority w:val="0"/>
    <w:pPr>
      <w:widowControl/>
      <w:spacing w:line="360" w:lineRule="auto"/>
      <w:ind w:firstLine="200" w:firstLineChars="200"/>
      <w:jc w:val="left"/>
    </w:pPr>
    <w:rPr>
      <w:kern w:val="0"/>
      <w:sz w:val="24"/>
      <w:szCs w:val="24"/>
      <w:lang w:eastAsia="en-US" w:bidi="en-US"/>
    </w:rPr>
  </w:style>
  <w:style w:type="paragraph" w:customStyle="1" w:styleId="1224">
    <w:name w:val="TX/EXP/2"/>
    <w:basedOn w:val="1219"/>
    <w:autoRedefine/>
    <w:qFormat/>
    <w:uiPriority w:val="0"/>
    <w:pPr>
      <w:tabs>
        <w:tab w:val="left" w:pos="2820"/>
        <w:tab w:val="left" w:pos="3700"/>
        <w:tab w:val="clear" w:pos="1700"/>
        <w:tab w:val="clear" w:pos="3140"/>
        <w:tab w:val="clear" w:pos="3420"/>
      </w:tabs>
      <w:overflowPunct w:val="0"/>
      <w:autoSpaceDE w:val="0"/>
      <w:autoSpaceDN w:val="0"/>
      <w:adjustRightInd w:val="0"/>
      <w:ind w:left="3100" w:hanging="3100"/>
      <w:textAlignment w:val="baseline"/>
    </w:pPr>
    <w:rPr>
      <w:lang w:val="fr-FR"/>
    </w:rPr>
  </w:style>
  <w:style w:type="paragraph" w:customStyle="1" w:styleId="1225">
    <w:name w:val="NOM"/>
    <w:basedOn w:val="1"/>
    <w:autoRedefine/>
    <w:qFormat/>
    <w:uiPriority w:val="0"/>
    <w:pPr>
      <w:pageBreakBefore/>
      <w:widowControl/>
      <w:pBdr>
        <w:top w:val="single" w:color="auto" w:sz="6" w:space="15"/>
        <w:left w:val="single" w:color="auto" w:sz="6" w:space="0"/>
        <w:bottom w:val="single" w:color="auto" w:sz="6" w:space="15"/>
        <w:right w:val="single" w:color="auto" w:sz="6" w:space="1"/>
      </w:pBdr>
      <w:shd w:val="pct10" w:color="00FFFF" w:fill="auto"/>
      <w:overflowPunct w:val="0"/>
      <w:autoSpaceDE w:val="0"/>
      <w:autoSpaceDN w:val="0"/>
      <w:adjustRightInd w:val="0"/>
      <w:jc w:val="center"/>
      <w:textAlignment w:val="baseline"/>
    </w:pPr>
    <w:rPr>
      <w:rFonts w:ascii="Arial" w:hAnsi="Arial" w:eastAsia="PMingLiU"/>
      <w:b/>
      <w:kern w:val="0"/>
      <w:sz w:val="36"/>
      <w:lang w:val="en-AU" w:eastAsia="en-US" w:bidi="en-US"/>
    </w:rPr>
  </w:style>
  <w:style w:type="paragraph" w:customStyle="1" w:styleId="1226">
    <w:name w:val="FONCTIONS/EXP."/>
    <w:basedOn w:val="1"/>
    <w:autoRedefine/>
    <w:qFormat/>
    <w:uiPriority w:val="0"/>
    <w:pPr>
      <w:pageBreakBefore/>
      <w:widowControl/>
      <w:pBdr>
        <w:top w:val="single" w:color="auto" w:sz="6" w:space="5"/>
        <w:left w:val="single" w:color="auto" w:sz="6" w:space="5"/>
        <w:bottom w:val="single" w:color="auto" w:sz="6" w:space="5"/>
        <w:right w:val="single" w:color="auto" w:sz="6" w:space="5"/>
      </w:pBdr>
      <w:tabs>
        <w:tab w:val="center" w:pos="8720"/>
      </w:tabs>
      <w:overflowPunct w:val="0"/>
      <w:autoSpaceDE w:val="0"/>
      <w:autoSpaceDN w:val="0"/>
      <w:adjustRightInd w:val="0"/>
      <w:spacing w:after="120" w:line="400" w:lineRule="atLeast"/>
      <w:ind w:left="23"/>
      <w:jc w:val="left"/>
      <w:textAlignment w:val="baseline"/>
    </w:pPr>
    <w:rPr>
      <w:rFonts w:ascii="Arial" w:hAnsi="Arial" w:eastAsia="PMingLiU"/>
      <w:b/>
      <w:caps/>
      <w:kern w:val="0"/>
      <w:sz w:val="24"/>
      <w:lang w:val="en-GB" w:eastAsia="en-US" w:bidi="en-US"/>
    </w:rPr>
  </w:style>
  <w:style w:type="paragraph" w:customStyle="1" w:styleId="1227">
    <w:name w:val="表格文字小 (居中)"/>
    <w:basedOn w:val="1"/>
    <w:autoRedefine/>
    <w:qFormat/>
    <w:uiPriority w:val="0"/>
    <w:pPr>
      <w:widowControl/>
      <w:adjustRightInd w:val="0"/>
      <w:spacing w:line="240" w:lineRule="atLeast"/>
      <w:jc w:val="center"/>
      <w:textAlignment w:val="baseline"/>
    </w:pPr>
    <w:rPr>
      <w:rFonts w:ascii="宋体"/>
      <w:kern w:val="0"/>
      <w:sz w:val="18"/>
      <w:szCs w:val="18"/>
      <w:lang w:eastAsia="en-US" w:bidi="en-US"/>
    </w:rPr>
  </w:style>
  <w:style w:type="paragraph" w:customStyle="1" w:styleId="1228">
    <w:name w:val="表标题(小)"/>
    <w:basedOn w:val="1"/>
    <w:next w:val="25"/>
    <w:autoRedefine/>
    <w:qFormat/>
    <w:uiPriority w:val="0"/>
    <w:pPr>
      <w:keepNext/>
      <w:widowControl/>
      <w:spacing w:line="360" w:lineRule="auto"/>
      <w:jc w:val="center"/>
      <w:outlineLvl w:val="8"/>
    </w:pPr>
    <w:rPr>
      <w:rFonts w:ascii="宋体"/>
      <w:kern w:val="0"/>
      <w:sz w:val="18"/>
      <w:szCs w:val="18"/>
      <w:lang w:eastAsia="en-US" w:bidi="en-US"/>
    </w:rPr>
  </w:style>
  <w:style w:type="paragraph" w:customStyle="1" w:styleId="1229">
    <w:name w:val="Normal Content"/>
    <w:basedOn w:val="1"/>
    <w:autoRedefine/>
    <w:qFormat/>
    <w:uiPriority w:val="0"/>
    <w:pPr>
      <w:widowControl/>
      <w:wordWrap w:val="0"/>
      <w:autoSpaceDE w:val="0"/>
      <w:autoSpaceDN w:val="0"/>
      <w:jc w:val="left"/>
    </w:pPr>
    <w:rPr>
      <w:kern w:val="0"/>
      <w:sz w:val="24"/>
      <w:szCs w:val="21"/>
      <w:lang w:eastAsia="ko-KR" w:bidi="en-US"/>
    </w:rPr>
  </w:style>
  <w:style w:type="paragraph" w:customStyle="1" w:styleId="1230">
    <w:name w:val="广六-正文"/>
    <w:basedOn w:val="1"/>
    <w:next w:val="1"/>
    <w:autoRedefine/>
    <w:qFormat/>
    <w:uiPriority w:val="0"/>
    <w:pPr>
      <w:widowControl/>
      <w:snapToGrid w:val="0"/>
      <w:spacing w:afterLines="40" w:line="288" w:lineRule="auto"/>
      <w:jc w:val="left"/>
    </w:pPr>
    <w:rPr>
      <w:rFonts w:ascii="FuturaA Bk BT" w:hAnsi="FuturaA Bk BT" w:cs="宋体"/>
      <w:kern w:val="21"/>
      <w:sz w:val="18"/>
      <w:szCs w:val="18"/>
      <w:lang w:eastAsia="en-US" w:bidi="en-US"/>
    </w:rPr>
  </w:style>
  <w:style w:type="paragraph" w:customStyle="1" w:styleId="1231">
    <w:name w:val="页码2"/>
    <w:basedOn w:val="1"/>
    <w:next w:val="1"/>
    <w:autoRedefine/>
    <w:qFormat/>
    <w:uiPriority w:val="0"/>
    <w:pPr>
      <w:widowControl/>
      <w:jc w:val="left"/>
    </w:pPr>
    <w:rPr>
      <w:color w:val="000000"/>
      <w:kern w:val="0"/>
      <w:sz w:val="24"/>
      <w:lang w:eastAsia="fr-FR"/>
    </w:rPr>
  </w:style>
  <w:style w:type="paragraph" w:customStyle="1" w:styleId="1232">
    <w:name w:val="列项——（一级）"/>
    <w:autoRedefine/>
    <w:qFormat/>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1233">
    <w:name w:val="数字编号列项（二级）"/>
    <w:autoRedefine/>
    <w:qFormat/>
    <w:uiPriority w:val="0"/>
    <w:pPr>
      <w:numPr>
        <w:ilvl w:val="1"/>
        <w:numId w:val="4"/>
      </w:numPr>
      <w:jc w:val="both"/>
    </w:pPr>
    <w:rPr>
      <w:rFonts w:ascii="宋体" w:hAnsi="Times New Roman" w:eastAsia="宋体" w:cs="Times New Roman"/>
      <w:sz w:val="21"/>
      <w:lang w:val="en-US" w:eastAsia="zh-CN" w:bidi="ar-SA"/>
    </w:rPr>
  </w:style>
  <w:style w:type="paragraph" w:customStyle="1" w:styleId="1234">
    <w:name w:val="编号列项（三级）"/>
    <w:autoRedefine/>
    <w:qFormat/>
    <w:uiPriority w:val="0"/>
    <w:pPr>
      <w:numPr>
        <w:ilvl w:val="2"/>
        <w:numId w:val="4"/>
      </w:numPr>
    </w:pPr>
    <w:rPr>
      <w:rFonts w:ascii="宋体" w:hAnsi="Times New Roman" w:eastAsia="宋体" w:cs="Times New Roman"/>
      <w:sz w:val="21"/>
      <w:lang w:val="en-US" w:eastAsia="zh-CN" w:bidi="ar-SA"/>
    </w:rPr>
  </w:style>
  <w:style w:type="paragraph" w:customStyle="1" w:styleId="1235">
    <w:name w:val="样式5"/>
    <w:basedOn w:val="3"/>
    <w:autoRedefine/>
    <w:qFormat/>
    <w:uiPriority w:val="0"/>
    <w:pPr>
      <w:widowControl w:val="0"/>
      <w:numPr>
        <w:ilvl w:val="1"/>
        <w:numId w:val="11"/>
      </w:numPr>
      <w:autoSpaceDE w:val="0"/>
      <w:autoSpaceDN w:val="0"/>
      <w:adjustRightInd w:val="0"/>
      <w:spacing w:before="0" w:after="0" w:line="360" w:lineRule="auto"/>
      <w:jc w:val="both"/>
      <w:textAlignment w:val="baseline"/>
      <w:outlineLvl w:val="3"/>
    </w:pPr>
    <w:rPr>
      <w:rFonts w:ascii="宋体" w:hAnsi="宋体" w:eastAsia="宋体"/>
      <w:b w:val="0"/>
      <w:sz w:val="20"/>
      <w:szCs w:val="21"/>
    </w:rPr>
  </w:style>
  <w:style w:type="paragraph" w:customStyle="1" w:styleId="1236">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rPr>
  </w:style>
  <w:style w:type="paragraph" w:customStyle="1" w:styleId="1237">
    <w:name w:val="日期 New"/>
    <w:basedOn w:val="1123"/>
    <w:next w:val="1123"/>
    <w:autoRedefine/>
    <w:qFormat/>
    <w:uiPriority w:val="0"/>
  </w:style>
  <w:style w:type="paragraph" w:customStyle="1" w:styleId="1238">
    <w:name w:val="Char Char Char Char Char Char Char Char Char Char Char Char Char1"/>
    <w:basedOn w:val="1"/>
    <w:autoRedefine/>
    <w:qFormat/>
    <w:uiPriority w:val="0"/>
    <w:pPr>
      <w:ind w:left="567" w:hanging="279"/>
    </w:pPr>
    <w:rPr>
      <w:sz w:val="24"/>
      <w:szCs w:val="24"/>
    </w:rPr>
  </w:style>
  <w:style w:type="paragraph" w:customStyle="1" w:styleId="1239">
    <w:name w:val="合同1"/>
    <w:basedOn w:val="2"/>
    <w:autoRedefine/>
    <w:qFormat/>
    <w:uiPriority w:val="0"/>
    <w:pPr>
      <w:keepNext w:val="0"/>
      <w:widowControl w:val="0"/>
      <w:tabs>
        <w:tab w:val="clear" w:pos="885"/>
      </w:tabs>
      <w:adjustRightInd w:val="0"/>
      <w:snapToGrid w:val="0"/>
      <w:spacing w:before="240" w:beforeLines="100"/>
      <w:ind w:left="-359" w:firstLine="207" w:firstLineChars="98"/>
      <w:jc w:val="both"/>
    </w:pPr>
    <w:rPr>
      <w:rFonts w:ascii="宋体" w:hAnsi="宋体" w:eastAsia="宋体" w:cs="Arial"/>
      <w:color w:val="000000"/>
      <w:sz w:val="28"/>
    </w:rPr>
  </w:style>
  <w:style w:type="paragraph" w:customStyle="1" w:styleId="1240">
    <w:name w:val="标题2"/>
    <w:basedOn w:val="3"/>
    <w:autoRedefine/>
    <w:qFormat/>
    <w:uiPriority w:val="0"/>
    <w:pPr>
      <w:widowControl w:val="0"/>
      <w:spacing w:before="0" w:after="0" w:line="360" w:lineRule="auto"/>
      <w:jc w:val="both"/>
    </w:pPr>
    <w:rPr>
      <w:rFonts w:ascii="宋体" w:hAnsi="宋体" w:eastAsia="宋体"/>
      <w:bCs/>
      <w:color w:val="000000"/>
      <w:sz w:val="28"/>
    </w:rPr>
  </w:style>
  <w:style w:type="paragraph" w:customStyle="1" w:styleId="1241">
    <w:name w:val="Char Char Char Char1"/>
    <w:basedOn w:val="1"/>
    <w:autoRedefine/>
    <w:qFormat/>
    <w:uiPriority w:val="99"/>
    <w:pPr>
      <w:spacing w:line="360" w:lineRule="auto"/>
      <w:ind w:firstLine="640" w:firstLineChars="200"/>
      <w:jc w:val="left"/>
    </w:pPr>
    <w:rPr>
      <w:b/>
      <w:sz w:val="24"/>
      <w:szCs w:val="24"/>
    </w:rPr>
  </w:style>
  <w:style w:type="paragraph" w:customStyle="1" w:styleId="1242">
    <w:name w:val="表格对中"/>
    <w:basedOn w:val="1"/>
    <w:autoRedefine/>
    <w:qFormat/>
    <w:uiPriority w:val="0"/>
    <w:pPr>
      <w:spacing w:line="240" w:lineRule="exact"/>
      <w:jc w:val="center"/>
    </w:pPr>
    <w:rPr>
      <w:rFonts w:ascii="宋体" w:hAnsi="宋体"/>
      <w:sz w:val="24"/>
      <w:szCs w:val="18"/>
    </w:rPr>
  </w:style>
  <w:style w:type="paragraph" w:customStyle="1" w:styleId="1243">
    <w:name w:val="xl38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44">
    <w:name w:val="xl381"/>
    <w:basedOn w:val="1"/>
    <w:autoRedefine/>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45">
    <w:name w:val="xl383"/>
    <w:basedOn w:val="1"/>
    <w:autoRedefine/>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46">
    <w:name w:val="xl38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47">
    <w:name w:val="xl385"/>
    <w:basedOn w:val="1"/>
    <w:autoRedefine/>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48">
    <w:name w:val="xl386"/>
    <w:basedOn w:val="1"/>
    <w:autoRedefine/>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49">
    <w:name w:val="xl387"/>
    <w:basedOn w:val="1"/>
    <w:autoRedefine/>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50">
    <w:name w:val="xl3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1">
    <w:name w:val="xl3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2">
    <w:name w:val="xl3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3">
    <w:name w:val="xl3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4">
    <w:name w:val="xl3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55">
    <w:name w:val="xl3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6">
    <w:name w:val="xl3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7">
    <w:name w:val="xl3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8">
    <w:name w:val="xl396"/>
    <w:basedOn w:val="1"/>
    <w:autoRedefine/>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59">
    <w:name w:val="xl397"/>
    <w:basedOn w:val="1"/>
    <w:autoRedefine/>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0">
    <w:name w:val="xl398"/>
    <w:basedOn w:val="1"/>
    <w:autoRedefine/>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1">
    <w:name w:val="xl399"/>
    <w:basedOn w:val="1"/>
    <w:autoRedefine/>
    <w:qFormat/>
    <w:uiPriority w:val="0"/>
    <w:pPr>
      <w:widowControl/>
      <w:pBdr>
        <w:top w:val="single" w:color="000000" w:sz="4" w:space="0"/>
        <w:left w:val="single" w:color="000000" w:sz="4" w:space="0"/>
        <w:bottom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2">
    <w:name w:val="xl4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63">
    <w:name w:val="xl4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264">
    <w:name w:val="f12"/>
    <w:basedOn w:val="1"/>
    <w:autoRedefine/>
    <w:qFormat/>
    <w:uiPriority w:val="99"/>
    <w:pPr>
      <w:widowControl/>
      <w:spacing w:before="100" w:beforeAutospacing="1" w:after="100" w:afterAutospacing="1"/>
      <w:jc w:val="left"/>
    </w:pPr>
    <w:rPr>
      <w:rFonts w:ascii="_GB2312" w:hAnsi="_GB2312"/>
      <w:color w:val="000000"/>
      <w:kern w:val="0"/>
      <w:szCs w:val="21"/>
    </w:rPr>
  </w:style>
  <w:style w:type="paragraph" w:customStyle="1" w:styleId="1265">
    <w:name w:val="xl4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66">
    <w:name w:val="xl4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267">
    <w:name w:val="xl404"/>
    <w:basedOn w:val="1"/>
    <w:autoRedefine/>
    <w:qFormat/>
    <w:uiPriority w:val="0"/>
    <w:pPr>
      <w:widowControl/>
      <w:pBdr>
        <w:bottom w:val="single" w:color="FFFFFF" w:sz="4" w:space="0"/>
        <w:right w:val="single" w:color="FFFFFF"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68">
    <w:name w:val="xl4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69">
    <w:name w:val="xl4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270">
    <w:name w:val="xl407"/>
    <w:basedOn w:val="1"/>
    <w:autoRedefine/>
    <w:qFormat/>
    <w:uiPriority w:val="0"/>
    <w:pPr>
      <w:widowControl/>
      <w:pBdr>
        <w:bottom w:val="single" w:color="FFFFFF"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71">
    <w:name w:val="一级条标题"/>
    <w:basedOn w:val="358"/>
    <w:next w:val="1"/>
    <w:autoRedefine/>
    <w:qFormat/>
    <w:uiPriority w:val="99"/>
    <w:pPr>
      <w:spacing w:beforeLines="0" w:afterLines="0"/>
      <w:ind w:left="105"/>
      <w:outlineLvl w:val="2"/>
    </w:pPr>
    <w:rPr>
      <w:rFonts w:hAnsiTheme="minorHAnsi" w:cstheme="minorBidi"/>
      <w:kern w:val="2"/>
      <w:szCs w:val="21"/>
    </w:rPr>
  </w:style>
  <w:style w:type="paragraph" w:customStyle="1" w:styleId="1272">
    <w:name w:val="xl4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73">
    <w:name w:val="xl4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274">
    <w:name w:val="xl4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75">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1276">
    <w:name w:val="xl4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FF0000"/>
      <w:kern w:val="0"/>
      <w:sz w:val="18"/>
      <w:szCs w:val="18"/>
    </w:rPr>
  </w:style>
  <w:style w:type="paragraph" w:customStyle="1" w:styleId="1277">
    <w:name w:val="xl413"/>
    <w:basedOn w:val="1"/>
    <w:autoRedefine/>
    <w:qFormat/>
    <w:uiPriority w:val="0"/>
    <w:pPr>
      <w:widowControl/>
      <w:pBdr>
        <w:top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78">
    <w:name w:val="xl416"/>
    <w:basedOn w:val="1"/>
    <w:autoRedefine/>
    <w:qFormat/>
    <w:uiPriority w:val="0"/>
    <w:pPr>
      <w:widowControl/>
      <w:pBdr>
        <w:left w:val="single" w:color="000000" w:sz="8"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79">
    <w:name w:val="xl417"/>
    <w:basedOn w:val="1"/>
    <w:autoRedefine/>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0">
    <w:name w:val="xl418"/>
    <w:basedOn w:val="1"/>
    <w:autoRedefine/>
    <w:qFormat/>
    <w:uiPriority w:val="0"/>
    <w:pPr>
      <w:widowControl/>
      <w:pBdr>
        <w:left w:val="single" w:color="000000" w:sz="4" w:space="0"/>
        <w:bottom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1">
    <w:name w:val="xl419"/>
    <w:basedOn w:val="1"/>
    <w:autoRedefine/>
    <w:qFormat/>
    <w:uiPriority w:val="0"/>
    <w:pPr>
      <w:widowControl/>
      <w:pBdr>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2">
    <w:name w:val="_Style 131"/>
    <w:next w:val="1"/>
    <w:autoRedefine/>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3">
    <w:name w:val="xl42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84">
    <w:name w:val="_Style 133"/>
    <w:next w:val="1"/>
    <w:autoRedefine/>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5">
    <w:name w:val="xl4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286">
    <w:name w:val="_Style 130"/>
    <w:next w:val="1"/>
    <w:autoRedefine/>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7">
    <w:name w:val="xl424"/>
    <w:basedOn w:val="1"/>
    <w:autoRedefine/>
    <w:qFormat/>
    <w:uiPriority w:val="0"/>
    <w:pPr>
      <w:widowControl/>
      <w:pBdr>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8">
    <w:name w:val="Char Char Char2"/>
    <w:basedOn w:val="1"/>
    <w:autoRedefine/>
    <w:qFormat/>
    <w:uiPriority w:val="99"/>
    <w:pPr>
      <w:widowControl/>
      <w:spacing w:line="240" w:lineRule="exact"/>
      <w:jc w:val="left"/>
    </w:pPr>
    <w:rPr>
      <w:rFonts w:ascii="宋体" w:cs="宋体"/>
      <w:kern w:val="0"/>
      <w:sz w:val="20"/>
      <w:szCs w:val="24"/>
    </w:rPr>
  </w:style>
  <w:style w:type="paragraph" w:customStyle="1" w:styleId="1289">
    <w:name w:val="xl425"/>
    <w:basedOn w:val="1"/>
    <w:autoRedefine/>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90">
    <w:name w:val="xl426"/>
    <w:basedOn w:val="1"/>
    <w:autoRedefine/>
    <w:qFormat/>
    <w:uiPriority w:val="0"/>
    <w:pPr>
      <w:widowControl/>
      <w:pBdr>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91">
    <w:name w:val="xl4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92">
    <w:name w:val="xl4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293">
    <w:name w:val="合同2"/>
    <w:basedOn w:val="2"/>
    <w:autoRedefine/>
    <w:qFormat/>
    <w:uiPriority w:val="99"/>
    <w:pPr>
      <w:keepNext w:val="0"/>
      <w:widowControl w:val="0"/>
      <w:tabs>
        <w:tab w:val="clear" w:pos="885"/>
      </w:tabs>
      <w:adjustRightInd w:val="0"/>
      <w:snapToGrid w:val="0"/>
      <w:spacing w:before="240" w:beforeLines="100"/>
      <w:ind w:left="0" w:firstLine="207" w:firstLineChars="98"/>
      <w:jc w:val="both"/>
    </w:pPr>
    <w:rPr>
      <w:rFonts w:ascii="宋体" w:hAnsi="宋体" w:eastAsia="宋体" w:cs="Arial"/>
      <w:bCs/>
      <w:sz w:val="28"/>
    </w:rPr>
  </w:style>
  <w:style w:type="paragraph" w:customStyle="1" w:styleId="1294">
    <w:name w:val="p19"/>
    <w:basedOn w:val="1"/>
    <w:autoRedefine/>
    <w:qFormat/>
    <w:uiPriority w:val="0"/>
    <w:pPr>
      <w:widowControl/>
      <w:jc w:val="left"/>
    </w:pPr>
    <w:rPr>
      <w:color w:val="FF0000"/>
      <w:kern w:val="0"/>
      <w:szCs w:val="21"/>
    </w:rPr>
  </w:style>
  <w:style w:type="paragraph" w:customStyle="1" w:styleId="1295">
    <w:name w:val="f12pt1"/>
    <w:basedOn w:val="1"/>
    <w:autoRedefine/>
    <w:qFormat/>
    <w:uiPriority w:val="99"/>
    <w:pPr>
      <w:widowControl/>
      <w:spacing w:before="100" w:beforeAutospacing="1" w:after="100" w:afterAutospacing="1"/>
      <w:jc w:val="left"/>
    </w:pPr>
    <w:rPr>
      <w:rFonts w:ascii="_GB2312" w:hAnsi="_GB2312"/>
      <w:color w:val="000000"/>
      <w:kern w:val="0"/>
      <w:szCs w:val="21"/>
    </w:rPr>
  </w:style>
  <w:style w:type="paragraph" w:customStyle="1" w:styleId="1296">
    <w:name w:val="正文文本1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297">
    <w:name w:val="需求书用目录1"/>
    <w:basedOn w:val="1"/>
    <w:autoRedefine/>
    <w:qFormat/>
    <w:uiPriority w:val="99"/>
    <w:pPr>
      <w:spacing w:before="360" w:after="40"/>
      <w:outlineLvl w:val="0"/>
    </w:pPr>
    <w:rPr>
      <w:rFonts w:ascii="宋体" w:hAnsi="宋体" w:cs="宋体"/>
      <w:szCs w:val="21"/>
    </w:rPr>
  </w:style>
  <w:style w:type="paragraph" w:customStyle="1" w:styleId="1298">
    <w:name w:val="130"/>
    <w:basedOn w:val="1"/>
    <w:autoRedefine/>
    <w:qFormat/>
    <w:uiPriority w:val="99"/>
    <w:pPr>
      <w:widowControl/>
      <w:spacing w:before="100" w:beforeAutospacing="1" w:after="100" w:afterAutospacing="1" w:line="324" w:lineRule="auto"/>
      <w:jc w:val="left"/>
    </w:pPr>
    <w:rPr>
      <w:rFonts w:ascii="宋体" w:hAnsi="宋体"/>
      <w:color w:val="000000"/>
      <w:kern w:val="0"/>
      <w:sz w:val="24"/>
      <w:szCs w:val="24"/>
    </w:rPr>
  </w:style>
  <w:style w:type="paragraph" w:customStyle="1" w:styleId="1299">
    <w:name w:val="Char Char Char Char Char Char1 Char"/>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1300">
    <w:name w:val="环小四表格内容"/>
    <w:basedOn w:val="1"/>
    <w:autoRedefine/>
    <w:qFormat/>
    <w:uiPriority w:val="0"/>
    <w:pPr>
      <w:spacing w:line="240" w:lineRule="exact"/>
      <w:jc w:val="center"/>
    </w:pPr>
    <w:rPr>
      <w:rFonts w:ascii="宋体" w:hAnsi="宋体"/>
      <w:bCs/>
      <w:sz w:val="18"/>
      <w:szCs w:val="18"/>
    </w:rPr>
  </w:style>
  <w:style w:type="paragraph" w:customStyle="1" w:styleId="1301">
    <w:name w:val="f11"/>
    <w:basedOn w:val="1"/>
    <w:autoRedefine/>
    <w:qFormat/>
    <w:uiPriority w:val="99"/>
    <w:pPr>
      <w:widowControl/>
      <w:spacing w:before="100" w:beforeAutospacing="1" w:after="100" w:afterAutospacing="1" w:line="320" w:lineRule="atLeast"/>
      <w:jc w:val="left"/>
    </w:pPr>
    <w:rPr>
      <w:rFonts w:ascii="_GB2312" w:hAnsi="_GB2312"/>
      <w:color w:val="000000"/>
      <w:kern w:val="0"/>
      <w:sz w:val="28"/>
      <w:szCs w:val="28"/>
    </w:rPr>
  </w:style>
  <w:style w:type="paragraph" w:customStyle="1" w:styleId="1302">
    <w:name w:val="索引 12"/>
    <w:basedOn w:val="1"/>
    <w:next w:val="1"/>
    <w:autoRedefine/>
    <w:qFormat/>
    <w:uiPriority w:val="0"/>
    <w:pPr>
      <w:jc w:val="center"/>
    </w:pPr>
    <w:rPr>
      <w:rFonts w:ascii="仿宋_GB2312" w:eastAsia="仿宋_GB2312"/>
      <w:bCs/>
      <w:szCs w:val="21"/>
    </w:rPr>
  </w:style>
  <w:style w:type="paragraph" w:customStyle="1" w:styleId="1303">
    <w:name w:val="Char Char Char Char Char Char Char Char Char Char2"/>
    <w:basedOn w:val="1"/>
    <w:autoRedefine/>
    <w:qFormat/>
    <w:uiPriority w:val="99"/>
    <w:rPr>
      <w:rFonts w:ascii="Tahoma" w:hAnsi="Tahoma"/>
      <w:sz w:val="24"/>
      <w:szCs w:val="24"/>
    </w:rPr>
  </w:style>
  <w:style w:type="paragraph" w:customStyle="1" w:styleId="1304">
    <w:name w:val="f14"/>
    <w:basedOn w:val="1"/>
    <w:autoRedefine/>
    <w:qFormat/>
    <w:uiPriority w:val="99"/>
    <w:pPr>
      <w:widowControl/>
      <w:spacing w:before="100" w:beforeAutospacing="1" w:after="100" w:afterAutospacing="1"/>
      <w:jc w:val="left"/>
    </w:pPr>
    <w:rPr>
      <w:rFonts w:ascii="_GB2312" w:hAnsi="_GB2312"/>
      <w:color w:val="000000"/>
      <w:kern w:val="0"/>
      <w:sz w:val="28"/>
      <w:szCs w:val="28"/>
    </w:rPr>
  </w:style>
  <w:style w:type="paragraph" w:customStyle="1" w:styleId="1305">
    <w:name w:val="表格1"/>
    <w:basedOn w:val="1"/>
    <w:autoRedefine/>
    <w:qFormat/>
    <w:uiPriority w:val="0"/>
    <w:pPr>
      <w:tabs>
        <w:tab w:val="left" w:pos="3105"/>
      </w:tabs>
      <w:spacing w:line="240" w:lineRule="exact"/>
      <w:jc w:val="center"/>
    </w:pPr>
    <w:rPr>
      <w:rFonts w:ascii="宋体" w:hAnsi="宋体"/>
      <w:sz w:val="18"/>
      <w:szCs w:val="21"/>
    </w:rPr>
  </w:style>
  <w:style w:type="paragraph" w:customStyle="1" w:styleId="1306">
    <w:name w:val="Char Char Char Char Char Char Char Char Char Char1"/>
    <w:basedOn w:val="1"/>
    <w:autoRedefine/>
    <w:qFormat/>
    <w:uiPriority w:val="99"/>
    <w:rPr>
      <w:rFonts w:ascii="Tahoma" w:hAnsi="Tahoma"/>
      <w:sz w:val="24"/>
      <w:szCs w:val="24"/>
    </w:rPr>
  </w:style>
  <w:style w:type="paragraph" w:customStyle="1" w:styleId="1307">
    <w:name w:val="Char Char Char Char Char Char Char Char Char Char"/>
    <w:basedOn w:val="1"/>
    <w:autoRedefine/>
    <w:qFormat/>
    <w:uiPriority w:val="99"/>
    <w:rPr>
      <w:rFonts w:ascii="Tahoma" w:hAnsi="Tahoma"/>
      <w:sz w:val="24"/>
      <w:szCs w:val="24"/>
    </w:rPr>
  </w:style>
  <w:style w:type="paragraph" w:customStyle="1" w:styleId="1308">
    <w:name w:val="图"/>
    <w:basedOn w:val="1"/>
    <w:autoRedefine/>
    <w:qFormat/>
    <w:uiPriority w:val="99"/>
    <w:pPr>
      <w:keepNext/>
      <w:adjustRightInd w:val="0"/>
      <w:spacing w:before="60" w:after="60" w:line="300" w:lineRule="auto"/>
      <w:jc w:val="center"/>
      <w:textAlignment w:val="center"/>
    </w:pPr>
    <w:rPr>
      <w:snapToGrid w:val="0"/>
      <w:spacing w:val="20"/>
      <w:kern w:val="0"/>
      <w:sz w:val="24"/>
    </w:rPr>
  </w:style>
  <w:style w:type="paragraph" w:customStyle="1" w:styleId="1309">
    <w:name w:val="前言、引言标题"/>
    <w:next w:val="1"/>
    <w:autoRedefine/>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310">
    <w:name w:val="正文缩进2格"/>
    <w:basedOn w:val="1"/>
    <w:autoRedefine/>
    <w:qFormat/>
    <w:uiPriority w:val="99"/>
    <w:pPr>
      <w:spacing w:line="600" w:lineRule="exact"/>
      <w:ind w:firstLine="639" w:firstLineChars="206"/>
    </w:pPr>
    <w:rPr>
      <w:rFonts w:ascii="仿宋_GB2312" w:hAnsi="宋体" w:eastAsia="仿宋_GB2312"/>
      <w:sz w:val="31"/>
      <w:szCs w:val="28"/>
    </w:rPr>
  </w:style>
  <w:style w:type="paragraph" w:customStyle="1" w:styleId="1311">
    <w:name w:val="f10"/>
    <w:basedOn w:val="1"/>
    <w:autoRedefine/>
    <w:qFormat/>
    <w:uiPriority w:val="99"/>
    <w:pPr>
      <w:widowControl/>
      <w:spacing w:before="100" w:beforeAutospacing="1" w:after="100" w:afterAutospacing="1" w:line="260" w:lineRule="atLeast"/>
      <w:jc w:val="left"/>
    </w:pPr>
    <w:rPr>
      <w:rFonts w:ascii="_GB2312" w:hAnsi="_GB2312"/>
      <w:color w:val="000000"/>
      <w:kern w:val="0"/>
      <w:sz w:val="18"/>
      <w:szCs w:val="18"/>
    </w:rPr>
  </w:style>
  <w:style w:type="paragraph" w:customStyle="1" w:styleId="1312">
    <w:name w:val="题注4"/>
    <w:basedOn w:val="1"/>
    <w:next w:val="16"/>
    <w:autoRedefine/>
    <w:qFormat/>
    <w:uiPriority w:val="99"/>
    <w:pPr>
      <w:ind w:left="-132" w:leftChars="-64" w:right="-105" w:rightChars="-50" w:hanging="2"/>
      <w:jc w:val="center"/>
    </w:pPr>
    <w:rPr>
      <w:rFonts w:ascii="宋体"/>
      <w:b/>
      <w:color w:val="FF0000"/>
      <w:szCs w:val="21"/>
      <w:lang w:val="en-GB"/>
    </w:rPr>
  </w:style>
  <w:style w:type="paragraph" w:customStyle="1" w:styleId="1313">
    <w:name w:val="须知1"/>
    <w:basedOn w:val="4"/>
    <w:autoRedefine/>
    <w:qFormat/>
    <w:uiPriority w:val="99"/>
    <w:pPr>
      <w:widowControl w:val="0"/>
      <w:spacing w:before="260" w:after="312" w:line="240" w:lineRule="auto"/>
      <w:jc w:val="both"/>
    </w:pPr>
    <w:rPr>
      <w:rFonts w:ascii="宋体" w:hAnsi="宋体" w:cs="宋体"/>
      <w:bCs/>
      <w:sz w:val="24"/>
      <w:szCs w:val="24"/>
    </w:rPr>
  </w:style>
  <w:style w:type="paragraph" w:customStyle="1" w:styleId="1314">
    <w:name w:val="150"/>
    <w:basedOn w:val="1"/>
    <w:autoRedefine/>
    <w:qFormat/>
    <w:uiPriority w:val="99"/>
    <w:pPr>
      <w:widowControl/>
      <w:spacing w:before="100" w:beforeAutospacing="1" w:after="100" w:afterAutospacing="1" w:line="360" w:lineRule="auto"/>
      <w:jc w:val="left"/>
    </w:pPr>
    <w:rPr>
      <w:rFonts w:ascii="宋体" w:hAnsi="宋体"/>
      <w:color w:val="000000"/>
      <w:kern w:val="0"/>
      <w:sz w:val="24"/>
      <w:szCs w:val="24"/>
    </w:rPr>
  </w:style>
  <w:style w:type="paragraph" w:customStyle="1" w:styleId="1315">
    <w:name w:val="Char Char Char Char Char1 Char1"/>
    <w:basedOn w:val="1"/>
    <w:autoRedefine/>
    <w:qFormat/>
    <w:uiPriority w:val="99"/>
    <w:rPr>
      <w:rFonts w:ascii="Tahoma" w:hAnsi="Tahoma"/>
      <w:sz w:val="24"/>
      <w:szCs w:val="24"/>
    </w:rPr>
  </w:style>
  <w:style w:type="paragraph" w:customStyle="1" w:styleId="1316">
    <w:name w:val="Char Char Char Char Char1 Char"/>
    <w:basedOn w:val="1"/>
    <w:autoRedefine/>
    <w:qFormat/>
    <w:uiPriority w:val="99"/>
    <w:rPr>
      <w:rFonts w:ascii="Tahoma" w:hAnsi="Tahoma"/>
      <w:sz w:val="24"/>
      <w:szCs w:val="24"/>
    </w:rPr>
  </w:style>
  <w:style w:type="paragraph" w:customStyle="1" w:styleId="1317">
    <w:name w:val="Char Char Char Char Char Char1 Char1"/>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1318">
    <w:name w:val="c03"/>
    <w:basedOn w:val="1"/>
    <w:autoRedefine/>
    <w:qFormat/>
    <w:uiPriority w:val="99"/>
    <w:pPr>
      <w:widowControl/>
      <w:spacing w:before="100" w:beforeAutospacing="1" w:after="100" w:afterAutospacing="1"/>
      <w:jc w:val="left"/>
    </w:pPr>
    <w:rPr>
      <w:rFonts w:ascii="宋体" w:hAnsi="宋体"/>
      <w:color w:val="000000"/>
      <w:kern w:val="0"/>
      <w:sz w:val="24"/>
      <w:szCs w:val="24"/>
    </w:rPr>
  </w:style>
  <w:style w:type="paragraph" w:customStyle="1" w:styleId="1319">
    <w:name w:val="TOC 标题21"/>
    <w:basedOn w:val="2"/>
    <w:next w:val="1"/>
    <w:autoRedefine/>
    <w:qFormat/>
    <w:uiPriority w:val="99"/>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1320">
    <w:name w:val=".o.a"/>
    <w:basedOn w:val="264"/>
    <w:next w:val="264"/>
    <w:autoRedefine/>
    <w:qFormat/>
    <w:uiPriority w:val="99"/>
    <w:rPr>
      <w:rFonts w:ascii="宋体" w:eastAsia="宋体" w:cstheme="minorBidi"/>
      <w:color w:val="auto"/>
      <w:kern w:val="2"/>
      <w:lang w:eastAsia="en-US"/>
    </w:rPr>
  </w:style>
  <w:style w:type="paragraph" w:customStyle="1" w:styleId="1321">
    <w:name w:val="_Style 84"/>
    <w:basedOn w:val="1"/>
    <w:autoRedefine/>
    <w:qFormat/>
    <w:uiPriority w:val="99"/>
    <w:rPr>
      <w:rFonts w:ascii="Tahoma" w:hAnsi="Tahoma"/>
      <w:sz w:val="24"/>
      <w:szCs w:val="24"/>
    </w:rPr>
  </w:style>
  <w:style w:type="paragraph" w:customStyle="1" w:styleId="1322">
    <w:name w:val="题注5"/>
    <w:basedOn w:val="1"/>
    <w:next w:val="16"/>
    <w:autoRedefine/>
    <w:qFormat/>
    <w:uiPriority w:val="99"/>
    <w:pPr>
      <w:jc w:val="center"/>
    </w:pPr>
    <w:rPr>
      <w:rFonts w:ascii="宋体"/>
      <w:b/>
      <w:color w:val="000000"/>
      <w:sz w:val="24"/>
      <w:szCs w:val="21"/>
    </w:rPr>
  </w:style>
  <w:style w:type="paragraph" w:customStyle="1" w:styleId="1323">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1324">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1325">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1326">
    <w:name w:val="Char Char Char11"/>
    <w:basedOn w:val="1"/>
    <w:autoRedefine/>
    <w:qFormat/>
    <w:uiPriority w:val="99"/>
    <w:pPr>
      <w:widowControl/>
      <w:spacing w:line="240" w:lineRule="exact"/>
      <w:jc w:val="left"/>
    </w:pPr>
    <w:rPr>
      <w:rFonts w:ascii="宋体" w:cs="宋体"/>
      <w:kern w:val="0"/>
      <w:sz w:val="20"/>
      <w:szCs w:val="24"/>
    </w:rPr>
  </w:style>
  <w:style w:type="paragraph" w:customStyle="1" w:styleId="1327">
    <w:name w:val="8"/>
    <w:autoRedefine/>
    <w:qFormat/>
    <w:uiPriority w:val="99"/>
    <w:pPr>
      <w:widowControl w:val="0"/>
      <w:spacing w:line="240" w:lineRule="exact"/>
      <w:jc w:val="both"/>
    </w:pPr>
    <w:rPr>
      <w:rFonts w:ascii="Times New Roman" w:hAnsi="Times New Roman" w:eastAsia="宋体" w:cs="Times New Roman"/>
      <w:kern w:val="2"/>
      <w:sz w:val="21"/>
      <w:szCs w:val="24"/>
      <w:lang w:val="en-US" w:eastAsia="zh-CN" w:bidi="ar-SA"/>
    </w:rPr>
  </w:style>
  <w:style w:type="paragraph" w:customStyle="1" w:styleId="1328">
    <w:name w:val="Char12"/>
    <w:basedOn w:val="1"/>
    <w:autoRedefine/>
    <w:qFormat/>
    <w:uiPriority w:val="99"/>
    <w:pPr>
      <w:widowControl/>
      <w:spacing w:line="240" w:lineRule="exact"/>
      <w:jc w:val="left"/>
    </w:pPr>
    <w:rPr>
      <w:rFonts w:ascii="Calibri" w:hAnsi="Calibri"/>
      <w:kern w:val="0"/>
      <w:sz w:val="24"/>
      <w:szCs w:val="24"/>
    </w:rPr>
  </w:style>
  <w:style w:type="paragraph" w:customStyle="1" w:styleId="1329">
    <w:name w:val="7"/>
    <w:autoRedefine/>
    <w:qFormat/>
    <w:uiPriority w:val="99"/>
    <w:pPr>
      <w:widowControl w:val="0"/>
      <w:spacing w:line="240" w:lineRule="exact"/>
      <w:jc w:val="both"/>
    </w:pPr>
    <w:rPr>
      <w:rFonts w:ascii="Times New Roman" w:hAnsi="Times New Roman" w:eastAsia="宋体" w:cs="Times New Roman"/>
      <w:kern w:val="2"/>
      <w:sz w:val="21"/>
      <w:szCs w:val="24"/>
      <w:lang w:val="en-US" w:eastAsia="zh-CN" w:bidi="ar-SA"/>
    </w:rPr>
  </w:style>
  <w:style w:type="paragraph" w:customStyle="1" w:styleId="1330">
    <w:name w:val="9"/>
    <w:basedOn w:val="25"/>
    <w:next w:val="63"/>
    <w:autoRedefine/>
    <w:qFormat/>
    <w:uiPriority w:val="0"/>
    <w:pPr>
      <w:overflowPunct/>
      <w:autoSpaceDE/>
      <w:autoSpaceDN/>
      <w:adjustRightInd/>
      <w:spacing w:after="120" w:line="240" w:lineRule="auto"/>
      <w:ind w:left="420" w:leftChars="200" w:firstLine="420" w:firstLineChars="200"/>
      <w:jc w:val="left"/>
      <w:textAlignment w:val="auto"/>
    </w:pPr>
    <w:rPr>
      <w:rFonts w:ascii="Times New Roman" w:hAnsi="Times New Roman"/>
      <w:spacing w:val="0"/>
      <w:kern w:val="2"/>
      <w:sz w:val="21"/>
      <w:szCs w:val="22"/>
    </w:rPr>
  </w:style>
  <w:style w:type="paragraph" w:customStyle="1" w:styleId="1331">
    <w:name w:val="正文_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32">
    <w:name w:val="表格内文字"/>
    <w:basedOn w:val="730"/>
    <w:autoRedefine/>
    <w:qFormat/>
    <w:uiPriority w:val="0"/>
    <w:pPr>
      <w:ind w:firstLine="0"/>
      <w:jc w:val="center"/>
    </w:pPr>
    <w:rPr>
      <w:rFonts w:ascii="黑体" w:eastAsia="黑体"/>
      <w:sz w:val="20"/>
      <w:szCs w:val="21"/>
    </w:rPr>
  </w:style>
  <w:style w:type="paragraph" w:customStyle="1" w:styleId="1333">
    <w:name w:val="索引 11"/>
    <w:basedOn w:val="1"/>
    <w:next w:val="1"/>
    <w:autoRedefine/>
    <w:qFormat/>
    <w:uiPriority w:val="0"/>
    <w:pPr>
      <w:jc w:val="center"/>
    </w:pPr>
    <w:rPr>
      <w:rFonts w:ascii="仿宋_GB2312" w:eastAsia="仿宋_GB2312"/>
      <w:bCs/>
      <w:szCs w:val="21"/>
    </w:rPr>
  </w:style>
  <w:style w:type="paragraph" w:customStyle="1" w:styleId="1334">
    <w:name w:val="环小四表内容"/>
    <w:basedOn w:val="1"/>
    <w:autoRedefine/>
    <w:qFormat/>
    <w:uiPriority w:val="0"/>
    <w:pPr>
      <w:wordWrap w:val="0"/>
      <w:spacing w:line="240" w:lineRule="exact"/>
      <w:jc w:val="center"/>
    </w:pPr>
    <w:rPr>
      <w:rFonts w:ascii="宋体" w:hAnsi="宋体"/>
      <w:sz w:val="18"/>
      <w:szCs w:val="21"/>
    </w:rPr>
  </w:style>
  <w:style w:type="paragraph" w:customStyle="1" w:styleId="1335">
    <w:name w:val="样式 WG标题3 + 行距: 固定值 18 磅"/>
    <w:basedOn w:val="1"/>
    <w:autoRedefine/>
    <w:qFormat/>
    <w:uiPriority w:val="0"/>
    <w:pPr>
      <w:autoSpaceDE w:val="0"/>
      <w:autoSpaceDN w:val="0"/>
      <w:adjustRightInd w:val="0"/>
      <w:spacing w:line="360" w:lineRule="exact"/>
      <w:textAlignment w:val="baseline"/>
      <w:outlineLvl w:val="2"/>
    </w:pPr>
    <w:rPr>
      <w:rFonts w:ascii="宋体" w:hAnsi="宋体" w:cs="宋体"/>
      <w:b/>
      <w:bCs/>
      <w:color w:val="000000"/>
      <w:kern w:val="20"/>
      <w:sz w:val="24"/>
    </w:rPr>
  </w:style>
  <w:style w:type="paragraph" w:customStyle="1" w:styleId="1336">
    <w:name w:val="TOC 标题3"/>
    <w:basedOn w:val="2"/>
    <w:next w:val="1"/>
    <w:autoRedefine/>
    <w:unhideWhenUsed/>
    <w:qFormat/>
    <w:uiPriority w:val="39"/>
    <w:pPr>
      <w:keepLines/>
      <w:tabs>
        <w:tab w:val="clear" w:pos="885"/>
      </w:tabs>
      <w:spacing w:before="480" w:line="276" w:lineRule="auto"/>
      <w:ind w:left="0" w:firstLine="0"/>
      <w:jc w:val="left"/>
      <w:outlineLvl w:val="9"/>
    </w:pPr>
    <w:rPr>
      <w:rFonts w:ascii="Cambria" w:hAnsi="Cambria" w:eastAsia="宋体"/>
      <w:bCs/>
      <w:color w:val="366091"/>
      <w:kern w:val="0"/>
      <w:sz w:val="28"/>
      <w:szCs w:val="28"/>
    </w:rPr>
  </w:style>
  <w:style w:type="paragraph" w:customStyle="1" w:styleId="1337">
    <w:name w:val="W表格内容"/>
    <w:basedOn w:val="1"/>
    <w:autoRedefine/>
    <w:qFormat/>
    <w:uiPriority w:val="0"/>
    <w:pPr>
      <w:spacing w:line="240" w:lineRule="exact"/>
      <w:jc w:val="center"/>
    </w:pPr>
    <w:rPr>
      <w:rFonts w:ascii="宋体" w:hAnsi="宋体" w:eastAsia="Times New Roman"/>
      <w:bCs/>
      <w:sz w:val="18"/>
      <w:szCs w:val="18"/>
    </w:rPr>
  </w:style>
  <w:style w:type="paragraph" w:customStyle="1" w:styleId="1338">
    <w:name w:val="xl379"/>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kern w:val="0"/>
      <w:sz w:val="20"/>
    </w:rPr>
  </w:style>
  <w:style w:type="paragraph" w:customStyle="1" w:styleId="1339">
    <w:name w:val="正文文本3"/>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340">
    <w:name w:val="列表段落1"/>
    <w:basedOn w:val="1"/>
    <w:autoRedefine/>
    <w:qFormat/>
    <w:uiPriority w:val="0"/>
    <w:pPr>
      <w:ind w:firstLine="420" w:firstLineChars="200"/>
    </w:pPr>
    <w:rPr>
      <w:rFonts w:ascii="Calibri" w:hAnsi="Calibri"/>
      <w:szCs w:val="22"/>
    </w:rPr>
  </w:style>
  <w:style w:type="paragraph" w:customStyle="1" w:styleId="1341">
    <w:name w:val="dash666e_901a_8868_683c1"/>
    <w:basedOn w:val="1"/>
    <w:autoRedefine/>
    <w:qFormat/>
    <w:uiPriority w:val="0"/>
    <w:pPr>
      <w:widowControl/>
      <w:jc w:val="left"/>
    </w:pPr>
    <w:rPr>
      <w:rFonts w:ascii="宋体" w:hAnsi="宋体" w:cs="宋体"/>
      <w:kern w:val="0"/>
      <w:sz w:val="24"/>
      <w:szCs w:val="24"/>
    </w:rPr>
  </w:style>
  <w:style w:type="table" w:customStyle="1" w:styleId="1342">
    <w:name w:val="网格型2"/>
    <w:basedOn w:val="64"/>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3">
    <w:name w:val="网格型11"/>
    <w:basedOn w:val="64"/>
    <w:autoRedefine/>
    <w:qFormat/>
    <w:uiPriority w:val="0"/>
    <w:pPr>
      <w:widowControl w:val="0"/>
      <w:spacing w:line="400" w:lineRule="exact"/>
      <w:jc w:val="both"/>
    </w:pPr>
    <w:tblP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
    <w:tcPr>
      <w:vAlign w:val="center"/>
    </w:tcPr>
    <w:tblStylePr w:type="firstRow">
      <w:pPr>
        <w:wordWrap/>
        <w:jc w:val="center"/>
      </w:pPr>
      <w:tcPr>
        <w:tcBorders>
          <w:top w:val="single" w:color="auto" w:sz="12" w:space="0"/>
          <w:left w:val="single" w:color="auto" w:sz="12" w:space="0"/>
          <w:bottom w:val="single" w:color="auto" w:sz="2" w:space="0"/>
          <w:right w:val="single" w:color="auto" w:sz="12" w:space="0"/>
          <w:insideH w:val="nil"/>
          <w:insideV w:val="single" w:sz="2" w:space="0"/>
          <w:tl2br w:val="nil"/>
          <w:tr2bl w:val="nil"/>
        </w:tcBorders>
        <w:shd w:val="pct10" w:color="auto" w:fill="auto"/>
      </w:tcPr>
    </w:tblStylePr>
  </w:style>
  <w:style w:type="table" w:customStyle="1" w:styleId="1344">
    <w:name w:val="表格主题1"/>
    <w:basedOn w:val="6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5">
    <w:name w:val="网格型3"/>
    <w:basedOn w:val="64"/>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6">
    <w:name w:val="网格型4"/>
    <w:basedOn w:val="64"/>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47">
    <w:name w:val="nth-child(1)"/>
    <w:basedOn w:val="70"/>
    <w:autoRedefine/>
    <w:qFormat/>
    <w:uiPriority w:val="0"/>
    <w:rPr>
      <w:color w:val="111111"/>
      <w:sz w:val="24"/>
      <w:szCs w:val="24"/>
    </w:rPr>
  </w:style>
  <w:style w:type="character" w:customStyle="1" w:styleId="1348">
    <w:name w:val="nth-child(2)"/>
    <w:basedOn w:val="70"/>
    <w:autoRedefine/>
    <w:qFormat/>
    <w:uiPriority w:val="0"/>
    <w:rPr>
      <w:color w:val="4D4D4D"/>
      <w:sz w:val="18"/>
      <w:szCs w:val="18"/>
    </w:rPr>
  </w:style>
  <w:style w:type="character" w:customStyle="1" w:styleId="1349">
    <w:name w:val="hover"/>
    <w:basedOn w:val="70"/>
    <w:autoRedefine/>
    <w:qFormat/>
    <w:uiPriority w:val="0"/>
    <w:rPr>
      <w:color w:val="5FB878"/>
    </w:rPr>
  </w:style>
  <w:style w:type="character" w:customStyle="1" w:styleId="1350">
    <w:name w:val="hover1"/>
    <w:basedOn w:val="70"/>
    <w:autoRedefine/>
    <w:qFormat/>
    <w:uiPriority w:val="0"/>
    <w:rPr>
      <w:color w:val="5FB878"/>
    </w:rPr>
  </w:style>
  <w:style w:type="character" w:customStyle="1" w:styleId="1351">
    <w:name w:val="hover2"/>
    <w:basedOn w:val="70"/>
    <w:autoRedefine/>
    <w:qFormat/>
    <w:uiPriority w:val="0"/>
    <w:rPr>
      <w:color w:val="FFFFFF"/>
    </w:rPr>
  </w:style>
  <w:style w:type="character" w:customStyle="1" w:styleId="1352">
    <w:name w:val="last-child"/>
    <w:basedOn w:val="70"/>
    <w:autoRedefine/>
    <w:qFormat/>
    <w:uiPriority w:val="0"/>
    <w:rPr>
      <w:color w:val="777777"/>
    </w:rPr>
  </w:style>
  <w:style w:type="character" w:customStyle="1" w:styleId="1353">
    <w:name w:val="layui-this2"/>
    <w:basedOn w:val="70"/>
    <w:autoRedefine/>
    <w:qFormat/>
    <w:uiPriority w:val="0"/>
    <w:rPr>
      <w:bdr w:val="single" w:color="EEEEEE" w:sz="6" w:space="0"/>
      <w:shd w:val="clear" w:fill="FFFFFF"/>
    </w:rPr>
  </w:style>
  <w:style w:type="character" w:customStyle="1" w:styleId="1354">
    <w:name w:val="first-child"/>
    <w:basedOn w:val="70"/>
    <w:autoRedefine/>
    <w:qFormat/>
    <w:uiPriority w:val="0"/>
  </w:style>
  <w:style w:type="character" w:customStyle="1" w:styleId="1355">
    <w:name w:val="flatpickr-weekday2"/>
    <w:basedOn w:val="70"/>
    <w:autoRedefine/>
    <w:qFormat/>
    <w:uiPriority w:val="0"/>
    <w:rPr>
      <w:b/>
      <w:bCs/>
      <w:sz w:val="21"/>
      <w:szCs w:val="21"/>
    </w:rPr>
  </w:style>
  <w:style w:type="character" w:customStyle="1" w:styleId="1356">
    <w:name w:val="flatpickr-day2"/>
    <w:basedOn w:val="70"/>
    <w:autoRedefine/>
    <w:qFormat/>
    <w:uiPriority w:val="0"/>
  </w:style>
  <w:style w:type="character" w:customStyle="1" w:styleId="1357">
    <w:name w:val="nth-child(1)6"/>
    <w:basedOn w:val="70"/>
    <w:autoRedefine/>
    <w:qFormat/>
    <w:uiPriority w:val="0"/>
    <w:rPr>
      <w:color w:val="111111"/>
      <w:sz w:val="24"/>
      <w:szCs w:val="24"/>
    </w:rPr>
  </w:style>
  <w:style w:type="character" w:customStyle="1" w:styleId="1358">
    <w:name w:val="nth-child(2)4"/>
    <w:basedOn w:val="70"/>
    <w:autoRedefine/>
    <w:qFormat/>
    <w:uiPriority w:val="0"/>
    <w:rPr>
      <w:color w:val="4D4D4D"/>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100</Pages>
  <Words>27967</Words>
  <Characters>30642</Characters>
  <Lines>54</Lines>
  <Paragraphs>79</Paragraphs>
  <TotalTime>38</TotalTime>
  <ScaleCrop>false</ScaleCrop>
  <LinksUpToDate>false</LinksUpToDate>
  <CharactersWithSpaces>31119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2022-05-10T02:27:00Z</dcterms:created>
  <dc:creator>Administrator</dc:creator>
  <cp:lastModifiedBy>Administrator</cp:lastModifiedBy>
  <cp:lastPrinted>2025-09-03T09:32:00Z</cp:lastPrinted>
  <dcterms:modified xsi:type="dcterms:W3CDTF">2025-09-11T08:28:24Z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159EFFB514F24C59BA5451A8CABE2B94_13</vt:lpwstr>
  </property>
  <property fmtid="{D5CDD505-2E9C-101B-9397-08002B2CF9AE}" pid="4" name="commondata">
    <vt:lpwstr>eyJoZGlkIjoiYWJmMjA3MzdjYzk4NmUzZTZkZGFmZTBkMThkZWIxMzQifQ==</vt:lpwstr>
  </property>
  <property fmtid="{D5CDD505-2E9C-101B-9397-08002B2CF9AE}" pid="5" name="KSOTemplateDocerSaveRecord">
    <vt:lpwstr>eyJoZGlkIjoiNzAxYTYzZWM1N2QxNGU2ZjAwOGNiYTUzNGUwYmExNTYiLCJ1c2VySWQiOiI1MTE5MzE3MTMifQ==</vt:lpwstr>
  </property>
</Properties>
</file>